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0"/>
        <w:rPr>
          <w:rFonts w:ascii="方正小标宋简体" w:hAnsi="宋体" w:eastAsia="方正小标宋简体"/>
          <w:color w:val="auto"/>
          <w:sz w:val="21"/>
          <w:szCs w:val="21"/>
          <w:highlight w:val="none"/>
        </w:rPr>
      </w:pPr>
      <w:bookmarkStart w:id="0" w:name="_Toc15306267"/>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5396475"/>
      <w:bookmarkStart w:id="2" w:name="_Toc15377193"/>
      <w:bookmarkStart w:id="3" w:name="_Toc15396597"/>
      <w:bookmarkStart w:id="4" w:name="_Toc15377425"/>
      <w:bookmarkStart w:id="5" w:name="_Toc15378441"/>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6" w:name="_Toc15377194"/>
      <w:bookmarkStart w:id="7" w:name="_Toc15377426"/>
      <w:bookmarkStart w:id="8" w:name="_Toc15378442"/>
      <w:bookmarkStart w:id="9" w:name="_Toc15396598"/>
      <w:bookmarkStart w:id="10" w:name="_Toc15396476"/>
      <w:r>
        <w:rPr>
          <w:rFonts w:hint="eastAsia" w:ascii="方正小标宋简体" w:hAnsi="方正小标宋简体" w:eastAsia="方正小标宋简体" w:cs="方正小标宋简体"/>
          <w:color w:val="auto"/>
          <w:sz w:val="72"/>
          <w:szCs w:val="72"/>
          <w:highlight w:val="none"/>
        </w:rPr>
        <w:t>四川省</w:t>
      </w:r>
      <w:bookmarkEnd w:id="0"/>
      <w:bookmarkStart w:id="11" w:name="_Toc15306268"/>
      <w:r>
        <w:rPr>
          <w:rFonts w:hint="eastAsia" w:ascii="方正小标宋简体" w:hAnsi="方正小标宋简体" w:eastAsia="方正小标宋简体" w:cs="方正小标宋简体"/>
          <w:color w:val="auto"/>
          <w:sz w:val="72"/>
          <w:szCs w:val="72"/>
          <w:highlight w:val="none"/>
          <w:lang w:val="en-US" w:eastAsia="zh-CN"/>
        </w:rPr>
        <w:t>广元经开区袁家坝办事处</w:t>
      </w:r>
      <w:r>
        <w:rPr>
          <w:rFonts w:hint="eastAsia" w:ascii="方正小标宋简体" w:hAnsi="方正小标宋简体" w:eastAsia="方正小标宋简体" w:cs="方正小标宋简体"/>
          <w:color w:val="auto"/>
          <w:sz w:val="72"/>
          <w:szCs w:val="72"/>
          <w:highlight w:val="none"/>
          <w:lang w:eastAsia="zh-CN"/>
        </w:rPr>
        <w:t>单位</w:t>
      </w:r>
      <w:r>
        <w:rPr>
          <w:rFonts w:hint="eastAsia" w:ascii="方正小标宋简体" w:hAnsi="方正小标宋简体" w:eastAsia="方正小标宋简体" w:cs="方正小标宋简体"/>
          <w:color w:val="auto"/>
          <w:sz w:val="72"/>
          <w:szCs w:val="72"/>
          <w:highlight w:val="none"/>
        </w:rPr>
        <w:t>决算</w:t>
      </w:r>
      <w:bookmarkEnd w:id="6"/>
      <w:bookmarkEnd w:id="7"/>
      <w:bookmarkEnd w:id="8"/>
      <w:bookmarkEnd w:id="9"/>
      <w:bookmarkEnd w:id="10"/>
      <w:bookmarkEnd w:id="11"/>
    </w:p>
    <w:p>
      <w:pPr>
        <w:widowControl/>
        <w:jc w:val="center"/>
        <w:rPr>
          <w:rFonts w:hint="eastAsia" w:ascii="黑体" w:hAnsi="黑体" w:eastAsia="黑体"/>
          <w:color w:val="auto"/>
          <w:sz w:val="48"/>
          <w:szCs w:val="48"/>
          <w:highlight w:val="none"/>
        </w:rPr>
      </w:pPr>
    </w:p>
    <w:p>
      <w:pPr>
        <w:widowControl/>
        <w:jc w:val="center"/>
        <w:rPr>
          <w:rFonts w:hint="eastAsia" w:ascii="黑体" w:hAnsi="黑体" w:eastAsia="黑体"/>
          <w:color w:val="auto"/>
          <w:sz w:val="48"/>
          <w:szCs w:val="48"/>
          <w:highlight w:val="none"/>
        </w:rPr>
      </w:pPr>
    </w:p>
    <w:p>
      <w:pPr>
        <w:widowControl/>
        <w:jc w:val="center"/>
        <w:rPr>
          <w:rFonts w:hint="eastAsia" w:ascii="黑体" w:hAnsi="黑体" w:eastAsia="黑体"/>
          <w:color w:val="auto"/>
          <w:sz w:val="48"/>
          <w:szCs w:val="48"/>
          <w:highlight w:val="none"/>
        </w:rPr>
      </w:pPr>
    </w:p>
    <w:p>
      <w:pPr>
        <w:widowControl/>
        <w:jc w:val="center"/>
        <w:rPr>
          <w:rFonts w:hint="eastAsia" w:ascii="黑体" w:hAnsi="黑体" w:eastAsia="黑体"/>
          <w:color w:val="auto"/>
          <w:sz w:val="48"/>
          <w:szCs w:val="48"/>
          <w:highlight w:val="none"/>
        </w:rPr>
      </w:pPr>
    </w:p>
    <w:p>
      <w:pPr>
        <w:widowControl/>
        <w:jc w:val="center"/>
        <w:rPr>
          <w:rFonts w:hint="eastAsia" w:ascii="黑体" w:hAnsi="黑体" w:eastAsia="黑体"/>
          <w:color w:val="auto"/>
          <w:sz w:val="48"/>
          <w:szCs w:val="48"/>
          <w:highlight w:val="none"/>
        </w:rPr>
      </w:pPr>
    </w:p>
    <w:p>
      <w:pPr>
        <w:widowControl/>
        <w:jc w:val="center"/>
        <w:rPr>
          <w:rFonts w:hint="eastAsia" w:ascii="黑体" w:hAnsi="黑体" w:eastAsia="黑体"/>
          <w:color w:val="auto"/>
          <w:sz w:val="48"/>
          <w:szCs w:val="48"/>
          <w:highlight w:val="none"/>
        </w:rPr>
      </w:pPr>
    </w:p>
    <w:p>
      <w:pPr>
        <w:widowControl/>
        <w:jc w:val="center"/>
        <w:rPr>
          <w:rFonts w:hint="eastAsia" w:ascii="黑体" w:hAnsi="黑体" w:eastAsia="黑体"/>
          <w:color w:val="auto"/>
          <w:sz w:val="48"/>
          <w:szCs w:val="48"/>
          <w:highlight w:val="none"/>
        </w:rPr>
      </w:pPr>
    </w:p>
    <w:p>
      <w:pPr>
        <w:widowControl/>
        <w:jc w:val="center"/>
        <w:rPr>
          <w:rFonts w:hint="eastAsia" w:ascii="黑体" w:hAnsi="黑体" w:eastAsia="黑体"/>
          <w:color w:val="auto"/>
          <w:sz w:val="48"/>
          <w:szCs w:val="48"/>
          <w:highlight w:val="none"/>
        </w:rPr>
      </w:pPr>
    </w:p>
    <w:p>
      <w:pPr>
        <w:widowControl/>
        <w:ind w:firstLine="3840" w:firstLineChars="800"/>
        <w:jc w:val="both"/>
        <w:rPr>
          <w:rFonts w:hint="eastAsia" w:ascii="黑体" w:hAnsi="黑体" w:eastAsia="黑体"/>
          <w:color w:val="auto"/>
          <w:sz w:val="48"/>
          <w:szCs w:val="48"/>
          <w:highlight w:val="none"/>
        </w:rPr>
      </w:pPr>
      <w:bookmarkStart w:id="67" w:name="_GoBack"/>
      <w:bookmarkEnd w:id="67"/>
    </w:p>
    <w:p>
      <w:pPr>
        <w:widowControl/>
        <w:ind w:firstLine="3600" w:firstLineChars="1000"/>
        <w:jc w:val="both"/>
        <w:rPr>
          <w:rFonts w:hint="eastAsia" w:ascii="黑体" w:hAnsi="黑体" w:eastAsia="黑体"/>
          <w:color w:val="auto"/>
          <w:sz w:val="36"/>
          <w:szCs w:val="36"/>
          <w:highlight w:val="none"/>
        </w:rPr>
      </w:pPr>
    </w:p>
    <w:p>
      <w:pPr>
        <w:widowControl/>
        <w:ind w:firstLine="3600" w:firstLineChars="1000"/>
        <w:jc w:val="both"/>
        <w:rPr>
          <w:rFonts w:ascii="黑体" w:hAnsi="黑体" w:eastAsia="黑体"/>
          <w:color w:val="auto"/>
          <w:sz w:val="36"/>
          <w:szCs w:val="36"/>
          <w:highlight w:val="none"/>
        </w:rPr>
      </w:pPr>
      <w:r>
        <w:rPr>
          <w:rFonts w:hint="eastAsia" w:ascii="黑体" w:hAnsi="黑体" w:eastAsia="黑体"/>
          <w:color w:val="auto"/>
          <w:sz w:val="36"/>
          <w:szCs w:val="36"/>
          <w:highlight w:val="none"/>
        </w:rPr>
        <w:t>目</w:t>
      </w:r>
      <w:r>
        <w:rPr>
          <w:rFonts w:hint="eastAsia" w:ascii="黑体" w:hAnsi="黑体" w:eastAsia="黑体"/>
          <w:color w:val="auto"/>
          <w:sz w:val="36"/>
          <w:szCs w:val="36"/>
          <w:highlight w:val="none"/>
          <w:lang w:val="en-US" w:eastAsia="zh-CN"/>
        </w:rPr>
        <w:t xml:space="preserve">  </w:t>
      </w:r>
      <w:r>
        <w:rPr>
          <w:rFonts w:hint="eastAsia" w:ascii="黑体" w:hAnsi="黑体" w:eastAsia="黑体"/>
          <w:color w:val="auto"/>
          <w:sz w:val="36"/>
          <w:szCs w:val="36"/>
          <w:highlight w:val="none"/>
        </w:rPr>
        <w:t>录</w:t>
      </w:r>
    </w:p>
    <w:p>
      <w:pPr>
        <w:pStyle w:val="13"/>
        <w:tabs>
          <w:tab w:val="left" w:pos="7037"/>
          <w:tab w:val="clear" w:pos="8296"/>
        </w:tabs>
        <w:ind w:firstLine="2400" w:firstLineChars="1000"/>
        <w:jc w:val="both"/>
        <w:rPr>
          <w:rFonts w:hint="eastAsia" w:eastAsia="仿宋"/>
          <w:color w:val="auto"/>
          <w:sz w:val="24"/>
          <w:szCs w:val="24"/>
          <w:highlight w:val="none"/>
          <w:lang w:eastAsia="zh-CN"/>
        </w:rPr>
      </w:pPr>
      <w:r>
        <w:rPr>
          <w:rFonts w:hint="eastAsia"/>
          <w:color w:val="auto"/>
          <w:sz w:val="24"/>
          <w:szCs w:val="24"/>
          <w:highlight w:val="none"/>
        </w:rPr>
        <w:t>公开时间：20</w:t>
      </w:r>
      <w:r>
        <w:rPr>
          <w:rFonts w:hint="eastAsia"/>
          <w:color w:val="auto"/>
          <w:sz w:val="24"/>
          <w:szCs w:val="24"/>
          <w:highlight w:val="none"/>
          <w:lang w:val="en-US" w:eastAsia="zh-CN"/>
        </w:rPr>
        <w:t>23</w:t>
      </w:r>
      <w:r>
        <w:rPr>
          <w:rFonts w:hint="eastAsia"/>
          <w:color w:val="auto"/>
          <w:sz w:val="24"/>
          <w:szCs w:val="24"/>
          <w:highlight w:val="none"/>
        </w:rPr>
        <w:t>年</w:t>
      </w:r>
      <w:r>
        <w:rPr>
          <w:rFonts w:hint="eastAsia"/>
          <w:color w:val="auto"/>
          <w:sz w:val="24"/>
          <w:szCs w:val="24"/>
          <w:highlight w:val="none"/>
          <w:lang w:val="en-US" w:eastAsia="zh-CN"/>
        </w:rPr>
        <w:t xml:space="preserve"> </w:t>
      </w:r>
      <w:r>
        <w:rPr>
          <w:rFonts w:hint="default"/>
          <w:color w:val="auto"/>
          <w:sz w:val="24"/>
          <w:szCs w:val="24"/>
          <w:highlight w:val="none"/>
          <w:lang w:eastAsia="zh-CN"/>
        </w:rPr>
        <w:t>10</w:t>
      </w:r>
      <w:r>
        <w:rPr>
          <w:rFonts w:hint="eastAsia"/>
          <w:color w:val="auto"/>
          <w:sz w:val="24"/>
          <w:szCs w:val="24"/>
          <w:highlight w:val="none"/>
        </w:rPr>
        <w:t>月</w:t>
      </w:r>
      <w:r>
        <w:rPr>
          <w:rFonts w:hint="eastAsia"/>
          <w:color w:val="auto"/>
          <w:sz w:val="24"/>
          <w:szCs w:val="24"/>
          <w:highlight w:val="none"/>
          <w:lang w:val="en-US" w:eastAsia="zh-CN"/>
        </w:rPr>
        <w:t xml:space="preserve">8 </w:t>
      </w:r>
      <w:r>
        <w:rPr>
          <w:rFonts w:hint="eastAsia"/>
          <w:color w:val="auto"/>
          <w:sz w:val="24"/>
          <w:szCs w:val="24"/>
          <w:highlight w:val="none"/>
        </w:rPr>
        <w:t>日</w:t>
      </w:r>
      <w:r>
        <w:rPr>
          <w:rFonts w:hint="eastAsia"/>
          <w:color w:val="auto"/>
          <w:sz w:val="24"/>
          <w:szCs w:val="24"/>
          <w:highlight w:val="none"/>
          <w:lang w:eastAsia="zh-CN"/>
        </w:rPr>
        <w:tab/>
      </w:r>
    </w:p>
    <w:p>
      <w:pPr>
        <w:pStyle w:val="13"/>
        <w:keepNext w:val="0"/>
        <w:keepLines w:val="0"/>
        <w:pageBreakBefore w:val="0"/>
        <w:tabs>
          <w:tab w:val="right" w:leader="dot" w:pos="8400"/>
        </w:tabs>
        <w:kinsoku/>
        <w:wordWrap/>
        <w:overflowPunct/>
        <w:topLinePunct w:val="0"/>
        <w:autoSpaceDE/>
        <w:autoSpaceDN/>
        <w:bidi w:val="0"/>
        <w:adjustRightInd w:val="0"/>
        <w:snapToGrid w:val="0"/>
        <w:spacing w:before="0" w:line="440" w:lineRule="exact"/>
        <w:jc w:val="left"/>
        <w:textAlignment w:val="auto"/>
        <w:rPr>
          <w:rFonts w:cstheme="minorBidi"/>
          <w:color w:val="auto"/>
          <w:sz w:val="21"/>
          <w:szCs w:val="21"/>
          <w:highlight w:val="none"/>
        </w:rPr>
      </w:pPr>
      <w:r>
        <w:rPr>
          <w:rFonts w:hint="eastAsia"/>
          <w:color w:val="auto"/>
          <w:sz w:val="21"/>
          <w:szCs w:val="21"/>
          <w:highlight w:val="none"/>
        </w:rPr>
        <w:t>第一部分</w:t>
      </w:r>
      <w:r>
        <w:rPr>
          <w:color w:val="auto"/>
          <w:sz w:val="21"/>
          <w:szCs w:val="21"/>
          <w:highlight w:val="none"/>
        </w:rPr>
        <w:t xml:space="preserve"> </w:t>
      </w:r>
      <w:r>
        <w:rPr>
          <w:rFonts w:hint="eastAsia"/>
          <w:color w:val="auto"/>
          <w:sz w:val="21"/>
          <w:szCs w:val="21"/>
          <w:highlight w:val="none"/>
          <w:lang w:eastAsia="zh-CN"/>
        </w:rPr>
        <w:t>单位</w:t>
      </w:r>
      <w:r>
        <w:rPr>
          <w:rFonts w:hint="eastAsia"/>
          <w:color w:val="auto"/>
          <w:sz w:val="21"/>
          <w:szCs w:val="21"/>
          <w:highlight w:val="none"/>
        </w:rPr>
        <w:t>概况</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eastAsia"/>
          <w:color w:val="auto"/>
          <w:sz w:val="21"/>
          <w:szCs w:val="21"/>
          <w:highlight w:val="none"/>
          <w:lang w:val="en-US" w:eastAsia="zh-CN"/>
        </w:rPr>
      </w:pPr>
      <w:r>
        <w:rPr>
          <w:rFonts w:hint="eastAsia"/>
          <w:color w:val="auto"/>
          <w:sz w:val="21"/>
          <w:szCs w:val="21"/>
          <w:highlight w:val="none"/>
        </w:rPr>
        <w:t>一、</w:t>
      </w:r>
      <w:r>
        <w:rPr>
          <w:rFonts w:hint="eastAsia"/>
          <w:color w:val="auto"/>
          <w:sz w:val="21"/>
          <w:szCs w:val="21"/>
          <w:highlight w:val="none"/>
          <w:lang w:eastAsia="zh-CN"/>
        </w:rPr>
        <w:t>主要职责</w:t>
      </w:r>
      <w:r>
        <w:rPr>
          <w:sz w:val="21"/>
          <w:szCs w:val="21"/>
        </w:rPr>
        <w:tab/>
      </w:r>
      <w:r>
        <w:rPr>
          <w:rFonts w:hint="eastAsia"/>
          <w:color w:val="auto"/>
          <w:sz w:val="21"/>
          <w:szCs w:val="21"/>
          <w:highlight w:val="none"/>
          <w:lang w:val="en-US" w:eastAsia="zh-CN"/>
        </w:rPr>
        <w:t>3</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eastAsia="宋体"/>
          <w:color w:val="auto"/>
          <w:sz w:val="21"/>
          <w:szCs w:val="21"/>
          <w:lang w:val="en-US" w:eastAsia="zh-CN"/>
        </w:rPr>
      </w:pPr>
      <w:r>
        <w:rPr>
          <w:rFonts w:hint="eastAsia"/>
          <w:color w:val="auto"/>
          <w:sz w:val="21"/>
          <w:szCs w:val="21"/>
          <w:highlight w:val="none"/>
          <w:lang w:eastAsia="zh-CN"/>
        </w:rPr>
        <w:t>二</w:t>
      </w:r>
      <w:r>
        <w:rPr>
          <w:rFonts w:hint="eastAsia"/>
          <w:color w:val="auto"/>
          <w:sz w:val="21"/>
          <w:szCs w:val="21"/>
          <w:highlight w:val="none"/>
        </w:rPr>
        <w:t>、</w:t>
      </w:r>
      <w:r>
        <w:rPr>
          <w:rFonts w:hint="eastAsia"/>
          <w:color w:val="auto"/>
          <w:sz w:val="21"/>
          <w:szCs w:val="21"/>
          <w:highlight w:val="none"/>
          <w:lang w:eastAsia="zh-CN"/>
        </w:rPr>
        <w:t>机构设</w:t>
      </w:r>
      <w:r>
        <w:rPr>
          <w:rFonts w:hint="eastAsia"/>
          <w:color w:val="auto"/>
          <w:sz w:val="21"/>
          <w:szCs w:val="21"/>
          <w:highlight w:val="none"/>
          <w:lang w:val="en-US" w:eastAsia="zh-CN"/>
        </w:rPr>
        <w:t>置</w:t>
      </w:r>
      <w:r>
        <w:rPr>
          <w:rFonts w:hint="eastAsia"/>
          <w:color w:val="auto"/>
          <w:sz w:val="21"/>
          <w:szCs w:val="21"/>
          <w:highlight w:val="none"/>
          <w:lang w:val="en-US" w:eastAsia="zh-CN"/>
        </w:rPr>
        <w:tab/>
      </w:r>
      <w:r>
        <w:rPr>
          <w:rFonts w:hint="eastAsia"/>
          <w:color w:val="auto"/>
          <w:sz w:val="21"/>
          <w:szCs w:val="21"/>
          <w:highlight w:val="none"/>
          <w:lang w:val="en-US" w:eastAsia="zh-CN"/>
        </w:rPr>
        <w:t xml:space="preserve"> 5</w:t>
      </w:r>
    </w:p>
    <w:p>
      <w:pPr>
        <w:pStyle w:val="13"/>
        <w:keepNext w:val="0"/>
        <w:keepLines w:val="0"/>
        <w:pageBreakBefore w:val="0"/>
        <w:tabs>
          <w:tab w:val="right" w:leader="dot" w:pos="8400"/>
        </w:tabs>
        <w:kinsoku/>
        <w:wordWrap/>
        <w:overflowPunct/>
        <w:topLinePunct w:val="0"/>
        <w:autoSpaceDE/>
        <w:autoSpaceDN/>
        <w:bidi w:val="0"/>
        <w:adjustRightInd w:val="0"/>
        <w:snapToGrid w:val="0"/>
        <w:spacing w:before="0" w:line="440" w:lineRule="exact"/>
        <w:jc w:val="left"/>
        <w:textAlignment w:val="auto"/>
        <w:rPr>
          <w:rFonts w:hint="default" w:eastAsia="仿宋"/>
          <w:color w:val="auto"/>
          <w:sz w:val="21"/>
          <w:szCs w:val="21"/>
          <w:highlight w:val="none"/>
          <w:lang w:val="en-US" w:eastAsia="zh-CN"/>
        </w:rPr>
      </w:pPr>
      <w:r>
        <w:rPr>
          <w:rFonts w:hint="eastAsia"/>
          <w:color w:val="auto"/>
          <w:sz w:val="21"/>
          <w:szCs w:val="21"/>
          <w:highlight w:val="none"/>
        </w:rPr>
        <w:t>第二部分</w:t>
      </w:r>
      <w:r>
        <w:rPr>
          <w:rFonts w:hint="eastAsia"/>
          <w:color w:val="auto"/>
          <w:sz w:val="21"/>
          <w:szCs w:val="21"/>
          <w:highlight w:val="none"/>
          <w:lang w:val="en-US" w:eastAsia="zh-CN"/>
        </w:rPr>
        <w:t xml:space="preserve"> 2022年度</w:t>
      </w:r>
      <w:r>
        <w:rPr>
          <w:rFonts w:hint="eastAsia"/>
          <w:color w:val="auto"/>
          <w:sz w:val="21"/>
          <w:szCs w:val="21"/>
          <w:highlight w:val="none"/>
          <w:lang w:eastAsia="zh-CN"/>
        </w:rPr>
        <w:t>单位</w:t>
      </w:r>
      <w:r>
        <w:rPr>
          <w:rFonts w:hint="eastAsia"/>
          <w:color w:val="auto"/>
          <w:sz w:val="21"/>
          <w:szCs w:val="21"/>
          <w:highlight w:val="none"/>
        </w:rPr>
        <w:t>决算情况说明</w:t>
      </w:r>
      <w:r>
        <w:rPr>
          <w:rFonts w:hint="eastAsia"/>
          <w:color w:val="auto"/>
          <w:sz w:val="21"/>
          <w:szCs w:val="21"/>
          <w:highlight w:val="none"/>
          <w:lang w:val="en-US" w:eastAsia="zh-CN"/>
        </w:rPr>
        <w:tab/>
      </w:r>
      <w:r>
        <w:rPr>
          <w:rFonts w:hint="eastAsia"/>
          <w:color w:val="auto"/>
          <w:sz w:val="21"/>
          <w:szCs w:val="21"/>
          <w:highlight w:val="none"/>
          <w:lang w:val="en-US" w:eastAsia="zh-CN"/>
        </w:rPr>
        <w:t>6</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ascii="仿宋" w:hAnsi="仿宋" w:eastAsia="宋体" w:cstheme="minorBidi"/>
          <w:color w:val="auto"/>
          <w:sz w:val="21"/>
          <w:szCs w:val="21"/>
          <w:highlight w:val="none"/>
          <w:lang w:val="en-US" w:eastAsia="zh-CN"/>
        </w:rPr>
      </w:pPr>
      <w:r>
        <w:rPr>
          <w:rFonts w:hint="eastAsia"/>
          <w:color w:val="auto"/>
          <w:sz w:val="21"/>
          <w:szCs w:val="21"/>
          <w:highlight w:val="none"/>
        </w:rPr>
        <w:t>一、收入支出决算总体情况说明</w:t>
      </w:r>
      <w:r>
        <w:rPr>
          <w:rFonts w:hint="eastAsia"/>
          <w:color w:val="auto"/>
          <w:sz w:val="21"/>
          <w:szCs w:val="21"/>
          <w:highlight w:val="none"/>
          <w:lang w:val="en-US" w:eastAsia="zh-CN"/>
        </w:rPr>
        <w:tab/>
      </w:r>
      <w:r>
        <w:rPr>
          <w:rFonts w:hint="eastAsia"/>
          <w:color w:val="auto"/>
          <w:sz w:val="21"/>
          <w:szCs w:val="21"/>
          <w:highlight w:val="none"/>
          <w:lang w:val="en-US" w:eastAsia="zh-CN"/>
        </w:rPr>
        <w:t>6</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ascii="仿宋" w:hAnsi="仿宋" w:eastAsia="宋体" w:cstheme="minorBidi"/>
          <w:color w:val="auto"/>
          <w:sz w:val="21"/>
          <w:szCs w:val="21"/>
          <w:highlight w:val="none"/>
          <w:lang w:val="en-US" w:eastAsia="zh-CN"/>
        </w:rPr>
      </w:pPr>
      <w:r>
        <w:rPr>
          <w:rFonts w:hint="eastAsia"/>
          <w:color w:val="auto"/>
          <w:sz w:val="21"/>
          <w:szCs w:val="21"/>
          <w:highlight w:val="none"/>
        </w:rPr>
        <w:t>二、收入决算情况说明</w:t>
      </w:r>
      <w:r>
        <w:rPr>
          <w:rFonts w:hint="eastAsia"/>
          <w:color w:val="auto"/>
          <w:sz w:val="21"/>
          <w:szCs w:val="21"/>
          <w:highlight w:val="none"/>
          <w:lang w:val="en-US" w:eastAsia="zh-CN"/>
        </w:rPr>
        <w:tab/>
      </w:r>
      <w:r>
        <w:rPr>
          <w:rFonts w:hint="eastAsia"/>
          <w:color w:val="auto"/>
          <w:sz w:val="21"/>
          <w:szCs w:val="21"/>
          <w:highlight w:val="none"/>
          <w:lang w:val="en-US" w:eastAsia="zh-CN"/>
        </w:rPr>
        <w:t>6</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ascii="仿宋" w:hAnsi="仿宋" w:eastAsia="宋体" w:cstheme="minorBidi"/>
          <w:color w:val="auto"/>
          <w:sz w:val="21"/>
          <w:szCs w:val="21"/>
          <w:highlight w:val="none"/>
          <w:lang w:val="en-US" w:eastAsia="zh-CN"/>
        </w:rPr>
      </w:pPr>
      <w:r>
        <w:rPr>
          <w:rFonts w:hint="eastAsia"/>
          <w:color w:val="auto"/>
          <w:sz w:val="21"/>
          <w:szCs w:val="21"/>
          <w:highlight w:val="none"/>
        </w:rPr>
        <w:t>三、支出决算情况说明</w:t>
      </w:r>
      <w:r>
        <w:rPr>
          <w:rFonts w:hint="eastAsia"/>
          <w:color w:val="auto"/>
          <w:sz w:val="21"/>
          <w:szCs w:val="21"/>
          <w:highlight w:val="none"/>
          <w:lang w:val="en-US" w:eastAsia="zh-CN"/>
        </w:rPr>
        <w:tab/>
      </w:r>
      <w:r>
        <w:rPr>
          <w:rFonts w:hint="eastAsia"/>
          <w:color w:val="auto"/>
          <w:sz w:val="21"/>
          <w:szCs w:val="21"/>
          <w:highlight w:val="none"/>
          <w:lang w:val="en-US" w:eastAsia="zh-CN"/>
        </w:rPr>
        <w:t>7</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ascii="仿宋" w:hAnsi="仿宋" w:eastAsia="宋体" w:cstheme="minorBidi"/>
          <w:color w:val="auto"/>
          <w:sz w:val="21"/>
          <w:szCs w:val="21"/>
          <w:highlight w:val="none"/>
          <w:lang w:val="en-US" w:eastAsia="zh-CN"/>
        </w:rPr>
      </w:pPr>
      <w:r>
        <w:rPr>
          <w:rFonts w:hint="eastAsia"/>
          <w:color w:val="auto"/>
          <w:sz w:val="21"/>
          <w:szCs w:val="21"/>
          <w:highlight w:val="none"/>
        </w:rPr>
        <w:t>四、财政拨款收入支出决算总体情况说明</w:t>
      </w:r>
      <w:r>
        <w:rPr>
          <w:rFonts w:hint="eastAsia"/>
          <w:color w:val="auto"/>
          <w:sz w:val="21"/>
          <w:szCs w:val="21"/>
          <w:highlight w:val="none"/>
          <w:lang w:val="en-US" w:eastAsia="zh-CN"/>
        </w:rPr>
        <w:tab/>
      </w:r>
      <w:r>
        <w:rPr>
          <w:rFonts w:hint="eastAsia"/>
          <w:color w:val="auto"/>
          <w:sz w:val="21"/>
          <w:szCs w:val="21"/>
          <w:highlight w:val="none"/>
          <w:lang w:val="en-US" w:eastAsia="zh-CN"/>
        </w:rPr>
        <w:t>8</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ascii="仿宋" w:hAnsi="仿宋" w:eastAsia="宋体" w:cstheme="minorBidi"/>
          <w:color w:val="auto"/>
          <w:sz w:val="21"/>
          <w:szCs w:val="21"/>
          <w:highlight w:val="none"/>
          <w:lang w:val="en-US" w:eastAsia="zh-CN"/>
        </w:rPr>
      </w:pPr>
      <w:r>
        <w:rPr>
          <w:rFonts w:hint="eastAsia"/>
          <w:color w:val="auto"/>
          <w:sz w:val="21"/>
          <w:szCs w:val="21"/>
          <w:highlight w:val="none"/>
        </w:rPr>
        <w:t>五、一般公共预算财政拨款支出决算情况说明</w:t>
      </w:r>
      <w:r>
        <w:rPr>
          <w:rFonts w:hint="eastAsia"/>
          <w:color w:val="auto"/>
          <w:sz w:val="21"/>
          <w:szCs w:val="21"/>
          <w:highlight w:val="none"/>
          <w:lang w:val="en-US" w:eastAsia="zh-CN"/>
        </w:rPr>
        <w:tab/>
      </w:r>
      <w:r>
        <w:rPr>
          <w:rFonts w:hint="eastAsia"/>
          <w:color w:val="auto"/>
          <w:sz w:val="21"/>
          <w:szCs w:val="21"/>
          <w:highlight w:val="none"/>
          <w:lang w:val="en-US" w:eastAsia="zh-CN"/>
        </w:rPr>
        <w:t>9</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ascii="仿宋" w:hAnsi="仿宋" w:eastAsia="宋体" w:cstheme="minorBidi"/>
          <w:color w:val="auto"/>
          <w:sz w:val="21"/>
          <w:szCs w:val="21"/>
          <w:highlight w:val="none"/>
          <w:lang w:val="en-US" w:eastAsia="zh-CN"/>
        </w:rPr>
      </w:pPr>
      <w:r>
        <w:rPr>
          <w:rFonts w:hint="eastAsia"/>
          <w:color w:val="auto"/>
          <w:sz w:val="21"/>
          <w:szCs w:val="21"/>
          <w:highlight w:val="none"/>
        </w:rPr>
        <w:t>六、一般公共预算财政拨款基本支出决算情况说明</w:t>
      </w:r>
      <w:r>
        <w:rPr>
          <w:rFonts w:hint="eastAsia"/>
          <w:color w:val="auto"/>
          <w:sz w:val="21"/>
          <w:szCs w:val="21"/>
          <w:highlight w:val="none"/>
          <w:lang w:val="en-US" w:eastAsia="zh-CN"/>
        </w:rPr>
        <w:tab/>
      </w:r>
      <w:r>
        <w:rPr>
          <w:rFonts w:hint="eastAsia"/>
          <w:color w:val="auto"/>
          <w:sz w:val="21"/>
          <w:szCs w:val="21"/>
          <w:highlight w:val="none"/>
          <w:lang w:val="en-US" w:eastAsia="zh-CN"/>
        </w:rPr>
        <w:t>14</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ascii="仿宋" w:hAnsi="仿宋" w:eastAsia="宋体" w:cstheme="minorBidi"/>
          <w:color w:val="auto"/>
          <w:sz w:val="21"/>
          <w:szCs w:val="21"/>
          <w:highlight w:val="none"/>
          <w:lang w:val="en-US" w:eastAsia="zh-CN"/>
        </w:rPr>
      </w:pPr>
      <w:r>
        <w:rPr>
          <w:rFonts w:hint="eastAsia"/>
          <w:color w:val="auto"/>
          <w:sz w:val="21"/>
          <w:szCs w:val="21"/>
          <w:highlight w:val="none"/>
        </w:rPr>
        <w:t>七、财政拨款</w:t>
      </w:r>
      <w:r>
        <w:rPr>
          <w:rFonts w:hint="eastAsia"/>
          <w:color w:val="auto"/>
          <w:sz w:val="21"/>
          <w:szCs w:val="21"/>
          <w:highlight w:val="none"/>
          <w:lang w:eastAsia="zh-CN"/>
        </w:rPr>
        <w:t>“</w:t>
      </w:r>
      <w:r>
        <w:rPr>
          <w:rFonts w:hint="eastAsia"/>
          <w:color w:val="auto"/>
          <w:sz w:val="21"/>
          <w:szCs w:val="21"/>
          <w:highlight w:val="none"/>
        </w:rPr>
        <w:t>三公”经费支出决算情况说明</w:t>
      </w:r>
      <w:r>
        <w:rPr>
          <w:rFonts w:hint="eastAsia"/>
          <w:color w:val="auto"/>
          <w:sz w:val="21"/>
          <w:szCs w:val="21"/>
          <w:highlight w:val="none"/>
          <w:lang w:val="en-US" w:eastAsia="zh-CN"/>
        </w:rPr>
        <w:tab/>
      </w:r>
      <w:r>
        <w:rPr>
          <w:rFonts w:hint="eastAsia"/>
          <w:color w:val="auto"/>
          <w:sz w:val="21"/>
          <w:szCs w:val="21"/>
          <w:highlight w:val="none"/>
          <w:lang w:val="en-US" w:eastAsia="zh-CN"/>
        </w:rPr>
        <w:t>15</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ascii="仿宋" w:hAnsi="仿宋" w:eastAsia="宋体" w:cstheme="minorBidi"/>
          <w:color w:val="auto"/>
          <w:sz w:val="21"/>
          <w:szCs w:val="21"/>
          <w:highlight w:val="none"/>
          <w:lang w:val="en-US" w:eastAsia="zh-CN"/>
        </w:rPr>
      </w:pPr>
      <w:r>
        <w:rPr>
          <w:rFonts w:hint="eastAsia"/>
          <w:color w:val="auto"/>
          <w:sz w:val="21"/>
          <w:szCs w:val="21"/>
          <w:highlight w:val="none"/>
        </w:rPr>
        <w:t>八、政府性基金预算支出决算情况说明</w:t>
      </w:r>
      <w:r>
        <w:rPr>
          <w:rFonts w:hint="eastAsia"/>
          <w:color w:val="auto"/>
          <w:sz w:val="21"/>
          <w:szCs w:val="21"/>
          <w:highlight w:val="none"/>
          <w:lang w:val="en-US" w:eastAsia="zh-CN"/>
        </w:rPr>
        <w:tab/>
      </w:r>
      <w:r>
        <w:rPr>
          <w:rFonts w:hint="eastAsia"/>
          <w:color w:val="auto"/>
          <w:sz w:val="21"/>
          <w:szCs w:val="21"/>
          <w:highlight w:val="none"/>
          <w:lang w:val="en-US" w:eastAsia="zh-CN"/>
        </w:rPr>
        <w:t>17</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eastAsia="宋体"/>
          <w:color w:val="auto"/>
          <w:sz w:val="21"/>
          <w:szCs w:val="21"/>
          <w:highlight w:val="none"/>
          <w:lang w:val="en-US" w:eastAsia="zh-CN"/>
        </w:rPr>
      </w:pPr>
      <w:r>
        <w:rPr>
          <w:rFonts w:hint="eastAsia"/>
          <w:color w:val="auto"/>
          <w:sz w:val="21"/>
          <w:szCs w:val="21"/>
          <w:highlight w:val="none"/>
        </w:rPr>
        <w:t>九、国有资本经营预算支出决算情况说明</w:t>
      </w:r>
      <w:r>
        <w:rPr>
          <w:rFonts w:hint="eastAsia"/>
          <w:color w:val="auto"/>
          <w:sz w:val="21"/>
          <w:szCs w:val="21"/>
          <w:highlight w:val="none"/>
          <w:lang w:val="en-US" w:eastAsia="zh-CN"/>
        </w:rPr>
        <w:tab/>
      </w:r>
      <w:r>
        <w:rPr>
          <w:rFonts w:hint="eastAsia"/>
          <w:color w:val="auto"/>
          <w:sz w:val="21"/>
          <w:szCs w:val="21"/>
          <w:highlight w:val="none"/>
          <w:lang w:val="en-US" w:eastAsia="zh-CN"/>
        </w:rPr>
        <w:t>17</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eastAsia="宋体"/>
          <w:color w:val="auto"/>
          <w:sz w:val="21"/>
          <w:szCs w:val="21"/>
          <w:highlight w:val="none"/>
          <w:lang w:val="en-US" w:eastAsia="zh-CN"/>
        </w:rPr>
      </w:pPr>
      <w:r>
        <w:rPr>
          <w:rFonts w:hint="eastAsia"/>
          <w:color w:val="auto"/>
          <w:sz w:val="21"/>
          <w:szCs w:val="21"/>
          <w:highlight w:val="none"/>
        </w:rPr>
        <w:t>十、其他重要事项的情况说明</w:t>
      </w:r>
      <w:r>
        <w:rPr>
          <w:rFonts w:hint="eastAsia"/>
          <w:color w:val="auto"/>
          <w:sz w:val="21"/>
          <w:szCs w:val="21"/>
          <w:highlight w:val="none"/>
          <w:lang w:val="en-US" w:eastAsia="zh-CN"/>
        </w:rPr>
        <w:tab/>
      </w:r>
      <w:r>
        <w:rPr>
          <w:rFonts w:hint="eastAsia"/>
          <w:color w:val="auto"/>
          <w:sz w:val="21"/>
          <w:szCs w:val="21"/>
          <w:highlight w:val="none"/>
          <w:lang w:val="en-US" w:eastAsia="zh-CN"/>
        </w:rPr>
        <w:t>17</w:t>
      </w:r>
    </w:p>
    <w:p>
      <w:pPr>
        <w:pStyle w:val="13"/>
        <w:keepNext w:val="0"/>
        <w:keepLines w:val="0"/>
        <w:pageBreakBefore w:val="0"/>
        <w:tabs>
          <w:tab w:val="right" w:leader="dot" w:pos="8400"/>
        </w:tabs>
        <w:kinsoku/>
        <w:wordWrap/>
        <w:overflowPunct/>
        <w:topLinePunct w:val="0"/>
        <w:autoSpaceDE/>
        <w:autoSpaceDN/>
        <w:bidi w:val="0"/>
        <w:adjustRightInd w:val="0"/>
        <w:snapToGrid w:val="0"/>
        <w:spacing w:before="0" w:line="440" w:lineRule="exact"/>
        <w:jc w:val="left"/>
        <w:textAlignment w:val="auto"/>
        <w:rPr>
          <w:rFonts w:hint="default" w:eastAsia="仿宋" w:cstheme="minorBidi"/>
          <w:color w:val="auto"/>
          <w:sz w:val="21"/>
          <w:szCs w:val="21"/>
          <w:highlight w:val="none"/>
          <w:lang w:val="en-US" w:eastAsia="zh-CN"/>
        </w:rPr>
      </w:pPr>
      <w:r>
        <w:rPr>
          <w:rFonts w:hint="eastAsia"/>
          <w:color w:val="auto"/>
          <w:sz w:val="21"/>
          <w:szCs w:val="21"/>
          <w:highlight w:val="none"/>
        </w:rPr>
        <w:t>第三部分</w:t>
      </w:r>
      <w:r>
        <w:rPr>
          <w:color w:val="auto"/>
          <w:sz w:val="21"/>
          <w:szCs w:val="21"/>
          <w:highlight w:val="none"/>
        </w:rPr>
        <w:t xml:space="preserve"> </w:t>
      </w:r>
      <w:r>
        <w:rPr>
          <w:rFonts w:hint="eastAsia"/>
          <w:color w:val="auto"/>
          <w:sz w:val="21"/>
          <w:szCs w:val="21"/>
          <w:highlight w:val="none"/>
        </w:rPr>
        <w:t>名词解释</w:t>
      </w:r>
      <w:r>
        <w:rPr>
          <w:rFonts w:hint="eastAsia"/>
          <w:color w:val="auto"/>
          <w:sz w:val="21"/>
          <w:szCs w:val="21"/>
          <w:highlight w:val="none"/>
          <w:lang w:val="en-US" w:eastAsia="zh-CN"/>
        </w:rPr>
        <w:tab/>
      </w:r>
      <w:r>
        <w:rPr>
          <w:rFonts w:hint="eastAsia"/>
          <w:color w:val="auto"/>
          <w:sz w:val="21"/>
          <w:szCs w:val="21"/>
          <w:highlight w:val="none"/>
          <w:lang w:val="en-US" w:eastAsia="zh-CN"/>
        </w:rPr>
        <w:t>19</w:t>
      </w:r>
    </w:p>
    <w:p>
      <w:pPr>
        <w:pStyle w:val="13"/>
        <w:keepNext w:val="0"/>
        <w:keepLines w:val="0"/>
        <w:pageBreakBefore w:val="0"/>
        <w:tabs>
          <w:tab w:val="right" w:leader="dot" w:pos="8400"/>
        </w:tabs>
        <w:kinsoku/>
        <w:wordWrap/>
        <w:overflowPunct/>
        <w:topLinePunct w:val="0"/>
        <w:autoSpaceDE/>
        <w:autoSpaceDN/>
        <w:bidi w:val="0"/>
        <w:adjustRightInd w:val="0"/>
        <w:snapToGrid w:val="0"/>
        <w:spacing w:before="0" w:line="440" w:lineRule="exact"/>
        <w:jc w:val="left"/>
        <w:textAlignment w:val="auto"/>
        <w:rPr>
          <w:rFonts w:hint="default" w:eastAsia="仿宋" w:cstheme="minorBidi"/>
          <w:color w:val="auto"/>
          <w:sz w:val="21"/>
          <w:szCs w:val="21"/>
          <w:highlight w:val="none"/>
          <w:lang w:val="en-US" w:eastAsia="zh-CN"/>
        </w:rPr>
      </w:pPr>
      <w:r>
        <w:rPr>
          <w:rFonts w:hint="eastAsia"/>
          <w:color w:val="auto"/>
          <w:sz w:val="21"/>
          <w:szCs w:val="21"/>
          <w:highlight w:val="none"/>
        </w:rPr>
        <w:t>第四部分</w:t>
      </w:r>
      <w:r>
        <w:rPr>
          <w:color w:val="auto"/>
          <w:sz w:val="21"/>
          <w:szCs w:val="21"/>
          <w:highlight w:val="none"/>
        </w:rPr>
        <w:t xml:space="preserve"> </w:t>
      </w:r>
      <w:r>
        <w:rPr>
          <w:rFonts w:hint="eastAsia"/>
          <w:color w:val="auto"/>
          <w:sz w:val="21"/>
          <w:szCs w:val="21"/>
          <w:highlight w:val="none"/>
        </w:rPr>
        <w:t>附件</w:t>
      </w:r>
      <w:r>
        <w:rPr>
          <w:rFonts w:hint="eastAsia"/>
          <w:color w:val="auto"/>
          <w:sz w:val="21"/>
          <w:szCs w:val="21"/>
          <w:highlight w:val="none"/>
          <w:lang w:val="en-US" w:eastAsia="zh-CN"/>
        </w:rPr>
        <w:tab/>
      </w:r>
      <w:r>
        <w:rPr>
          <w:rFonts w:hint="eastAsia"/>
          <w:color w:val="auto"/>
          <w:sz w:val="21"/>
          <w:szCs w:val="21"/>
          <w:highlight w:val="none"/>
          <w:lang w:val="en-US" w:eastAsia="zh-CN"/>
        </w:rPr>
        <w:t>24</w:t>
      </w:r>
    </w:p>
    <w:p>
      <w:pPr>
        <w:pStyle w:val="13"/>
        <w:keepNext w:val="0"/>
        <w:keepLines w:val="0"/>
        <w:pageBreakBefore w:val="0"/>
        <w:tabs>
          <w:tab w:val="right" w:leader="dot" w:pos="8400"/>
        </w:tabs>
        <w:kinsoku/>
        <w:wordWrap/>
        <w:overflowPunct/>
        <w:topLinePunct w:val="0"/>
        <w:autoSpaceDE/>
        <w:autoSpaceDN/>
        <w:bidi w:val="0"/>
        <w:adjustRightInd w:val="0"/>
        <w:snapToGrid w:val="0"/>
        <w:spacing w:before="0" w:line="440" w:lineRule="exact"/>
        <w:jc w:val="left"/>
        <w:textAlignment w:val="auto"/>
        <w:rPr>
          <w:rFonts w:hint="default" w:eastAsia="仿宋" w:cstheme="minorBidi"/>
          <w:color w:val="auto"/>
          <w:sz w:val="21"/>
          <w:szCs w:val="21"/>
          <w:highlight w:val="none"/>
          <w:lang w:val="en-US" w:eastAsia="zh-CN"/>
        </w:rPr>
      </w:pPr>
      <w:r>
        <w:rPr>
          <w:rFonts w:hint="eastAsia"/>
          <w:color w:val="auto"/>
          <w:sz w:val="21"/>
          <w:szCs w:val="21"/>
          <w:highlight w:val="none"/>
        </w:rPr>
        <w:t>第五部分</w:t>
      </w:r>
      <w:r>
        <w:rPr>
          <w:color w:val="auto"/>
          <w:sz w:val="21"/>
          <w:szCs w:val="21"/>
          <w:highlight w:val="none"/>
        </w:rPr>
        <w:t xml:space="preserve"> </w:t>
      </w:r>
      <w:r>
        <w:rPr>
          <w:rFonts w:hint="eastAsia"/>
          <w:color w:val="auto"/>
          <w:sz w:val="21"/>
          <w:szCs w:val="21"/>
          <w:highlight w:val="none"/>
        </w:rPr>
        <w:t>附表</w:t>
      </w:r>
      <w:r>
        <w:rPr>
          <w:rFonts w:hint="eastAsia"/>
          <w:color w:val="auto"/>
          <w:sz w:val="21"/>
          <w:szCs w:val="21"/>
          <w:highlight w:val="none"/>
          <w:lang w:val="en-US" w:eastAsia="zh-CN"/>
        </w:rPr>
        <w:tab/>
      </w:r>
      <w:r>
        <w:rPr>
          <w:rFonts w:hint="eastAsia"/>
          <w:color w:val="auto"/>
          <w:sz w:val="21"/>
          <w:szCs w:val="21"/>
          <w:highlight w:val="none"/>
          <w:lang w:val="en-US" w:eastAsia="zh-CN"/>
        </w:rPr>
        <w:t>31</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eastAsia="宋体"/>
          <w:color w:val="auto"/>
          <w:sz w:val="21"/>
          <w:szCs w:val="21"/>
          <w:highlight w:val="none"/>
          <w:lang w:val="en-US" w:eastAsia="zh-CN"/>
        </w:rPr>
      </w:pPr>
      <w:r>
        <w:rPr>
          <w:rFonts w:hint="eastAsia"/>
          <w:color w:val="auto"/>
          <w:sz w:val="21"/>
          <w:szCs w:val="21"/>
          <w:highlight w:val="none"/>
        </w:rPr>
        <w:t>一、收入支出决算总表</w:t>
      </w:r>
      <w:r>
        <w:rPr>
          <w:rFonts w:hint="eastAsia"/>
          <w:color w:val="auto"/>
          <w:sz w:val="21"/>
          <w:szCs w:val="21"/>
          <w:highlight w:val="none"/>
          <w:lang w:val="en-US" w:eastAsia="zh-CN"/>
        </w:rPr>
        <w:tab/>
      </w:r>
      <w:r>
        <w:rPr>
          <w:rFonts w:hint="eastAsia"/>
          <w:color w:val="auto"/>
          <w:sz w:val="21"/>
          <w:szCs w:val="21"/>
          <w:highlight w:val="none"/>
          <w:lang w:val="en-US" w:eastAsia="zh-CN"/>
        </w:rPr>
        <w:t>31</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eastAsia="宋体"/>
          <w:color w:val="auto"/>
          <w:sz w:val="21"/>
          <w:szCs w:val="21"/>
          <w:highlight w:val="none"/>
          <w:lang w:val="en-US" w:eastAsia="zh-CN"/>
        </w:rPr>
      </w:pPr>
      <w:r>
        <w:rPr>
          <w:rFonts w:hint="eastAsia"/>
          <w:color w:val="auto"/>
          <w:sz w:val="21"/>
          <w:szCs w:val="21"/>
          <w:highlight w:val="none"/>
        </w:rPr>
        <w:t>二、收入决算表</w:t>
      </w:r>
      <w:r>
        <w:rPr>
          <w:rFonts w:hint="eastAsia"/>
          <w:color w:val="auto"/>
          <w:sz w:val="21"/>
          <w:szCs w:val="21"/>
          <w:highlight w:val="none"/>
          <w:lang w:val="en-US" w:eastAsia="zh-CN"/>
        </w:rPr>
        <w:tab/>
      </w:r>
      <w:r>
        <w:rPr>
          <w:rFonts w:hint="eastAsia"/>
          <w:color w:val="auto"/>
          <w:sz w:val="21"/>
          <w:szCs w:val="21"/>
          <w:highlight w:val="none"/>
          <w:lang w:val="en-US" w:eastAsia="zh-CN"/>
        </w:rPr>
        <w:t>31</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eastAsia="宋体"/>
          <w:color w:val="auto"/>
          <w:sz w:val="21"/>
          <w:szCs w:val="21"/>
          <w:highlight w:val="none"/>
          <w:lang w:val="en-US" w:eastAsia="zh-CN"/>
        </w:rPr>
      </w:pPr>
      <w:r>
        <w:rPr>
          <w:rFonts w:hint="eastAsia"/>
          <w:color w:val="auto"/>
          <w:sz w:val="21"/>
          <w:szCs w:val="21"/>
          <w:highlight w:val="none"/>
        </w:rPr>
        <w:t>三、支出决算表</w:t>
      </w:r>
      <w:r>
        <w:rPr>
          <w:rFonts w:hint="eastAsia"/>
          <w:color w:val="auto"/>
          <w:sz w:val="21"/>
          <w:szCs w:val="21"/>
          <w:highlight w:val="none"/>
          <w:lang w:val="en-US" w:eastAsia="zh-CN"/>
        </w:rPr>
        <w:tab/>
      </w:r>
      <w:r>
        <w:rPr>
          <w:rFonts w:hint="eastAsia"/>
          <w:color w:val="auto"/>
          <w:sz w:val="21"/>
          <w:szCs w:val="21"/>
          <w:highlight w:val="none"/>
          <w:lang w:val="en-US" w:eastAsia="zh-CN"/>
        </w:rPr>
        <w:t>31</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eastAsia="宋体"/>
          <w:color w:val="auto"/>
          <w:sz w:val="21"/>
          <w:szCs w:val="21"/>
          <w:highlight w:val="none"/>
          <w:lang w:val="en-US" w:eastAsia="zh-CN"/>
        </w:rPr>
      </w:pPr>
      <w:r>
        <w:rPr>
          <w:rFonts w:hint="eastAsia"/>
          <w:color w:val="auto"/>
          <w:sz w:val="21"/>
          <w:szCs w:val="21"/>
          <w:highlight w:val="none"/>
        </w:rPr>
        <w:t>四、财政拨款收入支出决算总表</w:t>
      </w:r>
      <w:r>
        <w:rPr>
          <w:rFonts w:hint="eastAsia"/>
          <w:color w:val="auto"/>
          <w:sz w:val="21"/>
          <w:szCs w:val="21"/>
          <w:highlight w:val="none"/>
          <w:lang w:val="en-US" w:eastAsia="zh-CN"/>
        </w:rPr>
        <w:tab/>
      </w:r>
      <w:r>
        <w:rPr>
          <w:rFonts w:hint="eastAsia"/>
          <w:color w:val="auto"/>
          <w:sz w:val="21"/>
          <w:szCs w:val="21"/>
          <w:highlight w:val="none"/>
          <w:lang w:val="en-US" w:eastAsia="zh-CN"/>
        </w:rPr>
        <w:t>31</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eastAsia="宋体"/>
          <w:color w:val="auto"/>
          <w:sz w:val="21"/>
          <w:szCs w:val="21"/>
          <w:highlight w:val="none"/>
          <w:lang w:val="en-US" w:eastAsia="zh-CN"/>
        </w:rPr>
      </w:pPr>
      <w:r>
        <w:rPr>
          <w:rFonts w:hint="eastAsia"/>
          <w:color w:val="auto"/>
          <w:sz w:val="21"/>
          <w:szCs w:val="21"/>
          <w:highlight w:val="none"/>
        </w:rPr>
        <w:t>五、财政拨款支出决算明细表</w:t>
      </w:r>
      <w:r>
        <w:rPr>
          <w:rFonts w:hint="eastAsia"/>
          <w:color w:val="auto"/>
          <w:sz w:val="21"/>
          <w:szCs w:val="21"/>
          <w:highlight w:val="none"/>
          <w:lang w:val="en-US" w:eastAsia="zh-CN"/>
        </w:rPr>
        <w:tab/>
      </w:r>
      <w:r>
        <w:rPr>
          <w:rFonts w:hint="eastAsia"/>
          <w:color w:val="auto"/>
          <w:sz w:val="21"/>
          <w:szCs w:val="21"/>
          <w:highlight w:val="none"/>
          <w:lang w:val="en-US" w:eastAsia="zh-CN"/>
        </w:rPr>
        <w:t>31</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eastAsia="宋体"/>
          <w:color w:val="auto"/>
          <w:sz w:val="21"/>
          <w:szCs w:val="21"/>
          <w:highlight w:val="none"/>
          <w:lang w:val="en-US" w:eastAsia="zh-CN"/>
        </w:rPr>
      </w:pPr>
      <w:r>
        <w:rPr>
          <w:rFonts w:hint="eastAsia"/>
          <w:color w:val="auto"/>
          <w:sz w:val="21"/>
          <w:szCs w:val="21"/>
          <w:highlight w:val="none"/>
        </w:rPr>
        <w:t>六、一般公共预算财政拨款支出决算表</w:t>
      </w:r>
      <w:r>
        <w:rPr>
          <w:rFonts w:hint="eastAsia"/>
          <w:color w:val="auto"/>
          <w:sz w:val="21"/>
          <w:szCs w:val="21"/>
          <w:highlight w:val="none"/>
          <w:lang w:val="en-US" w:eastAsia="zh-CN"/>
        </w:rPr>
        <w:tab/>
      </w:r>
      <w:r>
        <w:rPr>
          <w:rFonts w:hint="eastAsia"/>
          <w:color w:val="auto"/>
          <w:sz w:val="21"/>
          <w:szCs w:val="21"/>
          <w:highlight w:val="none"/>
          <w:lang w:val="en-US" w:eastAsia="zh-CN"/>
        </w:rPr>
        <w:t>31</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eastAsia="宋体"/>
          <w:color w:val="auto"/>
          <w:sz w:val="21"/>
          <w:szCs w:val="21"/>
          <w:highlight w:val="none"/>
          <w:lang w:val="en-US" w:eastAsia="zh-CN"/>
        </w:rPr>
      </w:pPr>
      <w:r>
        <w:rPr>
          <w:rFonts w:hint="eastAsia"/>
          <w:color w:val="auto"/>
          <w:sz w:val="21"/>
          <w:szCs w:val="21"/>
          <w:highlight w:val="none"/>
        </w:rPr>
        <w:t>七、一般公共预算财政拨款支出决算明细表</w:t>
      </w:r>
      <w:r>
        <w:rPr>
          <w:rFonts w:hint="eastAsia"/>
          <w:color w:val="auto"/>
          <w:sz w:val="21"/>
          <w:szCs w:val="21"/>
          <w:highlight w:val="none"/>
          <w:lang w:val="en-US" w:eastAsia="zh-CN"/>
        </w:rPr>
        <w:tab/>
      </w:r>
      <w:r>
        <w:rPr>
          <w:rFonts w:hint="eastAsia"/>
          <w:color w:val="auto"/>
          <w:sz w:val="21"/>
          <w:szCs w:val="21"/>
          <w:highlight w:val="none"/>
          <w:lang w:val="en-US" w:eastAsia="zh-CN"/>
        </w:rPr>
        <w:t>31</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eastAsia="宋体"/>
          <w:color w:val="auto"/>
          <w:sz w:val="21"/>
          <w:szCs w:val="21"/>
          <w:highlight w:val="none"/>
          <w:lang w:val="en-US" w:eastAsia="zh-CN"/>
        </w:rPr>
      </w:pPr>
      <w:r>
        <w:rPr>
          <w:rFonts w:hint="eastAsia"/>
          <w:color w:val="auto"/>
          <w:sz w:val="21"/>
          <w:szCs w:val="21"/>
          <w:highlight w:val="none"/>
        </w:rPr>
        <w:t>八、一般公共预算财政拨款基本支出决算</w:t>
      </w:r>
      <w:r>
        <w:rPr>
          <w:rFonts w:hint="eastAsia"/>
          <w:color w:val="auto"/>
          <w:sz w:val="21"/>
          <w:szCs w:val="21"/>
          <w:highlight w:val="none"/>
          <w:lang w:eastAsia="zh-CN"/>
        </w:rPr>
        <w:t>明细</w:t>
      </w:r>
      <w:r>
        <w:rPr>
          <w:rFonts w:hint="eastAsia"/>
          <w:color w:val="auto"/>
          <w:sz w:val="21"/>
          <w:szCs w:val="21"/>
          <w:highlight w:val="none"/>
        </w:rPr>
        <w:t>表</w:t>
      </w:r>
      <w:r>
        <w:rPr>
          <w:rFonts w:hint="eastAsia"/>
          <w:color w:val="auto"/>
          <w:sz w:val="21"/>
          <w:szCs w:val="21"/>
          <w:highlight w:val="none"/>
          <w:lang w:val="en-US" w:eastAsia="zh-CN"/>
        </w:rPr>
        <w:tab/>
      </w:r>
      <w:r>
        <w:rPr>
          <w:rFonts w:hint="eastAsia"/>
          <w:color w:val="auto"/>
          <w:sz w:val="21"/>
          <w:szCs w:val="21"/>
          <w:highlight w:val="none"/>
          <w:lang w:val="en-US" w:eastAsia="zh-CN"/>
        </w:rPr>
        <w:t>31</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eastAsia="宋体"/>
          <w:color w:val="auto"/>
          <w:sz w:val="21"/>
          <w:szCs w:val="21"/>
          <w:highlight w:val="none"/>
          <w:lang w:val="en-US" w:eastAsia="zh-CN"/>
        </w:rPr>
      </w:pPr>
      <w:r>
        <w:rPr>
          <w:rFonts w:hint="eastAsia"/>
          <w:color w:val="auto"/>
          <w:sz w:val="21"/>
          <w:szCs w:val="21"/>
          <w:highlight w:val="none"/>
        </w:rPr>
        <w:t>九、一般公共预算财政拨款项目支出决算表</w:t>
      </w:r>
      <w:r>
        <w:rPr>
          <w:rFonts w:hint="eastAsia"/>
          <w:color w:val="auto"/>
          <w:sz w:val="21"/>
          <w:szCs w:val="21"/>
          <w:highlight w:val="none"/>
          <w:lang w:val="en-US" w:eastAsia="zh-CN"/>
        </w:rPr>
        <w:tab/>
      </w:r>
      <w:r>
        <w:rPr>
          <w:rFonts w:hint="eastAsia"/>
          <w:color w:val="auto"/>
          <w:sz w:val="21"/>
          <w:szCs w:val="21"/>
          <w:highlight w:val="none"/>
          <w:lang w:val="en-US" w:eastAsia="zh-CN"/>
        </w:rPr>
        <w:t>31</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eastAsia="宋体"/>
          <w:color w:val="auto"/>
          <w:sz w:val="21"/>
          <w:szCs w:val="21"/>
          <w:highlight w:val="none"/>
          <w:lang w:val="en-US" w:eastAsia="zh-CN"/>
        </w:rPr>
      </w:pPr>
      <w:r>
        <w:rPr>
          <w:rFonts w:hint="eastAsia"/>
          <w:color w:val="auto"/>
          <w:sz w:val="21"/>
          <w:szCs w:val="21"/>
          <w:highlight w:val="none"/>
        </w:rPr>
        <w:t>十、政府性基金预算财政拨款收入支出决算表</w:t>
      </w:r>
      <w:r>
        <w:rPr>
          <w:rFonts w:hint="eastAsia"/>
          <w:color w:val="auto"/>
          <w:sz w:val="21"/>
          <w:szCs w:val="21"/>
          <w:highlight w:val="none"/>
          <w:lang w:val="en-US" w:eastAsia="zh-CN"/>
        </w:rPr>
        <w:tab/>
      </w:r>
      <w:r>
        <w:rPr>
          <w:rFonts w:hint="eastAsia"/>
          <w:color w:val="auto"/>
          <w:sz w:val="21"/>
          <w:szCs w:val="21"/>
          <w:highlight w:val="none"/>
          <w:lang w:val="en-US" w:eastAsia="zh-CN"/>
        </w:rPr>
        <w:t>32</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default" w:eastAsia="宋体"/>
          <w:color w:val="auto"/>
          <w:sz w:val="21"/>
          <w:szCs w:val="21"/>
          <w:highlight w:val="none"/>
          <w:lang w:val="en-US" w:eastAsia="zh-CN"/>
        </w:rPr>
      </w:pPr>
      <w:r>
        <w:rPr>
          <w:rFonts w:hint="eastAsia"/>
          <w:color w:val="auto"/>
          <w:sz w:val="21"/>
          <w:szCs w:val="21"/>
          <w:highlight w:val="none"/>
        </w:rPr>
        <w:t>十一、国有资本经营预算财政拨款收入支出决算表</w:t>
      </w:r>
      <w:r>
        <w:rPr>
          <w:rFonts w:hint="eastAsia"/>
          <w:color w:val="auto"/>
          <w:sz w:val="21"/>
          <w:szCs w:val="21"/>
          <w:highlight w:val="none"/>
          <w:lang w:val="en-US" w:eastAsia="zh-CN"/>
        </w:rPr>
        <w:tab/>
      </w:r>
      <w:r>
        <w:rPr>
          <w:rFonts w:hint="eastAsia"/>
          <w:color w:val="auto"/>
          <w:sz w:val="21"/>
          <w:szCs w:val="21"/>
          <w:highlight w:val="none"/>
          <w:lang w:val="en-US" w:eastAsia="zh-CN"/>
        </w:rPr>
        <w:t>31</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ind w:left="0" w:leftChars="0" w:firstLine="420" w:firstLineChars="200"/>
        <w:jc w:val="left"/>
        <w:textAlignment w:val="auto"/>
        <w:rPr>
          <w:rFonts w:hint="eastAsia"/>
          <w:color w:val="auto"/>
          <w:sz w:val="21"/>
          <w:szCs w:val="21"/>
          <w:highlight w:val="none"/>
        </w:rPr>
      </w:pPr>
      <w:r>
        <w:rPr>
          <w:rFonts w:hint="eastAsia"/>
          <w:color w:val="auto"/>
          <w:sz w:val="21"/>
          <w:szCs w:val="21"/>
          <w:highlight w:val="none"/>
        </w:rPr>
        <w:t>十二、</w:t>
      </w:r>
      <w:r>
        <w:rPr>
          <w:rFonts w:hint="eastAsia"/>
          <w:color w:val="auto"/>
          <w:sz w:val="21"/>
          <w:szCs w:val="21"/>
          <w:highlight w:val="none"/>
          <w:lang w:val="en-US" w:eastAsia="zh-CN"/>
        </w:rPr>
        <w:t>国有资本经营预算财政拨款支出决算表</w:t>
      </w:r>
      <w:r>
        <w:rPr>
          <w:rFonts w:hint="eastAsia"/>
          <w:color w:val="auto"/>
          <w:sz w:val="21"/>
          <w:szCs w:val="21"/>
          <w:highlight w:val="none"/>
          <w:lang w:val="en-US" w:eastAsia="zh-CN"/>
        </w:rPr>
        <w:tab/>
      </w:r>
      <w:r>
        <w:rPr>
          <w:rFonts w:hint="eastAsia"/>
          <w:color w:val="auto"/>
          <w:sz w:val="21"/>
          <w:szCs w:val="21"/>
          <w:highlight w:val="none"/>
          <w:lang w:val="en-US" w:eastAsia="zh-CN"/>
        </w:rPr>
        <w:t>31</w:t>
      </w:r>
    </w:p>
    <w:p>
      <w:pPr>
        <w:pStyle w:val="15"/>
        <w:keepNext w:val="0"/>
        <w:keepLines w:val="0"/>
        <w:pageBreakBefore w:val="0"/>
        <w:tabs>
          <w:tab w:val="right" w:leader="dot" w:pos="8400"/>
        </w:tabs>
        <w:kinsoku/>
        <w:wordWrap/>
        <w:overflowPunct/>
        <w:topLinePunct w:val="0"/>
        <w:autoSpaceDE/>
        <w:autoSpaceDN/>
        <w:bidi w:val="0"/>
        <w:adjustRightInd w:val="0"/>
        <w:snapToGrid w:val="0"/>
        <w:spacing w:line="440" w:lineRule="exact"/>
        <w:jc w:val="left"/>
        <w:textAlignment w:val="auto"/>
        <w:rPr>
          <w:rFonts w:hint="eastAsia"/>
          <w:color w:val="auto"/>
          <w:sz w:val="21"/>
          <w:szCs w:val="21"/>
          <w:highlight w:val="none"/>
        </w:rPr>
      </w:pPr>
      <w:r>
        <w:rPr>
          <w:rFonts w:hint="eastAsia"/>
          <w:color w:val="auto"/>
          <w:sz w:val="21"/>
          <w:szCs w:val="21"/>
          <w:highlight w:val="none"/>
        </w:rPr>
        <w:t>十三、财政拨款“三公”经费支出决算表</w:t>
      </w:r>
      <w:r>
        <w:rPr>
          <w:rFonts w:hint="eastAsia"/>
          <w:color w:val="auto"/>
          <w:sz w:val="21"/>
          <w:szCs w:val="21"/>
          <w:highlight w:val="none"/>
          <w:lang w:val="en-US" w:eastAsia="zh-CN"/>
        </w:rPr>
        <w:tab/>
      </w:r>
      <w:r>
        <w:rPr>
          <w:rFonts w:hint="eastAsia"/>
          <w:color w:val="auto"/>
          <w:sz w:val="21"/>
          <w:szCs w:val="21"/>
          <w:highlight w:val="none"/>
          <w:lang w:val="en-US" w:eastAsia="zh-CN"/>
        </w:rPr>
        <w:t>31</w:t>
      </w:r>
    </w:p>
    <w:p>
      <w:pPr>
        <w:keepNext w:val="0"/>
        <w:keepLines w:val="0"/>
        <w:pageBreakBefore w:val="0"/>
        <w:widowControl/>
        <w:tabs>
          <w:tab w:val="right" w:leader="dot" w:pos="8296"/>
          <w:tab w:val="right" w:leader="dot" w:pos="8400"/>
        </w:tabs>
        <w:kinsoku/>
        <w:wordWrap/>
        <w:overflowPunct/>
        <w:topLinePunct w:val="0"/>
        <w:autoSpaceDE/>
        <w:autoSpaceDN/>
        <w:bidi w:val="0"/>
        <w:spacing w:line="440" w:lineRule="exact"/>
        <w:jc w:val="left"/>
        <w:textAlignment w:val="auto"/>
        <w:rPr>
          <w:rFonts w:ascii="仿宋" w:hAnsi="仿宋" w:eastAsia="仿宋"/>
          <w:bCs/>
          <w:color w:val="auto"/>
          <w:kern w:val="44"/>
          <w:sz w:val="24"/>
          <w:highlight w:val="none"/>
        </w:rPr>
      </w:pPr>
      <w:bookmarkStart w:id="12" w:name="_Toc15396599"/>
      <w:bookmarkStart w:id="13" w:name="_Toc15377196"/>
      <w:r>
        <w:rPr>
          <w:rFonts w:ascii="仿宋" w:hAnsi="仿宋" w:eastAsia="仿宋"/>
          <w:b/>
          <w:color w:val="auto"/>
          <w:sz w:val="24"/>
          <w:highlight w:val="none"/>
        </w:rPr>
        <w:br w:type="page"/>
      </w:r>
    </w:p>
    <w:p>
      <w:pPr>
        <w:pStyle w:val="4"/>
        <w:jc w:val="center"/>
        <w:rPr>
          <w:rFonts w:ascii="黑体" w:eastAsia="黑体"/>
          <w:color w:val="auto"/>
          <w:sz w:val="32"/>
          <w:szCs w:val="32"/>
          <w:highlight w:val="none"/>
        </w:rPr>
      </w:pPr>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28"/>
          <w:rFonts w:hint="eastAsia" w:ascii="黑体" w:hAnsi="黑体" w:eastAsia="黑体"/>
          <w:b w:val="0"/>
          <w:bCs w:val="0"/>
          <w:color w:val="auto"/>
          <w:highlight w:val="none"/>
        </w:rPr>
        <w:t>概况</w:t>
      </w:r>
      <w:bookmarkEnd w:id="12"/>
      <w:bookmarkEnd w:id="13"/>
    </w:p>
    <w:p>
      <w:pPr>
        <w:pStyle w:val="5"/>
        <w:numPr>
          <w:ilvl w:val="0"/>
          <w:numId w:val="1"/>
        </w:numPr>
        <w:ind w:left="210" w:leftChars="0" w:firstLineChars="0"/>
        <w:rPr>
          <w:rFonts w:hint="eastAsia" w:ascii="仿宋" w:hAnsi="仿宋" w:eastAsia="仿宋"/>
          <w:color w:val="auto"/>
          <w:sz w:val="32"/>
          <w:szCs w:val="32"/>
          <w:highlight w:val="none"/>
          <w:lang w:eastAsia="zh-CN"/>
        </w:rPr>
      </w:pPr>
      <w:bookmarkStart w:id="14" w:name="_Toc15396600"/>
      <w:bookmarkStart w:id="15" w:name="_Toc15377197"/>
      <w:r>
        <w:rPr>
          <w:rStyle w:val="29"/>
          <w:rFonts w:hint="eastAsia" w:ascii="黑体" w:hAnsi="黑体" w:eastAsia="黑体"/>
          <w:b w:val="0"/>
          <w:bCs w:val="0"/>
          <w:color w:val="auto"/>
          <w:highlight w:val="none"/>
          <w:lang w:eastAsia="zh-CN"/>
        </w:rPr>
        <w:t>主要职责</w:t>
      </w:r>
    </w:p>
    <w:p>
      <w:pPr>
        <w:pStyle w:val="5"/>
        <w:numPr>
          <w:ilvl w:val="0"/>
          <w:numId w:val="2"/>
        </w:numPr>
        <w:ind w:firstLine="640" w:firstLineChars="200"/>
        <w:rPr>
          <w:rFonts w:hint="eastAsia" w:ascii="仿宋" w:hAnsi="仿宋" w:eastAsia="仿宋"/>
          <w:b w:val="0"/>
          <w:bCs w:val="0"/>
          <w:color w:val="auto"/>
          <w:sz w:val="32"/>
          <w:szCs w:val="32"/>
          <w:highlight w:val="none"/>
          <w:lang w:eastAsia="zh-CN"/>
        </w:rPr>
      </w:pPr>
      <w:r>
        <w:rPr>
          <w:rFonts w:hint="eastAsia" w:ascii="仿宋" w:hAnsi="仿宋" w:eastAsia="仿宋"/>
          <w:b w:val="0"/>
          <w:bCs w:val="0"/>
          <w:color w:val="auto"/>
          <w:sz w:val="32"/>
          <w:szCs w:val="32"/>
          <w:highlight w:val="none"/>
          <w:lang w:eastAsia="zh-CN"/>
        </w:rPr>
        <w:t>主要职能</w:t>
      </w:r>
    </w:p>
    <w:p>
      <w:pPr>
        <w:pStyle w:val="5"/>
        <w:numPr>
          <w:ilvl w:val="0"/>
          <w:numId w:val="0"/>
        </w:numPr>
        <w:ind w:firstLine="960" w:firstLineChars="300"/>
        <w:rPr>
          <w:rFonts w:hint="eastAsia" w:ascii="仿宋" w:hAnsi="仿宋" w:eastAsia="仿宋"/>
          <w:b w:val="0"/>
          <w:bCs w:val="0"/>
          <w:color w:val="auto"/>
          <w:sz w:val="32"/>
          <w:szCs w:val="32"/>
          <w:highlight w:val="none"/>
          <w:lang w:eastAsia="zh-CN"/>
        </w:rPr>
      </w:pPr>
      <w:r>
        <w:rPr>
          <w:rFonts w:hint="eastAsia" w:ascii="仿宋" w:hAnsi="仿宋" w:eastAsia="仿宋"/>
          <w:b w:val="0"/>
          <w:bCs w:val="0"/>
          <w:color w:val="auto"/>
          <w:sz w:val="32"/>
          <w:szCs w:val="32"/>
          <w:highlight w:val="none"/>
          <w:lang w:eastAsia="zh-CN"/>
        </w:rPr>
        <w:t>负责辖区内企业服务、安全生产、信访维稳、房屋征收与补偿、计划生育、民政、劳动就业、社会保障、环境卫生等工作。</w:t>
      </w:r>
    </w:p>
    <w:p>
      <w:pPr>
        <w:pStyle w:val="5"/>
        <w:numPr>
          <w:ilvl w:val="0"/>
          <w:numId w:val="0"/>
        </w:numPr>
        <w:ind w:firstLine="960" w:firstLineChars="300"/>
        <w:rPr>
          <w:rFonts w:hint="eastAsia" w:ascii="仿宋" w:hAnsi="仿宋" w:eastAsia="仿宋"/>
          <w:b w:val="0"/>
          <w:bCs w:val="0"/>
          <w:color w:val="auto"/>
          <w:sz w:val="32"/>
          <w:szCs w:val="32"/>
          <w:highlight w:val="none"/>
          <w:lang w:eastAsia="zh-CN"/>
        </w:rPr>
      </w:pPr>
      <w:r>
        <w:rPr>
          <w:rFonts w:hint="eastAsia" w:ascii="仿宋" w:hAnsi="仿宋" w:eastAsia="仿宋"/>
          <w:b w:val="0"/>
          <w:bCs w:val="0"/>
          <w:color w:val="auto"/>
          <w:sz w:val="32"/>
          <w:szCs w:val="32"/>
          <w:highlight w:val="none"/>
          <w:lang w:eastAsia="zh-CN"/>
        </w:rPr>
        <w:t>（二）20</w:t>
      </w:r>
      <w:r>
        <w:rPr>
          <w:rFonts w:hint="eastAsia" w:ascii="仿宋" w:hAnsi="仿宋" w:eastAsia="仿宋"/>
          <w:b w:val="0"/>
          <w:bCs w:val="0"/>
          <w:color w:val="auto"/>
          <w:sz w:val="32"/>
          <w:szCs w:val="32"/>
          <w:highlight w:val="none"/>
          <w:lang w:val="en-US" w:eastAsia="zh-CN"/>
        </w:rPr>
        <w:t>22</w:t>
      </w:r>
      <w:r>
        <w:rPr>
          <w:rFonts w:hint="eastAsia" w:ascii="仿宋" w:hAnsi="仿宋" w:eastAsia="仿宋"/>
          <w:b w:val="0"/>
          <w:bCs w:val="0"/>
          <w:color w:val="auto"/>
          <w:sz w:val="32"/>
          <w:szCs w:val="32"/>
          <w:highlight w:val="none"/>
          <w:lang w:eastAsia="zh-CN"/>
        </w:rPr>
        <w:t>年重点工作</w:t>
      </w:r>
    </w:p>
    <w:p>
      <w:pPr>
        <w:spacing w:line="600" w:lineRule="exact"/>
        <w:ind w:firstLine="960" w:firstLineChars="3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val="en-US" w:eastAsia="zh-CN"/>
        </w:rPr>
        <w:t>2022年</w:t>
      </w:r>
      <w:r>
        <w:rPr>
          <w:rFonts w:hint="eastAsia" w:ascii="仿宋" w:hAnsi="仿宋" w:eastAsia="仿宋"/>
          <w:color w:val="auto"/>
          <w:sz w:val="32"/>
          <w:szCs w:val="32"/>
          <w:highlight w:val="none"/>
          <w:lang w:eastAsia="zh-CN"/>
        </w:rPr>
        <w:t>，袁家坝街道党工委、办事处坚定以习近平新时代中国特色社会主义思想为指导，坚决贯彻落实中央、省、市、区各项决策部署，坚持新发展理念，在常态化疫情防控中扎实做好“六稳”工作，全面落实“六保”任务，紧扣打赢“三大攻坚战”的整体目标，凝心聚力、开拓奋进，稳步推动各项工作。</w:t>
      </w:r>
    </w:p>
    <w:p>
      <w:pPr>
        <w:spacing w:line="600" w:lineRule="exact"/>
        <w:ind w:firstLine="640" w:firstLineChars="200"/>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一是全力以赴做好新冠肺炎疫情防控。压实工作责任。成立了疫情防控工作领导小组，研究制定了疫情防控工作方案，实行网格化管理、日上报制度，加强宣传引导。组织各村（社区）充分利用微信群、村局委居委公示栏、LED屏、广播等方式，广泛宣传疫情防控知识。建立疫情监测防线。坚决落实属地管理责任，全面启动村（社区）防控工作。</w:t>
      </w:r>
    </w:p>
    <w:p>
      <w:pPr>
        <w:spacing w:line="600" w:lineRule="exact"/>
        <w:ind w:firstLine="640" w:firstLineChars="200"/>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二是全力以赴防范化解社会重大风险。加强矛盾纠纷化解。加强综治维稳力度。成立综治工作领导小组，</w:t>
      </w:r>
      <w:r>
        <w:rPr>
          <w:rFonts w:hint="eastAsia" w:ascii="仿宋" w:hAnsi="仿宋" w:eastAsia="仿宋"/>
          <w:color w:val="auto"/>
          <w:sz w:val="32"/>
          <w:szCs w:val="32"/>
          <w:highlight w:val="none"/>
          <w:lang w:eastAsia="zh-CN"/>
        </w:rPr>
        <w:t>落实包片、分线、分段责任，重点时段落实重点举措，重点节点实行全员动员，</w:t>
      </w:r>
      <w:r>
        <w:rPr>
          <w:rFonts w:hint="eastAsia" w:ascii="仿宋" w:hAnsi="仿宋" w:eastAsia="仿宋"/>
          <w:color w:val="auto"/>
          <w:sz w:val="32"/>
          <w:szCs w:val="32"/>
          <w:highlight w:val="none"/>
          <w:lang w:val="en-US" w:eastAsia="zh-CN"/>
        </w:rPr>
        <w:t>深入推进护林防火，排查整改隐患</w:t>
      </w:r>
    </w:p>
    <w:p>
      <w:pPr>
        <w:spacing w:line="600" w:lineRule="exact"/>
        <w:ind w:firstLine="640" w:firstLineChars="200"/>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三是全力以赴抓实项目投资。强力推进征地拆迁。</w:t>
      </w:r>
    </w:p>
    <w:p>
      <w:pPr>
        <w:spacing w:line="600" w:lineRule="exact"/>
        <w:ind w:firstLine="640" w:firstLineChars="200"/>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eastAsia="zh-CN"/>
        </w:rPr>
        <w:t>四是全力以赴夯实产业基础。加强企业服务。实行班子成员挂联项目、企业制度，每周至少到场一次，明确自身的服务员、协调员、护航员职责定位，推动问题整改落实</w:t>
      </w:r>
      <w:r>
        <w:rPr>
          <w:rFonts w:hint="eastAsia" w:ascii="仿宋" w:hAnsi="仿宋" w:eastAsia="仿宋"/>
          <w:color w:val="auto"/>
          <w:sz w:val="32"/>
          <w:szCs w:val="32"/>
          <w:highlight w:val="none"/>
          <w:lang w:val="en-US" w:eastAsia="zh-CN"/>
        </w:rPr>
        <w:t>8</w:t>
      </w:r>
      <w:r>
        <w:rPr>
          <w:rFonts w:hint="eastAsia" w:ascii="仿宋" w:hAnsi="仿宋" w:eastAsia="仿宋"/>
          <w:color w:val="auto"/>
          <w:sz w:val="32"/>
          <w:szCs w:val="32"/>
          <w:highlight w:val="none"/>
          <w:lang w:eastAsia="zh-CN"/>
        </w:rPr>
        <w:t>个。对辖区所有人员技能、务工需求等情况进行统计，及时与企业沟通对接，配合举办各类招聘会</w:t>
      </w:r>
      <w:r>
        <w:rPr>
          <w:rFonts w:hint="eastAsia" w:ascii="仿宋" w:hAnsi="仿宋" w:eastAsia="仿宋"/>
          <w:color w:val="auto"/>
          <w:sz w:val="32"/>
          <w:szCs w:val="32"/>
          <w:highlight w:val="none"/>
          <w:lang w:val="en-US" w:eastAsia="zh-CN"/>
        </w:rPr>
        <w:t>3</w:t>
      </w:r>
      <w:r>
        <w:rPr>
          <w:rFonts w:hint="eastAsia" w:ascii="仿宋" w:hAnsi="仿宋" w:eastAsia="仿宋"/>
          <w:color w:val="auto"/>
          <w:sz w:val="32"/>
          <w:szCs w:val="32"/>
          <w:highlight w:val="none"/>
          <w:lang w:eastAsia="zh-CN"/>
        </w:rPr>
        <w:t>场次。加强产业发展。</w:t>
      </w:r>
      <w:r>
        <w:rPr>
          <w:rFonts w:hint="eastAsia" w:ascii="仿宋" w:hAnsi="仿宋" w:eastAsia="仿宋"/>
          <w:color w:val="auto"/>
          <w:sz w:val="32"/>
          <w:szCs w:val="32"/>
          <w:highlight w:val="none"/>
          <w:lang w:val="en-US" w:eastAsia="zh-CN"/>
        </w:rPr>
        <w:t xml:space="preserve">                           </w:t>
      </w:r>
      <w:r>
        <w:rPr>
          <w:rFonts w:hint="eastAsia" w:ascii="仿宋" w:hAnsi="仿宋" w:eastAsia="仿宋"/>
          <w:color w:val="auto"/>
          <w:sz w:val="32"/>
          <w:szCs w:val="32"/>
          <w:highlight w:val="none"/>
          <w:lang w:eastAsia="zh-CN"/>
        </w:rPr>
        <w:t>五是全力以赴抓实污染防治。</w:t>
      </w:r>
      <w:r>
        <w:rPr>
          <w:rFonts w:hint="eastAsia" w:ascii="仿宋" w:hAnsi="仿宋" w:eastAsia="仿宋"/>
          <w:color w:val="auto"/>
          <w:sz w:val="32"/>
          <w:szCs w:val="32"/>
          <w:highlight w:val="none"/>
          <w:lang w:val="en-US" w:eastAsia="zh-CN"/>
        </w:rPr>
        <w:t>落实常态化举措，全力以赴打好蓝天保卫战，严格落实大气污染防治工作“一长三员”职责，加强问题整改。结合环保督察“回头看”，农村人居环境综合治理，“散乱污”专项整治和秸秆禁烧等工作，做好“河（库）长制”工作，落实每月3次以上巡河制度。</w:t>
      </w:r>
    </w:p>
    <w:p>
      <w:pPr>
        <w:spacing w:line="600" w:lineRule="exact"/>
        <w:ind w:firstLine="640" w:firstLineChars="200"/>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六是全力以赴保障改善民生。全面落实十大救助政策，城乡居保参保实现应保尽保，加强非洲猪瘟防疫防控，配合区动物防疫部门在春季对辖区生猪、畜禽、狗等进行了预防针注射，开展圈舍定期消毒等防疫防控工作</w:t>
      </w:r>
      <w:r>
        <w:rPr>
          <w:rFonts w:hint="eastAsia" w:ascii="仿宋" w:hAnsi="仿宋" w:eastAsia="仿宋"/>
          <w:color w:val="auto"/>
          <w:sz w:val="32"/>
          <w:szCs w:val="32"/>
          <w:highlight w:val="none"/>
          <w:lang w:eastAsia="zh-CN"/>
        </w:rPr>
        <w:t>。</w:t>
      </w:r>
    </w:p>
    <w:p>
      <w:pPr>
        <w:spacing w:line="600" w:lineRule="exact"/>
        <w:ind w:firstLine="640" w:firstLineChars="200"/>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七是全力以赴推动城乡基层治理。推进村级建制调整改革。推动美丽宜居乡村建设。努力建设建设村容整洁、规范有序、环境优美的美丽宜居乡村。</w:t>
      </w:r>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val="en-US" w:eastAsia="zh-CN"/>
        </w:rPr>
        <w:t>八是全力以赴推动全面从严治党。</w:t>
      </w:r>
      <w:r>
        <w:rPr>
          <w:rFonts w:hint="eastAsia" w:ascii="仿宋" w:hAnsi="仿宋" w:eastAsia="仿宋"/>
          <w:color w:val="auto"/>
          <w:sz w:val="32"/>
          <w:szCs w:val="32"/>
          <w:highlight w:val="none"/>
          <w:lang w:eastAsia="zh-CN"/>
        </w:rPr>
        <w:t>着力提高政治站位。始终把党的政治建设摆在第一位，增强“四个意识”，坚定“四个自信”，做到“两个维护”。着力强化问题整改。加强后备力量培养。</w:t>
      </w:r>
    </w:p>
    <w:p>
      <w:pPr>
        <w:spacing w:line="600" w:lineRule="exact"/>
        <w:ind w:firstLine="640" w:firstLineChars="200"/>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二、机构设置</w:t>
      </w:r>
    </w:p>
    <w:bookmarkEnd w:id="14"/>
    <w:bookmarkEnd w:id="15"/>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袁家坝街道办事处下辖</w:t>
      </w:r>
      <w:r>
        <w:rPr>
          <w:rFonts w:hint="eastAsia" w:ascii="仿宋" w:hAnsi="仿宋" w:eastAsia="仿宋"/>
          <w:color w:val="auto"/>
          <w:sz w:val="32"/>
          <w:szCs w:val="32"/>
          <w:highlight w:val="none"/>
          <w:lang w:val="en-US" w:eastAsia="zh-CN"/>
        </w:rPr>
        <w:t>2</w:t>
      </w:r>
      <w:r>
        <w:rPr>
          <w:rFonts w:hint="eastAsia" w:ascii="仿宋" w:hAnsi="仿宋" w:eastAsia="仿宋"/>
          <w:color w:val="auto"/>
          <w:sz w:val="32"/>
          <w:szCs w:val="32"/>
          <w:highlight w:val="none"/>
          <w:lang w:eastAsia="zh-CN"/>
        </w:rPr>
        <w:t>个行政村（上石村、覃家梁村）</w:t>
      </w:r>
      <w:r>
        <w:rPr>
          <w:rFonts w:hint="eastAsia" w:ascii="仿宋" w:hAnsi="仿宋" w:eastAsia="仿宋"/>
          <w:color w:val="auto"/>
          <w:sz w:val="32"/>
          <w:szCs w:val="32"/>
          <w:highlight w:val="none"/>
          <w:lang w:val="en-US" w:eastAsia="zh-CN"/>
        </w:rPr>
        <w:t>3</w:t>
      </w:r>
      <w:r>
        <w:rPr>
          <w:rFonts w:hint="eastAsia" w:ascii="仿宋" w:hAnsi="仿宋" w:eastAsia="仿宋"/>
          <w:color w:val="auto"/>
          <w:sz w:val="32"/>
          <w:szCs w:val="32"/>
          <w:highlight w:val="none"/>
          <w:lang w:eastAsia="zh-CN"/>
        </w:rPr>
        <w:t>个社区（嘉陵社区、惠家沟社区、石盘社区）。实际财政供养总人数</w:t>
      </w:r>
      <w:r>
        <w:rPr>
          <w:rFonts w:hint="eastAsia" w:ascii="仿宋" w:hAnsi="仿宋" w:eastAsia="仿宋"/>
          <w:color w:val="auto"/>
          <w:sz w:val="32"/>
          <w:szCs w:val="32"/>
          <w:highlight w:val="none"/>
          <w:lang w:val="en-US" w:eastAsia="zh-CN"/>
        </w:rPr>
        <w:t>28</w:t>
      </w:r>
      <w:r>
        <w:rPr>
          <w:rFonts w:hint="eastAsia" w:ascii="仿宋" w:hAnsi="仿宋" w:eastAsia="仿宋"/>
          <w:color w:val="auto"/>
          <w:sz w:val="32"/>
          <w:szCs w:val="32"/>
          <w:highlight w:val="none"/>
          <w:lang w:eastAsia="zh-CN"/>
        </w:rPr>
        <w:t>人，其中：在职正式人员</w:t>
      </w:r>
      <w:r>
        <w:rPr>
          <w:rFonts w:hint="eastAsia" w:ascii="仿宋" w:hAnsi="仿宋" w:eastAsia="仿宋"/>
          <w:color w:val="auto"/>
          <w:sz w:val="32"/>
          <w:szCs w:val="32"/>
          <w:highlight w:val="none"/>
          <w:lang w:val="en-US" w:eastAsia="zh-CN"/>
        </w:rPr>
        <w:t>14</w:t>
      </w:r>
      <w:r>
        <w:rPr>
          <w:rFonts w:hint="eastAsia" w:ascii="仿宋" w:hAnsi="仿宋" w:eastAsia="仿宋"/>
          <w:color w:val="auto"/>
          <w:sz w:val="32"/>
          <w:szCs w:val="32"/>
          <w:highlight w:val="none"/>
          <w:lang w:eastAsia="zh-CN"/>
        </w:rPr>
        <w:t>名，聘用人员</w:t>
      </w:r>
      <w:r>
        <w:rPr>
          <w:rFonts w:hint="eastAsia" w:ascii="仿宋" w:hAnsi="仿宋" w:eastAsia="仿宋"/>
          <w:color w:val="auto"/>
          <w:sz w:val="32"/>
          <w:szCs w:val="32"/>
          <w:highlight w:val="none"/>
          <w:lang w:val="en-US" w:eastAsia="zh-CN"/>
        </w:rPr>
        <w:t>15</w:t>
      </w:r>
      <w:r>
        <w:rPr>
          <w:rFonts w:hint="eastAsia" w:ascii="仿宋" w:hAnsi="仿宋" w:eastAsia="仿宋"/>
          <w:color w:val="auto"/>
          <w:sz w:val="32"/>
          <w:szCs w:val="32"/>
          <w:highlight w:val="none"/>
          <w:lang w:eastAsia="zh-CN"/>
        </w:rPr>
        <w:t>名。</w:t>
      </w:r>
    </w:p>
    <w:p>
      <w:pPr>
        <w:ind w:firstLine="640" w:firstLineChars="200"/>
        <w:rPr>
          <w:rFonts w:hint="eastAsia" w:ascii="Times New Roman" w:hAnsi="楷体_GB2312" w:cs="楷体_GB2312"/>
          <w:color w:val="000000"/>
          <w:sz w:val="32"/>
          <w:szCs w:val="32"/>
          <w:lang w:eastAsia="zh-CN"/>
        </w:rPr>
      </w:pPr>
      <w:r>
        <w:rPr>
          <w:rFonts w:hint="eastAsia" w:ascii="Times New Roman" w:hAnsi="楷体_GB2312" w:cs="楷体_GB2312"/>
          <w:color w:val="000000"/>
          <w:sz w:val="32"/>
          <w:szCs w:val="32"/>
          <w:lang w:eastAsia="zh-CN"/>
        </w:rPr>
        <w:br w:type="page"/>
      </w:r>
    </w:p>
    <w:p>
      <w:pPr>
        <w:pStyle w:val="4"/>
        <w:ind w:right="440"/>
        <w:jc w:val="center"/>
        <w:rPr>
          <w:color w:val="auto"/>
          <w:highlight w:val="none"/>
        </w:rPr>
      </w:pPr>
      <w:bookmarkStart w:id="16" w:name="_Toc15377204"/>
      <w:bookmarkStart w:id="17" w:name="_Toc15396602"/>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28"/>
          <w:rFonts w:hint="eastAsia" w:ascii="黑体" w:hAnsi="黑体" w:eastAsia="黑体"/>
          <w:b w:val="0"/>
          <w:bCs/>
          <w:color w:val="auto"/>
          <w:highlight w:val="none"/>
          <w:lang w:eastAsia="zh-CN"/>
        </w:rPr>
        <w:t>单位</w:t>
      </w:r>
      <w:r>
        <w:rPr>
          <w:rStyle w:val="28"/>
          <w:rFonts w:hint="eastAsia" w:ascii="黑体" w:hAnsi="黑体" w:eastAsia="黑体"/>
          <w:b w:val="0"/>
          <w:bCs/>
          <w:color w:val="auto"/>
          <w:highlight w:val="none"/>
        </w:rPr>
        <w:t>决算情况说明</w:t>
      </w:r>
      <w:bookmarkEnd w:id="16"/>
      <w:bookmarkEnd w:id="17"/>
    </w:p>
    <w:p>
      <w:pPr>
        <w:pStyle w:val="27"/>
        <w:numPr>
          <w:ilvl w:val="0"/>
          <w:numId w:val="3"/>
        </w:numPr>
        <w:spacing w:line="600" w:lineRule="exact"/>
        <w:ind w:firstLineChars="0"/>
        <w:outlineLvl w:val="1"/>
        <w:rPr>
          <w:rStyle w:val="29"/>
          <w:rFonts w:ascii="黑体" w:hAnsi="黑体" w:eastAsia="黑体"/>
          <w:b w:val="0"/>
          <w:color w:val="auto"/>
          <w:highlight w:val="none"/>
        </w:rPr>
      </w:pPr>
      <w:bookmarkStart w:id="18" w:name="_Toc15396603"/>
      <w:bookmarkStart w:id="19" w:name="_Toc15377205"/>
      <w:r>
        <w:rPr>
          <w:rFonts w:hint="eastAsia" w:ascii="黑体" w:hAnsi="黑体" w:eastAsia="黑体"/>
          <w:color w:val="auto"/>
          <w:sz w:val="32"/>
          <w:szCs w:val="32"/>
          <w:highlight w:val="none"/>
        </w:rPr>
        <w:t>收</w:t>
      </w:r>
      <w:r>
        <w:rPr>
          <w:rStyle w:val="29"/>
          <w:rFonts w:hint="eastAsia" w:ascii="黑体" w:hAnsi="黑体" w:eastAsia="黑体"/>
          <w:b w:val="0"/>
          <w:color w:val="auto"/>
          <w:highlight w:val="none"/>
        </w:rPr>
        <w:t>入支出决算总体情况说明</w:t>
      </w:r>
      <w:bookmarkEnd w:id="18"/>
      <w:bookmarkEnd w:id="19"/>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val="en-US" w:eastAsia="zh-CN"/>
        </w:rPr>
        <w:t>1912.76</w:t>
      </w:r>
      <w:r>
        <w:rPr>
          <w:rFonts w:hint="eastAsia" w:ascii="仿宋" w:hAnsi="仿宋" w:eastAsia="仿宋"/>
          <w:color w:val="auto"/>
          <w:sz w:val="32"/>
          <w:szCs w:val="32"/>
          <w:highlight w:val="none"/>
        </w:rPr>
        <w:t>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年相比，收、支总计各增加</w:t>
      </w:r>
      <w:r>
        <w:rPr>
          <w:rFonts w:hint="eastAsia" w:ascii="仿宋" w:hAnsi="仿宋" w:eastAsia="仿宋"/>
          <w:color w:val="auto"/>
          <w:sz w:val="32"/>
          <w:szCs w:val="32"/>
          <w:highlight w:val="none"/>
          <w:lang w:val="en-US" w:eastAsia="zh-CN"/>
        </w:rPr>
        <w:t>768.37</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67.14</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政府性基金预算财政拨款收、</w:t>
      </w:r>
      <w:r>
        <w:rPr>
          <w:rFonts w:hint="eastAsia" w:ascii="仿宋" w:hAnsi="仿宋" w:eastAsia="仿宋"/>
          <w:color w:val="auto"/>
          <w:sz w:val="32"/>
          <w:szCs w:val="32"/>
          <w:highlight w:val="none"/>
          <w:lang w:val="en-US" w:eastAsia="zh-CN"/>
        </w:rPr>
        <w:t>支</w:t>
      </w:r>
      <w:r>
        <w:rPr>
          <w:rFonts w:hint="eastAsia" w:ascii="仿宋" w:hAnsi="仿宋" w:eastAsia="仿宋"/>
          <w:color w:val="auto"/>
          <w:sz w:val="32"/>
          <w:szCs w:val="32"/>
          <w:highlight w:val="none"/>
          <w:lang w:eastAsia="zh-CN"/>
        </w:rPr>
        <w:t>增加。</w:t>
      </w:r>
    </w:p>
    <w:p>
      <w:pPr>
        <w:pStyle w:val="2"/>
        <w:ind w:left="0" w:leftChars="0" w:firstLine="0" w:firstLineChars="0"/>
        <w:rPr>
          <w:rFonts w:hint="default"/>
          <w:lang w:val="en-US" w:eastAsia="zh-CN"/>
        </w:rPr>
      </w:pPr>
      <w:r>
        <w:rPr>
          <w:rFonts w:hint="eastAsia" w:ascii="仿宋" w:hAnsi="仿宋" w:eastAsia="仿宋"/>
          <w:color w:val="auto"/>
          <w:sz w:val="32"/>
          <w:szCs w:val="32"/>
          <w:highlight w:val="none"/>
          <w:lang w:val="en-US" w:eastAsia="zh-CN"/>
        </w:rPr>
        <w:t xml:space="preserve">    </w:t>
      </w:r>
      <w:r>
        <w:rPr>
          <w:rFonts w:hint="default"/>
          <w:lang w:val="en-US" w:eastAsia="zh-CN"/>
        </w:rPr>
        <w:drawing>
          <wp:inline distT="0" distB="0" distL="114300" distR="114300">
            <wp:extent cx="5080000" cy="3810000"/>
            <wp:effectExtent l="4445" t="4445" r="20955" b="1460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spacing w:line="600" w:lineRule="exact"/>
        <w:ind w:firstLine="960" w:firstLineChars="300"/>
        <w:rPr>
          <w:rFonts w:ascii="仿宋" w:hAnsi="仿宋" w:eastAsia="仿宋"/>
          <w:color w:val="auto"/>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：收、支决算总计变动情况图）（柱状图）</w:t>
      </w:r>
    </w:p>
    <w:p>
      <w:pPr>
        <w:spacing w:line="600" w:lineRule="exact"/>
        <w:jc w:val="left"/>
        <w:rPr>
          <w:rFonts w:ascii="仿宋_GB2312" w:eastAsia="仿宋_GB2312"/>
          <w:color w:val="auto"/>
          <w:sz w:val="32"/>
          <w:szCs w:val="32"/>
          <w:highlight w:val="none"/>
        </w:rPr>
      </w:pPr>
    </w:p>
    <w:p>
      <w:pPr>
        <w:pStyle w:val="27"/>
        <w:numPr>
          <w:ilvl w:val="0"/>
          <w:numId w:val="3"/>
        </w:numPr>
        <w:spacing w:line="600" w:lineRule="exact"/>
        <w:ind w:firstLineChars="0"/>
        <w:outlineLvl w:val="1"/>
        <w:rPr>
          <w:rStyle w:val="29"/>
          <w:rFonts w:ascii="黑体" w:hAnsi="黑体" w:eastAsia="黑体"/>
          <w:b w:val="0"/>
          <w:color w:val="auto"/>
          <w:highlight w:val="none"/>
        </w:rPr>
      </w:pPr>
      <w:bookmarkStart w:id="20" w:name="_Toc15396604"/>
      <w:bookmarkStart w:id="21" w:name="_Toc15377206"/>
      <w:r>
        <w:rPr>
          <w:rFonts w:hint="eastAsia" w:ascii="黑体" w:hAnsi="黑体" w:eastAsia="黑体"/>
          <w:color w:val="auto"/>
          <w:sz w:val="32"/>
          <w:szCs w:val="32"/>
          <w:highlight w:val="none"/>
        </w:rPr>
        <w:t>收</w:t>
      </w:r>
      <w:r>
        <w:rPr>
          <w:rStyle w:val="29"/>
          <w:rFonts w:hint="eastAsia" w:ascii="黑体" w:hAnsi="黑体" w:eastAsia="黑体"/>
          <w:b w:val="0"/>
          <w:color w:val="auto"/>
          <w:highlight w:val="none"/>
        </w:rPr>
        <w:t>入决算情况说明</w:t>
      </w:r>
      <w:bookmarkEnd w:id="20"/>
      <w:bookmarkEnd w:id="21"/>
    </w:p>
    <w:p>
      <w:pPr>
        <w:spacing w:line="600" w:lineRule="exact"/>
        <w:ind w:firstLine="640" w:firstLineChars="200"/>
        <w:outlineLvl w:val="1"/>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w:t>
      </w:r>
      <w:r>
        <w:rPr>
          <w:rFonts w:hint="eastAsia" w:ascii="仿宋" w:hAnsi="仿宋" w:eastAsia="仿宋"/>
          <w:color w:val="auto"/>
          <w:sz w:val="32"/>
          <w:szCs w:val="32"/>
          <w:highlight w:val="none"/>
          <w:lang w:val="en-US" w:eastAsia="zh-CN"/>
        </w:rPr>
        <w:t>1912.76</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1063.94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55.63</w:t>
      </w:r>
      <w:r>
        <w:rPr>
          <w:rFonts w:ascii="仿宋" w:hAnsi="仿宋" w:eastAsia="仿宋"/>
          <w:color w:val="auto"/>
          <w:sz w:val="32"/>
          <w:szCs w:val="32"/>
          <w:highlight w:val="none"/>
        </w:rPr>
        <w:t>%</w:t>
      </w:r>
      <w:r>
        <w:rPr>
          <w:rFonts w:hint="eastAsia" w:ascii="仿宋" w:hAnsi="仿宋" w:eastAsia="仿宋"/>
          <w:color w:val="auto"/>
          <w:sz w:val="32"/>
          <w:szCs w:val="32"/>
          <w:highlight w:val="none"/>
        </w:rPr>
        <w:t>；政府性基金预算财政拨款收入</w:t>
      </w:r>
      <w:r>
        <w:rPr>
          <w:rFonts w:hint="eastAsia" w:ascii="仿宋" w:hAnsi="仿宋" w:eastAsia="仿宋"/>
          <w:color w:val="auto"/>
          <w:sz w:val="32"/>
          <w:szCs w:val="32"/>
          <w:highlight w:val="none"/>
          <w:lang w:val="en-US" w:eastAsia="zh-CN"/>
        </w:rPr>
        <w:t>848.78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44.37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国有资本经营预算财政拨款收入</w:t>
      </w:r>
      <w:r>
        <w:rPr>
          <w:rFonts w:hint="eastAsia" w:ascii="仿宋" w:hAnsi="仿宋" w:eastAsia="仿宋"/>
          <w:color w:val="auto"/>
          <w:sz w:val="32"/>
          <w:szCs w:val="32"/>
          <w:highlight w:val="none"/>
          <w:lang w:val="en-US" w:eastAsia="zh-CN"/>
        </w:rPr>
        <w:t>0.03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pStyle w:val="2"/>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3956050" cy="4048760"/>
            <wp:effectExtent l="4445" t="4445" r="20955" b="2349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600" w:lineRule="exact"/>
        <w:ind w:firstLine="1600" w:firstLineChars="500"/>
        <w:rPr>
          <w:rFonts w:ascii="仿宋" w:hAnsi="仿宋" w:eastAsia="仿宋"/>
          <w:color w:val="auto"/>
          <w:sz w:val="32"/>
          <w:szCs w:val="32"/>
          <w:highlight w:val="none"/>
        </w:rPr>
      </w:pPr>
      <w:r>
        <w:rPr>
          <w:rFonts w:hint="eastAsia" w:ascii="仿宋" w:hAnsi="仿宋" w:eastAsia="仿宋"/>
          <w:color w:val="auto"/>
          <w:sz w:val="32"/>
          <w:szCs w:val="32"/>
          <w:highlight w:val="none"/>
        </w:rPr>
        <w:t>（图2：收入决算结构图）（饼状图）</w:t>
      </w:r>
    </w:p>
    <w:p>
      <w:pPr>
        <w:spacing w:line="600" w:lineRule="exact"/>
        <w:ind w:firstLine="640" w:firstLineChars="200"/>
        <w:rPr>
          <w:rFonts w:ascii="仿宋_GB2312" w:eastAsia="仿宋_GB2312"/>
          <w:color w:val="auto"/>
          <w:sz w:val="32"/>
          <w:szCs w:val="32"/>
          <w:highlight w:val="none"/>
        </w:rPr>
      </w:pPr>
    </w:p>
    <w:p>
      <w:pPr>
        <w:pStyle w:val="27"/>
        <w:numPr>
          <w:ilvl w:val="0"/>
          <w:numId w:val="3"/>
        </w:numPr>
        <w:spacing w:line="600" w:lineRule="exact"/>
        <w:ind w:firstLineChars="0"/>
        <w:outlineLvl w:val="1"/>
        <w:rPr>
          <w:rStyle w:val="29"/>
          <w:rFonts w:ascii="黑体" w:hAnsi="黑体" w:eastAsia="黑体"/>
          <w:b w:val="0"/>
          <w:color w:val="auto"/>
          <w:highlight w:val="none"/>
        </w:rPr>
      </w:pPr>
      <w:bookmarkStart w:id="22" w:name="_Toc15396605"/>
      <w:bookmarkStart w:id="23" w:name="_Toc15377207"/>
      <w:r>
        <w:rPr>
          <w:rFonts w:hint="eastAsia" w:ascii="黑体" w:hAnsi="黑体" w:eastAsia="黑体"/>
          <w:color w:val="auto"/>
          <w:sz w:val="32"/>
          <w:szCs w:val="32"/>
          <w:highlight w:val="none"/>
        </w:rPr>
        <w:t>支</w:t>
      </w:r>
      <w:r>
        <w:rPr>
          <w:rStyle w:val="29"/>
          <w:rFonts w:hint="eastAsia" w:ascii="黑体" w:hAnsi="黑体" w:eastAsia="黑体"/>
          <w:b w:val="0"/>
          <w:color w:val="auto"/>
          <w:highlight w:val="none"/>
        </w:rPr>
        <w:t>出决算情况说明</w:t>
      </w:r>
      <w:bookmarkEnd w:id="22"/>
      <w:bookmarkEnd w:id="23"/>
    </w:p>
    <w:p>
      <w:pPr>
        <w:spacing w:line="600" w:lineRule="exact"/>
        <w:ind w:firstLine="640" w:firstLineChars="200"/>
        <w:outlineLvl w:val="1"/>
        <w:rPr>
          <w:rFonts w:hint="eastAsia"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w:t>
      </w:r>
      <w:r>
        <w:rPr>
          <w:rFonts w:hint="eastAsia" w:ascii="仿宋" w:hAnsi="仿宋" w:eastAsia="仿宋"/>
          <w:color w:val="auto"/>
          <w:sz w:val="32"/>
          <w:szCs w:val="32"/>
          <w:highlight w:val="none"/>
          <w:lang w:val="en-US" w:eastAsia="zh-CN"/>
        </w:rPr>
        <w:t>1912.76</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570.27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29.81</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1342.49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70.19</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pStyle w:val="2"/>
        <w:rPr>
          <w:rFonts w:hint="eastAsia" w:ascii="仿宋" w:hAnsi="仿宋" w:eastAsia="仿宋"/>
          <w:b/>
          <w:color w:val="auto"/>
          <w:sz w:val="32"/>
          <w:szCs w:val="32"/>
          <w:highlight w:val="none"/>
        </w:rPr>
      </w:pPr>
    </w:p>
    <w:p>
      <w:pPr>
        <w:pStyle w:val="2"/>
        <w:rPr>
          <w:rFonts w:hint="eastAsia" w:ascii="仿宋" w:hAnsi="仿宋" w:eastAsia="仿宋"/>
          <w:b/>
          <w:color w:val="auto"/>
          <w:sz w:val="32"/>
          <w:szCs w:val="32"/>
          <w:highlight w:val="none"/>
        </w:rPr>
      </w:pPr>
    </w:p>
    <w:p>
      <w:pPr>
        <w:pStyle w:val="2"/>
        <w:rPr>
          <w:rFonts w:ascii="仿宋" w:hAnsi="仿宋" w:eastAsia="仿宋"/>
          <w:color w:val="auto"/>
          <w:sz w:val="32"/>
          <w:szCs w:val="32"/>
          <w:highlight w:val="none"/>
        </w:rPr>
      </w:pPr>
      <w:r>
        <w:rPr>
          <w:rFonts w:hint="eastAsia" w:ascii="黑体" w:hAnsi="黑体" w:eastAsia="黑体" w:cs="黑体"/>
          <w:color w:val="000000" w:themeColor="text1"/>
          <w:sz w:val="32"/>
          <w:szCs w:val="32"/>
          <w:highlight w:val="none"/>
          <w:lang w:eastAsia="zh-CN"/>
          <w14:textFill>
            <w14:solidFill>
              <w14:schemeClr w14:val="tx1"/>
            </w14:solidFill>
          </w14:textFill>
        </w:rPr>
        <w:drawing>
          <wp:anchor distT="0" distB="0" distL="114300" distR="114300" simplePos="0" relativeHeight="251659264" behindDoc="0" locked="0" layoutInCell="1" allowOverlap="1">
            <wp:simplePos x="0" y="0"/>
            <wp:positionH relativeFrom="column">
              <wp:posOffset>318770</wp:posOffset>
            </wp:positionH>
            <wp:positionV relativeFrom="paragraph">
              <wp:posOffset>-4445</wp:posOffset>
            </wp:positionV>
            <wp:extent cx="4924425" cy="3719195"/>
            <wp:effectExtent l="4445" t="4445" r="5080" b="10160"/>
            <wp:wrapTopAndBottom/>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黑体" w:hAnsi="黑体" w:eastAsia="黑体" w:cs="黑体"/>
          <w:color w:val="000000" w:themeColor="text1"/>
          <w:sz w:val="32"/>
          <w:szCs w:val="32"/>
          <w:highlight w:val="none"/>
          <w:lang w:val="en-US" w:eastAsia="zh-CN"/>
          <w14:textFill>
            <w14:solidFill>
              <w14:schemeClr w14:val="tx1"/>
            </w14:solidFill>
          </w14:textFill>
        </w:rPr>
        <w:t xml:space="preserve">    </w:t>
      </w:r>
      <w:r>
        <w:rPr>
          <w:rFonts w:hint="eastAsia" w:ascii="仿宋" w:hAnsi="仿宋" w:eastAsia="仿宋"/>
          <w:color w:val="auto"/>
          <w:sz w:val="32"/>
          <w:szCs w:val="32"/>
          <w:highlight w:val="none"/>
        </w:rPr>
        <w:t>（图3：支出决算结构图）（饼状图）</w:t>
      </w:r>
    </w:p>
    <w:p>
      <w:pPr>
        <w:spacing w:line="600" w:lineRule="exact"/>
        <w:ind w:firstLine="640" w:firstLineChars="200"/>
        <w:outlineLvl w:val="1"/>
        <w:rPr>
          <w:rStyle w:val="29"/>
          <w:rFonts w:ascii="黑体" w:hAnsi="黑体" w:eastAsia="黑体"/>
          <w:b w:val="0"/>
          <w:color w:val="auto"/>
          <w:highlight w:val="none"/>
        </w:rPr>
      </w:pPr>
      <w:bookmarkStart w:id="24" w:name="_Toc15377208"/>
      <w:bookmarkStart w:id="25" w:name="_Toc15396606"/>
      <w:r>
        <w:rPr>
          <w:rFonts w:hint="eastAsia" w:ascii="黑体" w:hAnsi="黑体" w:eastAsia="黑体"/>
          <w:color w:val="auto"/>
          <w:sz w:val="32"/>
          <w:szCs w:val="32"/>
          <w:highlight w:val="none"/>
        </w:rPr>
        <w:t>四、财</w:t>
      </w:r>
      <w:r>
        <w:rPr>
          <w:rStyle w:val="29"/>
          <w:rFonts w:hint="eastAsia" w:ascii="黑体" w:hAnsi="黑体" w:eastAsia="黑体"/>
          <w:b w:val="0"/>
          <w:color w:val="auto"/>
          <w:highlight w:val="none"/>
        </w:rPr>
        <w:t>政拨款收入支出决算总体情况说明</w:t>
      </w:r>
      <w:bookmarkEnd w:id="24"/>
      <w:bookmarkEnd w:id="25"/>
    </w:p>
    <w:p>
      <w:pPr>
        <w:spacing w:line="600" w:lineRule="exact"/>
        <w:ind w:firstLine="640"/>
        <w:rPr>
          <w:rFonts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w:t>
      </w:r>
      <w:r>
        <w:rPr>
          <w:rFonts w:hint="eastAsia" w:ascii="仿宋" w:hAnsi="仿宋" w:eastAsia="仿宋"/>
          <w:color w:val="auto"/>
          <w:sz w:val="32"/>
          <w:szCs w:val="32"/>
          <w:highlight w:val="none"/>
          <w:lang w:val="en-US" w:eastAsia="zh-CN"/>
        </w:rPr>
        <w:t>收入</w:t>
      </w:r>
      <w:r>
        <w:rPr>
          <w:rFonts w:hint="eastAsia" w:ascii="仿宋" w:hAnsi="仿宋" w:eastAsia="仿宋"/>
          <w:color w:val="auto"/>
          <w:sz w:val="32"/>
          <w:szCs w:val="32"/>
          <w:highlight w:val="none"/>
        </w:rPr>
        <w:t>支</w:t>
      </w:r>
      <w:r>
        <w:rPr>
          <w:rFonts w:hint="eastAsia" w:ascii="仿宋" w:hAnsi="仿宋" w:eastAsia="仿宋"/>
          <w:color w:val="auto"/>
          <w:sz w:val="32"/>
          <w:szCs w:val="32"/>
          <w:highlight w:val="none"/>
          <w:lang w:val="en-US" w:eastAsia="zh-CN"/>
        </w:rPr>
        <w:t>出</w:t>
      </w:r>
      <w:r>
        <w:rPr>
          <w:rFonts w:hint="eastAsia" w:ascii="仿宋" w:hAnsi="仿宋" w:eastAsia="仿宋"/>
          <w:color w:val="auto"/>
          <w:sz w:val="32"/>
          <w:szCs w:val="32"/>
          <w:highlight w:val="none"/>
        </w:rPr>
        <w:t>总计</w:t>
      </w:r>
      <w:r>
        <w:rPr>
          <w:rFonts w:hint="eastAsia" w:ascii="仿宋" w:hAnsi="仿宋" w:eastAsia="仿宋"/>
          <w:color w:val="auto"/>
          <w:sz w:val="32"/>
          <w:szCs w:val="32"/>
          <w:highlight w:val="none"/>
          <w:lang w:val="en-US" w:eastAsia="zh-CN"/>
        </w:rPr>
        <w:t>1912.76</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年相比，财政拨款</w:t>
      </w:r>
      <w:r>
        <w:rPr>
          <w:rFonts w:hint="eastAsia" w:ascii="仿宋" w:hAnsi="仿宋" w:eastAsia="仿宋"/>
          <w:color w:val="auto"/>
          <w:sz w:val="32"/>
          <w:szCs w:val="32"/>
          <w:highlight w:val="none"/>
          <w:lang w:val="en-US" w:eastAsia="zh-CN"/>
        </w:rPr>
        <w:t>收入支出</w:t>
      </w:r>
      <w:r>
        <w:rPr>
          <w:rFonts w:hint="eastAsia" w:ascii="仿宋" w:hAnsi="仿宋" w:eastAsia="仿宋"/>
          <w:color w:val="auto"/>
          <w:sz w:val="32"/>
          <w:szCs w:val="32"/>
          <w:highlight w:val="none"/>
        </w:rPr>
        <w:t>总计增加</w:t>
      </w:r>
      <w:r>
        <w:rPr>
          <w:rFonts w:hint="eastAsia" w:ascii="仿宋" w:hAnsi="仿宋" w:eastAsia="仿宋"/>
          <w:color w:val="auto"/>
          <w:sz w:val="32"/>
          <w:szCs w:val="32"/>
          <w:highlight w:val="none"/>
          <w:lang w:val="en-US" w:eastAsia="zh-CN"/>
        </w:rPr>
        <w:t>768.37</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67.14</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。主要变动原因是是</w:t>
      </w:r>
      <w:r>
        <w:rPr>
          <w:rFonts w:hint="eastAsia" w:ascii="仿宋" w:hAnsi="仿宋" w:eastAsia="仿宋"/>
          <w:color w:val="auto"/>
          <w:sz w:val="32"/>
          <w:szCs w:val="32"/>
          <w:highlight w:val="none"/>
          <w:lang w:eastAsia="zh-CN"/>
        </w:rPr>
        <w:t>政府性基金预算财政拨款</w:t>
      </w:r>
      <w:r>
        <w:rPr>
          <w:rFonts w:hint="eastAsia" w:ascii="仿宋" w:hAnsi="仿宋" w:eastAsia="仿宋"/>
          <w:color w:val="auto"/>
          <w:sz w:val="32"/>
          <w:szCs w:val="32"/>
          <w:highlight w:val="none"/>
          <w:lang w:val="en-US" w:eastAsia="zh-CN"/>
        </w:rPr>
        <w:t>收入支出</w:t>
      </w:r>
      <w:r>
        <w:rPr>
          <w:rFonts w:hint="eastAsia" w:ascii="仿宋" w:hAnsi="仿宋" w:eastAsia="仿宋"/>
          <w:color w:val="auto"/>
          <w:sz w:val="32"/>
          <w:szCs w:val="32"/>
          <w:highlight w:val="none"/>
          <w:lang w:eastAsia="zh-CN"/>
        </w:rPr>
        <w:t>增加。</w:t>
      </w:r>
    </w:p>
    <w:p>
      <w:pPr>
        <w:pStyle w:val="2"/>
        <w:jc w:val="both"/>
        <w:rPr>
          <w:rFonts w:ascii="仿宋" w:hAnsi="仿宋" w:eastAsia="仿宋"/>
          <w:b/>
          <w:color w:val="auto"/>
          <w:sz w:val="32"/>
          <w:szCs w:val="32"/>
          <w:highlight w:val="none"/>
        </w:rPr>
      </w:pPr>
      <w:r>
        <w:rPr>
          <w:rFonts w:hint="default"/>
          <w:lang w:val="en-US" w:eastAsia="zh-CN"/>
        </w:rPr>
        <w:drawing>
          <wp:inline distT="0" distB="0" distL="114300" distR="114300">
            <wp:extent cx="4718050" cy="3696970"/>
            <wp:effectExtent l="4445" t="4445" r="20955" b="1333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（图4：财政拨款收、支决算总计变动情况）（柱状图）</w:t>
      </w:r>
    </w:p>
    <w:p>
      <w:pPr>
        <w:spacing w:line="600" w:lineRule="exact"/>
        <w:ind w:firstLine="640"/>
        <w:rPr>
          <w:rFonts w:ascii="仿宋" w:hAnsi="仿宋" w:eastAsia="仿宋"/>
          <w:b/>
          <w:color w:val="auto"/>
          <w:sz w:val="32"/>
          <w:szCs w:val="32"/>
          <w:highlight w:val="none"/>
        </w:rPr>
      </w:pPr>
    </w:p>
    <w:p>
      <w:pPr>
        <w:spacing w:line="600" w:lineRule="exact"/>
        <w:ind w:firstLine="640" w:firstLineChars="200"/>
        <w:outlineLvl w:val="1"/>
        <w:rPr>
          <w:rStyle w:val="29"/>
          <w:rFonts w:ascii="黑体" w:hAnsi="黑体" w:eastAsia="黑体"/>
          <w:b w:val="0"/>
          <w:color w:val="auto"/>
          <w:highlight w:val="none"/>
        </w:rPr>
      </w:pPr>
      <w:bookmarkStart w:id="26" w:name="_Toc15377209"/>
      <w:bookmarkStart w:id="27" w:name="_Toc15396607"/>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29"/>
          <w:rFonts w:hint="eastAsia" w:ascii="黑体" w:hAnsi="黑体" w:eastAsia="黑体"/>
          <w:b w:val="0"/>
          <w:color w:val="auto"/>
          <w:highlight w:val="none"/>
        </w:rPr>
        <w:t>般公共预算财政拨款支出决算情况说明</w:t>
      </w:r>
      <w:bookmarkEnd w:id="26"/>
      <w:bookmarkEnd w:id="27"/>
    </w:p>
    <w:p>
      <w:pPr>
        <w:spacing w:line="600" w:lineRule="exact"/>
        <w:ind w:firstLine="642" w:firstLineChars="200"/>
        <w:outlineLvl w:val="2"/>
        <w:rPr>
          <w:rFonts w:ascii="仿宋" w:hAnsi="仿宋" w:eastAsia="仿宋"/>
          <w:b/>
          <w:color w:val="auto"/>
          <w:sz w:val="32"/>
          <w:szCs w:val="32"/>
          <w:highlight w:val="none"/>
        </w:rPr>
      </w:pPr>
      <w:bookmarkStart w:id="28" w:name="_Toc15377210"/>
      <w:r>
        <w:rPr>
          <w:rFonts w:hint="eastAsia" w:ascii="仿宋" w:hAnsi="仿宋" w:eastAsia="仿宋"/>
          <w:b/>
          <w:color w:val="auto"/>
          <w:sz w:val="32"/>
          <w:szCs w:val="32"/>
          <w:highlight w:val="none"/>
        </w:rPr>
        <w:t>（一）一般公共预算财政拨款支出决算总体情况</w:t>
      </w:r>
      <w:bookmarkEnd w:id="28"/>
    </w:p>
    <w:p>
      <w:pPr>
        <w:pStyle w:val="2"/>
        <w:ind w:left="0" w:leftChars="0" w:firstLine="640" w:firstLineChars="20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default" w:ascii="仿宋" w:hAnsi="仿宋" w:eastAsia="仿宋"/>
          <w:color w:val="auto"/>
          <w:sz w:val="32"/>
          <w:szCs w:val="32"/>
          <w:highlight w:val="none"/>
        </w:rPr>
        <w:t>1063.94</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hint="default" w:ascii="仿宋" w:hAnsi="仿宋" w:eastAsia="仿宋"/>
          <w:color w:val="auto"/>
          <w:sz w:val="32"/>
          <w:szCs w:val="32"/>
          <w:highlight w:val="none"/>
        </w:rPr>
        <w:t>减少80.45万元</w:t>
      </w:r>
      <w:r>
        <w:rPr>
          <w:rFonts w:hint="eastAsia" w:ascii="仿宋" w:hAnsi="仿宋" w:eastAsia="仿宋"/>
          <w:color w:val="auto"/>
          <w:sz w:val="32"/>
          <w:szCs w:val="32"/>
          <w:highlight w:val="none"/>
        </w:rPr>
        <w:t>，</w:t>
      </w:r>
      <w:r>
        <w:rPr>
          <w:rFonts w:hint="default" w:ascii="仿宋" w:hAnsi="仿宋" w:eastAsia="仿宋"/>
          <w:color w:val="auto"/>
          <w:sz w:val="32"/>
          <w:szCs w:val="32"/>
          <w:highlight w:val="none"/>
          <w:lang w:eastAsia="zh-CN"/>
        </w:rPr>
        <w:t>减少7.03%</w:t>
      </w:r>
      <w:r>
        <w:rPr>
          <w:rFonts w:hint="eastAsia" w:ascii="仿宋" w:hAnsi="仿宋" w:eastAsia="仿宋"/>
          <w:color w:val="auto"/>
          <w:sz w:val="32"/>
          <w:szCs w:val="32"/>
          <w:highlight w:val="none"/>
        </w:rPr>
        <w:t>。主要变动原因</w:t>
      </w:r>
      <w:r>
        <w:rPr>
          <w:rFonts w:hint="eastAsia" w:ascii="仿宋" w:hAnsi="仿宋" w:eastAsia="仿宋"/>
          <w:color w:val="auto"/>
          <w:sz w:val="32"/>
          <w:szCs w:val="32"/>
          <w:highlight w:val="none"/>
          <w:lang w:eastAsia="zh-CN"/>
        </w:rPr>
        <w:t>是</w:t>
      </w:r>
      <w:r>
        <w:rPr>
          <w:rFonts w:hint="eastAsia" w:ascii="仿宋" w:hAnsi="仿宋" w:eastAsia="仿宋"/>
          <w:color w:val="auto"/>
          <w:sz w:val="32"/>
          <w:szCs w:val="32"/>
          <w:highlight w:val="none"/>
          <w:lang w:val="en-US" w:eastAsia="zh-CN"/>
        </w:rPr>
        <w:t>2022年一般公共预算财政拨款支出减少，</w:t>
      </w:r>
      <w:r>
        <w:rPr>
          <w:rFonts w:hint="eastAsia" w:ascii="仿宋" w:hAnsi="仿宋" w:eastAsia="仿宋"/>
          <w:color w:val="auto"/>
          <w:sz w:val="32"/>
          <w:szCs w:val="32"/>
          <w:highlight w:val="none"/>
          <w:lang w:eastAsia="zh-CN"/>
        </w:rPr>
        <w:t>政府基金预算财政拨款</w:t>
      </w:r>
      <w:r>
        <w:rPr>
          <w:rFonts w:hint="eastAsia" w:ascii="仿宋" w:hAnsi="仿宋" w:eastAsia="仿宋"/>
          <w:color w:val="auto"/>
          <w:sz w:val="32"/>
          <w:szCs w:val="32"/>
          <w:highlight w:val="none"/>
          <w:lang w:val="en-US" w:eastAsia="zh-CN"/>
        </w:rPr>
        <w:t>支出增加。</w:t>
      </w:r>
    </w:p>
    <w:p>
      <w:pPr>
        <w:pStyle w:val="2"/>
        <w:rPr>
          <w:rFonts w:ascii="仿宋" w:hAnsi="仿宋" w:eastAsia="仿宋"/>
          <w:color w:val="auto"/>
          <w:sz w:val="32"/>
          <w:szCs w:val="32"/>
          <w:highlight w:val="none"/>
        </w:rPr>
      </w:pPr>
    </w:p>
    <w:p>
      <w:pPr>
        <w:pStyle w:val="2"/>
        <w:rPr>
          <w:rFonts w:ascii="仿宋" w:hAnsi="仿宋" w:eastAsia="仿宋"/>
          <w:color w:val="auto"/>
          <w:sz w:val="32"/>
          <w:szCs w:val="32"/>
          <w:highlight w:val="none"/>
        </w:rPr>
      </w:pPr>
    </w:p>
    <w:p>
      <w:pPr>
        <w:pStyle w:val="2"/>
        <w:rPr>
          <w:rFonts w:ascii="仿宋" w:hAnsi="仿宋" w:eastAsia="仿宋"/>
          <w:color w:val="auto"/>
          <w:sz w:val="32"/>
          <w:szCs w:val="32"/>
          <w:highlight w:val="none"/>
        </w:rPr>
      </w:pPr>
      <w:r>
        <w:rPr>
          <w:rFonts w:hint="default"/>
          <w:lang w:val="en-US" w:eastAsia="zh-CN"/>
        </w:rPr>
        <w:drawing>
          <wp:inline distT="0" distB="0" distL="114300" distR="114300">
            <wp:extent cx="5080000" cy="3791585"/>
            <wp:effectExtent l="4445" t="4445" r="20955" b="1397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（图5：一般公共预算财政拨款支出决算变动情况）（柱状图）</w:t>
      </w:r>
    </w:p>
    <w:p>
      <w:pPr>
        <w:spacing w:line="600" w:lineRule="exact"/>
        <w:ind w:firstLine="642" w:firstLineChars="200"/>
        <w:outlineLvl w:val="2"/>
        <w:rPr>
          <w:rFonts w:ascii="仿宋" w:hAnsi="仿宋" w:eastAsia="仿宋"/>
          <w:b/>
          <w:color w:val="auto"/>
          <w:sz w:val="32"/>
          <w:szCs w:val="32"/>
          <w:highlight w:val="none"/>
        </w:rPr>
      </w:pPr>
      <w:bookmarkStart w:id="29" w:name="_Toc15377211"/>
      <w:r>
        <w:rPr>
          <w:rFonts w:hint="eastAsia" w:ascii="仿宋" w:hAnsi="仿宋" w:eastAsia="仿宋"/>
          <w:b/>
          <w:color w:val="auto"/>
          <w:sz w:val="32"/>
          <w:szCs w:val="32"/>
          <w:highlight w:val="none"/>
        </w:rPr>
        <w:t>（二）一般公共预算财政拨款支出决算结构情况</w:t>
      </w:r>
      <w:bookmarkEnd w:id="29"/>
    </w:p>
    <w:p>
      <w:pPr>
        <w:spacing w:line="600" w:lineRule="exact"/>
        <w:ind w:firstLine="640"/>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default" w:ascii="仿宋" w:hAnsi="仿宋" w:eastAsia="仿宋"/>
          <w:color w:val="auto"/>
          <w:sz w:val="32"/>
          <w:szCs w:val="32"/>
          <w:highlight w:val="none"/>
          <w:lang w:eastAsia="zh-CN"/>
        </w:rPr>
        <w:t>1063.94</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000000" w:themeColor="text1"/>
          <w:sz w:val="32"/>
          <w:szCs w:val="32"/>
          <w14:textFill>
            <w14:solidFill>
              <w14:schemeClr w14:val="tx1"/>
            </w14:solidFill>
          </w14:textFill>
        </w:rPr>
        <w:t>一般公共服务（类）</w:t>
      </w:r>
      <w:r>
        <w:rPr>
          <w:rFonts w:hint="eastAsia" w:ascii="仿宋" w:hAnsi="仿宋" w:eastAsia="仿宋"/>
          <w:b/>
          <w:bCs/>
          <w:color w:val="000000" w:themeColor="text1"/>
          <w:sz w:val="32"/>
          <w:szCs w:val="32"/>
          <w14:textFill>
            <w14:solidFill>
              <w14:schemeClr w14:val="tx1"/>
            </w14:solidFill>
          </w14:textFill>
        </w:rPr>
        <w:t>支出</w:t>
      </w:r>
      <w:r>
        <w:rPr>
          <w:rFonts w:hint="eastAsia" w:ascii="仿宋" w:hAnsi="仿宋" w:eastAsia="仿宋"/>
          <w:color w:val="000000" w:themeColor="text1"/>
          <w:sz w:val="32"/>
          <w:szCs w:val="32"/>
          <w:lang w:val="en-US" w:eastAsia="zh-CN"/>
          <w14:textFill>
            <w14:solidFill>
              <w14:schemeClr w14:val="tx1"/>
            </w14:solidFill>
          </w14:textFill>
        </w:rPr>
        <w:t>514.93</w:t>
      </w:r>
      <w:r>
        <w:rPr>
          <w:rFonts w:hint="eastAsia" w:ascii="仿宋" w:hAnsi="仿宋" w:eastAsia="仿宋"/>
          <w:color w:val="000000" w:themeColor="text1"/>
          <w:sz w:val="32"/>
          <w:szCs w:val="32"/>
          <w14:textFill>
            <w14:solidFill>
              <w14:schemeClr w14:val="tx1"/>
            </w14:solidFill>
          </w14:textFill>
        </w:rPr>
        <w:t>万元，占</w:t>
      </w:r>
      <w:r>
        <w:rPr>
          <w:rFonts w:hint="default" w:ascii="仿宋" w:hAnsi="仿宋" w:eastAsia="仿宋"/>
          <w:color w:val="000000" w:themeColor="text1"/>
          <w:sz w:val="32"/>
          <w:szCs w:val="32"/>
          <w14:textFill>
            <w14:solidFill>
              <w14:schemeClr w14:val="tx1"/>
            </w14:solidFill>
          </w14:textFill>
        </w:rPr>
        <w:t>48.4</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w:t>
      </w:r>
      <w:r>
        <w:rPr>
          <w:rFonts w:hint="eastAsia" w:ascii="仿宋" w:hAnsi="仿宋" w:eastAsia="仿宋"/>
          <w:b/>
          <w:color w:val="000000" w:themeColor="text1"/>
          <w:sz w:val="32"/>
          <w:szCs w:val="32"/>
          <w:lang w:eastAsia="zh-CN"/>
          <w14:textFill>
            <w14:solidFill>
              <w14:schemeClr w14:val="tx1"/>
            </w14:solidFill>
          </w14:textFill>
        </w:rPr>
        <w:t>公共安全支出</w:t>
      </w:r>
      <w:r>
        <w:rPr>
          <w:rFonts w:hint="eastAsia" w:ascii="仿宋" w:hAnsi="仿宋" w:eastAsia="仿宋"/>
          <w:color w:val="000000" w:themeColor="text1"/>
          <w:sz w:val="32"/>
          <w:szCs w:val="32"/>
          <w:lang w:val="en-US" w:eastAsia="zh-CN"/>
          <w14:textFill>
            <w14:solidFill>
              <w14:schemeClr w14:val="tx1"/>
            </w14:solidFill>
          </w14:textFill>
        </w:rPr>
        <w:t>8万元，占0.</w:t>
      </w:r>
      <w:r>
        <w:rPr>
          <w:rFonts w:hint="default" w:ascii="仿宋" w:hAnsi="仿宋" w:eastAsia="仿宋"/>
          <w:color w:val="000000" w:themeColor="text1"/>
          <w:sz w:val="32"/>
          <w:szCs w:val="32"/>
          <w:lang w:eastAsia="zh-CN"/>
          <w14:textFill>
            <w14:solidFill>
              <w14:schemeClr w14:val="tx1"/>
            </w14:solidFill>
          </w14:textFill>
        </w:rPr>
        <w:t>75</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b/>
          <w:color w:val="000000" w:themeColor="text1"/>
          <w:sz w:val="32"/>
          <w:szCs w:val="32"/>
          <w:lang w:eastAsia="zh-CN"/>
          <w14:textFill>
            <w14:solidFill>
              <w14:schemeClr w14:val="tx1"/>
            </w14:solidFill>
          </w14:textFill>
        </w:rPr>
        <w:t>社会保障和就业（类）支出</w:t>
      </w:r>
      <w:r>
        <w:rPr>
          <w:rFonts w:hint="eastAsia" w:ascii="仿宋" w:hAnsi="仿宋" w:eastAsia="仿宋"/>
          <w:color w:val="000000" w:themeColor="text1"/>
          <w:sz w:val="32"/>
          <w:szCs w:val="32"/>
          <w:lang w:val="en-US" w:eastAsia="zh-CN"/>
          <w14:textFill>
            <w14:solidFill>
              <w14:schemeClr w14:val="tx1"/>
            </w14:solidFill>
          </w14:textFill>
        </w:rPr>
        <w:t>49.42</w:t>
      </w:r>
      <w:r>
        <w:rPr>
          <w:rFonts w:hint="eastAsia" w:ascii="仿宋" w:hAnsi="仿宋" w:eastAsia="仿宋"/>
          <w:color w:val="000000" w:themeColor="text1"/>
          <w:sz w:val="32"/>
          <w:szCs w:val="32"/>
          <w14:textFill>
            <w14:solidFill>
              <w14:schemeClr w14:val="tx1"/>
            </w14:solidFill>
          </w14:textFill>
        </w:rPr>
        <w:t>万元，占</w:t>
      </w:r>
      <w:r>
        <w:rPr>
          <w:rFonts w:hint="default" w:ascii="仿宋" w:hAnsi="仿宋" w:eastAsia="仿宋"/>
          <w:color w:val="000000" w:themeColor="text1"/>
          <w:sz w:val="32"/>
          <w:szCs w:val="32"/>
          <w14:textFill>
            <w14:solidFill>
              <w14:schemeClr w14:val="tx1"/>
            </w14:solidFill>
          </w14:textFill>
        </w:rPr>
        <w:t>4.64</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w:t>
      </w:r>
      <w:r>
        <w:rPr>
          <w:rFonts w:hint="eastAsia" w:ascii="仿宋_GB2312" w:hAnsi="仿宋_GB2312" w:eastAsia="仿宋_GB2312" w:cs="仿宋_GB2312"/>
          <w:b/>
          <w:bCs/>
          <w:color w:val="000000"/>
          <w:sz w:val="32"/>
          <w:szCs w:val="32"/>
        </w:rPr>
        <w:t>卫生</w:t>
      </w:r>
      <w:r>
        <w:rPr>
          <w:rFonts w:hint="eastAsia" w:ascii="仿宋_GB2312" w:hAnsi="仿宋_GB2312" w:eastAsia="仿宋_GB2312" w:cs="仿宋_GB2312"/>
          <w:b/>
          <w:bCs/>
          <w:color w:val="000000"/>
          <w:sz w:val="32"/>
          <w:szCs w:val="32"/>
          <w:lang w:eastAsia="zh-CN"/>
        </w:rPr>
        <w:t>健康</w:t>
      </w:r>
      <w:r>
        <w:rPr>
          <w:rFonts w:hint="eastAsia" w:ascii="仿宋_GB2312" w:hAnsi="仿宋_GB2312" w:eastAsia="仿宋_GB2312" w:cs="仿宋_GB2312"/>
          <w:b/>
          <w:bCs/>
          <w:color w:val="000000"/>
          <w:sz w:val="32"/>
          <w:szCs w:val="32"/>
        </w:rPr>
        <w:t>支出</w:t>
      </w:r>
      <w:r>
        <w:rPr>
          <w:rFonts w:hint="eastAsia" w:ascii="仿宋_GB2312" w:hAnsi="仿宋_GB2312" w:eastAsia="仿宋_GB2312" w:cs="仿宋_GB2312"/>
          <w:color w:val="000000"/>
          <w:sz w:val="32"/>
          <w:szCs w:val="32"/>
          <w:lang w:val="en-US" w:eastAsia="zh-CN"/>
        </w:rPr>
        <w:t>13.92</w:t>
      </w:r>
      <w:r>
        <w:rPr>
          <w:rFonts w:hint="eastAsia" w:ascii="仿宋_GB2312" w:hAnsi="仿宋_GB2312" w:eastAsia="仿宋_GB2312" w:cs="仿宋_GB2312"/>
          <w:color w:val="000000"/>
          <w:sz w:val="32"/>
          <w:szCs w:val="32"/>
        </w:rPr>
        <w:t>万元，占</w:t>
      </w:r>
      <w:r>
        <w:rPr>
          <w:rFonts w:hint="default" w:ascii="仿宋_GB2312" w:hAnsi="仿宋_GB2312" w:eastAsia="仿宋_GB2312" w:cs="仿宋_GB2312"/>
          <w:color w:val="000000"/>
          <w:sz w:val="32"/>
          <w:szCs w:val="32"/>
        </w:rPr>
        <w:t>1.31</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b/>
          <w:bCs/>
          <w:color w:val="000000"/>
          <w:sz w:val="32"/>
          <w:szCs w:val="32"/>
          <w:lang w:eastAsia="zh-CN"/>
        </w:rPr>
        <w:t>城乡社区支出</w:t>
      </w:r>
      <w:r>
        <w:rPr>
          <w:rFonts w:hint="default" w:ascii="仿宋_GB2312" w:hAnsi="仿宋_GB2312" w:eastAsia="仿宋_GB2312" w:cs="仿宋_GB2312"/>
          <w:b/>
          <w:bCs/>
          <w:color w:val="000000"/>
          <w:sz w:val="32"/>
          <w:szCs w:val="32"/>
          <w:lang w:eastAsia="zh-CN"/>
        </w:rPr>
        <w:t>5</w:t>
      </w:r>
      <w:r>
        <w:rPr>
          <w:rFonts w:hint="eastAsia" w:ascii="仿宋_GB2312" w:hAnsi="仿宋_GB2312" w:eastAsia="仿宋_GB2312" w:cs="仿宋_GB2312"/>
          <w:color w:val="000000"/>
          <w:sz w:val="32"/>
          <w:szCs w:val="32"/>
          <w:lang w:eastAsia="zh-CN"/>
        </w:rPr>
        <w:t>万元，占</w:t>
      </w:r>
      <w:r>
        <w:rPr>
          <w:rFonts w:hint="default" w:ascii="仿宋_GB2312" w:hAnsi="仿宋_GB2312" w:eastAsia="仿宋_GB2312" w:cs="仿宋_GB2312"/>
          <w:color w:val="000000"/>
          <w:sz w:val="32"/>
          <w:szCs w:val="32"/>
          <w:lang w:eastAsia="zh-CN"/>
        </w:rPr>
        <w:t>0.47</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b/>
          <w:bCs/>
          <w:color w:val="000000"/>
          <w:sz w:val="32"/>
          <w:szCs w:val="32"/>
          <w:lang w:eastAsia="zh-CN"/>
        </w:rPr>
        <w:t>农林水支出</w:t>
      </w:r>
      <w:r>
        <w:rPr>
          <w:rFonts w:hint="eastAsia" w:ascii="仿宋_GB2312" w:hAnsi="仿宋_GB2312" w:eastAsia="仿宋_GB2312" w:cs="仿宋_GB2312"/>
          <w:color w:val="000000"/>
          <w:sz w:val="32"/>
          <w:szCs w:val="32"/>
          <w:lang w:val="en-US" w:eastAsia="zh-CN"/>
        </w:rPr>
        <w:t>428.97万元，占</w:t>
      </w:r>
      <w:r>
        <w:rPr>
          <w:rFonts w:hint="default" w:ascii="仿宋_GB2312" w:hAnsi="仿宋_GB2312" w:eastAsia="仿宋_GB2312" w:cs="仿宋_GB2312"/>
          <w:color w:val="000000"/>
          <w:sz w:val="32"/>
          <w:szCs w:val="32"/>
          <w:lang w:eastAsia="zh-CN"/>
        </w:rPr>
        <w:t>40.32</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b/>
          <w:bCs/>
          <w:color w:val="000000"/>
          <w:sz w:val="32"/>
          <w:szCs w:val="32"/>
          <w:lang w:val="en-US" w:eastAsia="zh-CN"/>
        </w:rPr>
        <w:t>住房保障支出</w:t>
      </w:r>
      <w:r>
        <w:rPr>
          <w:rFonts w:hint="eastAsia" w:ascii="仿宋_GB2312" w:hAnsi="仿宋_GB2312" w:eastAsia="仿宋_GB2312" w:cs="仿宋_GB2312"/>
          <w:color w:val="000000"/>
          <w:sz w:val="32"/>
          <w:szCs w:val="32"/>
          <w:lang w:val="en-US" w:eastAsia="zh-CN"/>
        </w:rPr>
        <w:t>27.71万元，占</w:t>
      </w:r>
      <w:r>
        <w:rPr>
          <w:rFonts w:hint="default" w:ascii="仿宋_GB2312" w:hAnsi="仿宋_GB2312" w:eastAsia="仿宋_GB2312" w:cs="仿宋_GB2312"/>
          <w:color w:val="000000"/>
          <w:sz w:val="32"/>
          <w:szCs w:val="32"/>
          <w:lang w:eastAsia="zh-CN"/>
        </w:rPr>
        <w:t>2.61</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b/>
          <w:bCs/>
          <w:color w:val="000000"/>
          <w:sz w:val="32"/>
          <w:szCs w:val="32"/>
          <w:lang w:val="en-US" w:eastAsia="zh-CN"/>
        </w:rPr>
        <w:t>灾害防治及应急管理支出</w:t>
      </w:r>
      <w:r>
        <w:rPr>
          <w:rFonts w:hint="eastAsia" w:ascii="仿宋_GB2312" w:hAnsi="仿宋_GB2312" w:eastAsia="仿宋_GB2312" w:cs="仿宋_GB2312"/>
          <w:color w:val="000000"/>
          <w:sz w:val="32"/>
          <w:szCs w:val="32"/>
          <w:lang w:val="en-US" w:eastAsia="zh-CN"/>
        </w:rPr>
        <w:t>16万元，占</w:t>
      </w:r>
      <w:r>
        <w:rPr>
          <w:rFonts w:hint="default" w:ascii="仿宋_GB2312" w:hAnsi="仿宋_GB2312" w:eastAsia="仿宋_GB2312" w:cs="仿宋_GB2312"/>
          <w:color w:val="000000"/>
          <w:sz w:val="32"/>
          <w:szCs w:val="32"/>
          <w:lang w:eastAsia="zh-CN"/>
        </w:rPr>
        <w:t>1.5</w:t>
      </w:r>
      <w:r>
        <w:rPr>
          <w:rFonts w:hint="eastAsia" w:ascii="仿宋_GB2312" w:hAnsi="仿宋_GB2312" w:eastAsia="仿宋_GB2312" w:cs="仿宋_GB2312"/>
          <w:color w:val="000000"/>
          <w:sz w:val="32"/>
          <w:szCs w:val="32"/>
          <w:lang w:val="en-US" w:eastAsia="zh-CN"/>
        </w:rPr>
        <w:t>%</w:t>
      </w:r>
      <w:r>
        <w:rPr>
          <w:rFonts w:hint="eastAsia" w:ascii="仿宋" w:hAnsi="仿宋" w:eastAsia="仿宋"/>
          <w:b/>
          <w:color w:val="auto"/>
          <w:sz w:val="32"/>
          <w:szCs w:val="32"/>
          <w:highlight w:val="none"/>
          <w:lang w:eastAsia="zh-CN"/>
        </w:rPr>
        <w:t>。</w:t>
      </w:r>
    </w:p>
    <w:p>
      <w:pPr>
        <w:spacing w:line="600" w:lineRule="exact"/>
        <w:ind w:firstLine="640" w:firstLineChars="200"/>
        <w:outlineLvl w:val="2"/>
        <w:rPr>
          <w:rFonts w:hint="eastAsia" w:ascii="仿宋" w:hAnsi="仿宋" w:eastAsia="仿宋"/>
          <w:b/>
          <w:color w:val="auto"/>
          <w:sz w:val="32"/>
          <w:szCs w:val="32"/>
          <w:highlight w:val="none"/>
        </w:rPr>
      </w:pPr>
      <w:bookmarkStart w:id="30" w:name="_Toc15377212"/>
      <w:r>
        <w:rPr>
          <w:rFonts w:hint="eastAsia" w:ascii="仿宋" w:hAnsi="仿宋" w:eastAsia="仿宋"/>
          <w:color w:val="000000" w:themeColor="text1"/>
          <w:sz w:val="32"/>
          <w:szCs w:val="32"/>
          <w:highlight w:val="none"/>
          <w:lang w:eastAsia="zh-CN"/>
          <w14:textFill>
            <w14:solidFill>
              <w14:schemeClr w14:val="tx1"/>
            </w14:solidFill>
          </w14:textFill>
        </w:rPr>
        <w:drawing>
          <wp:anchor distT="0" distB="0" distL="114300" distR="114300" simplePos="0" relativeHeight="251660288" behindDoc="0" locked="0" layoutInCell="1" allowOverlap="1">
            <wp:simplePos x="0" y="0"/>
            <wp:positionH relativeFrom="column">
              <wp:posOffset>-137160</wp:posOffset>
            </wp:positionH>
            <wp:positionV relativeFrom="paragraph">
              <wp:posOffset>1133475</wp:posOffset>
            </wp:positionV>
            <wp:extent cx="5944235" cy="4086225"/>
            <wp:effectExtent l="4445" t="4445" r="13970" b="5080"/>
            <wp:wrapTopAndBottom/>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bookmarkEnd w:id="30"/>
    <w:p>
      <w:pPr>
        <w:spacing w:line="600" w:lineRule="exact"/>
        <w:jc w:val="left"/>
        <w:outlineLvl w:val="2"/>
        <w:rPr>
          <w:rFonts w:hint="eastAsia" w:ascii="仿宋" w:hAnsi="仿宋" w:eastAsia="仿宋"/>
          <w:b/>
          <w:color w:val="auto"/>
          <w:sz w:val="32"/>
          <w:szCs w:val="32"/>
          <w:highlight w:val="none"/>
        </w:rPr>
      </w:pPr>
      <w:bookmarkStart w:id="31" w:name="_Toc15378460"/>
      <w:bookmarkStart w:id="32" w:name="_Toc15377444"/>
      <w:bookmarkStart w:id="33" w:name="_Toc15377213"/>
    </w:p>
    <w:p>
      <w:pPr>
        <w:spacing w:line="600" w:lineRule="exact"/>
        <w:ind w:firstLine="640" w:firstLineChars="200"/>
        <w:rPr>
          <w:rFonts w:hint="default"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（图6：一般公共预算财政拨款支出决算结构）（饼状图）</w:t>
      </w:r>
    </w:p>
    <w:p>
      <w:pPr>
        <w:spacing w:line="600" w:lineRule="exact"/>
        <w:ind w:firstLine="642" w:firstLineChars="200"/>
        <w:outlineLvl w:val="2"/>
        <w:rPr>
          <w:rFonts w:hint="eastAsia" w:ascii="仿宋" w:hAnsi="仿宋" w:eastAsia="仿宋"/>
          <w:b/>
          <w:color w:val="auto"/>
          <w:sz w:val="32"/>
          <w:szCs w:val="32"/>
          <w:highlight w:val="none"/>
        </w:rPr>
      </w:pPr>
    </w:p>
    <w:p>
      <w:pPr>
        <w:spacing w:line="600" w:lineRule="exact"/>
        <w:ind w:firstLine="642"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（三）一般公共预算财政拨款支出决算具体情况</w:t>
      </w:r>
    </w:p>
    <w:p>
      <w:pPr>
        <w:spacing w:line="600" w:lineRule="exact"/>
        <w:ind w:firstLine="963" w:firstLineChars="300"/>
        <w:jc w:val="left"/>
        <w:outlineLvl w:val="2"/>
        <w:rPr>
          <w:rFonts w:ascii="仿宋" w:hAnsi="仿宋" w:eastAsia="仿宋"/>
          <w:color w:val="auto"/>
          <w:sz w:val="32"/>
          <w:szCs w:val="32"/>
          <w:highlight w:val="none"/>
        </w:rPr>
      </w:pPr>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w:t>
      </w:r>
      <w:r>
        <w:rPr>
          <w:rFonts w:hint="default" w:ascii="仿宋" w:hAnsi="仿宋" w:eastAsia="仿宋"/>
          <w:color w:val="auto"/>
          <w:sz w:val="32"/>
          <w:szCs w:val="32"/>
          <w:highlight w:val="none"/>
          <w:lang w:eastAsia="zh-CN"/>
        </w:rPr>
        <w:t>1063.94万元</w:t>
      </w:r>
      <w:r>
        <w:rPr>
          <w:rFonts w:hint="eastAsia" w:ascii="仿宋" w:hAnsi="仿宋" w:eastAsia="仿宋"/>
          <w:color w:val="auto"/>
          <w:sz w:val="32"/>
          <w:szCs w:val="32"/>
          <w:highlight w:val="none"/>
        </w:rPr>
        <w:t>，</w:t>
      </w:r>
      <w:r>
        <w:rPr>
          <w:rStyle w:val="18"/>
          <w:rFonts w:hint="eastAsia" w:ascii="仿宋" w:hAnsi="仿宋" w:eastAsia="仿宋"/>
          <w:bCs/>
          <w:color w:val="auto"/>
          <w:sz w:val="32"/>
          <w:szCs w:val="32"/>
          <w:highlight w:val="none"/>
        </w:rPr>
        <w:t>完成预算</w:t>
      </w:r>
      <w:r>
        <w:rPr>
          <w:rStyle w:val="18"/>
          <w:rFonts w:hint="eastAsia" w:ascii="仿宋" w:hAnsi="仿宋" w:eastAsia="仿宋"/>
          <w:bCs/>
          <w:color w:val="auto"/>
          <w:sz w:val="32"/>
          <w:szCs w:val="32"/>
          <w:highlight w:val="none"/>
          <w:lang w:val="en-US" w:eastAsia="zh-CN"/>
        </w:rPr>
        <w:t>100</w:t>
      </w:r>
      <w:r>
        <w:rPr>
          <w:rStyle w:val="18"/>
          <w:rFonts w:ascii="仿宋" w:hAnsi="仿宋" w:eastAsia="仿宋"/>
          <w:bCs/>
          <w:color w:val="auto"/>
          <w:sz w:val="32"/>
          <w:szCs w:val="32"/>
          <w:highlight w:val="none"/>
        </w:rPr>
        <w:t>%</w:t>
      </w:r>
      <w:r>
        <w:rPr>
          <w:rStyle w:val="18"/>
          <w:rFonts w:hint="eastAsia" w:ascii="仿宋" w:hAnsi="仿宋" w:eastAsia="仿宋"/>
          <w:bCs/>
          <w:color w:val="auto"/>
          <w:sz w:val="32"/>
          <w:szCs w:val="32"/>
          <w:highlight w:val="none"/>
        </w:rPr>
        <w:t>。其中：</w:t>
      </w:r>
      <w:bookmarkEnd w:id="31"/>
      <w:bookmarkEnd w:id="32"/>
      <w:bookmarkEnd w:id="33"/>
    </w:p>
    <w:p>
      <w:pPr>
        <w:spacing w:line="600" w:lineRule="exact"/>
        <w:ind w:firstLine="642" w:firstLineChars="200"/>
        <w:rPr>
          <w:rFonts w:ascii="仿宋" w:hAnsi="仿宋" w:eastAsia="仿宋"/>
          <w:b/>
          <w:color w:val="000000"/>
          <w:sz w:val="32"/>
          <w:szCs w:val="32"/>
        </w:rPr>
      </w:pPr>
      <w:r>
        <w:rPr>
          <w:rStyle w:val="18"/>
          <w:rFonts w:ascii="仿宋" w:hAnsi="仿宋" w:eastAsia="仿宋"/>
          <w:bCs/>
          <w:color w:val="000000"/>
          <w:sz w:val="32"/>
          <w:szCs w:val="32"/>
        </w:rPr>
        <w:t>1.</w:t>
      </w:r>
      <w:r>
        <w:rPr>
          <w:rStyle w:val="18"/>
          <w:rFonts w:hint="eastAsia" w:ascii="仿宋" w:hAnsi="仿宋" w:eastAsia="仿宋"/>
          <w:bCs/>
          <w:color w:val="000000"/>
          <w:sz w:val="32"/>
          <w:szCs w:val="32"/>
        </w:rPr>
        <w:t>一般公共服务（</w:t>
      </w:r>
      <w:r>
        <w:rPr>
          <w:rStyle w:val="18"/>
          <w:rFonts w:hint="eastAsia" w:ascii="仿宋" w:hAnsi="仿宋" w:eastAsia="仿宋"/>
          <w:bCs/>
          <w:color w:val="000000"/>
          <w:sz w:val="32"/>
          <w:szCs w:val="32"/>
          <w:lang w:eastAsia="zh-CN"/>
        </w:rPr>
        <w:t>类</w:t>
      </w:r>
      <w:r>
        <w:rPr>
          <w:rStyle w:val="18"/>
          <w:rFonts w:hint="eastAsia" w:ascii="仿宋" w:hAnsi="仿宋" w:eastAsia="仿宋"/>
          <w:bCs/>
          <w:color w:val="000000"/>
          <w:sz w:val="32"/>
          <w:szCs w:val="32"/>
        </w:rPr>
        <w:t>）</w:t>
      </w:r>
      <w:r>
        <w:rPr>
          <w:rStyle w:val="18"/>
          <w:rFonts w:hint="eastAsia" w:ascii="仿宋" w:hAnsi="仿宋" w:eastAsia="仿宋"/>
          <w:bCs/>
          <w:color w:val="000000"/>
          <w:sz w:val="32"/>
          <w:szCs w:val="32"/>
          <w:lang w:val="en-US" w:eastAsia="zh-CN"/>
        </w:rPr>
        <w:t>201</w:t>
      </w:r>
      <w:r>
        <w:rPr>
          <w:rStyle w:val="18"/>
          <w:rFonts w:hint="eastAsia" w:ascii="仿宋" w:hAnsi="仿宋" w:eastAsia="仿宋"/>
          <w:bCs/>
          <w:color w:val="000000"/>
          <w:sz w:val="32"/>
          <w:szCs w:val="32"/>
          <w:lang w:eastAsia="zh-CN"/>
        </w:rPr>
        <w:t>政府办公厅及相关机构事务</w:t>
      </w:r>
      <w:r>
        <w:rPr>
          <w:rStyle w:val="18"/>
          <w:rFonts w:hint="eastAsia" w:ascii="仿宋" w:hAnsi="仿宋" w:eastAsia="仿宋"/>
          <w:bCs/>
          <w:color w:val="000000"/>
          <w:sz w:val="32"/>
          <w:szCs w:val="32"/>
        </w:rPr>
        <w:t>（</w:t>
      </w:r>
      <w:r>
        <w:rPr>
          <w:rStyle w:val="18"/>
          <w:rFonts w:hint="eastAsia" w:ascii="仿宋" w:hAnsi="仿宋" w:eastAsia="仿宋"/>
          <w:bCs/>
          <w:color w:val="000000"/>
          <w:sz w:val="32"/>
          <w:szCs w:val="32"/>
          <w:lang w:eastAsia="zh-CN"/>
        </w:rPr>
        <w:t>款</w:t>
      </w:r>
      <w:r>
        <w:rPr>
          <w:rStyle w:val="18"/>
          <w:rFonts w:hint="eastAsia" w:ascii="仿宋" w:hAnsi="仿宋" w:eastAsia="仿宋"/>
          <w:bCs/>
          <w:color w:val="000000"/>
          <w:sz w:val="32"/>
          <w:szCs w:val="32"/>
        </w:rPr>
        <w:t>）</w:t>
      </w:r>
      <w:r>
        <w:rPr>
          <w:rStyle w:val="18"/>
          <w:rFonts w:hint="eastAsia" w:ascii="仿宋" w:hAnsi="仿宋" w:eastAsia="仿宋"/>
          <w:bCs/>
          <w:color w:val="000000"/>
          <w:sz w:val="32"/>
          <w:szCs w:val="32"/>
          <w:lang w:val="en-US" w:eastAsia="zh-CN"/>
        </w:rPr>
        <w:t>03</w:t>
      </w:r>
      <w:r>
        <w:rPr>
          <w:rStyle w:val="18"/>
          <w:rFonts w:hint="eastAsia" w:ascii="仿宋" w:hAnsi="仿宋" w:eastAsia="仿宋"/>
          <w:bCs/>
          <w:color w:val="000000"/>
          <w:sz w:val="32"/>
          <w:szCs w:val="32"/>
          <w:lang w:eastAsia="zh-CN"/>
        </w:rPr>
        <w:t>行政运行</w:t>
      </w:r>
      <w:r>
        <w:rPr>
          <w:rStyle w:val="18"/>
          <w:rFonts w:hint="eastAsia" w:ascii="仿宋" w:hAnsi="仿宋" w:eastAsia="仿宋"/>
          <w:bCs/>
          <w:color w:val="000000"/>
          <w:sz w:val="32"/>
          <w:szCs w:val="32"/>
        </w:rPr>
        <w:t>（</w:t>
      </w:r>
      <w:r>
        <w:rPr>
          <w:rStyle w:val="18"/>
          <w:rFonts w:hint="eastAsia" w:ascii="仿宋" w:hAnsi="仿宋" w:eastAsia="仿宋"/>
          <w:bCs/>
          <w:color w:val="000000"/>
          <w:sz w:val="32"/>
          <w:szCs w:val="32"/>
          <w:lang w:eastAsia="zh-CN"/>
        </w:rPr>
        <w:t>项</w:t>
      </w:r>
      <w:r>
        <w:rPr>
          <w:rStyle w:val="18"/>
          <w:rFonts w:hint="eastAsia" w:ascii="仿宋" w:hAnsi="仿宋" w:eastAsia="仿宋"/>
          <w:bCs/>
          <w:color w:val="000000"/>
          <w:sz w:val="32"/>
          <w:szCs w:val="32"/>
        </w:rPr>
        <w:t>）</w:t>
      </w:r>
      <w:r>
        <w:rPr>
          <w:rStyle w:val="18"/>
          <w:rFonts w:hint="eastAsia" w:ascii="仿宋" w:hAnsi="仿宋" w:eastAsia="仿宋"/>
          <w:bCs/>
          <w:color w:val="000000"/>
          <w:sz w:val="32"/>
          <w:szCs w:val="32"/>
          <w:lang w:val="en-US" w:eastAsia="zh-CN"/>
        </w:rPr>
        <w:t>01</w:t>
      </w:r>
      <w:r>
        <w:rPr>
          <w:rStyle w:val="18"/>
          <w:rFonts w:ascii="仿宋" w:hAnsi="仿宋" w:eastAsia="仿宋"/>
          <w:bCs/>
          <w:color w:val="000000"/>
          <w:sz w:val="32"/>
          <w:szCs w:val="32"/>
        </w:rPr>
        <w:t>:</w:t>
      </w:r>
      <w:r>
        <w:rPr>
          <w:rStyle w:val="18"/>
          <w:rFonts w:hint="eastAsia" w:ascii="仿宋" w:hAnsi="仿宋" w:eastAsia="仿宋"/>
          <w:b w:val="0"/>
          <w:bCs/>
          <w:color w:val="000000"/>
          <w:sz w:val="32"/>
          <w:szCs w:val="32"/>
        </w:rPr>
        <w:t>支出决算为</w:t>
      </w:r>
      <w:r>
        <w:rPr>
          <w:rStyle w:val="18"/>
          <w:rFonts w:hint="eastAsia" w:ascii="仿宋" w:hAnsi="仿宋" w:eastAsia="仿宋"/>
          <w:b w:val="0"/>
          <w:bCs/>
          <w:color w:val="000000"/>
          <w:sz w:val="32"/>
          <w:szCs w:val="32"/>
          <w:lang w:val="en-US" w:eastAsia="zh-CN"/>
        </w:rPr>
        <w:t>291万</w:t>
      </w:r>
      <w:r>
        <w:rPr>
          <w:rStyle w:val="18"/>
          <w:rFonts w:hint="eastAsia" w:ascii="仿宋" w:hAnsi="仿宋" w:eastAsia="仿宋"/>
          <w:b w:val="0"/>
          <w:bCs/>
          <w:color w:val="000000"/>
          <w:sz w:val="32"/>
          <w:szCs w:val="32"/>
        </w:rPr>
        <w:t>元，完成预算</w:t>
      </w:r>
      <w:r>
        <w:rPr>
          <w:rStyle w:val="18"/>
          <w:rFonts w:hint="eastAsia" w:ascii="仿宋" w:hAnsi="仿宋" w:eastAsia="仿宋"/>
          <w:b w:val="0"/>
          <w:bCs/>
          <w:color w:val="000000"/>
          <w:sz w:val="32"/>
          <w:szCs w:val="32"/>
          <w:lang w:val="en-US" w:eastAsia="zh-CN"/>
        </w:rPr>
        <w:t>100</w:t>
      </w:r>
      <w:r>
        <w:rPr>
          <w:rStyle w:val="18"/>
          <w:rFonts w:ascii="仿宋" w:hAnsi="仿宋" w:eastAsia="仿宋"/>
          <w:b w:val="0"/>
          <w:bCs/>
          <w:color w:val="000000"/>
          <w:sz w:val="32"/>
          <w:szCs w:val="32"/>
        </w:rPr>
        <w:t>%</w:t>
      </w:r>
      <w:r>
        <w:rPr>
          <w:rStyle w:val="18"/>
          <w:rFonts w:hint="eastAsia" w:ascii="仿宋" w:hAnsi="仿宋" w:eastAsia="仿宋"/>
          <w:b w:val="0"/>
          <w:bCs/>
          <w:color w:val="000000"/>
          <w:sz w:val="32"/>
          <w:szCs w:val="32"/>
        </w:rPr>
        <w:t>，决算数等于预算数。</w:t>
      </w:r>
    </w:p>
    <w:p>
      <w:pPr>
        <w:spacing w:line="600" w:lineRule="exact"/>
        <w:ind w:firstLine="642" w:firstLineChars="200"/>
        <w:rPr>
          <w:rStyle w:val="18"/>
          <w:rFonts w:hint="eastAsia" w:ascii="仿宋" w:hAnsi="仿宋" w:eastAsia="仿宋"/>
          <w:b w:val="0"/>
          <w:bCs/>
          <w:color w:val="000000"/>
          <w:sz w:val="32"/>
          <w:szCs w:val="32"/>
        </w:rPr>
      </w:pPr>
      <w:r>
        <w:rPr>
          <w:rStyle w:val="18"/>
          <w:rFonts w:hint="default" w:ascii="仿宋" w:hAnsi="仿宋" w:eastAsia="仿宋"/>
          <w:bCs/>
          <w:color w:val="000000"/>
          <w:sz w:val="32"/>
          <w:szCs w:val="32"/>
        </w:rPr>
        <w:t>2.</w:t>
      </w:r>
      <w:r>
        <w:rPr>
          <w:rStyle w:val="18"/>
          <w:rFonts w:hint="eastAsia" w:ascii="仿宋" w:hAnsi="仿宋" w:eastAsia="仿宋"/>
          <w:bCs/>
          <w:color w:val="000000"/>
          <w:sz w:val="32"/>
          <w:szCs w:val="32"/>
        </w:rPr>
        <w:t>一般公共服务（</w:t>
      </w:r>
      <w:r>
        <w:rPr>
          <w:rStyle w:val="18"/>
          <w:rFonts w:hint="eastAsia" w:ascii="仿宋" w:hAnsi="仿宋" w:eastAsia="仿宋"/>
          <w:bCs/>
          <w:color w:val="000000"/>
          <w:sz w:val="32"/>
          <w:szCs w:val="32"/>
          <w:lang w:eastAsia="zh-CN"/>
        </w:rPr>
        <w:t>类</w:t>
      </w:r>
      <w:r>
        <w:rPr>
          <w:rStyle w:val="18"/>
          <w:rFonts w:hint="eastAsia" w:ascii="仿宋" w:hAnsi="仿宋" w:eastAsia="仿宋"/>
          <w:bCs/>
          <w:color w:val="000000"/>
          <w:sz w:val="32"/>
          <w:szCs w:val="32"/>
        </w:rPr>
        <w:t>）</w:t>
      </w:r>
      <w:r>
        <w:rPr>
          <w:rStyle w:val="18"/>
          <w:rFonts w:hint="eastAsia" w:ascii="仿宋" w:hAnsi="仿宋" w:eastAsia="仿宋"/>
          <w:bCs/>
          <w:color w:val="000000"/>
          <w:sz w:val="32"/>
          <w:szCs w:val="32"/>
          <w:lang w:val="en-US" w:eastAsia="zh-CN"/>
        </w:rPr>
        <w:t>201</w:t>
      </w:r>
      <w:r>
        <w:rPr>
          <w:rStyle w:val="18"/>
          <w:rFonts w:hint="eastAsia" w:ascii="仿宋" w:hAnsi="仿宋" w:eastAsia="仿宋"/>
          <w:bCs/>
          <w:color w:val="000000"/>
          <w:sz w:val="32"/>
          <w:szCs w:val="32"/>
          <w:lang w:eastAsia="zh-CN"/>
        </w:rPr>
        <w:t>政府办公厅及相关机构事务</w:t>
      </w:r>
      <w:r>
        <w:rPr>
          <w:rStyle w:val="18"/>
          <w:rFonts w:hint="eastAsia" w:ascii="仿宋" w:hAnsi="仿宋" w:eastAsia="仿宋"/>
          <w:bCs/>
          <w:color w:val="000000"/>
          <w:sz w:val="32"/>
          <w:szCs w:val="32"/>
        </w:rPr>
        <w:t>（</w:t>
      </w:r>
      <w:r>
        <w:rPr>
          <w:rStyle w:val="18"/>
          <w:rFonts w:hint="eastAsia" w:ascii="仿宋" w:hAnsi="仿宋" w:eastAsia="仿宋"/>
          <w:bCs/>
          <w:color w:val="000000"/>
          <w:sz w:val="32"/>
          <w:szCs w:val="32"/>
          <w:lang w:eastAsia="zh-CN"/>
        </w:rPr>
        <w:t>款</w:t>
      </w:r>
      <w:r>
        <w:rPr>
          <w:rStyle w:val="18"/>
          <w:rFonts w:hint="eastAsia" w:ascii="仿宋" w:hAnsi="仿宋" w:eastAsia="仿宋"/>
          <w:bCs/>
          <w:color w:val="000000"/>
          <w:sz w:val="32"/>
          <w:szCs w:val="32"/>
        </w:rPr>
        <w:t>）</w:t>
      </w:r>
      <w:r>
        <w:rPr>
          <w:rStyle w:val="18"/>
          <w:rFonts w:hint="eastAsia" w:ascii="仿宋" w:hAnsi="仿宋" w:eastAsia="仿宋"/>
          <w:bCs/>
          <w:color w:val="000000"/>
          <w:sz w:val="32"/>
          <w:szCs w:val="32"/>
          <w:lang w:val="en-US" w:eastAsia="zh-CN"/>
        </w:rPr>
        <w:t>03</w:t>
      </w:r>
      <w:r>
        <w:rPr>
          <w:rStyle w:val="18"/>
          <w:rFonts w:hint="eastAsia" w:ascii="仿宋" w:hAnsi="仿宋" w:eastAsia="仿宋"/>
          <w:bCs/>
          <w:color w:val="000000"/>
          <w:sz w:val="32"/>
          <w:szCs w:val="32"/>
          <w:lang w:eastAsia="zh-CN"/>
        </w:rPr>
        <w:t>一般行政管理事务</w:t>
      </w:r>
      <w:r>
        <w:rPr>
          <w:rStyle w:val="18"/>
          <w:rFonts w:hint="eastAsia" w:ascii="仿宋" w:hAnsi="仿宋" w:eastAsia="仿宋"/>
          <w:bCs/>
          <w:color w:val="000000"/>
          <w:sz w:val="32"/>
          <w:szCs w:val="32"/>
        </w:rPr>
        <w:t>（</w:t>
      </w:r>
      <w:r>
        <w:rPr>
          <w:rStyle w:val="18"/>
          <w:rFonts w:hint="eastAsia" w:ascii="仿宋" w:hAnsi="仿宋" w:eastAsia="仿宋"/>
          <w:bCs/>
          <w:color w:val="000000"/>
          <w:sz w:val="32"/>
          <w:szCs w:val="32"/>
          <w:lang w:eastAsia="zh-CN"/>
        </w:rPr>
        <w:t>项</w:t>
      </w:r>
      <w:r>
        <w:rPr>
          <w:rStyle w:val="18"/>
          <w:rFonts w:hint="eastAsia" w:ascii="仿宋" w:hAnsi="仿宋" w:eastAsia="仿宋"/>
          <w:bCs/>
          <w:color w:val="000000"/>
          <w:sz w:val="32"/>
          <w:szCs w:val="32"/>
        </w:rPr>
        <w:t>）</w:t>
      </w:r>
      <w:r>
        <w:rPr>
          <w:rStyle w:val="18"/>
          <w:rFonts w:hint="eastAsia" w:ascii="仿宋" w:hAnsi="仿宋" w:eastAsia="仿宋"/>
          <w:bCs/>
          <w:color w:val="000000"/>
          <w:sz w:val="32"/>
          <w:szCs w:val="32"/>
          <w:lang w:val="en-US" w:eastAsia="zh-CN"/>
        </w:rPr>
        <w:t>02</w:t>
      </w:r>
      <w:r>
        <w:rPr>
          <w:rStyle w:val="18"/>
          <w:rFonts w:ascii="仿宋" w:hAnsi="仿宋" w:eastAsia="仿宋"/>
          <w:bCs/>
          <w:color w:val="000000"/>
          <w:sz w:val="32"/>
          <w:szCs w:val="32"/>
        </w:rPr>
        <w:t>:</w:t>
      </w:r>
      <w:r>
        <w:rPr>
          <w:rStyle w:val="18"/>
          <w:rFonts w:hint="eastAsia" w:ascii="仿宋" w:hAnsi="仿宋" w:eastAsia="仿宋"/>
          <w:b w:val="0"/>
          <w:bCs/>
          <w:color w:val="000000"/>
          <w:sz w:val="32"/>
          <w:szCs w:val="32"/>
        </w:rPr>
        <w:t>支出决算为</w:t>
      </w:r>
      <w:r>
        <w:rPr>
          <w:rStyle w:val="18"/>
          <w:rFonts w:hint="eastAsia" w:ascii="仿宋" w:hAnsi="仿宋" w:eastAsia="仿宋"/>
          <w:b w:val="0"/>
          <w:bCs/>
          <w:color w:val="000000"/>
          <w:sz w:val="32"/>
          <w:szCs w:val="32"/>
          <w:lang w:val="en-US" w:eastAsia="zh-CN"/>
        </w:rPr>
        <w:t>6.46万</w:t>
      </w:r>
      <w:r>
        <w:rPr>
          <w:rStyle w:val="18"/>
          <w:rFonts w:hint="eastAsia" w:ascii="仿宋" w:hAnsi="仿宋" w:eastAsia="仿宋"/>
          <w:b w:val="0"/>
          <w:bCs/>
          <w:color w:val="000000"/>
          <w:sz w:val="32"/>
          <w:szCs w:val="32"/>
        </w:rPr>
        <w:t>元，完成预算</w:t>
      </w:r>
      <w:r>
        <w:rPr>
          <w:rStyle w:val="18"/>
          <w:rFonts w:hint="eastAsia" w:ascii="仿宋" w:hAnsi="仿宋" w:eastAsia="仿宋"/>
          <w:b w:val="0"/>
          <w:bCs/>
          <w:color w:val="000000"/>
          <w:sz w:val="32"/>
          <w:szCs w:val="32"/>
          <w:lang w:val="en-US" w:eastAsia="zh-CN"/>
        </w:rPr>
        <w:t>100</w:t>
      </w:r>
      <w:r>
        <w:rPr>
          <w:rStyle w:val="18"/>
          <w:rFonts w:ascii="仿宋" w:hAnsi="仿宋" w:eastAsia="仿宋"/>
          <w:b w:val="0"/>
          <w:bCs/>
          <w:color w:val="000000"/>
          <w:sz w:val="32"/>
          <w:szCs w:val="32"/>
        </w:rPr>
        <w:t>%</w:t>
      </w:r>
      <w:r>
        <w:rPr>
          <w:rStyle w:val="18"/>
          <w:rFonts w:hint="eastAsia" w:ascii="仿宋" w:hAnsi="仿宋" w:eastAsia="仿宋"/>
          <w:b w:val="0"/>
          <w:bCs/>
          <w:color w:val="000000"/>
          <w:sz w:val="32"/>
          <w:szCs w:val="32"/>
        </w:rPr>
        <w:t>，决算数等于预算数。</w:t>
      </w:r>
    </w:p>
    <w:p>
      <w:pPr>
        <w:spacing w:line="600" w:lineRule="exact"/>
        <w:ind w:firstLine="642" w:firstLineChars="200"/>
        <w:rPr>
          <w:rStyle w:val="18"/>
          <w:rFonts w:hint="eastAsia" w:ascii="仿宋" w:hAnsi="仿宋" w:eastAsia="仿宋"/>
          <w:b w:val="0"/>
          <w:bCs/>
          <w:color w:val="000000"/>
          <w:sz w:val="32"/>
          <w:szCs w:val="32"/>
        </w:rPr>
      </w:pPr>
      <w:r>
        <w:rPr>
          <w:rStyle w:val="18"/>
          <w:rFonts w:hint="default" w:ascii="仿宋" w:hAnsi="仿宋" w:eastAsia="仿宋"/>
          <w:bCs/>
          <w:color w:val="000000"/>
          <w:sz w:val="32"/>
          <w:szCs w:val="32"/>
        </w:rPr>
        <w:t>3.</w:t>
      </w:r>
      <w:r>
        <w:rPr>
          <w:rStyle w:val="18"/>
          <w:rFonts w:hint="eastAsia" w:ascii="仿宋" w:hAnsi="仿宋" w:eastAsia="仿宋"/>
          <w:bCs/>
          <w:color w:val="000000"/>
          <w:sz w:val="32"/>
          <w:szCs w:val="32"/>
        </w:rPr>
        <w:t>一般公共服务（</w:t>
      </w:r>
      <w:r>
        <w:rPr>
          <w:rStyle w:val="18"/>
          <w:rFonts w:hint="eastAsia" w:ascii="仿宋" w:hAnsi="仿宋" w:eastAsia="仿宋"/>
          <w:bCs/>
          <w:color w:val="000000"/>
          <w:sz w:val="32"/>
          <w:szCs w:val="32"/>
          <w:lang w:eastAsia="zh-CN"/>
        </w:rPr>
        <w:t>类</w:t>
      </w:r>
      <w:r>
        <w:rPr>
          <w:rStyle w:val="18"/>
          <w:rFonts w:hint="eastAsia" w:ascii="仿宋" w:hAnsi="仿宋" w:eastAsia="仿宋"/>
          <w:bCs/>
          <w:color w:val="000000"/>
          <w:sz w:val="32"/>
          <w:szCs w:val="32"/>
        </w:rPr>
        <w:t>）</w:t>
      </w:r>
      <w:r>
        <w:rPr>
          <w:rStyle w:val="18"/>
          <w:rFonts w:hint="eastAsia" w:ascii="仿宋" w:hAnsi="仿宋" w:eastAsia="仿宋"/>
          <w:bCs/>
          <w:color w:val="000000"/>
          <w:sz w:val="32"/>
          <w:szCs w:val="32"/>
          <w:lang w:val="en-US" w:eastAsia="zh-CN"/>
        </w:rPr>
        <w:t>201</w:t>
      </w:r>
      <w:r>
        <w:rPr>
          <w:rStyle w:val="18"/>
          <w:rFonts w:hint="eastAsia" w:ascii="仿宋" w:hAnsi="仿宋" w:eastAsia="仿宋"/>
          <w:bCs/>
          <w:color w:val="000000"/>
          <w:sz w:val="32"/>
          <w:szCs w:val="32"/>
          <w:lang w:eastAsia="zh-CN"/>
        </w:rPr>
        <w:t>政府办公厅及相关机构事务</w:t>
      </w:r>
      <w:r>
        <w:rPr>
          <w:rStyle w:val="18"/>
          <w:rFonts w:hint="eastAsia" w:ascii="仿宋" w:hAnsi="仿宋" w:eastAsia="仿宋"/>
          <w:bCs/>
          <w:color w:val="000000"/>
          <w:sz w:val="32"/>
          <w:szCs w:val="32"/>
        </w:rPr>
        <w:t>（</w:t>
      </w:r>
      <w:r>
        <w:rPr>
          <w:rStyle w:val="18"/>
          <w:rFonts w:hint="eastAsia" w:ascii="仿宋" w:hAnsi="仿宋" w:eastAsia="仿宋"/>
          <w:bCs/>
          <w:color w:val="000000"/>
          <w:sz w:val="32"/>
          <w:szCs w:val="32"/>
          <w:lang w:eastAsia="zh-CN"/>
        </w:rPr>
        <w:t>款</w:t>
      </w:r>
      <w:r>
        <w:rPr>
          <w:rStyle w:val="18"/>
          <w:rFonts w:hint="eastAsia" w:ascii="仿宋" w:hAnsi="仿宋" w:eastAsia="仿宋"/>
          <w:bCs/>
          <w:color w:val="000000"/>
          <w:sz w:val="32"/>
          <w:szCs w:val="32"/>
        </w:rPr>
        <w:t>）</w:t>
      </w:r>
      <w:r>
        <w:rPr>
          <w:rStyle w:val="18"/>
          <w:rFonts w:hint="eastAsia" w:ascii="仿宋" w:hAnsi="仿宋" w:eastAsia="仿宋"/>
          <w:bCs/>
          <w:color w:val="000000"/>
          <w:sz w:val="32"/>
          <w:szCs w:val="32"/>
          <w:lang w:val="en-US" w:eastAsia="zh-CN"/>
        </w:rPr>
        <w:t>03</w:t>
      </w:r>
      <w:r>
        <w:rPr>
          <w:rStyle w:val="18"/>
          <w:rFonts w:hint="eastAsia" w:ascii="仿宋" w:hAnsi="仿宋" w:eastAsia="仿宋"/>
          <w:bCs/>
          <w:color w:val="000000"/>
          <w:sz w:val="32"/>
          <w:szCs w:val="32"/>
          <w:lang w:eastAsia="zh-CN"/>
        </w:rPr>
        <w:t>机关服务</w:t>
      </w:r>
      <w:r>
        <w:rPr>
          <w:rStyle w:val="18"/>
          <w:rFonts w:hint="eastAsia" w:ascii="仿宋" w:hAnsi="仿宋" w:eastAsia="仿宋"/>
          <w:bCs/>
          <w:color w:val="000000"/>
          <w:sz w:val="32"/>
          <w:szCs w:val="32"/>
        </w:rPr>
        <w:t>（</w:t>
      </w:r>
      <w:r>
        <w:rPr>
          <w:rStyle w:val="18"/>
          <w:rFonts w:hint="eastAsia" w:ascii="仿宋" w:hAnsi="仿宋" w:eastAsia="仿宋"/>
          <w:bCs/>
          <w:color w:val="000000"/>
          <w:sz w:val="32"/>
          <w:szCs w:val="32"/>
          <w:lang w:eastAsia="zh-CN"/>
        </w:rPr>
        <w:t>项</w:t>
      </w:r>
      <w:r>
        <w:rPr>
          <w:rStyle w:val="18"/>
          <w:rFonts w:hint="eastAsia" w:ascii="仿宋" w:hAnsi="仿宋" w:eastAsia="仿宋"/>
          <w:bCs/>
          <w:color w:val="000000"/>
          <w:sz w:val="32"/>
          <w:szCs w:val="32"/>
        </w:rPr>
        <w:t>）</w:t>
      </w:r>
      <w:r>
        <w:rPr>
          <w:rStyle w:val="18"/>
          <w:rFonts w:hint="eastAsia" w:ascii="仿宋" w:hAnsi="仿宋" w:eastAsia="仿宋"/>
          <w:bCs/>
          <w:color w:val="000000"/>
          <w:sz w:val="32"/>
          <w:szCs w:val="32"/>
          <w:lang w:val="en-US" w:eastAsia="zh-CN"/>
        </w:rPr>
        <w:t>03</w:t>
      </w:r>
      <w:r>
        <w:rPr>
          <w:rStyle w:val="18"/>
          <w:rFonts w:ascii="仿宋" w:hAnsi="仿宋" w:eastAsia="仿宋"/>
          <w:bCs/>
          <w:color w:val="000000"/>
          <w:sz w:val="32"/>
          <w:szCs w:val="32"/>
        </w:rPr>
        <w:t>:</w:t>
      </w:r>
      <w:r>
        <w:rPr>
          <w:rStyle w:val="18"/>
          <w:rFonts w:hint="eastAsia" w:ascii="仿宋" w:hAnsi="仿宋" w:eastAsia="仿宋"/>
          <w:b w:val="0"/>
          <w:bCs/>
          <w:color w:val="000000"/>
          <w:sz w:val="32"/>
          <w:szCs w:val="32"/>
        </w:rPr>
        <w:t>支出决算为</w:t>
      </w:r>
      <w:r>
        <w:rPr>
          <w:rStyle w:val="18"/>
          <w:rFonts w:hint="eastAsia" w:ascii="仿宋" w:hAnsi="仿宋" w:eastAsia="仿宋"/>
          <w:b w:val="0"/>
          <w:bCs/>
          <w:color w:val="000000"/>
          <w:sz w:val="32"/>
          <w:szCs w:val="32"/>
          <w:lang w:val="en-US" w:eastAsia="zh-CN"/>
        </w:rPr>
        <w:t>60万</w:t>
      </w:r>
      <w:r>
        <w:rPr>
          <w:rStyle w:val="18"/>
          <w:rFonts w:hint="eastAsia" w:ascii="仿宋" w:hAnsi="仿宋" w:eastAsia="仿宋"/>
          <w:b w:val="0"/>
          <w:bCs/>
          <w:color w:val="000000"/>
          <w:sz w:val="32"/>
          <w:szCs w:val="32"/>
        </w:rPr>
        <w:t>元，完成预算</w:t>
      </w:r>
      <w:r>
        <w:rPr>
          <w:rStyle w:val="18"/>
          <w:rFonts w:hint="eastAsia" w:ascii="仿宋" w:hAnsi="仿宋" w:eastAsia="仿宋"/>
          <w:b w:val="0"/>
          <w:bCs/>
          <w:color w:val="000000"/>
          <w:sz w:val="32"/>
          <w:szCs w:val="32"/>
          <w:lang w:val="en-US" w:eastAsia="zh-CN"/>
        </w:rPr>
        <w:t>100</w:t>
      </w:r>
      <w:r>
        <w:rPr>
          <w:rStyle w:val="18"/>
          <w:rFonts w:ascii="仿宋" w:hAnsi="仿宋" w:eastAsia="仿宋"/>
          <w:b w:val="0"/>
          <w:bCs/>
          <w:color w:val="000000"/>
          <w:sz w:val="32"/>
          <w:szCs w:val="32"/>
        </w:rPr>
        <w:t>%</w:t>
      </w:r>
      <w:r>
        <w:rPr>
          <w:rStyle w:val="18"/>
          <w:rFonts w:hint="eastAsia" w:ascii="仿宋" w:hAnsi="仿宋" w:eastAsia="仿宋"/>
          <w:b w:val="0"/>
          <w:bCs/>
          <w:color w:val="000000"/>
          <w:sz w:val="32"/>
          <w:szCs w:val="32"/>
        </w:rPr>
        <w:t>，决算数等于预算数。</w:t>
      </w:r>
    </w:p>
    <w:p>
      <w:pPr>
        <w:spacing w:line="600" w:lineRule="exact"/>
        <w:ind w:firstLine="642" w:firstLineChars="200"/>
        <w:rPr>
          <w:rStyle w:val="18"/>
          <w:rFonts w:hint="eastAsia" w:ascii="仿宋" w:hAnsi="仿宋" w:eastAsia="仿宋"/>
          <w:b w:val="0"/>
          <w:bCs/>
          <w:color w:val="000000"/>
          <w:sz w:val="32"/>
          <w:szCs w:val="32"/>
        </w:rPr>
      </w:pPr>
      <w:r>
        <w:rPr>
          <w:rStyle w:val="18"/>
          <w:rFonts w:hint="default" w:ascii="仿宋" w:hAnsi="仿宋" w:eastAsia="仿宋"/>
          <w:bCs/>
          <w:color w:val="000000"/>
          <w:sz w:val="32"/>
          <w:szCs w:val="32"/>
        </w:rPr>
        <w:t>4.</w:t>
      </w:r>
      <w:r>
        <w:rPr>
          <w:rStyle w:val="18"/>
          <w:rFonts w:hint="eastAsia" w:ascii="仿宋" w:hAnsi="仿宋" w:eastAsia="仿宋"/>
          <w:bCs/>
          <w:color w:val="000000"/>
          <w:sz w:val="32"/>
          <w:szCs w:val="32"/>
        </w:rPr>
        <w:t>一般公共服务（</w:t>
      </w:r>
      <w:r>
        <w:rPr>
          <w:rStyle w:val="18"/>
          <w:rFonts w:hint="eastAsia" w:ascii="仿宋" w:hAnsi="仿宋" w:eastAsia="仿宋"/>
          <w:bCs/>
          <w:color w:val="000000"/>
          <w:sz w:val="32"/>
          <w:szCs w:val="32"/>
          <w:lang w:eastAsia="zh-CN"/>
        </w:rPr>
        <w:t>类</w:t>
      </w:r>
      <w:r>
        <w:rPr>
          <w:rStyle w:val="18"/>
          <w:rFonts w:hint="eastAsia" w:ascii="仿宋" w:hAnsi="仿宋" w:eastAsia="仿宋"/>
          <w:bCs/>
          <w:color w:val="000000"/>
          <w:sz w:val="32"/>
          <w:szCs w:val="32"/>
        </w:rPr>
        <w:t>）</w:t>
      </w:r>
      <w:r>
        <w:rPr>
          <w:rStyle w:val="18"/>
          <w:rFonts w:hint="eastAsia" w:ascii="仿宋" w:hAnsi="仿宋" w:eastAsia="仿宋"/>
          <w:bCs/>
          <w:color w:val="000000"/>
          <w:sz w:val="32"/>
          <w:szCs w:val="32"/>
          <w:lang w:val="en-US" w:eastAsia="zh-CN"/>
        </w:rPr>
        <w:t>201纪检监察事务</w:t>
      </w:r>
      <w:r>
        <w:rPr>
          <w:rStyle w:val="18"/>
          <w:rFonts w:hint="eastAsia" w:ascii="仿宋" w:hAnsi="仿宋" w:eastAsia="仿宋"/>
          <w:bCs/>
          <w:color w:val="000000"/>
          <w:sz w:val="32"/>
          <w:szCs w:val="32"/>
        </w:rPr>
        <w:t>（</w:t>
      </w:r>
      <w:r>
        <w:rPr>
          <w:rStyle w:val="18"/>
          <w:rFonts w:hint="eastAsia" w:ascii="仿宋" w:hAnsi="仿宋" w:eastAsia="仿宋"/>
          <w:bCs/>
          <w:color w:val="000000"/>
          <w:sz w:val="32"/>
          <w:szCs w:val="32"/>
          <w:lang w:eastAsia="zh-CN"/>
        </w:rPr>
        <w:t>款</w:t>
      </w:r>
      <w:r>
        <w:rPr>
          <w:rStyle w:val="18"/>
          <w:rFonts w:hint="eastAsia" w:ascii="仿宋" w:hAnsi="仿宋" w:eastAsia="仿宋"/>
          <w:bCs/>
          <w:color w:val="000000"/>
          <w:sz w:val="32"/>
          <w:szCs w:val="32"/>
        </w:rPr>
        <w:t>）</w:t>
      </w:r>
      <w:r>
        <w:rPr>
          <w:rStyle w:val="18"/>
          <w:rFonts w:hint="eastAsia" w:ascii="仿宋" w:hAnsi="仿宋" w:eastAsia="仿宋"/>
          <w:bCs/>
          <w:color w:val="000000"/>
          <w:sz w:val="32"/>
          <w:szCs w:val="32"/>
          <w:lang w:val="en-US" w:eastAsia="zh-CN"/>
        </w:rPr>
        <w:t>11</w:t>
      </w:r>
      <w:r>
        <w:rPr>
          <w:rStyle w:val="18"/>
          <w:rFonts w:hint="eastAsia" w:ascii="仿宋" w:hAnsi="仿宋" w:eastAsia="仿宋"/>
          <w:bCs/>
          <w:color w:val="000000"/>
          <w:sz w:val="32"/>
          <w:szCs w:val="32"/>
          <w:lang w:eastAsia="zh-CN"/>
        </w:rPr>
        <w:t>一般行政管理事务</w:t>
      </w:r>
      <w:r>
        <w:rPr>
          <w:rStyle w:val="18"/>
          <w:rFonts w:hint="eastAsia" w:ascii="仿宋" w:hAnsi="仿宋" w:eastAsia="仿宋"/>
          <w:bCs/>
          <w:color w:val="000000"/>
          <w:sz w:val="32"/>
          <w:szCs w:val="32"/>
        </w:rPr>
        <w:t>（</w:t>
      </w:r>
      <w:r>
        <w:rPr>
          <w:rStyle w:val="18"/>
          <w:rFonts w:hint="eastAsia" w:ascii="仿宋" w:hAnsi="仿宋" w:eastAsia="仿宋"/>
          <w:bCs/>
          <w:color w:val="000000"/>
          <w:sz w:val="32"/>
          <w:szCs w:val="32"/>
          <w:lang w:eastAsia="zh-CN"/>
        </w:rPr>
        <w:t>项</w:t>
      </w:r>
      <w:r>
        <w:rPr>
          <w:rStyle w:val="18"/>
          <w:rFonts w:hint="eastAsia" w:ascii="仿宋" w:hAnsi="仿宋" w:eastAsia="仿宋"/>
          <w:bCs/>
          <w:color w:val="000000"/>
          <w:sz w:val="32"/>
          <w:szCs w:val="32"/>
        </w:rPr>
        <w:t>）</w:t>
      </w:r>
      <w:r>
        <w:rPr>
          <w:rStyle w:val="18"/>
          <w:rFonts w:hint="eastAsia" w:ascii="仿宋" w:hAnsi="仿宋" w:eastAsia="仿宋"/>
          <w:bCs/>
          <w:color w:val="000000"/>
          <w:sz w:val="32"/>
          <w:szCs w:val="32"/>
          <w:lang w:val="en-US" w:eastAsia="zh-CN"/>
        </w:rPr>
        <w:t>02</w:t>
      </w:r>
      <w:r>
        <w:rPr>
          <w:rStyle w:val="18"/>
          <w:rFonts w:ascii="仿宋" w:hAnsi="仿宋" w:eastAsia="仿宋"/>
          <w:bCs/>
          <w:color w:val="000000"/>
          <w:sz w:val="32"/>
          <w:szCs w:val="32"/>
        </w:rPr>
        <w:t>:</w:t>
      </w:r>
      <w:r>
        <w:rPr>
          <w:rStyle w:val="18"/>
          <w:rFonts w:hint="eastAsia" w:ascii="仿宋" w:hAnsi="仿宋" w:eastAsia="仿宋"/>
          <w:b w:val="0"/>
          <w:bCs/>
          <w:color w:val="000000"/>
          <w:sz w:val="32"/>
          <w:szCs w:val="32"/>
        </w:rPr>
        <w:t>支出决算为</w:t>
      </w:r>
      <w:r>
        <w:rPr>
          <w:rStyle w:val="18"/>
          <w:rFonts w:hint="eastAsia" w:ascii="仿宋" w:hAnsi="仿宋" w:eastAsia="仿宋"/>
          <w:b w:val="0"/>
          <w:bCs/>
          <w:color w:val="000000"/>
          <w:sz w:val="32"/>
          <w:szCs w:val="32"/>
          <w:lang w:val="en-US" w:eastAsia="zh-CN"/>
        </w:rPr>
        <w:t>2万</w:t>
      </w:r>
      <w:r>
        <w:rPr>
          <w:rStyle w:val="18"/>
          <w:rFonts w:hint="eastAsia" w:ascii="仿宋" w:hAnsi="仿宋" w:eastAsia="仿宋"/>
          <w:b w:val="0"/>
          <w:bCs/>
          <w:color w:val="000000"/>
          <w:sz w:val="32"/>
          <w:szCs w:val="32"/>
        </w:rPr>
        <w:t>元，完成预算</w:t>
      </w:r>
      <w:r>
        <w:rPr>
          <w:rStyle w:val="18"/>
          <w:rFonts w:hint="eastAsia" w:ascii="仿宋" w:hAnsi="仿宋" w:eastAsia="仿宋"/>
          <w:b w:val="0"/>
          <w:bCs/>
          <w:color w:val="000000"/>
          <w:sz w:val="32"/>
          <w:szCs w:val="32"/>
          <w:lang w:val="en-US" w:eastAsia="zh-CN"/>
        </w:rPr>
        <w:t>100</w:t>
      </w:r>
      <w:r>
        <w:rPr>
          <w:rStyle w:val="18"/>
          <w:rFonts w:ascii="仿宋" w:hAnsi="仿宋" w:eastAsia="仿宋"/>
          <w:b w:val="0"/>
          <w:bCs/>
          <w:color w:val="000000"/>
          <w:sz w:val="32"/>
          <w:szCs w:val="32"/>
        </w:rPr>
        <w:t>%</w:t>
      </w:r>
      <w:r>
        <w:rPr>
          <w:rStyle w:val="18"/>
          <w:rFonts w:hint="eastAsia" w:ascii="仿宋" w:hAnsi="仿宋" w:eastAsia="仿宋"/>
          <w:b w:val="0"/>
          <w:bCs/>
          <w:color w:val="000000"/>
          <w:sz w:val="32"/>
          <w:szCs w:val="32"/>
        </w:rPr>
        <w:t>，决算数等于预算数。</w:t>
      </w:r>
    </w:p>
    <w:p>
      <w:pPr>
        <w:spacing w:line="600" w:lineRule="exact"/>
        <w:ind w:firstLine="642" w:firstLineChars="200"/>
        <w:rPr>
          <w:rStyle w:val="18"/>
          <w:rFonts w:hint="eastAsia" w:ascii="仿宋" w:hAnsi="仿宋" w:eastAsia="仿宋"/>
          <w:bCs/>
          <w:color w:val="000000"/>
          <w:sz w:val="32"/>
          <w:szCs w:val="32"/>
        </w:rPr>
      </w:pPr>
      <w:r>
        <w:rPr>
          <w:rStyle w:val="18"/>
          <w:rFonts w:hint="default" w:ascii="仿宋" w:hAnsi="仿宋" w:eastAsia="仿宋"/>
          <w:bCs/>
          <w:color w:val="000000"/>
          <w:sz w:val="32"/>
          <w:szCs w:val="32"/>
        </w:rPr>
        <w:t>5.</w:t>
      </w:r>
      <w:r>
        <w:rPr>
          <w:rStyle w:val="18"/>
          <w:rFonts w:hint="eastAsia" w:ascii="仿宋" w:hAnsi="仿宋" w:eastAsia="仿宋"/>
          <w:bCs/>
          <w:color w:val="000000"/>
          <w:sz w:val="32"/>
          <w:szCs w:val="32"/>
        </w:rPr>
        <w:t>一般公共服务（</w:t>
      </w:r>
      <w:r>
        <w:rPr>
          <w:rStyle w:val="18"/>
          <w:rFonts w:hint="eastAsia" w:ascii="仿宋" w:hAnsi="仿宋" w:eastAsia="仿宋"/>
          <w:bCs/>
          <w:color w:val="000000"/>
          <w:sz w:val="32"/>
          <w:szCs w:val="32"/>
          <w:lang w:eastAsia="zh-CN"/>
        </w:rPr>
        <w:t>类</w:t>
      </w:r>
      <w:r>
        <w:rPr>
          <w:rStyle w:val="18"/>
          <w:rFonts w:hint="eastAsia" w:ascii="仿宋" w:hAnsi="仿宋" w:eastAsia="仿宋"/>
          <w:bCs/>
          <w:color w:val="000000"/>
          <w:sz w:val="32"/>
          <w:szCs w:val="32"/>
        </w:rPr>
        <w:t>）</w:t>
      </w:r>
      <w:r>
        <w:rPr>
          <w:rStyle w:val="18"/>
          <w:rFonts w:hint="eastAsia" w:ascii="仿宋" w:hAnsi="仿宋" w:eastAsia="仿宋"/>
          <w:bCs/>
          <w:color w:val="000000"/>
          <w:sz w:val="32"/>
          <w:szCs w:val="32"/>
          <w:lang w:val="en-US" w:eastAsia="zh-CN"/>
        </w:rPr>
        <w:t>201商贸事务</w:t>
      </w:r>
      <w:r>
        <w:rPr>
          <w:rStyle w:val="18"/>
          <w:rFonts w:hint="eastAsia" w:ascii="仿宋" w:hAnsi="仿宋" w:eastAsia="仿宋"/>
          <w:bCs/>
          <w:color w:val="000000"/>
          <w:sz w:val="32"/>
          <w:szCs w:val="32"/>
        </w:rPr>
        <w:t>（</w:t>
      </w:r>
      <w:r>
        <w:rPr>
          <w:rStyle w:val="18"/>
          <w:rFonts w:hint="eastAsia" w:ascii="仿宋" w:hAnsi="仿宋" w:eastAsia="仿宋"/>
          <w:bCs/>
          <w:color w:val="000000"/>
          <w:sz w:val="32"/>
          <w:szCs w:val="32"/>
          <w:lang w:eastAsia="zh-CN"/>
        </w:rPr>
        <w:t>款</w:t>
      </w:r>
      <w:r>
        <w:rPr>
          <w:rStyle w:val="18"/>
          <w:rFonts w:hint="eastAsia" w:ascii="仿宋" w:hAnsi="仿宋" w:eastAsia="仿宋"/>
          <w:bCs/>
          <w:color w:val="000000"/>
          <w:sz w:val="32"/>
          <w:szCs w:val="32"/>
        </w:rPr>
        <w:t>）</w:t>
      </w:r>
      <w:r>
        <w:rPr>
          <w:rStyle w:val="18"/>
          <w:rFonts w:hint="eastAsia" w:ascii="仿宋" w:hAnsi="仿宋" w:eastAsia="仿宋"/>
          <w:bCs/>
          <w:color w:val="000000"/>
          <w:sz w:val="32"/>
          <w:szCs w:val="32"/>
          <w:lang w:val="en-US" w:eastAsia="zh-CN"/>
        </w:rPr>
        <w:t>13招商引资</w:t>
      </w:r>
      <w:r>
        <w:rPr>
          <w:rStyle w:val="18"/>
          <w:rFonts w:hint="eastAsia" w:ascii="仿宋" w:hAnsi="仿宋" w:eastAsia="仿宋"/>
          <w:bCs/>
          <w:color w:val="000000"/>
          <w:sz w:val="32"/>
          <w:szCs w:val="32"/>
        </w:rPr>
        <w:t>（</w:t>
      </w:r>
      <w:r>
        <w:rPr>
          <w:rStyle w:val="18"/>
          <w:rFonts w:hint="eastAsia" w:ascii="仿宋" w:hAnsi="仿宋" w:eastAsia="仿宋"/>
          <w:bCs/>
          <w:color w:val="000000"/>
          <w:sz w:val="32"/>
          <w:szCs w:val="32"/>
          <w:lang w:eastAsia="zh-CN"/>
        </w:rPr>
        <w:t>项</w:t>
      </w:r>
      <w:r>
        <w:rPr>
          <w:rStyle w:val="18"/>
          <w:rFonts w:hint="eastAsia" w:ascii="仿宋" w:hAnsi="仿宋" w:eastAsia="仿宋"/>
          <w:bCs/>
          <w:color w:val="000000"/>
          <w:sz w:val="32"/>
          <w:szCs w:val="32"/>
        </w:rPr>
        <w:t>）</w:t>
      </w:r>
      <w:r>
        <w:rPr>
          <w:rStyle w:val="18"/>
          <w:rFonts w:hint="eastAsia" w:ascii="仿宋" w:hAnsi="仿宋" w:eastAsia="仿宋"/>
          <w:bCs/>
          <w:color w:val="000000"/>
          <w:sz w:val="32"/>
          <w:szCs w:val="32"/>
          <w:lang w:val="en-US" w:eastAsia="zh-CN"/>
        </w:rPr>
        <w:t>08</w:t>
      </w:r>
      <w:r>
        <w:rPr>
          <w:rStyle w:val="18"/>
          <w:rFonts w:ascii="仿宋" w:hAnsi="仿宋" w:eastAsia="仿宋"/>
          <w:bCs/>
          <w:color w:val="000000"/>
          <w:sz w:val="32"/>
          <w:szCs w:val="32"/>
        </w:rPr>
        <w:t>:</w:t>
      </w:r>
      <w:r>
        <w:rPr>
          <w:rStyle w:val="18"/>
          <w:rFonts w:hint="eastAsia" w:ascii="仿宋" w:hAnsi="仿宋" w:eastAsia="仿宋"/>
          <w:b w:val="0"/>
          <w:bCs/>
          <w:color w:val="000000"/>
          <w:sz w:val="32"/>
          <w:szCs w:val="32"/>
        </w:rPr>
        <w:t>支出决算为</w:t>
      </w:r>
      <w:r>
        <w:rPr>
          <w:rStyle w:val="18"/>
          <w:rFonts w:hint="eastAsia" w:ascii="仿宋" w:hAnsi="仿宋" w:eastAsia="仿宋"/>
          <w:b w:val="0"/>
          <w:bCs/>
          <w:color w:val="000000"/>
          <w:sz w:val="32"/>
          <w:szCs w:val="32"/>
          <w:lang w:val="en-US" w:eastAsia="zh-CN"/>
        </w:rPr>
        <w:t>67万</w:t>
      </w:r>
      <w:r>
        <w:rPr>
          <w:rStyle w:val="18"/>
          <w:rFonts w:hint="eastAsia" w:ascii="仿宋" w:hAnsi="仿宋" w:eastAsia="仿宋"/>
          <w:b w:val="0"/>
          <w:bCs/>
          <w:color w:val="000000"/>
          <w:sz w:val="32"/>
          <w:szCs w:val="32"/>
        </w:rPr>
        <w:t>元，完成预算</w:t>
      </w:r>
      <w:r>
        <w:rPr>
          <w:rStyle w:val="18"/>
          <w:rFonts w:hint="eastAsia" w:ascii="仿宋" w:hAnsi="仿宋" w:eastAsia="仿宋"/>
          <w:b w:val="0"/>
          <w:bCs/>
          <w:color w:val="000000"/>
          <w:sz w:val="32"/>
          <w:szCs w:val="32"/>
          <w:lang w:val="en-US" w:eastAsia="zh-CN"/>
        </w:rPr>
        <w:t>100</w:t>
      </w:r>
      <w:r>
        <w:rPr>
          <w:rStyle w:val="18"/>
          <w:rFonts w:ascii="仿宋" w:hAnsi="仿宋" w:eastAsia="仿宋"/>
          <w:b w:val="0"/>
          <w:bCs/>
          <w:color w:val="000000"/>
          <w:sz w:val="32"/>
          <w:szCs w:val="32"/>
        </w:rPr>
        <w:t>%</w:t>
      </w:r>
      <w:r>
        <w:rPr>
          <w:rStyle w:val="18"/>
          <w:rFonts w:hint="eastAsia" w:ascii="仿宋" w:hAnsi="仿宋" w:eastAsia="仿宋"/>
          <w:b w:val="0"/>
          <w:bCs/>
          <w:color w:val="000000"/>
          <w:sz w:val="32"/>
          <w:szCs w:val="32"/>
        </w:rPr>
        <w:t>，决算数等于预算数。</w:t>
      </w:r>
    </w:p>
    <w:p>
      <w:pPr>
        <w:spacing w:line="600" w:lineRule="exact"/>
        <w:ind w:firstLine="642" w:firstLineChars="200"/>
        <w:rPr>
          <w:rStyle w:val="18"/>
          <w:rFonts w:hint="eastAsia" w:ascii="仿宋" w:hAnsi="仿宋" w:eastAsia="仿宋"/>
          <w:b w:val="0"/>
          <w:bCs/>
          <w:color w:val="000000"/>
          <w:sz w:val="32"/>
          <w:szCs w:val="32"/>
        </w:rPr>
      </w:pPr>
      <w:r>
        <w:rPr>
          <w:rStyle w:val="18"/>
          <w:rFonts w:hint="default" w:ascii="仿宋" w:hAnsi="仿宋" w:eastAsia="仿宋"/>
          <w:bCs/>
          <w:color w:val="000000"/>
          <w:sz w:val="32"/>
          <w:szCs w:val="32"/>
        </w:rPr>
        <w:t>6.</w:t>
      </w:r>
      <w:r>
        <w:rPr>
          <w:rStyle w:val="18"/>
          <w:rFonts w:hint="eastAsia" w:ascii="仿宋" w:hAnsi="仿宋" w:eastAsia="仿宋"/>
          <w:bCs/>
          <w:color w:val="000000"/>
          <w:sz w:val="32"/>
          <w:szCs w:val="32"/>
        </w:rPr>
        <w:t>一般公共服务（</w:t>
      </w:r>
      <w:r>
        <w:rPr>
          <w:rStyle w:val="18"/>
          <w:rFonts w:hint="eastAsia" w:ascii="仿宋" w:hAnsi="仿宋" w:eastAsia="仿宋"/>
          <w:bCs/>
          <w:color w:val="000000"/>
          <w:sz w:val="32"/>
          <w:szCs w:val="32"/>
          <w:lang w:eastAsia="zh-CN"/>
        </w:rPr>
        <w:t>类</w:t>
      </w:r>
      <w:r>
        <w:rPr>
          <w:rStyle w:val="18"/>
          <w:rFonts w:hint="eastAsia" w:ascii="仿宋" w:hAnsi="仿宋" w:eastAsia="仿宋"/>
          <w:bCs/>
          <w:color w:val="000000"/>
          <w:sz w:val="32"/>
          <w:szCs w:val="32"/>
        </w:rPr>
        <w:t>）</w:t>
      </w:r>
      <w:r>
        <w:rPr>
          <w:rStyle w:val="18"/>
          <w:rFonts w:hint="eastAsia" w:ascii="仿宋" w:hAnsi="仿宋" w:eastAsia="仿宋"/>
          <w:bCs/>
          <w:color w:val="000000"/>
          <w:sz w:val="32"/>
          <w:szCs w:val="32"/>
          <w:lang w:val="en-US" w:eastAsia="zh-CN"/>
        </w:rPr>
        <w:t>201</w:t>
      </w:r>
      <w:r>
        <w:rPr>
          <w:rStyle w:val="18"/>
          <w:rFonts w:hint="eastAsia" w:ascii="仿宋" w:hAnsi="仿宋" w:eastAsia="仿宋"/>
          <w:bCs/>
          <w:color w:val="000000"/>
          <w:sz w:val="32"/>
          <w:szCs w:val="32"/>
          <w:lang w:eastAsia="zh-CN"/>
        </w:rPr>
        <w:t>组织事务</w:t>
      </w:r>
      <w:r>
        <w:rPr>
          <w:rStyle w:val="18"/>
          <w:rFonts w:hint="eastAsia" w:ascii="仿宋" w:hAnsi="仿宋" w:eastAsia="仿宋"/>
          <w:bCs/>
          <w:color w:val="000000"/>
          <w:sz w:val="32"/>
          <w:szCs w:val="32"/>
        </w:rPr>
        <w:t>（</w:t>
      </w:r>
      <w:r>
        <w:rPr>
          <w:rStyle w:val="18"/>
          <w:rFonts w:hint="eastAsia" w:ascii="仿宋" w:hAnsi="仿宋" w:eastAsia="仿宋"/>
          <w:bCs/>
          <w:color w:val="000000"/>
          <w:sz w:val="32"/>
          <w:szCs w:val="32"/>
          <w:lang w:eastAsia="zh-CN"/>
        </w:rPr>
        <w:t>款</w:t>
      </w:r>
      <w:r>
        <w:rPr>
          <w:rStyle w:val="18"/>
          <w:rFonts w:hint="eastAsia" w:ascii="仿宋" w:hAnsi="仿宋" w:eastAsia="仿宋"/>
          <w:bCs/>
          <w:color w:val="000000"/>
          <w:sz w:val="32"/>
          <w:szCs w:val="32"/>
        </w:rPr>
        <w:t>）</w:t>
      </w:r>
      <w:r>
        <w:rPr>
          <w:rStyle w:val="18"/>
          <w:rFonts w:hint="eastAsia" w:ascii="仿宋" w:hAnsi="仿宋" w:eastAsia="仿宋"/>
          <w:bCs/>
          <w:color w:val="000000"/>
          <w:sz w:val="32"/>
          <w:szCs w:val="32"/>
          <w:lang w:val="en-US" w:eastAsia="zh-CN"/>
        </w:rPr>
        <w:t>32</w:t>
      </w:r>
      <w:r>
        <w:rPr>
          <w:rStyle w:val="18"/>
          <w:rFonts w:hint="eastAsia" w:ascii="仿宋" w:hAnsi="仿宋" w:eastAsia="仿宋"/>
          <w:bCs/>
          <w:color w:val="000000"/>
          <w:sz w:val="32"/>
          <w:szCs w:val="32"/>
          <w:lang w:eastAsia="zh-CN"/>
        </w:rPr>
        <w:t>一般行政管理事务</w:t>
      </w:r>
      <w:r>
        <w:rPr>
          <w:rStyle w:val="18"/>
          <w:rFonts w:hint="eastAsia" w:ascii="仿宋" w:hAnsi="仿宋" w:eastAsia="仿宋"/>
          <w:bCs/>
          <w:color w:val="000000"/>
          <w:sz w:val="32"/>
          <w:szCs w:val="32"/>
        </w:rPr>
        <w:t>（</w:t>
      </w:r>
      <w:r>
        <w:rPr>
          <w:rStyle w:val="18"/>
          <w:rFonts w:hint="eastAsia" w:ascii="仿宋" w:hAnsi="仿宋" w:eastAsia="仿宋"/>
          <w:bCs/>
          <w:color w:val="000000"/>
          <w:sz w:val="32"/>
          <w:szCs w:val="32"/>
          <w:lang w:eastAsia="zh-CN"/>
        </w:rPr>
        <w:t>项</w:t>
      </w:r>
      <w:r>
        <w:rPr>
          <w:rStyle w:val="18"/>
          <w:rFonts w:hint="eastAsia" w:ascii="仿宋" w:hAnsi="仿宋" w:eastAsia="仿宋"/>
          <w:bCs/>
          <w:color w:val="000000"/>
          <w:sz w:val="32"/>
          <w:szCs w:val="32"/>
        </w:rPr>
        <w:t>）</w:t>
      </w:r>
      <w:r>
        <w:rPr>
          <w:rStyle w:val="18"/>
          <w:rFonts w:hint="eastAsia" w:ascii="仿宋" w:hAnsi="仿宋" w:eastAsia="仿宋"/>
          <w:bCs/>
          <w:color w:val="000000"/>
          <w:sz w:val="32"/>
          <w:szCs w:val="32"/>
          <w:lang w:val="en-US" w:eastAsia="zh-CN"/>
        </w:rPr>
        <w:t>02</w:t>
      </w:r>
      <w:r>
        <w:rPr>
          <w:rStyle w:val="18"/>
          <w:rFonts w:ascii="仿宋" w:hAnsi="仿宋" w:eastAsia="仿宋"/>
          <w:bCs/>
          <w:color w:val="000000"/>
          <w:sz w:val="32"/>
          <w:szCs w:val="32"/>
        </w:rPr>
        <w:t>:</w:t>
      </w:r>
      <w:r>
        <w:rPr>
          <w:rStyle w:val="18"/>
          <w:rFonts w:hint="eastAsia" w:ascii="仿宋" w:hAnsi="仿宋" w:eastAsia="仿宋"/>
          <w:b w:val="0"/>
          <w:bCs/>
          <w:color w:val="000000"/>
          <w:sz w:val="32"/>
          <w:szCs w:val="32"/>
        </w:rPr>
        <w:t>支出决算为</w:t>
      </w:r>
      <w:r>
        <w:rPr>
          <w:rStyle w:val="18"/>
          <w:rFonts w:hint="eastAsia" w:ascii="仿宋" w:hAnsi="仿宋" w:eastAsia="仿宋"/>
          <w:b w:val="0"/>
          <w:bCs/>
          <w:color w:val="000000"/>
          <w:sz w:val="32"/>
          <w:szCs w:val="32"/>
          <w:lang w:val="en-US" w:eastAsia="zh-CN"/>
        </w:rPr>
        <w:t>5万</w:t>
      </w:r>
      <w:r>
        <w:rPr>
          <w:rStyle w:val="18"/>
          <w:rFonts w:hint="eastAsia" w:ascii="仿宋" w:hAnsi="仿宋" w:eastAsia="仿宋"/>
          <w:b w:val="0"/>
          <w:bCs/>
          <w:color w:val="000000"/>
          <w:sz w:val="32"/>
          <w:szCs w:val="32"/>
        </w:rPr>
        <w:t>元，完成预算</w:t>
      </w:r>
      <w:r>
        <w:rPr>
          <w:rStyle w:val="18"/>
          <w:rFonts w:hint="eastAsia" w:ascii="仿宋" w:hAnsi="仿宋" w:eastAsia="仿宋"/>
          <w:b w:val="0"/>
          <w:bCs/>
          <w:color w:val="000000"/>
          <w:sz w:val="32"/>
          <w:szCs w:val="32"/>
          <w:lang w:val="en-US" w:eastAsia="zh-CN"/>
        </w:rPr>
        <w:t>100</w:t>
      </w:r>
      <w:r>
        <w:rPr>
          <w:rStyle w:val="18"/>
          <w:rFonts w:ascii="仿宋" w:hAnsi="仿宋" w:eastAsia="仿宋"/>
          <w:b w:val="0"/>
          <w:bCs/>
          <w:color w:val="000000"/>
          <w:sz w:val="32"/>
          <w:szCs w:val="32"/>
        </w:rPr>
        <w:t>%</w:t>
      </w:r>
      <w:r>
        <w:rPr>
          <w:rStyle w:val="18"/>
          <w:rFonts w:hint="eastAsia" w:ascii="仿宋" w:hAnsi="仿宋" w:eastAsia="仿宋"/>
          <w:b w:val="0"/>
          <w:bCs/>
          <w:color w:val="000000"/>
          <w:sz w:val="32"/>
          <w:szCs w:val="32"/>
        </w:rPr>
        <w:t>，决算数等于预算数。</w:t>
      </w:r>
    </w:p>
    <w:p>
      <w:pPr>
        <w:spacing w:line="600" w:lineRule="exact"/>
        <w:ind w:firstLine="642" w:firstLineChars="200"/>
        <w:rPr>
          <w:rStyle w:val="18"/>
          <w:rFonts w:hint="eastAsia" w:ascii="仿宋" w:hAnsi="仿宋" w:eastAsia="仿宋"/>
          <w:b w:val="0"/>
          <w:bCs/>
          <w:color w:val="000000"/>
          <w:sz w:val="32"/>
          <w:szCs w:val="32"/>
        </w:rPr>
      </w:pPr>
      <w:r>
        <w:rPr>
          <w:rStyle w:val="18"/>
          <w:rFonts w:hint="default" w:ascii="仿宋" w:hAnsi="仿宋" w:eastAsia="仿宋"/>
          <w:bCs/>
          <w:color w:val="000000"/>
          <w:sz w:val="32"/>
          <w:szCs w:val="32"/>
        </w:rPr>
        <w:t>7.</w:t>
      </w:r>
      <w:r>
        <w:rPr>
          <w:rStyle w:val="18"/>
          <w:rFonts w:hint="eastAsia" w:ascii="仿宋" w:hAnsi="仿宋" w:eastAsia="仿宋"/>
          <w:bCs/>
          <w:color w:val="000000"/>
          <w:sz w:val="32"/>
          <w:szCs w:val="32"/>
        </w:rPr>
        <w:t>一般公共服务（</w:t>
      </w:r>
      <w:r>
        <w:rPr>
          <w:rStyle w:val="18"/>
          <w:rFonts w:hint="eastAsia" w:ascii="仿宋" w:hAnsi="仿宋" w:eastAsia="仿宋"/>
          <w:bCs/>
          <w:color w:val="000000"/>
          <w:sz w:val="32"/>
          <w:szCs w:val="32"/>
          <w:lang w:eastAsia="zh-CN"/>
        </w:rPr>
        <w:t>类</w:t>
      </w:r>
      <w:r>
        <w:rPr>
          <w:rStyle w:val="18"/>
          <w:rFonts w:hint="eastAsia" w:ascii="仿宋" w:hAnsi="仿宋" w:eastAsia="仿宋"/>
          <w:bCs/>
          <w:color w:val="000000"/>
          <w:sz w:val="32"/>
          <w:szCs w:val="32"/>
        </w:rPr>
        <w:t>）</w:t>
      </w:r>
      <w:r>
        <w:rPr>
          <w:rStyle w:val="18"/>
          <w:rFonts w:hint="eastAsia" w:ascii="仿宋" w:hAnsi="仿宋" w:eastAsia="仿宋"/>
          <w:bCs/>
          <w:color w:val="000000"/>
          <w:sz w:val="32"/>
          <w:szCs w:val="32"/>
          <w:lang w:val="en-US" w:eastAsia="zh-CN"/>
        </w:rPr>
        <w:t>201</w:t>
      </w:r>
      <w:r>
        <w:rPr>
          <w:rStyle w:val="18"/>
          <w:rFonts w:hint="eastAsia" w:ascii="仿宋" w:hAnsi="仿宋" w:eastAsia="仿宋"/>
          <w:bCs/>
          <w:color w:val="000000"/>
          <w:sz w:val="32"/>
          <w:szCs w:val="32"/>
          <w:lang w:eastAsia="zh-CN"/>
        </w:rPr>
        <w:t>其他一般公共服务支出</w:t>
      </w:r>
      <w:r>
        <w:rPr>
          <w:rStyle w:val="18"/>
          <w:rFonts w:hint="eastAsia" w:ascii="仿宋" w:hAnsi="仿宋" w:eastAsia="仿宋"/>
          <w:bCs/>
          <w:color w:val="000000"/>
          <w:sz w:val="32"/>
          <w:szCs w:val="32"/>
        </w:rPr>
        <w:t>（</w:t>
      </w:r>
      <w:r>
        <w:rPr>
          <w:rStyle w:val="18"/>
          <w:rFonts w:hint="eastAsia" w:ascii="仿宋" w:hAnsi="仿宋" w:eastAsia="仿宋"/>
          <w:bCs/>
          <w:color w:val="000000"/>
          <w:sz w:val="32"/>
          <w:szCs w:val="32"/>
          <w:lang w:eastAsia="zh-CN"/>
        </w:rPr>
        <w:t>款</w:t>
      </w:r>
      <w:r>
        <w:rPr>
          <w:rStyle w:val="18"/>
          <w:rFonts w:hint="eastAsia" w:ascii="仿宋" w:hAnsi="仿宋" w:eastAsia="仿宋"/>
          <w:bCs/>
          <w:color w:val="000000"/>
          <w:sz w:val="32"/>
          <w:szCs w:val="32"/>
        </w:rPr>
        <w:t>）</w:t>
      </w:r>
      <w:r>
        <w:rPr>
          <w:rStyle w:val="18"/>
          <w:rFonts w:hint="eastAsia" w:ascii="仿宋" w:hAnsi="仿宋" w:eastAsia="仿宋"/>
          <w:bCs/>
          <w:color w:val="000000"/>
          <w:sz w:val="32"/>
          <w:szCs w:val="32"/>
          <w:lang w:val="en-US" w:eastAsia="zh-CN"/>
        </w:rPr>
        <w:t>99</w:t>
      </w:r>
      <w:r>
        <w:rPr>
          <w:rStyle w:val="18"/>
          <w:rFonts w:hint="eastAsia" w:ascii="仿宋" w:hAnsi="仿宋" w:eastAsia="仿宋"/>
          <w:bCs/>
          <w:color w:val="000000"/>
          <w:sz w:val="32"/>
          <w:szCs w:val="32"/>
          <w:lang w:eastAsia="zh-CN"/>
        </w:rPr>
        <w:t>其他一般公共服务支出</w:t>
      </w:r>
      <w:r>
        <w:rPr>
          <w:rStyle w:val="18"/>
          <w:rFonts w:hint="eastAsia" w:ascii="仿宋" w:hAnsi="仿宋" w:eastAsia="仿宋"/>
          <w:bCs/>
          <w:color w:val="000000"/>
          <w:sz w:val="32"/>
          <w:szCs w:val="32"/>
        </w:rPr>
        <w:t>（</w:t>
      </w:r>
      <w:r>
        <w:rPr>
          <w:rStyle w:val="18"/>
          <w:rFonts w:hint="eastAsia" w:ascii="仿宋" w:hAnsi="仿宋" w:eastAsia="仿宋"/>
          <w:bCs/>
          <w:color w:val="000000"/>
          <w:sz w:val="32"/>
          <w:szCs w:val="32"/>
          <w:lang w:eastAsia="zh-CN"/>
        </w:rPr>
        <w:t>项</w:t>
      </w:r>
      <w:r>
        <w:rPr>
          <w:rStyle w:val="18"/>
          <w:rFonts w:hint="eastAsia" w:ascii="仿宋" w:hAnsi="仿宋" w:eastAsia="仿宋"/>
          <w:bCs/>
          <w:color w:val="000000"/>
          <w:sz w:val="32"/>
          <w:szCs w:val="32"/>
        </w:rPr>
        <w:t>）</w:t>
      </w:r>
      <w:r>
        <w:rPr>
          <w:rStyle w:val="18"/>
          <w:rFonts w:hint="eastAsia" w:ascii="仿宋" w:hAnsi="仿宋" w:eastAsia="仿宋"/>
          <w:bCs/>
          <w:color w:val="000000"/>
          <w:sz w:val="32"/>
          <w:szCs w:val="32"/>
          <w:lang w:val="en-US" w:eastAsia="zh-CN"/>
        </w:rPr>
        <w:t>99</w:t>
      </w:r>
      <w:r>
        <w:rPr>
          <w:rStyle w:val="18"/>
          <w:rFonts w:ascii="仿宋" w:hAnsi="仿宋" w:eastAsia="仿宋"/>
          <w:bCs/>
          <w:color w:val="000000"/>
          <w:sz w:val="32"/>
          <w:szCs w:val="32"/>
        </w:rPr>
        <w:t>:</w:t>
      </w:r>
      <w:r>
        <w:rPr>
          <w:rStyle w:val="18"/>
          <w:rFonts w:hint="eastAsia" w:ascii="仿宋" w:hAnsi="仿宋" w:eastAsia="仿宋"/>
          <w:b w:val="0"/>
          <w:bCs/>
          <w:color w:val="000000"/>
          <w:sz w:val="32"/>
          <w:szCs w:val="32"/>
        </w:rPr>
        <w:t>支出决算为</w:t>
      </w:r>
      <w:r>
        <w:rPr>
          <w:rStyle w:val="18"/>
          <w:rFonts w:hint="eastAsia" w:ascii="仿宋" w:hAnsi="仿宋" w:eastAsia="仿宋"/>
          <w:b w:val="0"/>
          <w:bCs/>
          <w:color w:val="000000"/>
          <w:sz w:val="32"/>
          <w:szCs w:val="32"/>
          <w:lang w:val="en-US" w:eastAsia="zh-CN"/>
        </w:rPr>
        <w:t>83.47万</w:t>
      </w:r>
      <w:r>
        <w:rPr>
          <w:rStyle w:val="18"/>
          <w:rFonts w:hint="eastAsia" w:ascii="仿宋" w:hAnsi="仿宋" w:eastAsia="仿宋"/>
          <w:b w:val="0"/>
          <w:bCs/>
          <w:color w:val="000000"/>
          <w:sz w:val="32"/>
          <w:szCs w:val="32"/>
        </w:rPr>
        <w:t>元，完成预算</w:t>
      </w:r>
      <w:r>
        <w:rPr>
          <w:rStyle w:val="18"/>
          <w:rFonts w:hint="eastAsia" w:ascii="仿宋" w:hAnsi="仿宋" w:eastAsia="仿宋"/>
          <w:b w:val="0"/>
          <w:bCs/>
          <w:color w:val="000000"/>
          <w:sz w:val="32"/>
          <w:szCs w:val="32"/>
          <w:lang w:val="en-US" w:eastAsia="zh-CN"/>
        </w:rPr>
        <w:t>100</w:t>
      </w:r>
      <w:r>
        <w:rPr>
          <w:rStyle w:val="18"/>
          <w:rFonts w:ascii="仿宋" w:hAnsi="仿宋" w:eastAsia="仿宋"/>
          <w:b w:val="0"/>
          <w:bCs/>
          <w:color w:val="000000"/>
          <w:sz w:val="32"/>
          <w:szCs w:val="32"/>
        </w:rPr>
        <w:t>%</w:t>
      </w:r>
      <w:r>
        <w:rPr>
          <w:rStyle w:val="18"/>
          <w:rFonts w:hint="eastAsia" w:ascii="仿宋" w:hAnsi="仿宋" w:eastAsia="仿宋"/>
          <w:b w:val="0"/>
          <w:bCs/>
          <w:color w:val="000000"/>
          <w:sz w:val="32"/>
          <w:szCs w:val="32"/>
        </w:rPr>
        <w:t>，决算数等于预算数。</w:t>
      </w:r>
    </w:p>
    <w:p>
      <w:pPr>
        <w:numPr>
          <w:ilvl w:val="0"/>
          <w:numId w:val="0"/>
        </w:numPr>
        <w:spacing w:line="600" w:lineRule="exact"/>
        <w:ind w:firstLine="642" w:firstLineChars="200"/>
        <w:rPr>
          <w:rStyle w:val="18"/>
          <w:rFonts w:hint="eastAsia" w:ascii="仿宋" w:hAnsi="仿宋" w:eastAsia="仿宋"/>
          <w:b w:val="0"/>
          <w:bCs/>
          <w:color w:val="000000"/>
          <w:sz w:val="32"/>
          <w:szCs w:val="32"/>
        </w:rPr>
      </w:pPr>
      <w:r>
        <w:rPr>
          <w:rStyle w:val="18"/>
          <w:rFonts w:hint="default" w:ascii="仿宋" w:hAnsi="仿宋" w:eastAsia="仿宋"/>
          <w:bCs/>
          <w:color w:val="000000"/>
          <w:sz w:val="32"/>
          <w:szCs w:val="32"/>
          <w:lang w:eastAsia="zh-CN"/>
        </w:rPr>
        <w:t>8</w:t>
      </w:r>
      <w:r>
        <w:rPr>
          <w:rStyle w:val="18"/>
          <w:rFonts w:hint="eastAsia" w:ascii="仿宋" w:hAnsi="仿宋" w:eastAsia="仿宋"/>
          <w:bCs/>
          <w:color w:val="000000"/>
          <w:sz w:val="32"/>
          <w:szCs w:val="32"/>
          <w:lang w:val="en-US" w:eastAsia="zh-CN"/>
        </w:rPr>
        <w:t>.</w:t>
      </w:r>
      <w:r>
        <w:rPr>
          <w:rStyle w:val="18"/>
          <w:rFonts w:hint="eastAsia" w:ascii="仿宋" w:hAnsi="仿宋" w:eastAsia="仿宋"/>
          <w:bCs/>
          <w:color w:val="000000"/>
          <w:sz w:val="32"/>
          <w:szCs w:val="32"/>
          <w:lang w:eastAsia="zh-CN"/>
        </w:rPr>
        <w:t>公共安全支出</w:t>
      </w:r>
      <w:r>
        <w:rPr>
          <w:rStyle w:val="18"/>
          <w:rFonts w:hint="eastAsia" w:ascii="仿宋" w:hAnsi="仿宋" w:eastAsia="仿宋"/>
          <w:bCs/>
          <w:color w:val="000000"/>
          <w:sz w:val="32"/>
          <w:szCs w:val="32"/>
        </w:rPr>
        <w:t>（类）</w:t>
      </w:r>
      <w:r>
        <w:rPr>
          <w:rStyle w:val="18"/>
          <w:rFonts w:hint="eastAsia" w:ascii="仿宋" w:hAnsi="仿宋" w:eastAsia="仿宋"/>
          <w:bCs/>
          <w:color w:val="000000"/>
          <w:sz w:val="32"/>
          <w:szCs w:val="32"/>
          <w:lang w:val="en-US" w:eastAsia="zh-CN"/>
        </w:rPr>
        <w:t>204</w:t>
      </w:r>
      <w:r>
        <w:rPr>
          <w:rStyle w:val="18"/>
          <w:rFonts w:hint="eastAsia" w:ascii="仿宋" w:hAnsi="仿宋" w:eastAsia="仿宋"/>
          <w:bCs/>
          <w:color w:val="000000"/>
          <w:sz w:val="32"/>
          <w:szCs w:val="32"/>
          <w:lang w:eastAsia="zh-CN"/>
        </w:rPr>
        <w:t>国家安全</w:t>
      </w:r>
      <w:r>
        <w:rPr>
          <w:rStyle w:val="18"/>
          <w:rFonts w:hint="eastAsia" w:ascii="仿宋" w:hAnsi="仿宋" w:eastAsia="仿宋"/>
          <w:bCs/>
          <w:color w:val="000000"/>
          <w:sz w:val="32"/>
          <w:szCs w:val="32"/>
        </w:rPr>
        <w:t>（款）</w:t>
      </w:r>
      <w:r>
        <w:rPr>
          <w:rStyle w:val="18"/>
          <w:rFonts w:hint="eastAsia" w:ascii="仿宋" w:hAnsi="仿宋" w:eastAsia="仿宋"/>
          <w:bCs/>
          <w:color w:val="000000"/>
          <w:sz w:val="32"/>
          <w:szCs w:val="32"/>
          <w:lang w:val="en-US" w:eastAsia="zh-CN"/>
        </w:rPr>
        <w:t>03</w:t>
      </w:r>
      <w:r>
        <w:rPr>
          <w:rStyle w:val="18"/>
          <w:rFonts w:hint="eastAsia" w:ascii="仿宋" w:hAnsi="仿宋" w:eastAsia="仿宋"/>
          <w:bCs/>
          <w:color w:val="000000"/>
          <w:sz w:val="32"/>
          <w:szCs w:val="32"/>
          <w:lang w:eastAsia="zh-CN"/>
        </w:rPr>
        <w:t>其他国家安全支出</w:t>
      </w:r>
      <w:r>
        <w:rPr>
          <w:rStyle w:val="18"/>
          <w:rFonts w:hint="eastAsia" w:ascii="仿宋" w:hAnsi="仿宋" w:eastAsia="仿宋"/>
          <w:bCs/>
          <w:color w:val="000000"/>
          <w:sz w:val="32"/>
          <w:szCs w:val="32"/>
        </w:rPr>
        <w:t>（项）</w:t>
      </w:r>
      <w:r>
        <w:rPr>
          <w:rStyle w:val="18"/>
          <w:rFonts w:hint="eastAsia" w:ascii="仿宋" w:hAnsi="仿宋" w:eastAsia="仿宋"/>
          <w:bCs/>
          <w:color w:val="000000"/>
          <w:sz w:val="32"/>
          <w:szCs w:val="32"/>
          <w:lang w:val="en-US" w:eastAsia="zh-CN"/>
        </w:rPr>
        <w:t>99</w:t>
      </w:r>
      <w:r>
        <w:rPr>
          <w:rStyle w:val="18"/>
          <w:rFonts w:ascii="仿宋" w:hAnsi="仿宋" w:eastAsia="仿宋"/>
          <w:bCs/>
          <w:color w:val="000000"/>
          <w:sz w:val="32"/>
          <w:szCs w:val="32"/>
        </w:rPr>
        <w:t>:</w:t>
      </w:r>
      <w:r>
        <w:rPr>
          <w:rStyle w:val="18"/>
          <w:rFonts w:hint="eastAsia" w:ascii="仿宋" w:hAnsi="仿宋" w:eastAsia="仿宋"/>
          <w:b w:val="0"/>
          <w:bCs/>
          <w:color w:val="000000"/>
          <w:sz w:val="32"/>
          <w:szCs w:val="32"/>
        </w:rPr>
        <w:t>支出决算为</w:t>
      </w:r>
      <w:r>
        <w:rPr>
          <w:rStyle w:val="18"/>
          <w:rFonts w:hint="eastAsia" w:ascii="仿宋" w:hAnsi="仿宋" w:eastAsia="仿宋"/>
          <w:b w:val="0"/>
          <w:bCs/>
          <w:color w:val="000000"/>
          <w:sz w:val="32"/>
          <w:szCs w:val="32"/>
          <w:lang w:val="en-US" w:eastAsia="zh-CN"/>
        </w:rPr>
        <w:t>8</w:t>
      </w:r>
      <w:r>
        <w:rPr>
          <w:rStyle w:val="18"/>
          <w:rFonts w:hint="eastAsia" w:ascii="仿宋" w:hAnsi="仿宋" w:eastAsia="仿宋"/>
          <w:b w:val="0"/>
          <w:bCs/>
          <w:color w:val="000000"/>
          <w:sz w:val="32"/>
          <w:szCs w:val="32"/>
        </w:rPr>
        <w:t>万元，完成预算</w:t>
      </w:r>
      <w:r>
        <w:rPr>
          <w:rStyle w:val="18"/>
          <w:rFonts w:hint="eastAsia" w:ascii="仿宋" w:hAnsi="仿宋" w:eastAsia="仿宋"/>
          <w:b w:val="0"/>
          <w:bCs/>
          <w:color w:val="000000"/>
          <w:sz w:val="32"/>
          <w:szCs w:val="32"/>
          <w:lang w:val="en-US" w:eastAsia="zh-CN"/>
        </w:rPr>
        <w:t>100</w:t>
      </w:r>
      <w:r>
        <w:rPr>
          <w:rStyle w:val="18"/>
          <w:rFonts w:ascii="仿宋" w:hAnsi="仿宋" w:eastAsia="仿宋"/>
          <w:b w:val="0"/>
          <w:bCs/>
          <w:color w:val="000000"/>
          <w:sz w:val="32"/>
          <w:szCs w:val="32"/>
        </w:rPr>
        <w:t>%</w:t>
      </w:r>
      <w:r>
        <w:rPr>
          <w:rStyle w:val="18"/>
          <w:rFonts w:hint="eastAsia" w:ascii="仿宋" w:hAnsi="仿宋" w:eastAsia="仿宋"/>
          <w:b w:val="0"/>
          <w:bCs/>
          <w:color w:val="000000"/>
          <w:sz w:val="32"/>
          <w:szCs w:val="32"/>
        </w:rPr>
        <w:t>，决算数等于预算数。</w:t>
      </w:r>
    </w:p>
    <w:p>
      <w:pPr>
        <w:spacing w:line="600" w:lineRule="exact"/>
        <w:ind w:firstLine="642" w:firstLineChars="200"/>
        <w:rPr>
          <w:rFonts w:ascii="仿宋" w:hAnsi="仿宋" w:eastAsia="仿宋"/>
          <w:b/>
          <w:color w:val="000000"/>
          <w:sz w:val="32"/>
          <w:szCs w:val="32"/>
        </w:rPr>
      </w:pPr>
      <w:r>
        <w:rPr>
          <w:rStyle w:val="18"/>
          <w:rFonts w:hint="default" w:ascii="仿宋" w:hAnsi="仿宋" w:eastAsia="仿宋"/>
          <w:bCs/>
          <w:color w:val="000000"/>
          <w:sz w:val="32"/>
          <w:szCs w:val="32"/>
          <w:lang w:eastAsia="zh-CN"/>
        </w:rPr>
        <w:t>9</w:t>
      </w:r>
      <w:r>
        <w:rPr>
          <w:rStyle w:val="18"/>
          <w:rFonts w:hint="eastAsia" w:ascii="仿宋" w:hAnsi="仿宋" w:eastAsia="仿宋"/>
          <w:bCs/>
          <w:color w:val="000000"/>
          <w:sz w:val="32"/>
          <w:szCs w:val="32"/>
          <w:lang w:val="en-US" w:eastAsia="zh-CN"/>
        </w:rPr>
        <w:t>.</w:t>
      </w:r>
      <w:r>
        <w:rPr>
          <w:rStyle w:val="18"/>
          <w:rFonts w:hint="eastAsia" w:ascii="仿宋" w:hAnsi="仿宋" w:eastAsia="仿宋"/>
          <w:bCs/>
          <w:color w:val="000000"/>
          <w:sz w:val="32"/>
          <w:szCs w:val="32"/>
        </w:rPr>
        <w:t>社会保障和就业（类）</w:t>
      </w:r>
      <w:r>
        <w:rPr>
          <w:rStyle w:val="18"/>
          <w:rFonts w:hint="eastAsia" w:ascii="仿宋" w:hAnsi="仿宋" w:eastAsia="仿宋"/>
          <w:bCs/>
          <w:color w:val="000000"/>
          <w:sz w:val="32"/>
          <w:szCs w:val="32"/>
          <w:lang w:val="en-US" w:eastAsia="zh-CN"/>
        </w:rPr>
        <w:t>208</w:t>
      </w:r>
      <w:r>
        <w:rPr>
          <w:rStyle w:val="18"/>
          <w:rFonts w:hint="eastAsia" w:ascii="仿宋" w:hAnsi="仿宋" w:eastAsia="仿宋"/>
          <w:bCs/>
          <w:color w:val="000000"/>
          <w:sz w:val="32"/>
          <w:szCs w:val="32"/>
          <w:lang w:eastAsia="zh-CN"/>
        </w:rPr>
        <w:t>行政事业单位养老支出</w:t>
      </w:r>
      <w:r>
        <w:rPr>
          <w:rStyle w:val="18"/>
          <w:rFonts w:hint="eastAsia" w:ascii="仿宋" w:hAnsi="仿宋" w:eastAsia="仿宋"/>
          <w:bCs/>
          <w:color w:val="000000"/>
          <w:sz w:val="32"/>
          <w:szCs w:val="32"/>
        </w:rPr>
        <w:t>（款）</w:t>
      </w:r>
      <w:r>
        <w:rPr>
          <w:rStyle w:val="18"/>
          <w:rFonts w:hint="eastAsia" w:ascii="仿宋" w:hAnsi="仿宋" w:eastAsia="仿宋"/>
          <w:bCs/>
          <w:color w:val="000000"/>
          <w:sz w:val="32"/>
          <w:szCs w:val="32"/>
          <w:lang w:val="en-US" w:eastAsia="zh-CN"/>
        </w:rPr>
        <w:t>05行政单位离退休</w:t>
      </w:r>
      <w:r>
        <w:rPr>
          <w:rStyle w:val="18"/>
          <w:rFonts w:hint="eastAsia" w:ascii="仿宋" w:hAnsi="仿宋" w:eastAsia="仿宋"/>
          <w:bCs/>
          <w:color w:val="000000"/>
          <w:sz w:val="32"/>
          <w:szCs w:val="32"/>
        </w:rPr>
        <w:t>（项）</w:t>
      </w:r>
      <w:r>
        <w:rPr>
          <w:rStyle w:val="18"/>
          <w:rFonts w:hint="eastAsia" w:ascii="仿宋" w:hAnsi="仿宋" w:eastAsia="仿宋"/>
          <w:bCs/>
          <w:color w:val="000000"/>
          <w:sz w:val="32"/>
          <w:szCs w:val="32"/>
          <w:lang w:val="en-US" w:eastAsia="zh-CN"/>
        </w:rPr>
        <w:t>01</w:t>
      </w:r>
      <w:r>
        <w:rPr>
          <w:rStyle w:val="18"/>
          <w:rFonts w:ascii="仿宋" w:hAnsi="仿宋" w:eastAsia="仿宋"/>
          <w:bCs/>
          <w:color w:val="000000"/>
          <w:sz w:val="32"/>
          <w:szCs w:val="32"/>
        </w:rPr>
        <w:t>:</w:t>
      </w:r>
      <w:r>
        <w:rPr>
          <w:rStyle w:val="18"/>
          <w:rFonts w:hint="eastAsia" w:ascii="仿宋" w:hAnsi="仿宋" w:eastAsia="仿宋"/>
          <w:b w:val="0"/>
          <w:bCs/>
          <w:color w:val="000000"/>
          <w:sz w:val="32"/>
          <w:szCs w:val="32"/>
        </w:rPr>
        <w:t>支出决算为</w:t>
      </w:r>
      <w:r>
        <w:rPr>
          <w:rStyle w:val="18"/>
          <w:rFonts w:hint="eastAsia" w:ascii="仿宋" w:hAnsi="仿宋" w:eastAsia="仿宋"/>
          <w:b w:val="0"/>
          <w:bCs/>
          <w:color w:val="000000"/>
          <w:sz w:val="32"/>
          <w:szCs w:val="32"/>
          <w:lang w:val="en-US" w:eastAsia="zh-CN"/>
        </w:rPr>
        <w:t>12.6</w:t>
      </w:r>
      <w:r>
        <w:rPr>
          <w:rStyle w:val="18"/>
          <w:rFonts w:hint="eastAsia" w:ascii="仿宋" w:hAnsi="仿宋" w:eastAsia="仿宋"/>
          <w:b w:val="0"/>
          <w:bCs/>
          <w:color w:val="000000"/>
          <w:sz w:val="32"/>
          <w:szCs w:val="32"/>
        </w:rPr>
        <w:t>万元，完成预算</w:t>
      </w:r>
      <w:r>
        <w:rPr>
          <w:rStyle w:val="18"/>
          <w:rFonts w:hint="eastAsia" w:ascii="仿宋" w:hAnsi="仿宋" w:eastAsia="仿宋"/>
          <w:b w:val="0"/>
          <w:bCs/>
          <w:color w:val="000000"/>
          <w:sz w:val="32"/>
          <w:szCs w:val="32"/>
          <w:lang w:val="en-US" w:eastAsia="zh-CN"/>
        </w:rPr>
        <w:t>100</w:t>
      </w:r>
      <w:r>
        <w:rPr>
          <w:rStyle w:val="18"/>
          <w:rFonts w:ascii="仿宋" w:hAnsi="仿宋" w:eastAsia="仿宋"/>
          <w:b w:val="0"/>
          <w:bCs/>
          <w:color w:val="000000"/>
          <w:sz w:val="32"/>
          <w:szCs w:val="32"/>
        </w:rPr>
        <w:t>%</w:t>
      </w:r>
      <w:r>
        <w:rPr>
          <w:rStyle w:val="18"/>
          <w:rFonts w:hint="eastAsia" w:ascii="仿宋" w:hAnsi="仿宋" w:eastAsia="仿宋"/>
          <w:b w:val="0"/>
          <w:bCs/>
          <w:color w:val="000000"/>
          <w:sz w:val="32"/>
          <w:szCs w:val="32"/>
        </w:rPr>
        <w:t>，决算数等于预算数。</w:t>
      </w:r>
    </w:p>
    <w:p>
      <w:pPr>
        <w:spacing w:line="600" w:lineRule="exact"/>
        <w:ind w:firstLine="642" w:firstLineChars="200"/>
        <w:rPr>
          <w:rFonts w:ascii="仿宋" w:hAnsi="仿宋" w:eastAsia="仿宋"/>
          <w:b/>
          <w:color w:val="000000"/>
          <w:sz w:val="32"/>
          <w:szCs w:val="32"/>
        </w:rPr>
      </w:pPr>
      <w:r>
        <w:rPr>
          <w:rStyle w:val="18"/>
          <w:rFonts w:hint="default" w:ascii="仿宋" w:hAnsi="仿宋" w:eastAsia="仿宋"/>
          <w:bCs/>
          <w:color w:val="000000"/>
          <w:sz w:val="32"/>
          <w:szCs w:val="32"/>
        </w:rPr>
        <w:t>10.</w:t>
      </w:r>
      <w:r>
        <w:rPr>
          <w:rStyle w:val="18"/>
          <w:rFonts w:hint="eastAsia" w:ascii="仿宋" w:hAnsi="仿宋" w:eastAsia="仿宋"/>
          <w:bCs/>
          <w:color w:val="000000"/>
          <w:sz w:val="32"/>
          <w:szCs w:val="32"/>
        </w:rPr>
        <w:t>社会保障和就业（类）</w:t>
      </w:r>
      <w:r>
        <w:rPr>
          <w:rStyle w:val="18"/>
          <w:rFonts w:hint="eastAsia" w:ascii="仿宋" w:hAnsi="仿宋" w:eastAsia="仿宋"/>
          <w:bCs/>
          <w:color w:val="000000"/>
          <w:sz w:val="32"/>
          <w:szCs w:val="32"/>
          <w:lang w:val="en-US" w:eastAsia="zh-CN"/>
        </w:rPr>
        <w:t>208</w:t>
      </w:r>
      <w:r>
        <w:rPr>
          <w:rStyle w:val="18"/>
          <w:rFonts w:hint="eastAsia" w:ascii="仿宋" w:hAnsi="仿宋" w:eastAsia="仿宋"/>
          <w:bCs/>
          <w:color w:val="000000"/>
          <w:sz w:val="32"/>
          <w:szCs w:val="32"/>
          <w:lang w:eastAsia="zh-CN"/>
        </w:rPr>
        <w:t>行政事业单位养老支出</w:t>
      </w:r>
      <w:r>
        <w:rPr>
          <w:rStyle w:val="18"/>
          <w:rFonts w:hint="eastAsia" w:ascii="仿宋" w:hAnsi="仿宋" w:eastAsia="仿宋"/>
          <w:bCs/>
          <w:color w:val="000000"/>
          <w:sz w:val="32"/>
          <w:szCs w:val="32"/>
        </w:rPr>
        <w:t>（款）</w:t>
      </w:r>
      <w:r>
        <w:rPr>
          <w:rStyle w:val="18"/>
          <w:rFonts w:hint="eastAsia" w:ascii="仿宋" w:hAnsi="仿宋" w:eastAsia="仿宋"/>
          <w:bCs/>
          <w:color w:val="000000"/>
          <w:sz w:val="32"/>
          <w:szCs w:val="32"/>
          <w:lang w:val="en-US" w:eastAsia="zh-CN"/>
        </w:rPr>
        <w:t>05</w:t>
      </w:r>
      <w:r>
        <w:rPr>
          <w:rStyle w:val="18"/>
          <w:rFonts w:hint="eastAsia" w:ascii="仿宋" w:hAnsi="仿宋" w:eastAsia="仿宋"/>
          <w:bCs/>
          <w:color w:val="000000"/>
          <w:sz w:val="32"/>
          <w:szCs w:val="32"/>
          <w:lang w:eastAsia="zh-CN"/>
        </w:rPr>
        <w:t>机关事业单位基本养老保险缴费支出</w:t>
      </w:r>
      <w:r>
        <w:rPr>
          <w:rStyle w:val="18"/>
          <w:rFonts w:hint="eastAsia" w:ascii="仿宋" w:hAnsi="仿宋" w:eastAsia="仿宋"/>
          <w:bCs/>
          <w:color w:val="000000"/>
          <w:sz w:val="32"/>
          <w:szCs w:val="32"/>
        </w:rPr>
        <w:t>（项）</w:t>
      </w:r>
      <w:r>
        <w:rPr>
          <w:rStyle w:val="18"/>
          <w:rFonts w:hint="eastAsia" w:ascii="仿宋" w:hAnsi="仿宋" w:eastAsia="仿宋"/>
          <w:bCs/>
          <w:color w:val="000000"/>
          <w:sz w:val="32"/>
          <w:szCs w:val="32"/>
          <w:lang w:val="en-US" w:eastAsia="zh-CN"/>
        </w:rPr>
        <w:t>05</w:t>
      </w:r>
      <w:r>
        <w:rPr>
          <w:rStyle w:val="18"/>
          <w:rFonts w:ascii="仿宋" w:hAnsi="仿宋" w:eastAsia="仿宋"/>
          <w:bCs/>
          <w:color w:val="000000"/>
          <w:sz w:val="32"/>
          <w:szCs w:val="32"/>
        </w:rPr>
        <w:t>:</w:t>
      </w:r>
      <w:r>
        <w:rPr>
          <w:rStyle w:val="18"/>
          <w:rFonts w:hint="eastAsia" w:ascii="仿宋" w:hAnsi="仿宋" w:eastAsia="仿宋"/>
          <w:b w:val="0"/>
          <w:bCs/>
          <w:color w:val="000000"/>
          <w:sz w:val="32"/>
          <w:szCs w:val="32"/>
        </w:rPr>
        <w:t>支出决算为</w:t>
      </w:r>
      <w:r>
        <w:rPr>
          <w:rStyle w:val="18"/>
          <w:rFonts w:hint="eastAsia" w:ascii="仿宋" w:hAnsi="仿宋" w:eastAsia="仿宋"/>
          <w:b w:val="0"/>
          <w:bCs/>
          <w:color w:val="000000"/>
          <w:sz w:val="32"/>
          <w:szCs w:val="32"/>
          <w:lang w:val="en-US" w:eastAsia="zh-CN"/>
        </w:rPr>
        <w:t>27.8</w:t>
      </w:r>
      <w:r>
        <w:rPr>
          <w:rStyle w:val="18"/>
          <w:rFonts w:hint="eastAsia" w:ascii="仿宋" w:hAnsi="仿宋" w:eastAsia="仿宋"/>
          <w:b w:val="0"/>
          <w:bCs/>
          <w:color w:val="000000"/>
          <w:sz w:val="32"/>
          <w:szCs w:val="32"/>
        </w:rPr>
        <w:t>万元，完成预算</w:t>
      </w:r>
      <w:r>
        <w:rPr>
          <w:rStyle w:val="18"/>
          <w:rFonts w:hint="eastAsia" w:ascii="仿宋" w:hAnsi="仿宋" w:eastAsia="仿宋"/>
          <w:b w:val="0"/>
          <w:bCs/>
          <w:color w:val="000000"/>
          <w:sz w:val="32"/>
          <w:szCs w:val="32"/>
          <w:lang w:val="en-US" w:eastAsia="zh-CN"/>
        </w:rPr>
        <w:t>100</w:t>
      </w:r>
      <w:r>
        <w:rPr>
          <w:rStyle w:val="18"/>
          <w:rFonts w:ascii="仿宋" w:hAnsi="仿宋" w:eastAsia="仿宋"/>
          <w:b w:val="0"/>
          <w:bCs/>
          <w:color w:val="000000"/>
          <w:sz w:val="32"/>
          <w:szCs w:val="32"/>
        </w:rPr>
        <w:t>%</w:t>
      </w:r>
      <w:r>
        <w:rPr>
          <w:rStyle w:val="18"/>
          <w:rFonts w:hint="eastAsia" w:ascii="仿宋" w:hAnsi="仿宋" w:eastAsia="仿宋"/>
          <w:b w:val="0"/>
          <w:bCs/>
          <w:color w:val="000000"/>
          <w:sz w:val="32"/>
          <w:szCs w:val="32"/>
        </w:rPr>
        <w:t>，决算数等于预算数。</w:t>
      </w:r>
    </w:p>
    <w:p>
      <w:pPr>
        <w:spacing w:line="600" w:lineRule="exact"/>
        <w:ind w:firstLine="642" w:firstLineChars="200"/>
        <w:rPr>
          <w:rFonts w:ascii="仿宋" w:hAnsi="仿宋" w:eastAsia="仿宋"/>
          <w:b/>
          <w:color w:val="000000"/>
          <w:sz w:val="32"/>
          <w:szCs w:val="32"/>
        </w:rPr>
      </w:pPr>
      <w:r>
        <w:rPr>
          <w:rStyle w:val="18"/>
          <w:rFonts w:hint="default" w:ascii="仿宋" w:hAnsi="仿宋" w:eastAsia="仿宋"/>
          <w:bCs/>
          <w:color w:val="000000"/>
          <w:sz w:val="32"/>
          <w:szCs w:val="32"/>
        </w:rPr>
        <w:t>11.</w:t>
      </w:r>
      <w:r>
        <w:rPr>
          <w:rStyle w:val="18"/>
          <w:rFonts w:hint="eastAsia" w:ascii="仿宋" w:hAnsi="仿宋" w:eastAsia="仿宋"/>
          <w:bCs/>
          <w:color w:val="000000"/>
          <w:sz w:val="32"/>
          <w:szCs w:val="32"/>
        </w:rPr>
        <w:t>社会保障和就业（类）</w:t>
      </w:r>
      <w:r>
        <w:rPr>
          <w:rStyle w:val="18"/>
          <w:rFonts w:hint="eastAsia" w:ascii="仿宋" w:hAnsi="仿宋" w:eastAsia="仿宋"/>
          <w:bCs/>
          <w:color w:val="000000"/>
          <w:sz w:val="32"/>
          <w:szCs w:val="32"/>
          <w:lang w:val="en-US" w:eastAsia="zh-CN"/>
        </w:rPr>
        <w:t>208</w:t>
      </w:r>
      <w:r>
        <w:rPr>
          <w:rStyle w:val="18"/>
          <w:rFonts w:hint="eastAsia" w:ascii="仿宋" w:hAnsi="仿宋" w:eastAsia="仿宋"/>
          <w:bCs/>
          <w:color w:val="000000"/>
          <w:sz w:val="32"/>
          <w:szCs w:val="32"/>
          <w:lang w:eastAsia="zh-CN"/>
        </w:rPr>
        <w:t>行政事业单位养老支出</w:t>
      </w:r>
      <w:r>
        <w:rPr>
          <w:rStyle w:val="18"/>
          <w:rFonts w:hint="eastAsia" w:ascii="仿宋" w:hAnsi="仿宋" w:eastAsia="仿宋"/>
          <w:bCs/>
          <w:color w:val="000000"/>
          <w:sz w:val="32"/>
          <w:szCs w:val="32"/>
        </w:rPr>
        <w:t>（款）</w:t>
      </w:r>
      <w:r>
        <w:rPr>
          <w:rStyle w:val="18"/>
          <w:rFonts w:hint="eastAsia" w:ascii="仿宋" w:hAnsi="仿宋" w:eastAsia="仿宋"/>
          <w:bCs/>
          <w:color w:val="000000"/>
          <w:sz w:val="32"/>
          <w:szCs w:val="32"/>
          <w:lang w:val="en-US" w:eastAsia="zh-CN"/>
        </w:rPr>
        <w:t>05</w:t>
      </w:r>
      <w:r>
        <w:rPr>
          <w:rStyle w:val="18"/>
          <w:rFonts w:hint="eastAsia" w:ascii="仿宋" w:hAnsi="仿宋" w:eastAsia="仿宋"/>
          <w:bCs/>
          <w:color w:val="000000"/>
          <w:sz w:val="32"/>
          <w:szCs w:val="32"/>
          <w:lang w:eastAsia="zh-CN"/>
        </w:rPr>
        <w:t>机关事业单位职业年金缴费支出</w:t>
      </w:r>
      <w:r>
        <w:rPr>
          <w:rStyle w:val="18"/>
          <w:rFonts w:hint="eastAsia" w:ascii="仿宋" w:hAnsi="仿宋" w:eastAsia="仿宋"/>
          <w:bCs/>
          <w:color w:val="000000"/>
          <w:sz w:val="32"/>
          <w:szCs w:val="32"/>
        </w:rPr>
        <w:t>（项）</w:t>
      </w:r>
      <w:r>
        <w:rPr>
          <w:rStyle w:val="18"/>
          <w:rFonts w:hint="eastAsia" w:ascii="仿宋" w:hAnsi="仿宋" w:eastAsia="仿宋"/>
          <w:bCs/>
          <w:color w:val="000000"/>
          <w:sz w:val="32"/>
          <w:szCs w:val="32"/>
          <w:lang w:val="en-US" w:eastAsia="zh-CN"/>
        </w:rPr>
        <w:t>06</w:t>
      </w:r>
      <w:r>
        <w:rPr>
          <w:rStyle w:val="18"/>
          <w:rFonts w:ascii="仿宋" w:hAnsi="仿宋" w:eastAsia="仿宋"/>
          <w:bCs/>
          <w:color w:val="000000"/>
          <w:sz w:val="32"/>
          <w:szCs w:val="32"/>
        </w:rPr>
        <w:t>:</w:t>
      </w:r>
      <w:r>
        <w:rPr>
          <w:rStyle w:val="18"/>
          <w:rFonts w:hint="eastAsia" w:ascii="仿宋" w:hAnsi="仿宋" w:eastAsia="仿宋"/>
          <w:b w:val="0"/>
          <w:bCs/>
          <w:color w:val="000000"/>
          <w:sz w:val="32"/>
          <w:szCs w:val="32"/>
        </w:rPr>
        <w:t>支出决算为</w:t>
      </w:r>
      <w:r>
        <w:rPr>
          <w:rStyle w:val="18"/>
          <w:rFonts w:hint="eastAsia" w:ascii="仿宋" w:hAnsi="仿宋" w:eastAsia="仿宋"/>
          <w:b w:val="0"/>
          <w:bCs/>
          <w:color w:val="000000"/>
          <w:sz w:val="32"/>
          <w:szCs w:val="32"/>
          <w:lang w:val="en-US" w:eastAsia="zh-CN"/>
        </w:rPr>
        <w:t>9.02</w:t>
      </w:r>
      <w:r>
        <w:rPr>
          <w:rStyle w:val="18"/>
          <w:rFonts w:hint="eastAsia" w:ascii="仿宋" w:hAnsi="仿宋" w:eastAsia="仿宋"/>
          <w:b w:val="0"/>
          <w:bCs/>
          <w:color w:val="000000"/>
          <w:sz w:val="32"/>
          <w:szCs w:val="32"/>
        </w:rPr>
        <w:t>万元，完成预算</w:t>
      </w:r>
      <w:r>
        <w:rPr>
          <w:rStyle w:val="18"/>
          <w:rFonts w:hint="eastAsia" w:ascii="仿宋" w:hAnsi="仿宋" w:eastAsia="仿宋"/>
          <w:b w:val="0"/>
          <w:bCs/>
          <w:color w:val="000000"/>
          <w:sz w:val="32"/>
          <w:szCs w:val="32"/>
          <w:lang w:val="en-US" w:eastAsia="zh-CN"/>
        </w:rPr>
        <w:t>100</w:t>
      </w:r>
      <w:r>
        <w:rPr>
          <w:rStyle w:val="18"/>
          <w:rFonts w:ascii="仿宋" w:hAnsi="仿宋" w:eastAsia="仿宋"/>
          <w:b w:val="0"/>
          <w:bCs/>
          <w:color w:val="000000"/>
          <w:sz w:val="32"/>
          <w:szCs w:val="32"/>
        </w:rPr>
        <w:t>%</w:t>
      </w:r>
      <w:r>
        <w:rPr>
          <w:rStyle w:val="18"/>
          <w:rFonts w:hint="eastAsia" w:ascii="仿宋" w:hAnsi="仿宋" w:eastAsia="仿宋"/>
          <w:b w:val="0"/>
          <w:bCs/>
          <w:color w:val="000000"/>
          <w:sz w:val="32"/>
          <w:szCs w:val="32"/>
        </w:rPr>
        <w:t>，决算数等于预算数。</w:t>
      </w:r>
    </w:p>
    <w:p>
      <w:pPr>
        <w:numPr>
          <w:ilvl w:val="0"/>
          <w:numId w:val="0"/>
        </w:numPr>
        <w:spacing w:line="600" w:lineRule="exact"/>
        <w:ind w:firstLine="642" w:firstLineChars="200"/>
        <w:rPr>
          <w:rStyle w:val="18"/>
          <w:rFonts w:hint="eastAsia" w:ascii="仿宋" w:hAnsi="仿宋" w:eastAsia="仿宋"/>
          <w:b w:val="0"/>
          <w:bCs/>
          <w:color w:val="000000"/>
          <w:sz w:val="32"/>
          <w:szCs w:val="32"/>
        </w:rPr>
      </w:pPr>
      <w:r>
        <w:rPr>
          <w:rStyle w:val="18"/>
          <w:rFonts w:hint="default" w:ascii="仿宋" w:hAnsi="仿宋" w:eastAsia="仿宋"/>
          <w:bCs/>
          <w:color w:val="000000"/>
          <w:sz w:val="32"/>
          <w:szCs w:val="32"/>
          <w:lang w:eastAsia="zh-CN"/>
        </w:rPr>
        <w:t>12</w:t>
      </w:r>
      <w:r>
        <w:rPr>
          <w:rStyle w:val="18"/>
          <w:rFonts w:hint="eastAsia" w:ascii="仿宋" w:hAnsi="仿宋" w:eastAsia="仿宋"/>
          <w:bCs/>
          <w:color w:val="000000"/>
          <w:sz w:val="32"/>
          <w:szCs w:val="32"/>
          <w:lang w:val="en-US" w:eastAsia="zh-CN"/>
        </w:rPr>
        <w:t>.</w:t>
      </w:r>
      <w:r>
        <w:rPr>
          <w:rStyle w:val="18"/>
          <w:rFonts w:hint="eastAsia" w:ascii="仿宋" w:hAnsi="仿宋" w:eastAsia="仿宋"/>
          <w:bCs/>
          <w:color w:val="000000"/>
          <w:sz w:val="32"/>
          <w:szCs w:val="32"/>
        </w:rPr>
        <w:t>卫生</w:t>
      </w:r>
      <w:r>
        <w:rPr>
          <w:rStyle w:val="18"/>
          <w:rFonts w:hint="eastAsia" w:ascii="仿宋" w:hAnsi="仿宋" w:eastAsia="仿宋"/>
          <w:bCs/>
          <w:color w:val="000000"/>
          <w:sz w:val="32"/>
          <w:szCs w:val="32"/>
          <w:lang w:eastAsia="zh-CN"/>
        </w:rPr>
        <w:t>健康支出</w:t>
      </w:r>
      <w:r>
        <w:rPr>
          <w:rStyle w:val="18"/>
          <w:rFonts w:hint="eastAsia" w:ascii="仿宋" w:hAnsi="仿宋" w:eastAsia="仿宋"/>
          <w:bCs/>
          <w:color w:val="000000"/>
          <w:sz w:val="32"/>
          <w:szCs w:val="32"/>
        </w:rPr>
        <w:t>（类）</w:t>
      </w:r>
      <w:r>
        <w:rPr>
          <w:rStyle w:val="18"/>
          <w:rFonts w:hint="eastAsia" w:ascii="仿宋" w:hAnsi="仿宋" w:eastAsia="仿宋"/>
          <w:bCs/>
          <w:color w:val="000000"/>
          <w:sz w:val="32"/>
          <w:szCs w:val="32"/>
          <w:lang w:val="en-US" w:eastAsia="zh-CN"/>
        </w:rPr>
        <w:t>210行政事业单位医疗</w:t>
      </w:r>
      <w:r>
        <w:rPr>
          <w:rStyle w:val="18"/>
          <w:rFonts w:hint="eastAsia" w:ascii="仿宋" w:hAnsi="仿宋" w:eastAsia="仿宋"/>
          <w:bCs/>
          <w:color w:val="000000"/>
          <w:sz w:val="32"/>
          <w:szCs w:val="32"/>
        </w:rPr>
        <w:t>（款）</w:t>
      </w:r>
      <w:r>
        <w:rPr>
          <w:rStyle w:val="18"/>
          <w:rFonts w:hint="eastAsia" w:ascii="仿宋" w:hAnsi="仿宋" w:eastAsia="仿宋"/>
          <w:bCs/>
          <w:color w:val="000000"/>
          <w:sz w:val="32"/>
          <w:szCs w:val="32"/>
          <w:lang w:val="en-US" w:eastAsia="zh-CN"/>
        </w:rPr>
        <w:t>11</w:t>
      </w:r>
      <w:r>
        <w:rPr>
          <w:rStyle w:val="18"/>
          <w:rFonts w:hint="eastAsia" w:ascii="仿宋" w:hAnsi="仿宋" w:eastAsia="仿宋"/>
          <w:bCs/>
          <w:color w:val="000000"/>
          <w:sz w:val="32"/>
          <w:szCs w:val="32"/>
          <w:lang w:eastAsia="zh-CN"/>
        </w:rPr>
        <w:t>行政事业单位医疗</w:t>
      </w:r>
      <w:r>
        <w:rPr>
          <w:rStyle w:val="18"/>
          <w:rFonts w:hint="eastAsia" w:ascii="仿宋" w:hAnsi="仿宋" w:eastAsia="仿宋"/>
          <w:bCs/>
          <w:color w:val="000000"/>
          <w:sz w:val="32"/>
          <w:szCs w:val="32"/>
        </w:rPr>
        <w:t>（项）</w:t>
      </w:r>
      <w:r>
        <w:rPr>
          <w:rStyle w:val="18"/>
          <w:rFonts w:hint="eastAsia" w:ascii="仿宋" w:hAnsi="仿宋" w:eastAsia="仿宋"/>
          <w:bCs/>
          <w:color w:val="000000"/>
          <w:sz w:val="32"/>
          <w:szCs w:val="32"/>
          <w:lang w:val="en-US" w:eastAsia="zh-CN"/>
        </w:rPr>
        <w:t>01</w:t>
      </w:r>
      <w:r>
        <w:rPr>
          <w:rStyle w:val="18"/>
          <w:rFonts w:ascii="仿宋" w:hAnsi="仿宋" w:eastAsia="仿宋"/>
          <w:bCs/>
          <w:color w:val="000000"/>
          <w:sz w:val="32"/>
          <w:szCs w:val="32"/>
        </w:rPr>
        <w:t>:</w:t>
      </w:r>
      <w:r>
        <w:rPr>
          <w:rStyle w:val="18"/>
          <w:rFonts w:hint="eastAsia" w:ascii="仿宋" w:hAnsi="仿宋" w:eastAsia="仿宋"/>
          <w:b w:val="0"/>
          <w:bCs/>
          <w:color w:val="000000"/>
          <w:sz w:val="32"/>
          <w:szCs w:val="32"/>
        </w:rPr>
        <w:t>支出决算为</w:t>
      </w:r>
      <w:r>
        <w:rPr>
          <w:rStyle w:val="18"/>
          <w:rFonts w:hint="eastAsia" w:ascii="仿宋" w:hAnsi="仿宋" w:eastAsia="仿宋"/>
          <w:b w:val="0"/>
          <w:bCs/>
          <w:color w:val="000000"/>
          <w:sz w:val="32"/>
          <w:szCs w:val="32"/>
          <w:lang w:val="en-US" w:eastAsia="zh-CN"/>
        </w:rPr>
        <w:t>13.92</w:t>
      </w:r>
      <w:r>
        <w:rPr>
          <w:rStyle w:val="18"/>
          <w:rFonts w:hint="eastAsia" w:ascii="仿宋" w:hAnsi="仿宋" w:eastAsia="仿宋"/>
          <w:b w:val="0"/>
          <w:bCs/>
          <w:color w:val="000000"/>
          <w:sz w:val="32"/>
          <w:szCs w:val="32"/>
        </w:rPr>
        <w:t>万元，完成预算</w:t>
      </w:r>
      <w:r>
        <w:rPr>
          <w:rStyle w:val="18"/>
          <w:rFonts w:hint="eastAsia" w:ascii="仿宋" w:hAnsi="仿宋" w:eastAsia="仿宋"/>
          <w:b w:val="0"/>
          <w:bCs/>
          <w:color w:val="000000"/>
          <w:sz w:val="32"/>
          <w:szCs w:val="32"/>
          <w:lang w:val="en-US" w:eastAsia="zh-CN"/>
        </w:rPr>
        <w:t>100</w:t>
      </w:r>
      <w:r>
        <w:rPr>
          <w:rStyle w:val="18"/>
          <w:rFonts w:ascii="仿宋" w:hAnsi="仿宋" w:eastAsia="仿宋"/>
          <w:b w:val="0"/>
          <w:bCs/>
          <w:color w:val="000000"/>
          <w:sz w:val="32"/>
          <w:szCs w:val="32"/>
        </w:rPr>
        <w:t>%</w:t>
      </w:r>
      <w:r>
        <w:rPr>
          <w:rStyle w:val="18"/>
          <w:rFonts w:hint="eastAsia" w:ascii="仿宋" w:hAnsi="仿宋" w:eastAsia="仿宋"/>
          <w:b w:val="0"/>
          <w:bCs/>
          <w:color w:val="000000"/>
          <w:sz w:val="32"/>
          <w:szCs w:val="32"/>
        </w:rPr>
        <w:t>，决算数等于预算数。</w:t>
      </w:r>
    </w:p>
    <w:p>
      <w:pPr>
        <w:spacing w:line="600" w:lineRule="exact"/>
        <w:ind w:firstLine="642" w:firstLineChars="200"/>
        <w:rPr>
          <w:rStyle w:val="18"/>
          <w:rFonts w:hint="eastAsia" w:ascii="仿宋" w:hAnsi="仿宋" w:eastAsia="仿宋"/>
          <w:b w:val="0"/>
          <w:bCs/>
          <w:color w:val="000000"/>
          <w:sz w:val="32"/>
          <w:szCs w:val="32"/>
        </w:rPr>
      </w:pPr>
      <w:r>
        <w:rPr>
          <w:rStyle w:val="18"/>
          <w:rFonts w:hint="default" w:ascii="仿宋" w:hAnsi="仿宋" w:eastAsia="仿宋"/>
          <w:bCs/>
          <w:color w:val="000000"/>
          <w:sz w:val="32"/>
          <w:szCs w:val="32"/>
          <w:lang w:eastAsia="zh-CN"/>
        </w:rPr>
        <w:t>13</w:t>
      </w:r>
      <w:r>
        <w:rPr>
          <w:rStyle w:val="18"/>
          <w:rFonts w:hint="eastAsia" w:ascii="仿宋" w:hAnsi="仿宋" w:eastAsia="仿宋"/>
          <w:bCs/>
          <w:color w:val="000000"/>
          <w:sz w:val="32"/>
          <w:szCs w:val="32"/>
          <w:lang w:val="en-US" w:eastAsia="zh-CN"/>
        </w:rPr>
        <w:t>.</w:t>
      </w:r>
      <w:r>
        <w:rPr>
          <w:rStyle w:val="18"/>
          <w:rFonts w:hint="eastAsia" w:ascii="仿宋" w:hAnsi="仿宋" w:eastAsia="仿宋"/>
          <w:bCs/>
          <w:color w:val="000000"/>
          <w:sz w:val="32"/>
          <w:szCs w:val="32"/>
          <w:lang w:eastAsia="zh-CN"/>
        </w:rPr>
        <w:t>城乡社区支出</w:t>
      </w:r>
      <w:r>
        <w:rPr>
          <w:rStyle w:val="18"/>
          <w:rFonts w:hint="eastAsia" w:ascii="仿宋" w:hAnsi="仿宋" w:eastAsia="仿宋"/>
          <w:bCs/>
          <w:color w:val="000000"/>
          <w:sz w:val="32"/>
          <w:szCs w:val="32"/>
        </w:rPr>
        <w:t>（类）</w:t>
      </w:r>
      <w:r>
        <w:rPr>
          <w:rStyle w:val="18"/>
          <w:rFonts w:hint="eastAsia" w:ascii="仿宋" w:hAnsi="仿宋" w:eastAsia="仿宋"/>
          <w:bCs/>
          <w:color w:val="000000"/>
          <w:sz w:val="32"/>
          <w:szCs w:val="32"/>
          <w:lang w:val="en-US" w:eastAsia="zh-CN"/>
        </w:rPr>
        <w:t>212城乡社区环境卫生</w:t>
      </w:r>
      <w:r>
        <w:rPr>
          <w:rStyle w:val="18"/>
          <w:rFonts w:hint="eastAsia" w:ascii="仿宋" w:hAnsi="仿宋" w:eastAsia="仿宋"/>
          <w:bCs/>
          <w:color w:val="000000"/>
          <w:sz w:val="32"/>
          <w:szCs w:val="32"/>
        </w:rPr>
        <w:t>（款）</w:t>
      </w:r>
      <w:r>
        <w:rPr>
          <w:rStyle w:val="18"/>
          <w:rFonts w:hint="eastAsia" w:ascii="仿宋" w:hAnsi="仿宋" w:eastAsia="仿宋"/>
          <w:bCs/>
          <w:color w:val="000000"/>
          <w:sz w:val="32"/>
          <w:szCs w:val="32"/>
          <w:lang w:val="en-US" w:eastAsia="zh-CN"/>
        </w:rPr>
        <w:t>05城乡社区环境卫生</w:t>
      </w:r>
      <w:r>
        <w:rPr>
          <w:rStyle w:val="18"/>
          <w:rFonts w:hint="eastAsia" w:ascii="仿宋" w:hAnsi="仿宋" w:eastAsia="仿宋"/>
          <w:bCs/>
          <w:color w:val="000000"/>
          <w:sz w:val="32"/>
          <w:szCs w:val="32"/>
        </w:rPr>
        <w:t>（项）</w:t>
      </w:r>
      <w:r>
        <w:rPr>
          <w:rStyle w:val="18"/>
          <w:rFonts w:hint="eastAsia" w:ascii="仿宋" w:hAnsi="仿宋" w:eastAsia="仿宋"/>
          <w:bCs/>
          <w:color w:val="000000"/>
          <w:sz w:val="32"/>
          <w:szCs w:val="32"/>
          <w:lang w:val="en-US" w:eastAsia="zh-CN"/>
        </w:rPr>
        <w:t>01</w:t>
      </w:r>
      <w:r>
        <w:rPr>
          <w:rStyle w:val="18"/>
          <w:rFonts w:ascii="仿宋" w:hAnsi="仿宋" w:eastAsia="仿宋"/>
          <w:bCs/>
          <w:color w:val="000000"/>
          <w:sz w:val="32"/>
          <w:szCs w:val="32"/>
        </w:rPr>
        <w:t>:</w:t>
      </w:r>
      <w:r>
        <w:rPr>
          <w:rStyle w:val="18"/>
          <w:rFonts w:hint="eastAsia" w:ascii="仿宋" w:hAnsi="仿宋" w:eastAsia="仿宋"/>
          <w:b w:val="0"/>
          <w:bCs/>
          <w:color w:val="000000"/>
          <w:sz w:val="32"/>
          <w:szCs w:val="32"/>
        </w:rPr>
        <w:t>支出决算为</w:t>
      </w:r>
      <w:r>
        <w:rPr>
          <w:rStyle w:val="18"/>
          <w:rFonts w:hint="eastAsia" w:ascii="仿宋" w:hAnsi="仿宋" w:eastAsia="仿宋"/>
          <w:b w:val="0"/>
          <w:bCs/>
          <w:color w:val="000000"/>
          <w:sz w:val="32"/>
          <w:szCs w:val="32"/>
          <w:lang w:val="en-US" w:eastAsia="zh-CN"/>
        </w:rPr>
        <w:t>5</w:t>
      </w:r>
      <w:r>
        <w:rPr>
          <w:rStyle w:val="18"/>
          <w:rFonts w:hint="eastAsia" w:ascii="仿宋" w:hAnsi="仿宋" w:eastAsia="仿宋"/>
          <w:b w:val="0"/>
          <w:bCs/>
          <w:color w:val="000000"/>
          <w:sz w:val="32"/>
          <w:szCs w:val="32"/>
        </w:rPr>
        <w:t>万元，完成预算</w:t>
      </w:r>
      <w:r>
        <w:rPr>
          <w:rStyle w:val="18"/>
          <w:rFonts w:hint="eastAsia" w:ascii="仿宋" w:hAnsi="仿宋" w:eastAsia="仿宋"/>
          <w:b w:val="0"/>
          <w:bCs/>
          <w:color w:val="000000"/>
          <w:sz w:val="32"/>
          <w:szCs w:val="32"/>
          <w:lang w:val="en-US" w:eastAsia="zh-CN"/>
        </w:rPr>
        <w:t>100</w:t>
      </w:r>
      <w:r>
        <w:rPr>
          <w:rStyle w:val="18"/>
          <w:rFonts w:ascii="仿宋" w:hAnsi="仿宋" w:eastAsia="仿宋"/>
          <w:b w:val="0"/>
          <w:bCs/>
          <w:color w:val="000000"/>
          <w:sz w:val="32"/>
          <w:szCs w:val="32"/>
        </w:rPr>
        <w:t>%</w:t>
      </w:r>
      <w:r>
        <w:rPr>
          <w:rStyle w:val="18"/>
          <w:rFonts w:hint="eastAsia" w:ascii="仿宋" w:hAnsi="仿宋" w:eastAsia="仿宋"/>
          <w:b w:val="0"/>
          <w:bCs/>
          <w:color w:val="000000"/>
          <w:sz w:val="32"/>
          <w:szCs w:val="32"/>
        </w:rPr>
        <w:t>，决算数等于预算数。</w:t>
      </w:r>
    </w:p>
    <w:p>
      <w:pPr>
        <w:pStyle w:val="14"/>
        <w:ind w:left="0" w:leftChars="0" w:firstLine="642" w:firstLineChars="200"/>
        <w:rPr>
          <w:rStyle w:val="18"/>
          <w:rFonts w:hint="eastAsia" w:ascii="仿宋" w:hAnsi="仿宋" w:eastAsia="仿宋"/>
          <w:b w:val="0"/>
          <w:bCs/>
          <w:color w:val="000000"/>
          <w:sz w:val="32"/>
          <w:szCs w:val="32"/>
        </w:rPr>
      </w:pPr>
      <w:r>
        <w:rPr>
          <w:rStyle w:val="18"/>
          <w:rFonts w:hint="default" w:ascii="仿宋" w:hAnsi="仿宋" w:eastAsia="仿宋"/>
          <w:bCs/>
          <w:color w:val="000000"/>
          <w:sz w:val="32"/>
          <w:szCs w:val="32"/>
          <w:lang w:eastAsia="zh-CN"/>
        </w:rPr>
        <w:t>14</w:t>
      </w:r>
      <w:r>
        <w:rPr>
          <w:rStyle w:val="18"/>
          <w:rFonts w:hint="eastAsia" w:ascii="仿宋" w:hAnsi="仿宋" w:eastAsia="仿宋"/>
          <w:bCs/>
          <w:color w:val="000000"/>
          <w:sz w:val="32"/>
          <w:szCs w:val="32"/>
          <w:lang w:val="en-US" w:eastAsia="zh-CN"/>
        </w:rPr>
        <w:t>.</w:t>
      </w:r>
      <w:r>
        <w:rPr>
          <w:rStyle w:val="18"/>
          <w:rFonts w:hint="eastAsia" w:ascii="仿宋" w:hAnsi="仿宋" w:eastAsia="仿宋"/>
          <w:bCs/>
          <w:color w:val="000000"/>
          <w:sz w:val="32"/>
          <w:szCs w:val="32"/>
          <w:lang w:eastAsia="zh-CN"/>
        </w:rPr>
        <w:t>农林水支出</w:t>
      </w:r>
      <w:r>
        <w:rPr>
          <w:rStyle w:val="18"/>
          <w:rFonts w:hint="eastAsia" w:ascii="仿宋" w:hAnsi="仿宋" w:eastAsia="仿宋"/>
          <w:bCs/>
          <w:color w:val="000000"/>
          <w:sz w:val="32"/>
          <w:szCs w:val="32"/>
        </w:rPr>
        <w:t>（类）</w:t>
      </w:r>
      <w:r>
        <w:rPr>
          <w:rStyle w:val="18"/>
          <w:rFonts w:hint="eastAsia" w:ascii="仿宋" w:hAnsi="仿宋" w:eastAsia="仿宋"/>
          <w:bCs/>
          <w:color w:val="000000"/>
          <w:sz w:val="32"/>
          <w:szCs w:val="32"/>
          <w:lang w:val="en-US" w:eastAsia="zh-CN"/>
        </w:rPr>
        <w:t>213农业农村</w:t>
      </w:r>
      <w:r>
        <w:rPr>
          <w:rStyle w:val="18"/>
          <w:rFonts w:hint="eastAsia" w:ascii="仿宋" w:hAnsi="仿宋" w:eastAsia="仿宋"/>
          <w:bCs/>
          <w:color w:val="000000"/>
          <w:sz w:val="32"/>
          <w:szCs w:val="32"/>
        </w:rPr>
        <w:t>（款）</w:t>
      </w:r>
      <w:r>
        <w:rPr>
          <w:rStyle w:val="18"/>
          <w:rFonts w:hint="eastAsia" w:ascii="仿宋" w:hAnsi="仿宋" w:eastAsia="仿宋"/>
          <w:bCs/>
          <w:color w:val="000000"/>
          <w:sz w:val="32"/>
          <w:szCs w:val="32"/>
          <w:lang w:val="en-US" w:eastAsia="zh-CN"/>
        </w:rPr>
        <w:t>01病虫害防治</w:t>
      </w:r>
      <w:r>
        <w:rPr>
          <w:rStyle w:val="18"/>
          <w:rFonts w:hint="eastAsia" w:ascii="仿宋" w:hAnsi="仿宋" w:eastAsia="仿宋"/>
          <w:bCs/>
          <w:color w:val="000000"/>
          <w:sz w:val="32"/>
          <w:szCs w:val="32"/>
        </w:rPr>
        <w:t>（项）</w:t>
      </w:r>
      <w:r>
        <w:rPr>
          <w:rStyle w:val="18"/>
          <w:rFonts w:hint="eastAsia" w:ascii="仿宋" w:hAnsi="仿宋" w:eastAsia="仿宋"/>
          <w:bCs/>
          <w:color w:val="000000"/>
          <w:sz w:val="32"/>
          <w:szCs w:val="32"/>
          <w:lang w:val="en-US" w:eastAsia="zh-CN"/>
        </w:rPr>
        <w:t>08</w:t>
      </w:r>
      <w:r>
        <w:rPr>
          <w:rStyle w:val="18"/>
          <w:rFonts w:ascii="仿宋" w:hAnsi="仿宋" w:eastAsia="仿宋"/>
          <w:bCs/>
          <w:color w:val="000000"/>
          <w:sz w:val="32"/>
          <w:szCs w:val="32"/>
        </w:rPr>
        <w:t>:</w:t>
      </w:r>
      <w:r>
        <w:rPr>
          <w:rStyle w:val="18"/>
          <w:rFonts w:hint="eastAsia" w:ascii="仿宋" w:hAnsi="仿宋" w:eastAsia="仿宋"/>
          <w:b w:val="0"/>
          <w:bCs/>
          <w:color w:val="000000"/>
          <w:sz w:val="32"/>
          <w:szCs w:val="32"/>
        </w:rPr>
        <w:t>支出决算为</w:t>
      </w:r>
      <w:r>
        <w:rPr>
          <w:rStyle w:val="18"/>
          <w:rFonts w:hint="eastAsia" w:ascii="仿宋" w:hAnsi="仿宋" w:eastAsia="仿宋"/>
          <w:b w:val="0"/>
          <w:bCs/>
          <w:color w:val="000000"/>
          <w:sz w:val="32"/>
          <w:szCs w:val="32"/>
          <w:lang w:val="en-US" w:eastAsia="zh-CN"/>
        </w:rPr>
        <w:t>1</w:t>
      </w:r>
      <w:r>
        <w:rPr>
          <w:rStyle w:val="18"/>
          <w:rFonts w:hint="eastAsia" w:ascii="仿宋" w:hAnsi="仿宋" w:eastAsia="仿宋"/>
          <w:b w:val="0"/>
          <w:bCs/>
          <w:color w:val="000000"/>
          <w:sz w:val="32"/>
          <w:szCs w:val="32"/>
        </w:rPr>
        <w:t>万元，完成预算</w:t>
      </w:r>
      <w:r>
        <w:rPr>
          <w:rStyle w:val="18"/>
          <w:rFonts w:hint="eastAsia" w:ascii="仿宋" w:hAnsi="仿宋" w:eastAsia="仿宋"/>
          <w:b w:val="0"/>
          <w:bCs/>
          <w:color w:val="000000"/>
          <w:sz w:val="32"/>
          <w:szCs w:val="32"/>
          <w:lang w:val="en-US" w:eastAsia="zh-CN"/>
        </w:rPr>
        <w:t>100</w:t>
      </w:r>
      <w:r>
        <w:rPr>
          <w:rStyle w:val="18"/>
          <w:rFonts w:ascii="仿宋" w:hAnsi="仿宋" w:eastAsia="仿宋"/>
          <w:b w:val="0"/>
          <w:bCs/>
          <w:color w:val="000000"/>
          <w:sz w:val="32"/>
          <w:szCs w:val="32"/>
        </w:rPr>
        <w:t>%</w:t>
      </w:r>
      <w:r>
        <w:rPr>
          <w:rStyle w:val="18"/>
          <w:rFonts w:hint="eastAsia" w:ascii="仿宋" w:hAnsi="仿宋" w:eastAsia="仿宋"/>
          <w:b w:val="0"/>
          <w:bCs/>
          <w:color w:val="000000"/>
          <w:sz w:val="32"/>
          <w:szCs w:val="32"/>
        </w:rPr>
        <w:t>，决算数等于预算数。</w:t>
      </w:r>
    </w:p>
    <w:p>
      <w:pPr>
        <w:pStyle w:val="14"/>
        <w:ind w:left="0" w:leftChars="0" w:firstLine="642" w:firstLineChars="200"/>
        <w:rPr>
          <w:rStyle w:val="18"/>
          <w:rFonts w:hint="eastAsia" w:ascii="仿宋" w:hAnsi="仿宋" w:eastAsia="仿宋" w:cstheme="minorBidi"/>
          <w:b w:val="0"/>
          <w:bCs/>
          <w:color w:val="000000"/>
          <w:sz w:val="32"/>
          <w:szCs w:val="32"/>
        </w:rPr>
      </w:pPr>
      <w:r>
        <w:rPr>
          <w:rStyle w:val="18"/>
          <w:rFonts w:hint="default" w:ascii="仿宋" w:hAnsi="仿宋" w:eastAsia="仿宋"/>
          <w:bCs/>
          <w:color w:val="000000"/>
          <w:sz w:val="32"/>
          <w:szCs w:val="32"/>
          <w:lang w:eastAsia="zh-CN"/>
        </w:rPr>
        <w:t>15.</w:t>
      </w:r>
      <w:r>
        <w:rPr>
          <w:rStyle w:val="18"/>
          <w:rFonts w:hint="eastAsia" w:ascii="仿宋" w:hAnsi="仿宋" w:eastAsia="仿宋"/>
          <w:bCs/>
          <w:color w:val="000000"/>
          <w:sz w:val="32"/>
          <w:szCs w:val="32"/>
          <w:lang w:eastAsia="zh-CN"/>
        </w:rPr>
        <w:t>农林水支出</w:t>
      </w:r>
      <w:r>
        <w:rPr>
          <w:rStyle w:val="18"/>
          <w:rFonts w:hint="eastAsia" w:ascii="仿宋" w:hAnsi="仿宋" w:eastAsia="仿宋"/>
          <w:bCs/>
          <w:color w:val="000000"/>
          <w:sz w:val="32"/>
          <w:szCs w:val="32"/>
        </w:rPr>
        <w:t>（类）</w:t>
      </w:r>
      <w:r>
        <w:rPr>
          <w:rStyle w:val="18"/>
          <w:rFonts w:hint="eastAsia" w:ascii="仿宋" w:hAnsi="仿宋" w:eastAsia="仿宋"/>
          <w:bCs/>
          <w:color w:val="000000"/>
          <w:sz w:val="32"/>
          <w:szCs w:val="32"/>
          <w:lang w:val="en-US" w:eastAsia="zh-CN"/>
        </w:rPr>
        <w:t>213农业农村</w:t>
      </w:r>
      <w:r>
        <w:rPr>
          <w:rStyle w:val="18"/>
          <w:rFonts w:hint="eastAsia" w:ascii="仿宋" w:hAnsi="仿宋" w:eastAsia="仿宋"/>
          <w:bCs/>
          <w:color w:val="000000"/>
          <w:sz w:val="32"/>
          <w:szCs w:val="32"/>
        </w:rPr>
        <w:t>（款）</w:t>
      </w:r>
      <w:r>
        <w:rPr>
          <w:rStyle w:val="18"/>
          <w:rFonts w:hint="eastAsia" w:ascii="仿宋" w:hAnsi="仿宋" w:eastAsia="仿宋"/>
          <w:bCs/>
          <w:color w:val="000000"/>
          <w:sz w:val="32"/>
          <w:szCs w:val="32"/>
          <w:lang w:val="en-US" w:eastAsia="zh-CN"/>
        </w:rPr>
        <w:t>01</w:t>
      </w:r>
      <w:r>
        <w:rPr>
          <w:rStyle w:val="18"/>
          <w:rFonts w:hint="default" w:ascii="仿宋" w:hAnsi="仿宋" w:eastAsia="仿宋"/>
          <w:b w:val="0"/>
          <w:bCs/>
          <w:color w:val="000000"/>
          <w:sz w:val="32"/>
          <w:szCs w:val="32"/>
        </w:rPr>
        <w:t>其他农业农村支出</w:t>
      </w:r>
      <w:r>
        <w:rPr>
          <w:rStyle w:val="18"/>
          <w:rFonts w:hint="eastAsia" w:ascii="仿宋" w:hAnsi="仿宋" w:eastAsia="仿宋"/>
          <w:bCs/>
          <w:color w:val="000000"/>
          <w:sz w:val="32"/>
          <w:szCs w:val="32"/>
        </w:rPr>
        <w:t>（项）</w:t>
      </w:r>
      <w:r>
        <w:rPr>
          <w:rStyle w:val="18"/>
          <w:rFonts w:hint="default" w:ascii="仿宋" w:hAnsi="仿宋" w:eastAsia="仿宋"/>
          <w:b w:val="0"/>
          <w:bCs/>
          <w:color w:val="000000"/>
          <w:sz w:val="32"/>
          <w:szCs w:val="32"/>
        </w:rPr>
        <w:t>99</w:t>
      </w:r>
      <w:r>
        <w:rPr>
          <w:rStyle w:val="18"/>
          <w:rFonts w:hint="default" w:ascii="仿宋" w:hAnsi="仿宋" w:eastAsia="仿宋" w:cstheme="minorBidi"/>
          <w:b w:val="0"/>
          <w:bCs/>
          <w:color w:val="000000"/>
          <w:sz w:val="32"/>
          <w:szCs w:val="32"/>
        </w:rPr>
        <w:t>：</w:t>
      </w:r>
      <w:r>
        <w:rPr>
          <w:rStyle w:val="18"/>
          <w:rFonts w:hint="eastAsia" w:ascii="仿宋" w:hAnsi="仿宋" w:eastAsia="仿宋" w:cstheme="minorBidi"/>
          <w:b w:val="0"/>
          <w:bCs/>
          <w:color w:val="000000"/>
          <w:sz w:val="32"/>
          <w:szCs w:val="32"/>
        </w:rPr>
        <w:t>支出决算为</w:t>
      </w:r>
      <w:r>
        <w:rPr>
          <w:rStyle w:val="18"/>
          <w:rFonts w:hint="default" w:ascii="仿宋" w:hAnsi="仿宋" w:eastAsia="仿宋" w:cstheme="minorBidi"/>
          <w:b w:val="0"/>
          <w:bCs/>
          <w:color w:val="000000"/>
          <w:sz w:val="32"/>
          <w:szCs w:val="32"/>
        </w:rPr>
        <w:t>164.3万元，</w:t>
      </w:r>
      <w:r>
        <w:rPr>
          <w:rStyle w:val="18"/>
          <w:rFonts w:hint="eastAsia" w:ascii="仿宋" w:hAnsi="仿宋" w:eastAsia="仿宋" w:cstheme="minorBidi"/>
          <w:b w:val="0"/>
          <w:bCs/>
          <w:color w:val="000000"/>
          <w:sz w:val="32"/>
          <w:szCs w:val="32"/>
        </w:rPr>
        <w:t>完成预算</w:t>
      </w:r>
      <w:r>
        <w:rPr>
          <w:rStyle w:val="18"/>
          <w:rFonts w:hint="eastAsia" w:ascii="仿宋" w:hAnsi="仿宋" w:eastAsia="仿宋" w:cstheme="minorBidi"/>
          <w:b w:val="0"/>
          <w:bCs/>
          <w:color w:val="000000"/>
          <w:sz w:val="32"/>
          <w:szCs w:val="32"/>
          <w:lang w:val="en-US" w:eastAsia="zh-CN"/>
        </w:rPr>
        <w:t>100</w:t>
      </w:r>
      <w:r>
        <w:rPr>
          <w:rStyle w:val="18"/>
          <w:rFonts w:hint="default" w:ascii="仿宋" w:hAnsi="仿宋" w:eastAsia="仿宋" w:cstheme="minorBidi"/>
          <w:b w:val="0"/>
          <w:bCs/>
          <w:color w:val="000000"/>
          <w:sz w:val="32"/>
          <w:szCs w:val="32"/>
        </w:rPr>
        <w:t>%</w:t>
      </w:r>
      <w:r>
        <w:rPr>
          <w:rStyle w:val="18"/>
          <w:rFonts w:hint="eastAsia" w:ascii="仿宋" w:hAnsi="仿宋" w:eastAsia="仿宋" w:cstheme="minorBidi"/>
          <w:b w:val="0"/>
          <w:bCs/>
          <w:color w:val="000000"/>
          <w:sz w:val="32"/>
          <w:szCs w:val="32"/>
        </w:rPr>
        <w:t>，决算数等于预算数。</w:t>
      </w:r>
    </w:p>
    <w:p>
      <w:pPr>
        <w:ind w:firstLine="642" w:firstLineChars="200"/>
        <w:rPr>
          <w:rStyle w:val="18"/>
          <w:rFonts w:hint="eastAsia" w:ascii="仿宋" w:hAnsi="仿宋" w:eastAsia="仿宋"/>
          <w:b w:val="0"/>
          <w:bCs/>
          <w:color w:val="000000"/>
          <w:sz w:val="32"/>
          <w:szCs w:val="32"/>
        </w:rPr>
      </w:pPr>
      <w:r>
        <w:rPr>
          <w:rStyle w:val="18"/>
          <w:rFonts w:hint="default" w:ascii="仿宋" w:hAnsi="仿宋" w:eastAsia="仿宋"/>
          <w:bCs/>
          <w:color w:val="000000"/>
          <w:sz w:val="32"/>
          <w:szCs w:val="32"/>
          <w:lang w:eastAsia="zh-CN"/>
        </w:rPr>
        <w:t>16.</w:t>
      </w:r>
      <w:r>
        <w:rPr>
          <w:rStyle w:val="18"/>
          <w:rFonts w:hint="eastAsia" w:ascii="仿宋" w:hAnsi="仿宋" w:eastAsia="仿宋"/>
          <w:bCs/>
          <w:color w:val="000000"/>
          <w:sz w:val="32"/>
          <w:szCs w:val="32"/>
          <w:lang w:eastAsia="zh-CN"/>
        </w:rPr>
        <w:t>农林水支出</w:t>
      </w:r>
      <w:r>
        <w:rPr>
          <w:rStyle w:val="18"/>
          <w:rFonts w:hint="eastAsia" w:ascii="仿宋" w:hAnsi="仿宋" w:eastAsia="仿宋"/>
          <w:bCs/>
          <w:color w:val="000000"/>
          <w:sz w:val="32"/>
          <w:szCs w:val="32"/>
        </w:rPr>
        <w:t>（类）</w:t>
      </w:r>
      <w:r>
        <w:rPr>
          <w:rStyle w:val="18"/>
          <w:rFonts w:hint="eastAsia" w:ascii="仿宋" w:hAnsi="仿宋" w:eastAsia="仿宋"/>
          <w:bCs/>
          <w:color w:val="000000"/>
          <w:sz w:val="32"/>
          <w:szCs w:val="32"/>
          <w:lang w:val="en-US" w:eastAsia="zh-CN"/>
        </w:rPr>
        <w:t>213水利</w:t>
      </w:r>
      <w:r>
        <w:rPr>
          <w:rStyle w:val="18"/>
          <w:rFonts w:hint="eastAsia" w:ascii="仿宋" w:hAnsi="仿宋" w:eastAsia="仿宋"/>
          <w:bCs/>
          <w:color w:val="000000"/>
          <w:sz w:val="32"/>
          <w:szCs w:val="32"/>
        </w:rPr>
        <w:t>（款）</w:t>
      </w:r>
      <w:r>
        <w:rPr>
          <w:rStyle w:val="18"/>
          <w:rFonts w:hint="eastAsia" w:ascii="仿宋" w:hAnsi="仿宋" w:eastAsia="仿宋"/>
          <w:bCs/>
          <w:color w:val="000000"/>
          <w:sz w:val="32"/>
          <w:szCs w:val="32"/>
          <w:lang w:val="en-US" w:eastAsia="zh-CN"/>
        </w:rPr>
        <w:t>03防汛</w:t>
      </w:r>
      <w:r>
        <w:rPr>
          <w:rStyle w:val="18"/>
          <w:rFonts w:hint="eastAsia" w:ascii="仿宋" w:hAnsi="仿宋" w:eastAsia="仿宋"/>
          <w:bCs/>
          <w:color w:val="000000"/>
          <w:sz w:val="32"/>
          <w:szCs w:val="32"/>
        </w:rPr>
        <w:t>（项）</w:t>
      </w:r>
      <w:r>
        <w:rPr>
          <w:rStyle w:val="18"/>
          <w:rFonts w:hint="eastAsia" w:ascii="仿宋" w:hAnsi="仿宋" w:eastAsia="仿宋"/>
          <w:bCs/>
          <w:color w:val="000000"/>
          <w:sz w:val="32"/>
          <w:szCs w:val="32"/>
          <w:lang w:val="en-US" w:eastAsia="zh-CN"/>
        </w:rPr>
        <w:t>14</w:t>
      </w:r>
      <w:r>
        <w:rPr>
          <w:rStyle w:val="18"/>
          <w:rFonts w:ascii="仿宋" w:hAnsi="仿宋" w:eastAsia="仿宋"/>
          <w:bCs/>
          <w:color w:val="000000"/>
          <w:sz w:val="32"/>
          <w:szCs w:val="32"/>
        </w:rPr>
        <w:t>:</w:t>
      </w:r>
      <w:r>
        <w:rPr>
          <w:rStyle w:val="18"/>
          <w:rFonts w:hint="eastAsia" w:ascii="仿宋" w:hAnsi="仿宋" w:eastAsia="仿宋"/>
          <w:b w:val="0"/>
          <w:bCs/>
          <w:color w:val="000000"/>
          <w:sz w:val="32"/>
          <w:szCs w:val="32"/>
        </w:rPr>
        <w:t>支出决算为</w:t>
      </w:r>
      <w:r>
        <w:rPr>
          <w:rStyle w:val="18"/>
          <w:rFonts w:hint="eastAsia" w:ascii="仿宋" w:hAnsi="仿宋" w:eastAsia="仿宋"/>
          <w:b w:val="0"/>
          <w:bCs/>
          <w:color w:val="000000"/>
          <w:sz w:val="32"/>
          <w:szCs w:val="32"/>
          <w:lang w:val="en-US" w:eastAsia="zh-CN"/>
        </w:rPr>
        <w:t>1</w:t>
      </w:r>
      <w:r>
        <w:rPr>
          <w:rStyle w:val="18"/>
          <w:rFonts w:hint="eastAsia" w:ascii="仿宋" w:hAnsi="仿宋" w:eastAsia="仿宋"/>
          <w:b w:val="0"/>
          <w:bCs/>
          <w:color w:val="000000"/>
          <w:sz w:val="32"/>
          <w:szCs w:val="32"/>
        </w:rPr>
        <w:t>万元，完成预算</w:t>
      </w:r>
      <w:r>
        <w:rPr>
          <w:rStyle w:val="18"/>
          <w:rFonts w:hint="eastAsia" w:ascii="仿宋" w:hAnsi="仿宋" w:eastAsia="仿宋"/>
          <w:b w:val="0"/>
          <w:bCs/>
          <w:color w:val="000000"/>
          <w:sz w:val="32"/>
          <w:szCs w:val="32"/>
          <w:lang w:val="en-US" w:eastAsia="zh-CN"/>
        </w:rPr>
        <w:t>100</w:t>
      </w:r>
      <w:r>
        <w:rPr>
          <w:rStyle w:val="18"/>
          <w:rFonts w:ascii="仿宋" w:hAnsi="仿宋" w:eastAsia="仿宋"/>
          <w:b w:val="0"/>
          <w:bCs/>
          <w:color w:val="000000"/>
          <w:sz w:val="32"/>
          <w:szCs w:val="32"/>
        </w:rPr>
        <w:t>%</w:t>
      </w:r>
      <w:r>
        <w:rPr>
          <w:rStyle w:val="18"/>
          <w:rFonts w:hint="eastAsia" w:ascii="仿宋" w:hAnsi="仿宋" w:eastAsia="仿宋"/>
          <w:b w:val="0"/>
          <w:bCs/>
          <w:color w:val="000000"/>
          <w:sz w:val="32"/>
          <w:szCs w:val="32"/>
        </w:rPr>
        <w:t>，决算数等于预算数。</w:t>
      </w:r>
    </w:p>
    <w:p>
      <w:pPr>
        <w:spacing w:line="600" w:lineRule="exact"/>
        <w:ind w:firstLine="642" w:firstLineChars="200"/>
        <w:rPr>
          <w:rStyle w:val="18"/>
          <w:rFonts w:hint="eastAsia" w:ascii="仿宋" w:hAnsi="仿宋" w:eastAsia="仿宋"/>
          <w:b w:val="0"/>
          <w:bCs/>
          <w:color w:val="000000"/>
          <w:sz w:val="32"/>
          <w:szCs w:val="32"/>
        </w:rPr>
      </w:pPr>
      <w:r>
        <w:rPr>
          <w:rStyle w:val="18"/>
          <w:rFonts w:hint="default" w:ascii="仿宋" w:hAnsi="仿宋" w:eastAsia="仿宋"/>
          <w:bCs/>
          <w:color w:val="000000"/>
          <w:sz w:val="32"/>
          <w:szCs w:val="32"/>
          <w:lang w:eastAsia="zh-CN"/>
        </w:rPr>
        <w:t>17.</w:t>
      </w:r>
      <w:r>
        <w:rPr>
          <w:rStyle w:val="18"/>
          <w:rFonts w:hint="eastAsia" w:ascii="仿宋" w:hAnsi="仿宋" w:eastAsia="仿宋"/>
          <w:bCs/>
          <w:color w:val="000000"/>
          <w:sz w:val="32"/>
          <w:szCs w:val="32"/>
          <w:lang w:eastAsia="zh-CN"/>
        </w:rPr>
        <w:t>农林水支出</w:t>
      </w:r>
      <w:r>
        <w:rPr>
          <w:rStyle w:val="18"/>
          <w:rFonts w:hint="eastAsia" w:ascii="仿宋" w:hAnsi="仿宋" w:eastAsia="仿宋"/>
          <w:bCs/>
          <w:color w:val="000000"/>
          <w:sz w:val="32"/>
          <w:szCs w:val="32"/>
        </w:rPr>
        <w:t>（类）</w:t>
      </w:r>
      <w:r>
        <w:rPr>
          <w:rStyle w:val="18"/>
          <w:rFonts w:hint="eastAsia" w:ascii="仿宋" w:hAnsi="仿宋" w:eastAsia="仿宋"/>
          <w:bCs/>
          <w:color w:val="000000"/>
          <w:sz w:val="32"/>
          <w:szCs w:val="32"/>
          <w:lang w:val="en-US" w:eastAsia="zh-CN"/>
        </w:rPr>
        <w:t>213农村综合改革</w:t>
      </w:r>
      <w:r>
        <w:rPr>
          <w:rStyle w:val="18"/>
          <w:rFonts w:hint="eastAsia" w:ascii="仿宋" w:hAnsi="仿宋" w:eastAsia="仿宋"/>
          <w:bCs/>
          <w:color w:val="000000"/>
          <w:sz w:val="32"/>
          <w:szCs w:val="32"/>
        </w:rPr>
        <w:t>（款）</w:t>
      </w:r>
      <w:r>
        <w:rPr>
          <w:rStyle w:val="18"/>
          <w:rFonts w:hint="eastAsia" w:ascii="仿宋" w:hAnsi="仿宋" w:eastAsia="仿宋"/>
          <w:bCs/>
          <w:color w:val="000000"/>
          <w:sz w:val="32"/>
          <w:szCs w:val="32"/>
          <w:lang w:val="en-US" w:eastAsia="zh-CN"/>
        </w:rPr>
        <w:t>07对村民委员会和党支部的补助</w:t>
      </w:r>
      <w:r>
        <w:rPr>
          <w:rStyle w:val="18"/>
          <w:rFonts w:hint="eastAsia" w:ascii="仿宋" w:hAnsi="仿宋" w:eastAsia="仿宋"/>
          <w:bCs/>
          <w:color w:val="000000"/>
          <w:sz w:val="32"/>
          <w:szCs w:val="32"/>
        </w:rPr>
        <w:t>（项）</w:t>
      </w:r>
      <w:r>
        <w:rPr>
          <w:rStyle w:val="18"/>
          <w:rFonts w:hint="eastAsia" w:ascii="仿宋" w:hAnsi="仿宋" w:eastAsia="仿宋"/>
          <w:bCs/>
          <w:color w:val="000000"/>
          <w:sz w:val="32"/>
          <w:szCs w:val="32"/>
          <w:lang w:val="en-US" w:eastAsia="zh-CN"/>
        </w:rPr>
        <w:t>05</w:t>
      </w:r>
      <w:r>
        <w:rPr>
          <w:rStyle w:val="18"/>
          <w:rFonts w:ascii="仿宋" w:hAnsi="仿宋" w:eastAsia="仿宋"/>
          <w:bCs/>
          <w:color w:val="000000"/>
          <w:sz w:val="32"/>
          <w:szCs w:val="32"/>
        </w:rPr>
        <w:t>:</w:t>
      </w:r>
      <w:r>
        <w:rPr>
          <w:rStyle w:val="18"/>
          <w:rFonts w:hint="eastAsia" w:ascii="仿宋" w:hAnsi="仿宋" w:eastAsia="仿宋"/>
          <w:b w:val="0"/>
          <w:bCs/>
          <w:color w:val="000000"/>
          <w:sz w:val="32"/>
          <w:szCs w:val="32"/>
        </w:rPr>
        <w:t>支出决算为</w:t>
      </w:r>
      <w:r>
        <w:rPr>
          <w:rStyle w:val="18"/>
          <w:rFonts w:hint="eastAsia" w:ascii="仿宋" w:hAnsi="仿宋" w:eastAsia="仿宋"/>
          <w:b w:val="0"/>
          <w:bCs/>
          <w:color w:val="000000"/>
          <w:sz w:val="32"/>
          <w:szCs w:val="32"/>
          <w:lang w:val="en-US" w:eastAsia="zh-CN"/>
        </w:rPr>
        <w:t>262.67</w:t>
      </w:r>
      <w:r>
        <w:rPr>
          <w:rStyle w:val="18"/>
          <w:rFonts w:hint="eastAsia" w:ascii="仿宋" w:hAnsi="仿宋" w:eastAsia="仿宋"/>
          <w:b w:val="0"/>
          <w:bCs/>
          <w:color w:val="000000"/>
          <w:sz w:val="32"/>
          <w:szCs w:val="32"/>
        </w:rPr>
        <w:t>万元，完成预算</w:t>
      </w:r>
      <w:r>
        <w:rPr>
          <w:rStyle w:val="18"/>
          <w:rFonts w:hint="eastAsia" w:ascii="仿宋" w:hAnsi="仿宋" w:eastAsia="仿宋"/>
          <w:b w:val="0"/>
          <w:bCs/>
          <w:color w:val="000000"/>
          <w:sz w:val="32"/>
          <w:szCs w:val="32"/>
          <w:lang w:val="en-US" w:eastAsia="zh-CN"/>
        </w:rPr>
        <w:t>100</w:t>
      </w:r>
      <w:r>
        <w:rPr>
          <w:rStyle w:val="18"/>
          <w:rFonts w:ascii="仿宋" w:hAnsi="仿宋" w:eastAsia="仿宋"/>
          <w:b w:val="0"/>
          <w:bCs/>
          <w:color w:val="000000"/>
          <w:sz w:val="32"/>
          <w:szCs w:val="32"/>
        </w:rPr>
        <w:t>%</w:t>
      </w:r>
      <w:r>
        <w:rPr>
          <w:rStyle w:val="18"/>
          <w:rFonts w:hint="eastAsia" w:ascii="仿宋" w:hAnsi="仿宋" w:eastAsia="仿宋"/>
          <w:b w:val="0"/>
          <w:bCs/>
          <w:color w:val="000000"/>
          <w:sz w:val="32"/>
          <w:szCs w:val="32"/>
        </w:rPr>
        <w:t>，决算数等于预算数。</w:t>
      </w:r>
    </w:p>
    <w:p>
      <w:pPr>
        <w:numPr>
          <w:ilvl w:val="0"/>
          <w:numId w:val="0"/>
        </w:numPr>
        <w:spacing w:line="600" w:lineRule="exact"/>
        <w:ind w:firstLine="642" w:firstLineChars="200"/>
        <w:rPr>
          <w:rStyle w:val="18"/>
          <w:rFonts w:hint="eastAsia" w:ascii="仿宋" w:hAnsi="仿宋" w:eastAsia="仿宋"/>
          <w:b w:val="0"/>
          <w:bCs/>
          <w:color w:val="000000"/>
          <w:sz w:val="32"/>
          <w:szCs w:val="32"/>
        </w:rPr>
      </w:pPr>
      <w:r>
        <w:rPr>
          <w:rStyle w:val="18"/>
          <w:rFonts w:hint="default" w:ascii="仿宋" w:hAnsi="仿宋" w:eastAsia="仿宋"/>
          <w:bCs/>
          <w:color w:val="000000"/>
          <w:sz w:val="32"/>
          <w:szCs w:val="32"/>
          <w:lang w:eastAsia="zh-CN"/>
        </w:rPr>
        <w:t>18</w:t>
      </w:r>
      <w:r>
        <w:rPr>
          <w:rStyle w:val="18"/>
          <w:rFonts w:hint="eastAsia" w:ascii="仿宋" w:hAnsi="仿宋" w:eastAsia="仿宋"/>
          <w:bCs/>
          <w:color w:val="000000"/>
          <w:sz w:val="32"/>
          <w:szCs w:val="32"/>
          <w:lang w:val="en-US" w:eastAsia="zh-CN"/>
        </w:rPr>
        <w:t>.</w:t>
      </w:r>
      <w:r>
        <w:rPr>
          <w:rStyle w:val="18"/>
          <w:rFonts w:hint="eastAsia" w:ascii="仿宋" w:hAnsi="仿宋" w:eastAsia="仿宋"/>
          <w:bCs/>
          <w:color w:val="000000"/>
          <w:sz w:val="32"/>
          <w:szCs w:val="32"/>
          <w:lang w:eastAsia="zh-CN"/>
        </w:rPr>
        <w:t>住房保障支出</w:t>
      </w:r>
      <w:r>
        <w:rPr>
          <w:rStyle w:val="18"/>
          <w:rFonts w:hint="eastAsia" w:ascii="仿宋" w:hAnsi="仿宋" w:eastAsia="仿宋"/>
          <w:bCs/>
          <w:color w:val="000000"/>
          <w:sz w:val="32"/>
          <w:szCs w:val="32"/>
        </w:rPr>
        <w:t>（类）</w:t>
      </w:r>
      <w:r>
        <w:rPr>
          <w:rStyle w:val="18"/>
          <w:rFonts w:hint="eastAsia" w:ascii="仿宋" w:hAnsi="仿宋" w:eastAsia="仿宋"/>
          <w:bCs/>
          <w:color w:val="000000"/>
          <w:sz w:val="32"/>
          <w:szCs w:val="32"/>
          <w:lang w:val="en-US" w:eastAsia="zh-CN"/>
        </w:rPr>
        <w:t>221住房改革支出</w:t>
      </w:r>
      <w:r>
        <w:rPr>
          <w:rStyle w:val="18"/>
          <w:rFonts w:hint="eastAsia" w:ascii="仿宋" w:hAnsi="仿宋" w:eastAsia="仿宋"/>
          <w:bCs/>
          <w:color w:val="000000"/>
          <w:sz w:val="32"/>
          <w:szCs w:val="32"/>
        </w:rPr>
        <w:t>（款）</w:t>
      </w:r>
      <w:r>
        <w:rPr>
          <w:rStyle w:val="18"/>
          <w:rFonts w:hint="eastAsia" w:ascii="仿宋" w:hAnsi="仿宋" w:eastAsia="仿宋"/>
          <w:bCs/>
          <w:color w:val="000000"/>
          <w:sz w:val="32"/>
          <w:szCs w:val="32"/>
          <w:lang w:val="en-US" w:eastAsia="zh-CN"/>
        </w:rPr>
        <w:t>02公住房公积金</w:t>
      </w:r>
      <w:r>
        <w:rPr>
          <w:rStyle w:val="18"/>
          <w:rFonts w:hint="eastAsia" w:ascii="仿宋" w:hAnsi="仿宋" w:eastAsia="仿宋"/>
          <w:bCs/>
          <w:color w:val="000000"/>
          <w:sz w:val="32"/>
          <w:szCs w:val="32"/>
        </w:rPr>
        <w:t>（项）</w:t>
      </w:r>
      <w:r>
        <w:rPr>
          <w:rStyle w:val="18"/>
          <w:rFonts w:hint="eastAsia" w:ascii="仿宋" w:hAnsi="仿宋" w:eastAsia="仿宋"/>
          <w:bCs/>
          <w:color w:val="000000"/>
          <w:sz w:val="32"/>
          <w:szCs w:val="32"/>
          <w:lang w:val="en-US" w:eastAsia="zh-CN"/>
        </w:rPr>
        <w:t>01</w:t>
      </w:r>
      <w:r>
        <w:rPr>
          <w:rStyle w:val="18"/>
          <w:rFonts w:ascii="仿宋" w:hAnsi="仿宋" w:eastAsia="仿宋"/>
          <w:bCs/>
          <w:color w:val="000000"/>
          <w:sz w:val="32"/>
          <w:szCs w:val="32"/>
        </w:rPr>
        <w:t>:</w:t>
      </w:r>
      <w:r>
        <w:rPr>
          <w:rStyle w:val="18"/>
          <w:rFonts w:hint="eastAsia" w:ascii="仿宋" w:hAnsi="仿宋" w:eastAsia="仿宋"/>
          <w:b w:val="0"/>
          <w:bCs/>
          <w:color w:val="000000"/>
          <w:sz w:val="32"/>
          <w:szCs w:val="32"/>
        </w:rPr>
        <w:t>支出决算为</w:t>
      </w:r>
      <w:r>
        <w:rPr>
          <w:rStyle w:val="18"/>
          <w:rFonts w:hint="eastAsia" w:ascii="仿宋" w:hAnsi="仿宋" w:eastAsia="仿宋"/>
          <w:b w:val="0"/>
          <w:bCs/>
          <w:color w:val="000000"/>
          <w:sz w:val="32"/>
          <w:szCs w:val="32"/>
          <w:lang w:val="en-US" w:eastAsia="zh-CN"/>
        </w:rPr>
        <w:t>27.71</w:t>
      </w:r>
      <w:r>
        <w:rPr>
          <w:rStyle w:val="18"/>
          <w:rFonts w:hint="eastAsia" w:ascii="仿宋" w:hAnsi="仿宋" w:eastAsia="仿宋"/>
          <w:b w:val="0"/>
          <w:bCs/>
          <w:color w:val="000000"/>
          <w:sz w:val="32"/>
          <w:szCs w:val="32"/>
        </w:rPr>
        <w:t>万元，完成预算</w:t>
      </w:r>
      <w:r>
        <w:rPr>
          <w:rStyle w:val="18"/>
          <w:rFonts w:hint="eastAsia" w:ascii="仿宋" w:hAnsi="仿宋" w:eastAsia="仿宋"/>
          <w:b w:val="0"/>
          <w:bCs/>
          <w:color w:val="000000"/>
          <w:sz w:val="32"/>
          <w:szCs w:val="32"/>
          <w:lang w:val="en-US" w:eastAsia="zh-CN"/>
        </w:rPr>
        <w:t>100</w:t>
      </w:r>
      <w:r>
        <w:rPr>
          <w:rStyle w:val="18"/>
          <w:rFonts w:ascii="仿宋" w:hAnsi="仿宋" w:eastAsia="仿宋"/>
          <w:b w:val="0"/>
          <w:bCs/>
          <w:color w:val="000000"/>
          <w:sz w:val="32"/>
          <w:szCs w:val="32"/>
        </w:rPr>
        <w:t>%</w:t>
      </w:r>
      <w:r>
        <w:rPr>
          <w:rStyle w:val="18"/>
          <w:rFonts w:hint="eastAsia" w:ascii="仿宋" w:hAnsi="仿宋" w:eastAsia="仿宋"/>
          <w:b w:val="0"/>
          <w:bCs/>
          <w:color w:val="000000"/>
          <w:sz w:val="32"/>
          <w:szCs w:val="32"/>
        </w:rPr>
        <w:t>，决算数等于预算数。</w:t>
      </w:r>
    </w:p>
    <w:p>
      <w:pPr>
        <w:numPr>
          <w:ilvl w:val="0"/>
          <w:numId w:val="0"/>
        </w:numPr>
        <w:spacing w:line="600" w:lineRule="exact"/>
        <w:ind w:firstLine="420" w:firstLineChars="200"/>
        <w:rPr>
          <w:rStyle w:val="18"/>
          <w:rFonts w:hint="eastAsia" w:ascii="仿宋" w:hAnsi="仿宋" w:eastAsia="仿宋"/>
          <w:b w:val="0"/>
          <w:bCs/>
          <w:color w:val="000000"/>
          <w:sz w:val="32"/>
          <w:szCs w:val="32"/>
        </w:rPr>
      </w:pPr>
      <w:r>
        <w:rPr>
          <w:rFonts w:hint="eastAsia"/>
          <w:lang w:val="en-US" w:eastAsia="zh-CN"/>
        </w:rPr>
        <w:t xml:space="preserve">   </w:t>
      </w:r>
      <w:r>
        <w:rPr>
          <w:rStyle w:val="18"/>
          <w:rFonts w:hint="eastAsia" w:ascii="仿宋" w:hAnsi="仿宋" w:eastAsia="仿宋"/>
          <w:bCs/>
          <w:color w:val="000000"/>
          <w:sz w:val="32"/>
          <w:szCs w:val="32"/>
          <w:lang w:val="en-US" w:eastAsia="zh-CN"/>
        </w:rPr>
        <w:t>1</w:t>
      </w:r>
      <w:r>
        <w:rPr>
          <w:rStyle w:val="18"/>
          <w:rFonts w:hint="default" w:ascii="仿宋" w:hAnsi="仿宋" w:eastAsia="仿宋"/>
          <w:bCs/>
          <w:color w:val="000000"/>
          <w:sz w:val="32"/>
          <w:szCs w:val="32"/>
          <w:lang w:eastAsia="zh-CN"/>
        </w:rPr>
        <w:t>9</w:t>
      </w:r>
      <w:r>
        <w:rPr>
          <w:rStyle w:val="18"/>
          <w:rFonts w:hint="eastAsia" w:ascii="仿宋" w:hAnsi="仿宋" w:eastAsia="仿宋"/>
          <w:bCs/>
          <w:color w:val="000000"/>
          <w:sz w:val="32"/>
          <w:szCs w:val="32"/>
          <w:lang w:val="en-US" w:eastAsia="zh-CN"/>
        </w:rPr>
        <w:t>.</w:t>
      </w:r>
      <w:r>
        <w:rPr>
          <w:rStyle w:val="18"/>
          <w:rFonts w:hint="eastAsia" w:ascii="仿宋" w:hAnsi="仿宋" w:eastAsia="仿宋"/>
          <w:bCs/>
          <w:color w:val="000000"/>
          <w:sz w:val="32"/>
          <w:szCs w:val="32"/>
          <w:lang w:eastAsia="zh-CN"/>
        </w:rPr>
        <w:t>灾害防治及应急管理支出</w:t>
      </w:r>
      <w:r>
        <w:rPr>
          <w:rStyle w:val="18"/>
          <w:rFonts w:hint="eastAsia" w:ascii="仿宋" w:hAnsi="仿宋" w:eastAsia="仿宋"/>
          <w:bCs/>
          <w:color w:val="000000"/>
          <w:sz w:val="32"/>
          <w:szCs w:val="32"/>
        </w:rPr>
        <w:t>（类）</w:t>
      </w:r>
      <w:r>
        <w:rPr>
          <w:rStyle w:val="18"/>
          <w:rFonts w:hint="eastAsia" w:ascii="仿宋" w:hAnsi="仿宋" w:eastAsia="仿宋"/>
          <w:bCs/>
          <w:color w:val="000000"/>
          <w:sz w:val="32"/>
          <w:szCs w:val="32"/>
          <w:lang w:val="en-US" w:eastAsia="zh-CN"/>
        </w:rPr>
        <w:t>224应急管理事务</w:t>
      </w:r>
      <w:r>
        <w:rPr>
          <w:rStyle w:val="18"/>
          <w:rFonts w:hint="eastAsia" w:ascii="仿宋" w:hAnsi="仿宋" w:eastAsia="仿宋"/>
          <w:bCs/>
          <w:color w:val="000000"/>
          <w:sz w:val="32"/>
          <w:szCs w:val="32"/>
        </w:rPr>
        <w:t>（款）</w:t>
      </w:r>
      <w:r>
        <w:rPr>
          <w:rStyle w:val="18"/>
          <w:rFonts w:hint="eastAsia" w:ascii="仿宋" w:hAnsi="仿宋" w:eastAsia="仿宋"/>
          <w:bCs/>
          <w:color w:val="000000"/>
          <w:sz w:val="32"/>
          <w:szCs w:val="32"/>
          <w:lang w:val="en-US" w:eastAsia="zh-CN"/>
        </w:rPr>
        <w:t>01应急救援</w:t>
      </w:r>
      <w:r>
        <w:rPr>
          <w:rStyle w:val="18"/>
          <w:rFonts w:hint="eastAsia" w:ascii="仿宋" w:hAnsi="仿宋" w:eastAsia="仿宋"/>
          <w:bCs/>
          <w:color w:val="000000"/>
          <w:sz w:val="32"/>
          <w:szCs w:val="32"/>
        </w:rPr>
        <w:t>（项）</w:t>
      </w:r>
      <w:r>
        <w:rPr>
          <w:rStyle w:val="18"/>
          <w:rFonts w:hint="eastAsia" w:ascii="仿宋" w:hAnsi="仿宋" w:eastAsia="仿宋"/>
          <w:bCs/>
          <w:color w:val="000000"/>
          <w:sz w:val="32"/>
          <w:szCs w:val="32"/>
          <w:lang w:val="en-US" w:eastAsia="zh-CN"/>
        </w:rPr>
        <w:t>08</w:t>
      </w:r>
      <w:r>
        <w:rPr>
          <w:rStyle w:val="18"/>
          <w:rFonts w:ascii="仿宋" w:hAnsi="仿宋" w:eastAsia="仿宋"/>
          <w:bCs/>
          <w:color w:val="000000"/>
          <w:sz w:val="32"/>
          <w:szCs w:val="32"/>
        </w:rPr>
        <w:t>:</w:t>
      </w:r>
      <w:r>
        <w:rPr>
          <w:rStyle w:val="18"/>
          <w:rFonts w:hint="eastAsia" w:ascii="仿宋" w:hAnsi="仿宋" w:eastAsia="仿宋"/>
          <w:b w:val="0"/>
          <w:bCs/>
          <w:color w:val="000000"/>
          <w:sz w:val="32"/>
          <w:szCs w:val="32"/>
        </w:rPr>
        <w:t>支出决算为</w:t>
      </w:r>
      <w:r>
        <w:rPr>
          <w:rStyle w:val="18"/>
          <w:rFonts w:hint="eastAsia" w:ascii="仿宋" w:hAnsi="仿宋" w:eastAsia="仿宋"/>
          <w:b w:val="0"/>
          <w:bCs/>
          <w:color w:val="000000"/>
          <w:sz w:val="32"/>
          <w:szCs w:val="32"/>
          <w:lang w:val="en-US" w:eastAsia="zh-CN"/>
        </w:rPr>
        <w:t>5</w:t>
      </w:r>
      <w:r>
        <w:rPr>
          <w:rStyle w:val="18"/>
          <w:rFonts w:hint="eastAsia" w:ascii="仿宋" w:hAnsi="仿宋" w:eastAsia="仿宋"/>
          <w:b w:val="0"/>
          <w:bCs/>
          <w:color w:val="000000"/>
          <w:sz w:val="32"/>
          <w:szCs w:val="32"/>
        </w:rPr>
        <w:t>万元，完成预算</w:t>
      </w:r>
      <w:r>
        <w:rPr>
          <w:rStyle w:val="18"/>
          <w:rFonts w:hint="eastAsia" w:ascii="仿宋" w:hAnsi="仿宋" w:eastAsia="仿宋"/>
          <w:b w:val="0"/>
          <w:bCs/>
          <w:color w:val="000000"/>
          <w:sz w:val="32"/>
          <w:szCs w:val="32"/>
          <w:lang w:val="en-US" w:eastAsia="zh-CN"/>
        </w:rPr>
        <w:t>100</w:t>
      </w:r>
      <w:r>
        <w:rPr>
          <w:rStyle w:val="18"/>
          <w:rFonts w:ascii="仿宋" w:hAnsi="仿宋" w:eastAsia="仿宋"/>
          <w:b w:val="0"/>
          <w:bCs/>
          <w:color w:val="000000"/>
          <w:sz w:val="32"/>
          <w:szCs w:val="32"/>
        </w:rPr>
        <w:t>%</w:t>
      </w:r>
      <w:r>
        <w:rPr>
          <w:rStyle w:val="18"/>
          <w:rFonts w:hint="eastAsia" w:ascii="仿宋" w:hAnsi="仿宋" w:eastAsia="仿宋"/>
          <w:b w:val="0"/>
          <w:bCs/>
          <w:color w:val="000000"/>
          <w:sz w:val="32"/>
          <w:szCs w:val="32"/>
        </w:rPr>
        <w:t>，决算数等于预算数。</w:t>
      </w:r>
    </w:p>
    <w:p>
      <w:pPr>
        <w:ind w:firstLine="642" w:firstLineChars="200"/>
        <w:rPr>
          <w:rStyle w:val="18"/>
          <w:rFonts w:hint="eastAsia" w:ascii="仿宋" w:hAnsi="仿宋" w:eastAsia="仿宋"/>
          <w:bCs/>
          <w:color w:val="000000"/>
          <w:sz w:val="32"/>
          <w:szCs w:val="32"/>
          <w:lang w:eastAsia="zh-CN"/>
        </w:rPr>
      </w:pPr>
      <w:r>
        <w:rPr>
          <w:rStyle w:val="18"/>
          <w:rFonts w:hint="default" w:ascii="仿宋" w:hAnsi="仿宋" w:eastAsia="仿宋"/>
          <w:bCs/>
          <w:color w:val="000000"/>
          <w:sz w:val="32"/>
          <w:szCs w:val="32"/>
          <w:lang w:eastAsia="zh-CN"/>
        </w:rPr>
        <w:t>20.</w:t>
      </w:r>
      <w:r>
        <w:rPr>
          <w:rStyle w:val="18"/>
          <w:rFonts w:hint="eastAsia" w:ascii="仿宋" w:hAnsi="仿宋" w:eastAsia="仿宋"/>
          <w:bCs/>
          <w:color w:val="000000"/>
          <w:sz w:val="32"/>
          <w:szCs w:val="32"/>
          <w:lang w:eastAsia="zh-CN"/>
        </w:rPr>
        <w:t>灾害防治及应急管理支出</w:t>
      </w:r>
      <w:r>
        <w:rPr>
          <w:rStyle w:val="18"/>
          <w:rFonts w:hint="eastAsia" w:ascii="仿宋" w:hAnsi="仿宋" w:eastAsia="仿宋"/>
          <w:bCs/>
          <w:color w:val="000000"/>
          <w:sz w:val="32"/>
          <w:szCs w:val="32"/>
        </w:rPr>
        <w:t>（类）</w:t>
      </w:r>
      <w:r>
        <w:rPr>
          <w:rStyle w:val="18"/>
          <w:rFonts w:hint="eastAsia" w:ascii="仿宋" w:hAnsi="仿宋" w:eastAsia="仿宋"/>
          <w:bCs/>
          <w:color w:val="000000"/>
          <w:sz w:val="32"/>
          <w:szCs w:val="32"/>
          <w:lang w:val="en-US" w:eastAsia="zh-CN"/>
        </w:rPr>
        <w:t>224应急管理事务</w:t>
      </w:r>
      <w:r>
        <w:rPr>
          <w:rStyle w:val="18"/>
          <w:rFonts w:hint="eastAsia" w:ascii="仿宋" w:hAnsi="仿宋" w:eastAsia="仿宋"/>
          <w:bCs/>
          <w:color w:val="000000"/>
          <w:sz w:val="32"/>
          <w:szCs w:val="32"/>
        </w:rPr>
        <w:t>（款）</w:t>
      </w:r>
      <w:r>
        <w:rPr>
          <w:rStyle w:val="18"/>
          <w:rFonts w:hint="eastAsia" w:ascii="仿宋" w:hAnsi="仿宋" w:eastAsia="仿宋"/>
          <w:bCs/>
          <w:color w:val="000000"/>
          <w:sz w:val="32"/>
          <w:szCs w:val="32"/>
          <w:lang w:val="en-US" w:eastAsia="zh-CN"/>
        </w:rPr>
        <w:t>01其他应急管理支出</w:t>
      </w:r>
      <w:r>
        <w:rPr>
          <w:rStyle w:val="18"/>
          <w:rFonts w:hint="eastAsia" w:ascii="仿宋" w:hAnsi="仿宋" w:eastAsia="仿宋"/>
          <w:bCs/>
          <w:color w:val="000000"/>
          <w:sz w:val="32"/>
          <w:szCs w:val="32"/>
        </w:rPr>
        <w:t>（项）</w:t>
      </w:r>
      <w:r>
        <w:rPr>
          <w:rStyle w:val="18"/>
          <w:rFonts w:hint="eastAsia" w:ascii="仿宋" w:hAnsi="仿宋" w:eastAsia="仿宋"/>
          <w:bCs/>
          <w:color w:val="000000"/>
          <w:sz w:val="32"/>
          <w:szCs w:val="32"/>
          <w:lang w:val="en-US" w:eastAsia="zh-CN"/>
        </w:rPr>
        <w:t>99</w:t>
      </w:r>
      <w:r>
        <w:rPr>
          <w:rStyle w:val="18"/>
          <w:rFonts w:ascii="仿宋" w:hAnsi="仿宋" w:eastAsia="仿宋"/>
          <w:bCs/>
          <w:color w:val="000000"/>
          <w:sz w:val="32"/>
          <w:szCs w:val="32"/>
        </w:rPr>
        <w:t>:</w:t>
      </w:r>
      <w:r>
        <w:rPr>
          <w:rStyle w:val="18"/>
          <w:rFonts w:hint="eastAsia" w:ascii="仿宋" w:hAnsi="仿宋" w:eastAsia="仿宋"/>
          <w:b w:val="0"/>
          <w:bCs/>
          <w:color w:val="000000"/>
          <w:sz w:val="32"/>
          <w:szCs w:val="32"/>
        </w:rPr>
        <w:t>支出决算为</w:t>
      </w:r>
      <w:r>
        <w:rPr>
          <w:rStyle w:val="18"/>
          <w:rFonts w:hint="eastAsia" w:ascii="仿宋" w:hAnsi="仿宋" w:eastAsia="仿宋"/>
          <w:b w:val="0"/>
          <w:bCs/>
          <w:color w:val="000000"/>
          <w:sz w:val="32"/>
          <w:szCs w:val="32"/>
          <w:lang w:val="en-US" w:eastAsia="zh-CN"/>
        </w:rPr>
        <w:t>2</w:t>
      </w:r>
      <w:r>
        <w:rPr>
          <w:rStyle w:val="18"/>
          <w:rFonts w:hint="eastAsia" w:ascii="仿宋" w:hAnsi="仿宋" w:eastAsia="仿宋"/>
          <w:b w:val="0"/>
          <w:bCs/>
          <w:color w:val="000000"/>
          <w:sz w:val="32"/>
          <w:szCs w:val="32"/>
        </w:rPr>
        <w:t>万元，完成预算</w:t>
      </w:r>
      <w:r>
        <w:rPr>
          <w:rStyle w:val="18"/>
          <w:rFonts w:hint="eastAsia" w:ascii="仿宋" w:hAnsi="仿宋" w:eastAsia="仿宋"/>
          <w:b w:val="0"/>
          <w:bCs/>
          <w:color w:val="000000"/>
          <w:sz w:val="32"/>
          <w:szCs w:val="32"/>
          <w:lang w:val="en-US" w:eastAsia="zh-CN"/>
        </w:rPr>
        <w:t>100</w:t>
      </w:r>
      <w:r>
        <w:rPr>
          <w:rStyle w:val="18"/>
          <w:rFonts w:ascii="仿宋" w:hAnsi="仿宋" w:eastAsia="仿宋"/>
          <w:b w:val="0"/>
          <w:bCs/>
          <w:color w:val="000000"/>
          <w:sz w:val="32"/>
          <w:szCs w:val="32"/>
        </w:rPr>
        <w:t>%</w:t>
      </w:r>
      <w:r>
        <w:rPr>
          <w:rStyle w:val="18"/>
          <w:rFonts w:hint="eastAsia" w:ascii="仿宋" w:hAnsi="仿宋" w:eastAsia="仿宋"/>
          <w:b w:val="0"/>
          <w:bCs/>
          <w:color w:val="000000"/>
          <w:sz w:val="32"/>
          <w:szCs w:val="32"/>
        </w:rPr>
        <w:t>，决算数等于预算数。</w:t>
      </w:r>
    </w:p>
    <w:p>
      <w:pPr>
        <w:spacing w:line="600" w:lineRule="exact"/>
        <w:ind w:firstLine="642" w:firstLineChars="200"/>
        <w:rPr>
          <w:rStyle w:val="18"/>
          <w:rFonts w:hint="eastAsia" w:ascii="仿宋" w:hAnsi="仿宋" w:eastAsia="仿宋"/>
          <w:b w:val="0"/>
          <w:bCs/>
          <w:color w:val="000000"/>
          <w:sz w:val="32"/>
          <w:szCs w:val="32"/>
        </w:rPr>
      </w:pPr>
      <w:r>
        <w:rPr>
          <w:rStyle w:val="18"/>
          <w:rFonts w:hint="default" w:ascii="仿宋" w:hAnsi="仿宋" w:eastAsia="仿宋"/>
          <w:bCs/>
          <w:color w:val="000000"/>
          <w:sz w:val="32"/>
          <w:szCs w:val="32"/>
          <w:lang w:eastAsia="zh-CN"/>
        </w:rPr>
        <w:t>21.</w:t>
      </w:r>
      <w:r>
        <w:rPr>
          <w:rStyle w:val="18"/>
          <w:rFonts w:hint="eastAsia" w:ascii="仿宋" w:hAnsi="仿宋" w:eastAsia="仿宋"/>
          <w:bCs/>
          <w:color w:val="000000"/>
          <w:sz w:val="32"/>
          <w:szCs w:val="32"/>
          <w:lang w:eastAsia="zh-CN"/>
        </w:rPr>
        <w:t>灾害防治及应急管理支出</w:t>
      </w:r>
      <w:r>
        <w:rPr>
          <w:rStyle w:val="18"/>
          <w:rFonts w:hint="eastAsia" w:ascii="仿宋" w:hAnsi="仿宋" w:eastAsia="仿宋"/>
          <w:bCs/>
          <w:color w:val="000000"/>
          <w:sz w:val="32"/>
          <w:szCs w:val="32"/>
        </w:rPr>
        <w:t>（类）</w:t>
      </w:r>
      <w:r>
        <w:rPr>
          <w:rStyle w:val="18"/>
          <w:rFonts w:hint="eastAsia" w:ascii="仿宋" w:hAnsi="仿宋" w:eastAsia="仿宋"/>
          <w:bCs/>
          <w:color w:val="000000"/>
          <w:sz w:val="32"/>
          <w:szCs w:val="32"/>
          <w:lang w:val="en-US" w:eastAsia="zh-CN"/>
        </w:rPr>
        <w:t>224自然灾害救灾及恢复重建支出</w:t>
      </w:r>
      <w:r>
        <w:rPr>
          <w:rStyle w:val="18"/>
          <w:rFonts w:hint="eastAsia" w:ascii="仿宋" w:hAnsi="仿宋" w:eastAsia="仿宋"/>
          <w:bCs/>
          <w:color w:val="000000"/>
          <w:sz w:val="32"/>
          <w:szCs w:val="32"/>
        </w:rPr>
        <w:t>（款）</w:t>
      </w:r>
      <w:r>
        <w:rPr>
          <w:rStyle w:val="18"/>
          <w:rFonts w:hint="eastAsia" w:ascii="仿宋" w:hAnsi="仿宋" w:eastAsia="仿宋"/>
          <w:bCs/>
          <w:color w:val="000000"/>
          <w:sz w:val="32"/>
          <w:szCs w:val="32"/>
          <w:lang w:val="en-US" w:eastAsia="zh-CN"/>
        </w:rPr>
        <w:t>07自然灾害救灾补助（项）03</w:t>
      </w:r>
      <w:r>
        <w:rPr>
          <w:rStyle w:val="18"/>
          <w:rFonts w:ascii="仿宋" w:hAnsi="仿宋" w:eastAsia="仿宋"/>
          <w:bCs/>
          <w:color w:val="000000"/>
          <w:sz w:val="32"/>
          <w:szCs w:val="32"/>
        </w:rPr>
        <w:t>:</w:t>
      </w:r>
      <w:r>
        <w:rPr>
          <w:rStyle w:val="18"/>
          <w:rFonts w:hint="eastAsia" w:ascii="仿宋" w:hAnsi="仿宋" w:eastAsia="仿宋"/>
          <w:b w:val="0"/>
          <w:bCs/>
          <w:color w:val="000000"/>
          <w:sz w:val="32"/>
          <w:szCs w:val="32"/>
        </w:rPr>
        <w:t>支出决算为</w:t>
      </w:r>
      <w:r>
        <w:rPr>
          <w:rStyle w:val="18"/>
          <w:rFonts w:hint="eastAsia" w:ascii="仿宋" w:hAnsi="仿宋" w:eastAsia="仿宋"/>
          <w:b w:val="0"/>
          <w:bCs/>
          <w:color w:val="000000"/>
          <w:sz w:val="32"/>
          <w:szCs w:val="32"/>
          <w:lang w:val="en-US" w:eastAsia="zh-CN"/>
        </w:rPr>
        <w:t>9</w:t>
      </w:r>
      <w:r>
        <w:rPr>
          <w:rStyle w:val="18"/>
          <w:rFonts w:hint="eastAsia" w:ascii="仿宋" w:hAnsi="仿宋" w:eastAsia="仿宋"/>
          <w:b w:val="0"/>
          <w:bCs/>
          <w:color w:val="000000"/>
          <w:sz w:val="32"/>
          <w:szCs w:val="32"/>
        </w:rPr>
        <w:t>万元，完成预算</w:t>
      </w:r>
      <w:r>
        <w:rPr>
          <w:rStyle w:val="18"/>
          <w:rFonts w:hint="eastAsia" w:ascii="仿宋" w:hAnsi="仿宋" w:eastAsia="仿宋"/>
          <w:b w:val="0"/>
          <w:bCs/>
          <w:color w:val="000000"/>
          <w:sz w:val="32"/>
          <w:szCs w:val="32"/>
          <w:lang w:val="en-US" w:eastAsia="zh-CN"/>
        </w:rPr>
        <w:t>100</w:t>
      </w:r>
      <w:r>
        <w:rPr>
          <w:rStyle w:val="18"/>
          <w:rFonts w:ascii="仿宋" w:hAnsi="仿宋" w:eastAsia="仿宋"/>
          <w:b w:val="0"/>
          <w:bCs/>
          <w:color w:val="000000"/>
          <w:sz w:val="32"/>
          <w:szCs w:val="32"/>
        </w:rPr>
        <w:t>%</w:t>
      </w:r>
      <w:r>
        <w:rPr>
          <w:rStyle w:val="18"/>
          <w:rFonts w:hint="eastAsia" w:ascii="仿宋" w:hAnsi="仿宋" w:eastAsia="仿宋"/>
          <w:b w:val="0"/>
          <w:bCs/>
          <w:color w:val="000000"/>
          <w:sz w:val="32"/>
          <w:szCs w:val="32"/>
        </w:rPr>
        <w:t>，决算数等于预算数。</w:t>
      </w:r>
    </w:p>
    <w:p>
      <w:pPr>
        <w:tabs>
          <w:tab w:val="right" w:pos="8306"/>
        </w:tabs>
        <w:spacing w:line="600" w:lineRule="exact"/>
        <w:ind w:firstLine="640"/>
        <w:outlineLvl w:val="1"/>
        <w:rPr>
          <w:rStyle w:val="29"/>
          <w:color w:val="auto"/>
          <w:highlight w:val="none"/>
        </w:rPr>
      </w:pPr>
      <w:bookmarkStart w:id="34" w:name="_Toc15377214"/>
      <w:bookmarkStart w:id="35" w:name="_Toc15396608"/>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9"/>
          <w:rFonts w:hint="eastAsia" w:ascii="黑体" w:hAnsi="黑体" w:eastAsia="黑体"/>
          <w:b w:val="0"/>
          <w:color w:val="auto"/>
          <w:highlight w:val="none"/>
        </w:rPr>
        <w:t>般公共预算财政拨款基本支出决算情况说明</w:t>
      </w:r>
      <w:bookmarkEnd w:id="34"/>
      <w:bookmarkEnd w:id="35"/>
      <w:r>
        <w:rPr>
          <w:rStyle w:val="29"/>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570.27</w:t>
      </w:r>
      <w:r>
        <w:rPr>
          <w:rFonts w:hint="eastAsia" w:ascii="仿宋" w:hAnsi="仿宋" w:eastAsia="仿宋"/>
          <w:color w:val="auto"/>
          <w:sz w:val="32"/>
          <w:szCs w:val="32"/>
          <w:highlight w:val="none"/>
        </w:rPr>
        <w:t>万元，其中：</w:t>
      </w:r>
    </w:p>
    <w:p>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514.5</w:t>
      </w:r>
      <w:r>
        <w:rPr>
          <w:rFonts w:hint="eastAsia" w:ascii="仿宋" w:hAnsi="仿宋" w:eastAsia="仿宋"/>
          <w:color w:val="auto"/>
          <w:sz w:val="32"/>
          <w:szCs w:val="32"/>
          <w:highlight w:val="none"/>
        </w:rPr>
        <w:t>万元，主要包括：基本工资</w:t>
      </w:r>
      <w:r>
        <w:rPr>
          <w:rFonts w:hint="eastAsia" w:ascii="仿宋" w:hAnsi="仿宋" w:eastAsia="仿宋"/>
          <w:color w:val="auto"/>
          <w:sz w:val="32"/>
          <w:szCs w:val="32"/>
          <w:highlight w:val="none"/>
          <w:lang w:val="en-US" w:eastAsia="zh-CN"/>
        </w:rPr>
        <w:t>113.86万元</w:t>
      </w:r>
      <w:r>
        <w:rPr>
          <w:rFonts w:hint="eastAsia" w:ascii="仿宋" w:hAnsi="仿宋" w:eastAsia="仿宋"/>
          <w:color w:val="auto"/>
          <w:sz w:val="32"/>
          <w:szCs w:val="32"/>
          <w:highlight w:val="none"/>
        </w:rPr>
        <w:t>、津贴补贴</w:t>
      </w:r>
      <w:r>
        <w:rPr>
          <w:rFonts w:hint="eastAsia" w:ascii="仿宋" w:hAnsi="仿宋" w:eastAsia="仿宋"/>
          <w:color w:val="auto"/>
          <w:sz w:val="32"/>
          <w:szCs w:val="32"/>
          <w:highlight w:val="none"/>
          <w:lang w:val="en-US" w:eastAsia="zh-CN"/>
        </w:rPr>
        <w:t>62.46万元</w:t>
      </w:r>
      <w:r>
        <w:rPr>
          <w:rFonts w:hint="eastAsia" w:ascii="仿宋" w:hAnsi="仿宋" w:eastAsia="仿宋"/>
          <w:color w:val="auto"/>
          <w:sz w:val="32"/>
          <w:szCs w:val="32"/>
          <w:highlight w:val="none"/>
        </w:rPr>
        <w:t>、奖金</w:t>
      </w:r>
      <w:r>
        <w:rPr>
          <w:rFonts w:hint="eastAsia" w:ascii="仿宋" w:hAnsi="仿宋" w:eastAsia="仿宋"/>
          <w:color w:val="auto"/>
          <w:sz w:val="32"/>
          <w:szCs w:val="32"/>
          <w:highlight w:val="none"/>
          <w:lang w:val="en-US" w:eastAsia="zh-CN"/>
        </w:rPr>
        <w:t>48.58万元</w:t>
      </w:r>
      <w:r>
        <w:rPr>
          <w:rFonts w:hint="eastAsia" w:ascii="仿宋" w:hAnsi="仿宋" w:eastAsia="仿宋"/>
          <w:color w:val="auto"/>
          <w:sz w:val="32"/>
          <w:szCs w:val="32"/>
          <w:highlight w:val="none"/>
        </w:rPr>
        <w:t>、机关事业单位基本养老保险缴费</w:t>
      </w:r>
      <w:r>
        <w:rPr>
          <w:rFonts w:hint="eastAsia" w:ascii="仿宋" w:hAnsi="仿宋" w:eastAsia="仿宋"/>
          <w:color w:val="auto"/>
          <w:sz w:val="32"/>
          <w:szCs w:val="32"/>
          <w:highlight w:val="none"/>
          <w:lang w:val="en-US" w:eastAsia="zh-CN"/>
        </w:rPr>
        <w:t>27.8万元</w:t>
      </w:r>
      <w:r>
        <w:rPr>
          <w:rFonts w:hint="eastAsia" w:ascii="仿宋" w:hAnsi="仿宋" w:eastAsia="仿宋"/>
          <w:color w:val="auto"/>
          <w:sz w:val="32"/>
          <w:szCs w:val="32"/>
          <w:highlight w:val="none"/>
        </w:rPr>
        <w:t>、职业年金缴费</w:t>
      </w:r>
      <w:r>
        <w:rPr>
          <w:rFonts w:hint="eastAsia" w:ascii="仿宋" w:hAnsi="仿宋" w:eastAsia="仿宋"/>
          <w:color w:val="auto"/>
          <w:sz w:val="32"/>
          <w:szCs w:val="32"/>
          <w:highlight w:val="none"/>
          <w:lang w:val="en-US" w:eastAsia="zh-CN"/>
        </w:rPr>
        <w:t>9.02万元</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val="en-US" w:eastAsia="zh-CN"/>
        </w:rPr>
        <w:t>职工基本医疗保险缴费13.92万元、</w:t>
      </w:r>
      <w:r>
        <w:rPr>
          <w:rFonts w:hint="eastAsia" w:ascii="仿宋" w:hAnsi="仿宋" w:eastAsia="仿宋"/>
          <w:color w:val="auto"/>
          <w:sz w:val="32"/>
          <w:szCs w:val="32"/>
          <w:highlight w:val="none"/>
        </w:rPr>
        <w:t>其他社会保障缴费</w:t>
      </w:r>
      <w:r>
        <w:rPr>
          <w:rFonts w:hint="eastAsia" w:ascii="仿宋" w:hAnsi="仿宋" w:eastAsia="仿宋"/>
          <w:color w:val="auto"/>
          <w:sz w:val="32"/>
          <w:szCs w:val="32"/>
          <w:highlight w:val="none"/>
          <w:lang w:val="en-US" w:eastAsia="zh-CN"/>
        </w:rPr>
        <w:t>0.87万元</w:t>
      </w:r>
      <w:r>
        <w:rPr>
          <w:rFonts w:hint="eastAsia" w:ascii="仿宋" w:hAnsi="仿宋" w:eastAsia="仿宋"/>
          <w:color w:val="auto"/>
          <w:sz w:val="32"/>
          <w:szCs w:val="32"/>
          <w:highlight w:val="none"/>
        </w:rPr>
        <w:t>、住房公积金</w:t>
      </w:r>
      <w:r>
        <w:rPr>
          <w:rFonts w:hint="eastAsia" w:ascii="仿宋" w:hAnsi="仿宋" w:eastAsia="仿宋"/>
          <w:color w:val="auto"/>
          <w:sz w:val="32"/>
          <w:szCs w:val="32"/>
          <w:highlight w:val="none"/>
          <w:lang w:val="en-US" w:eastAsia="zh-CN"/>
        </w:rPr>
        <w:t>27.71万元</w:t>
      </w:r>
      <w:r>
        <w:rPr>
          <w:rFonts w:hint="eastAsia" w:ascii="仿宋" w:hAnsi="仿宋" w:eastAsia="仿宋"/>
          <w:color w:val="auto"/>
          <w:sz w:val="32"/>
          <w:szCs w:val="32"/>
          <w:highlight w:val="none"/>
        </w:rPr>
        <w:t>、其他工资福利支出</w:t>
      </w:r>
      <w:r>
        <w:rPr>
          <w:rFonts w:hint="eastAsia" w:ascii="仿宋" w:hAnsi="仿宋" w:eastAsia="仿宋"/>
          <w:color w:val="auto"/>
          <w:sz w:val="32"/>
          <w:szCs w:val="32"/>
          <w:highlight w:val="none"/>
          <w:lang w:val="en-US" w:eastAsia="zh-CN"/>
        </w:rPr>
        <w:t>9.45万元</w:t>
      </w:r>
      <w:r>
        <w:rPr>
          <w:rFonts w:hint="eastAsia" w:ascii="仿宋" w:hAnsi="仿宋" w:eastAsia="仿宋"/>
          <w:color w:val="auto"/>
          <w:sz w:val="32"/>
          <w:szCs w:val="32"/>
          <w:highlight w:val="none"/>
        </w:rPr>
        <w:t>、生活补助</w:t>
      </w:r>
      <w:r>
        <w:rPr>
          <w:rFonts w:hint="eastAsia" w:ascii="仿宋" w:hAnsi="仿宋" w:eastAsia="仿宋"/>
          <w:color w:val="auto"/>
          <w:sz w:val="32"/>
          <w:szCs w:val="32"/>
          <w:highlight w:val="none"/>
          <w:lang w:val="en-US" w:eastAsia="zh-CN"/>
        </w:rPr>
        <w:t>200.82万元</w:t>
      </w:r>
      <w:r>
        <w:rPr>
          <w:rFonts w:hint="eastAsia" w:ascii="仿宋" w:hAnsi="仿宋" w:eastAsia="仿宋"/>
          <w:color w:val="auto"/>
          <w:sz w:val="32"/>
          <w:szCs w:val="32"/>
          <w:highlight w:val="none"/>
        </w:rPr>
        <w:t>。</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w:t>
      </w:r>
      <w:r>
        <w:rPr>
          <w:rFonts w:hint="eastAsia" w:ascii="仿宋" w:hAnsi="仿宋" w:eastAsia="仿宋"/>
          <w:color w:val="auto"/>
          <w:sz w:val="32"/>
          <w:szCs w:val="32"/>
          <w:highlight w:val="none"/>
          <w:lang w:val="en-US" w:eastAsia="zh-CN"/>
        </w:rPr>
        <w:t>55.77</w:t>
      </w:r>
      <w:r>
        <w:rPr>
          <w:rFonts w:hint="eastAsia" w:ascii="仿宋" w:hAnsi="仿宋" w:eastAsia="仿宋"/>
          <w:color w:val="auto"/>
          <w:sz w:val="32"/>
          <w:szCs w:val="32"/>
          <w:highlight w:val="none"/>
        </w:rPr>
        <w:t>万元，主要包括：办公费</w:t>
      </w:r>
      <w:r>
        <w:rPr>
          <w:rFonts w:hint="eastAsia" w:ascii="仿宋" w:hAnsi="仿宋" w:eastAsia="仿宋"/>
          <w:color w:val="auto"/>
          <w:sz w:val="32"/>
          <w:szCs w:val="32"/>
          <w:highlight w:val="none"/>
          <w:lang w:val="en-US" w:eastAsia="zh-CN"/>
        </w:rPr>
        <w:t>6.17万元</w:t>
      </w:r>
      <w:r>
        <w:rPr>
          <w:rFonts w:hint="eastAsia" w:ascii="仿宋" w:hAnsi="仿宋" w:eastAsia="仿宋"/>
          <w:color w:val="auto"/>
          <w:sz w:val="32"/>
          <w:szCs w:val="32"/>
          <w:highlight w:val="none"/>
        </w:rPr>
        <w:t>、印刷费</w:t>
      </w:r>
      <w:r>
        <w:rPr>
          <w:rFonts w:hint="eastAsia" w:ascii="仿宋" w:hAnsi="仿宋" w:eastAsia="仿宋"/>
          <w:color w:val="auto"/>
          <w:sz w:val="32"/>
          <w:szCs w:val="32"/>
          <w:highlight w:val="none"/>
          <w:lang w:val="en-US" w:eastAsia="zh-CN"/>
        </w:rPr>
        <w:t>5.5万元</w:t>
      </w:r>
      <w:r>
        <w:rPr>
          <w:rFonts w:hint="eastAsia" w:ascii="仿宋" w:hAnsi="仿宋" w:eastAsia="仿宋"/>
          <w:color w:val="auto"/>
          <w:sz w:val="32"/>
          <w:szCs w:val="32"/>
          <w:highlight w:val="none"/>
        </w:rPr>
        <w:t>、手续费</w:t>
      </w:r>
      <w:r>
        <w:rPr>
          <w:rFonts w:hint="eastAsia" w:ascii="仿宋" w:hAnsi="仿宋" w:eastAsia="仿宋"/>
          <w:color w:val="auto"/>
          <w:sz w:val="32"/>
          <w:szCs w:val="32"/>
          <w:highlight w:val="none"/>
          <w:lang w:val="en-US" w:eastAsia="zh-CN"/>
        </w:rPr>
        <w:t>0.3万元</w:t>
      </w:r>
      <w:r>
        <w:rPr>
          <w:rFonts w:hint="eastAsia" w:ascii="仿宋" w:hAnsi="仿宋" w:eastAsia="仿宋"/>
          <w:color w:val="auto"/>
          <w:sz w:val="32"/>
          <w:szCs w:val="32"/>
          <w:highlight w:val="none"/>
        </w:rPr>
        <w:t>、水费</w:t>
      </w:r>
      <w:r>
        <w:rPr>
          <w:rFonts w:hint="eastAsia" w:ascii="仿宋" w:hAnsi="仿宋" w:eastAsia="仿宋"/>
          <w:color w:val="auto"/>
          <w:sz w:val="32"/>
          <w:szCs w:val="32"/>
          <w:highlight w:val="none"/>
          <w:lang w:val="en-US" w:eastAsia="zh-CN"/>
        </w:rPr>
        <w:t>1万元</w:t>
      </w:r>
      <w:r>
        <w:rPr>
          <w:rFonts w:hint="eastAsia" w:ascii="仿宋" w:hAnsi="仿宋" w:eastAsia="仿宋"/>
          <w:color w:val="auto"/>
          <w:sz w:val="32"/>
          <w:szCs w:val="32"/>
          <w:highlight w:val="none"/>
        </w:rPr>
        <w:t>、电费</w:t>
      </w:r>
      <w:r>
        <w:rPr>
          <w:rFonts w:hint="eastAsia" w:ascii="仿宋" w:hAnsi="仿宋" w:eastAsia="仿宋"/>
          <w:color w:val="auto"/>
          <w:sz w:val="32"/>
          <w:szCs w:val="32"/>
          <w:highlight w:val="none"/>
          <w:lang w:val="en-US" w:eastAsia="zh-CN"/>
        </w:rPr>
        <w:t>6.5万元</w:t>
      </w:r>
      <w:r>
        <w:rPr>
          <w:rFonts w:hint="eastAsia" w:ascii="仿宋" w:hAnsi="仿宋" w:eastAsia="仿宋"/>
          <w:color w:val="auto"/>
          <w:sz w:val="32"/>
          <w:szCs w:val="32"/>
          <w:highlight w:val="none"/>
        </w:rPr>
        <w:t>、邮电费</w:t>
      </w:r>
      <w:r>
        <w:rPr>
          <w:rFonts w:hint="eastAsia" w:ascii="仿宋" w:hAnsi="仿宋" w:eastAsia="仿宋"/>
          <w:color w:val="auto"/>
          <w:sz w:val="32"/>
          <w:szCs w:val="32"/>
          <w:highlight w:val="none"/>
          <w:lang w:val="en-US" w:eastAsia="zh-CN"/>
        </w:rPr>
        <w:t>5.4万元</w:t>
      </w:r>
      <w:r>
        <w:rPr>
          <w:rFonts w:hint="eastAsia" w:ascii="仿宋" w:hAnsi="仿宋" w:eastAsia="仿宋"/>
          <w:color w:val="auto"/>
          <w:sz w:val="32"/>
          <w:szCs w:val="32"/>
          <w:highlight w:val="none"/>
        </w:rPr>
        <w:t>、差旅费</w:t>
      </w:r>
      <w:r>
        <w:rPr>
          <w:rFonts w:hint="eastAsia" w:ascii="仿宋" w:hAnsi="仿宋" w:eastAsia="仿宋"/>
          <w:color w:val="auto"/>
          <w:sz w:val="32"/>
          <w:szCs w:val="32"/>
          <w:highlight w:val="none"/>
          <w:lang w:val="en-US" w:eastAsia="zh-CN"/>
        </w:rPr>
        <w:t>9.2万元</w:t>
      </w:r>
      <w:r>
        <w:rPr>
          <w:rFonts w:hint="eastAsia" w:ascii="仿宋" w:hAnsi="仿宋" w:eastAsia="仿宋"/>
          <w:color w:val="auto"/>
          <w:sz w:val="32"/>
          <w:szCs w:val="32"/>
          <w:highlight w:val="none"/>
        </w:rPr>
        <w:t>、维修（护）费</w:t>
      </w:r>
      <w:r>
        <w:rPr>
          <w:rFonts w:hint="eastAsia" w:ascii="仿宋" w:hAnsi="仿宋" w:eastAsia="仿宋"/>
          <w:color w:val="auto"/>
          <w:sz w:val="32"/>
          <w:szCs w:val="32"/>
          <w:highlight w:val="none"/>
          <w:lang w:val="en-US" w:eastAsia="zh-CN"/>
        </w:rPr>
        <w:t>2万元</w:t>
      </w:r>
      <w:r>
        <w:rPr>
          <w:rFonts w:hint="eastAsia" w:ascii="仿宋" w:hAnsi="仿宋" w:eastAsia="仿宋"/>
          <w:color w:val="auto"/>
          <w:sz w:val="32"/>
          <w:szCs w:val="32"/>
          <w:highlight w:val="none"/>
        </w:rPr>
        <w:t>、会议费</w:t>
      </w:r>
      <w:r>
        <w:rPr>
          <w:rFonts w:hint="eastAsia" w:ascii="仿宋" w:hAnsi="仿宋" w:eastAsia="仿宋"/>
          <w:color w:val="auto"/>
          <w:sz w:val="32"/>
          <w:szCs w:val="32"/>
          <w:highlight w:val="none"/>
          <w:lang w:val="en-US" w:eastAsia="zh-CN"/>
        </w:rPr>
        <w:t>0.3万元</w:t>
      </w:r>
      <w:r>
        <w:rPr>
          <w:rFonts w:hint="eastAsia" w:ascii="仿宋" w:hAnsi="仿宋" w:eastAsia="仿宋"/>
          <w:color w:val="auto"/>
          <w:sz w:val="32"/>
          <w:szCs w:val="32"/>
          <w:highlight w:val="none"/>
        </w:rPr>
        <w:t>、公务接待费</w:t>
      </w:r>
      <w:r>
        <w:rPr>
          <w:rFonts w:hint="eastAsia" w:ascii="仿宋" w:hAnsi="仿宋" w:eastAsia="仿宋"/>
          <w:color w:val="auto"/>
          <w:sz w:val="32"/>
          <w:szCs w:val="32"/>
          <w:highlight w:val="none"/>
          <w:lang w:val="en-US" w:eastAsia="zh-CN"/>
        </w:rPr>
        <w:t>0.95万元</w:t>
      </w:r>
      <w:r>
        <w:rPr>
          <w:rFonts w:hint="eastAsia" w:ascii="仿宋" w:hAnsi="仿宋" w:eastAsia="仿宋"/>
          <w:color w:val="auto"/>
          <w:sz w:val="32"/>
          <w:szCs w:val="32"/>
          <w:highlight w:val="none"/>
        </w:rPr>
        <w:t>、劳务费</w:t>
      </w:r>
      <w:r>
        <w:rPr>
          <w:rFonts w:hint="eastAsia" w:ascii="仿宋" w:hAnsi="仿宋" w:eastAsia="仿宋"/>
          <w:color w:val="auto"/>
          <w:sz w:val="32"/>
          <w:szCs w:val="32"/>
          <w:highlight w:val="none"/>
          <w:lang w:val="en-US" w:eastAsia="zh-CN"/>
        </w:rPr>
        <w:t>4.1万元</w:t>
      </w:r>
      <w:r>
        <w:rPr>
          <w:rFonts w:hint="eastAsia" w:ascii="仿宋" w:hAnsi="仿宋" w:eastAsia="仿宋"/>
          <w:color w:val="auto"/>
          <w:sz w:val="32"/>
          <w:szCs w:val="32"/>
          <w:highlight w:val="none"/>
        </w:rPr>
        <w:t>、工会经费</w:t>
      </w:r>
      <w:r>
        <w:rPr>
          <w:rFonts w:hint="eastAsia" w:ascii="仿宋" w:hAnsi="仿宋" w:eastAsia="仿宋"/>
          <w:color w:val="auto"/>
          <w:sz w:val="32"/>
          <w:szCs w:val="32"/>
          <w:highlight w:val="none"/>
          <w:lang w:val="en-US" w:eastAsia="zh-CN"/>
        </w:rPr>
        <w:t>2.09万元</w:t>
      </w:r>
      <w:r>
        <w:rPr>
          <w:rFonts w:hint="eastAsia" w:ascii="仿宋" w:hAnsi="仿宋" w:eastAsia="仿宋"/>
          <w:color w:val="auto"/>
          <w:sz w:val="32"/>
          <w:szCs w:val="32"/>
          <w:highlight w:val="none"/>
        </w:rPr>
        <w:t>、福利费</w:t>
      </w:r>
      <w:r>
        <w:rPr>
          <w:rFonts w:hint="eastAsia" w:ascii="仿宋" w:hAnsi="仿宋" w:eastAsia="仿宋"/>
          <w:color w:val="auto"/>
          <w:sz w:val="32"/>
          <w:szCs w:val="32"/>
          <w:highlight w:val="none"/>
          <w:lang w:val="en-US" w:eastAsia="zh-CN"/>
        </w:rPr>
        <w:t>5.22万元</w:t>
      </w:r>
      <w:r>
        <w:rPr>
          <w:rFonts w:hint="eastAsia" w:ascii="仿宋" w:hAnsi="仿宋" w:eastAsia="仿宋"/>
          <w:color w:val="auto"/>
          <w:sz w:val="32"/>
          <w:szCs w:val="32"/>
          <w:highlight w:val="none"/>
        </w:rPr>
        <w:t>、其他交通费</w:t>
      </w:r>
      <w:r>
        <w:rPr>
          <w:rFonts w:hint="eastAsia" w:ascii="仿宋" w:hAnsi="仿宋" w:eastAsia="仿宋"/>
          <w:color w:val="auto"/>
          <w:sz w:val="32"/>
          <w:szCs w:val="32"/>
          <w:highlight w:val="none"/>
          <w:lang w:val="en-US" w:eastAsia="zh-CN"/>
        </w:rPr>
        <w:t>7.04万元</w:t>
      </w:r>
      <w:r>
        <w:rPr>
          <w:rFonts w:hint="eastAsia" w:ascii="仿宋" w:hAnsi="仿宋" w:eastAsia="仿宋"/>
          <w:color w:val="auto"/>
          <w:sz w:val="32"/>
          <w:szCs w:val="32"/>
          <w:highlight w:val="none"/>
        </w:rPr>
        <w:t>。</w:t>
      </w:r>
    </w:p>
    <w:p>
      <w:pPr>
        <w:spacing w:line="600" w:lineRule="exact"/>
        <w:ind w:firstLine="640"/>
        <w:outlineLvl w:val="1"/>
        <w:rPr>
          <w:rStyle w:val="29"/>
          <w:rFonts w:ascii="黑体" w:hAnsi="黑体" w:eastAsia="黑体"/>
          <w:b w:val="0"/>
          <w:color w:val="auto"/>
          <w:highlight w:val="none"/>
        </w:rPr>
      </w:pPr>
      <w:bookmarkStart w:id="36" w:name="_Toc15377215"/>
      <w:bookmarkStart w:id="37" w:name="_Toc15396609"/>
      <w:r>
        <w:rPr>
          <w:rFonts w:hint="eastAsia" w:ascii="黑体" w:eastAsia="黑体"/>
          <w:color w:val="auto"/>
          <w:sz w:val="32"/>
          <w:szCs w:val="32"/>
          <w:highlight w:val="none"/>
        </w:rPr>
        <w:t>七、</w:t>
      </w:r>
      <w:r>
        <w:rPr>
          <w:rStyle w:val="29"/>
          <w:rFonts w:hint="eastAsia" w:ascii="黑体" w:hAnsi="黑体" w:eastAsia="黑体"/>
          <w:b w:val="0"/>
          <w:color w:val="auto"/>
          <w:highlight w:val="none"/>
        </w:rPr>
        <w:t>财政拨款</w:t>
      </w:r>
      <w:r>
        <w:rPr>
          <w:rStyle w:val="29"/>
          <w:rFonts w:hint="eastAsia" w:ascii="黑体" w:hAnsi="黑体" w:eastAsia="黑体"/>
          <w:color w:val="auto"/>
          <w:highlight w:val="none"/>
        </w:rPr>
        <w:t>“</w:t>
      </w:r>
      <w:r>
        <w:rPr>
          <w:rStyle w:val="29"/>
          <w:rFonts w:hint="eastAsia" w:ascii="黑体" w:hAnsi="黑体" w:eastAsia="黑体"/>
          <w:b w:val="0"/>
          <w:color w:val="auto"/>
          <w:highlight w:val="none"/>
        </w:rPr>
        <w:t>三公”经费支出决算情况说明</w:t>
      </w:r>
      <w:bookmarkEnd w:id="36"/>
      <w:bookmarkEnd w:id="37"/>
    </w:p>
    <w:p>
      <w:pPr>
        <w:spacing w:line="600" w:lineRule="exact"/>
        <w:ind w:firstLine="640"/>
        <w:outlineLvl w:val="2"/>
        <w:rPr>
          <w:rFonts w:ascii="仿宋" w:hAnsi="仿宋" w:eastAsia="仿宋"/>
          <w:b/>
          <w:color w:val="auto"/>
          <w:sz w:val="32"/>
          <w:szCs w:val="32"/>
          <w:highlight w:val="none"/>
        </w:rPr>
      </w:pPr>
      <w:bookmarkStart w:id="38" w:name="_Toc15377216"/>
      <w:r>
        <w:rPr>
          <w:rFonts w:hint="eastAsia" w:ascii="仿宋" w:hAnsi="仿宋" w:eastAsia="仿宋"/>
          <w:b/>
          <w:color w:val="auto"/>
          <w:sz w:val="32"/>
          <w:szCs w:val="32"/>
          <w:highlight w:val="none"/>
        </w:rPr>
        <w:t>（一）“三公”经费财政拨款支出决算总体情况说明</w:t>
      </w:r>
      <w:bookmarkEnd w:id="38"/>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0.95</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w:t>
      </w:r>
      <w:r>
        <w:rPr>
          <w:rFonts w:hint="eastAsia" w:ascii="仿宋" w:hAnsi="仿宋" w:eastAsia="仿宋"/>
          <w:color w:val="auto"/>
          <w:sz w:val="32"/>
          <w:szCs w:val="32"/>
          <w:highlight w:val="none"/>
          <w:lang w:val="en-US" w:eastAsia="zh-CN"/>
        </w:rPr>
        <w:t>减少1.63万元，下降63.18%。主要原因是接待支出减少</w:t>
      </w:r>
      <w:r>
        <w:rPr>
          <w:rFonts w:hint="eastAsia" w:ascii="仿宋" w:hAnsi="仿宋" w:eastAsia="仿宋"/>
          <w:color w:val="auto"/>
          <w:sz w:val="32"/>
          <w:szCs w:val="32"/>
          <w:highlight w:val="none"/>
        </w:rPr>
        <w:t>。</w:t>
      </w:r>
    </w:p>
    <w:p>
      <w:pPr>
        <w:spacing w:line="600" w:lineRule="exact"/>
        <w:ind w:firstLine="640"/>
        <w:outlineLvl w:val="2"/>
        <w:rPr>
          <w:rFonts w:ascii="仿宋" w:hAnsi="仿宋" w:eastAsia="仿宋"/>
          <w:b/>
          <w:color w:val="auto"/>
          <w:sz w:val="32"/>
          <w:szCs w:val="32"/>
          <w:highlight w:val="none"/>
        </w:rPr>
      </w:pPr>
      <w:bookmarkStart w:id="39" w:name="_Toc15377217"/>
      <w:r>
        <w:rPr>
          <w:rFonts w:hint="eastAsia" w:ascii="仿宋" w:hAnsi="仿宋" w:eastAsia="仿宋"/>
          <w:b/>
          <w:color w:val="auto"/>
          <w:sz w:val="32"/>
          <w:szCs w:val="32"/>
          <w:highlight w:val="none"/>
        </w:rPr>
        <w:t>（二）“三公”经费财政拨款支出决算具体情况说明</w:t>
      </w:r>
      <w:bookmarkEnd w:id="39"/>
    </w:p>
    <w:p>
      <w:pPr>
        <w:spacing w:line="600" w:lineRule="exact"/>
        <w:ind w:firstLine="640"/>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0.95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pStyle w:val="2"/>
        <w:rPr>
          <w:rFonts w:hint="eastAsia" w:ascii="仿宋" w:hAnsi="仿宋" w:eastAsia="仿宋"/>
          <w:color w:val="auto"/>
          <w:sz w:val="32"/>
          <w:szCs w:val="32"/>
          <w:highlight w:val="none"/>
        </w:rPr>
      </w:pPr>
    </w:p>
    <w:p>
      <w:pPr>
        <w:pStyle w:val="2"/>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3956050" cy="4048760"/>
            <wp:effectExtent l="4445" t="4445" r="20955" b="2349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（图7：“三公”经费财政拨款支出结构）（饼状图）</w:t>
      </w:r>
    </w:p>
    <w:p>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8"/>
          <w:rFonts w:hint="eastAsia" w:ascii="仿宋" w:hAnsi="仿宋" w:eastAsia="仿宋"/>
          <w:b w:val="0"/>
          <w:bCs/>
          <w:color w:val="auto"/>
          <w:sz w:val="32"/>
          <w:szCs w:val="32"/>
          <w:highlight w:val="none"/>
          <w:lang w:val="en-US" w:eastAsia="zh-CN"/>
        </w:rPr>
        <w:t>年初未安排预算</w:t>
      </w:r>
      <w:r>
        <w:rPr>
          <w:rStyle w:val="18"/>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全年安排因公出国（境）团组</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次，出国（境）</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人。因公出国（境）支出决算比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无变化</w:t>
      </w:r>
      <w:r>
        <w:rPr>
          <w:rFonts w:hint="eastAsia" w:ascii="仿宋_GB2312" w:eastAsia="仿宋_GB2312"/>
          <w:color w:val="auto"/>
          <w:sz w:val="32"/>
          <w:szCs w:val="32"/>
          <w:highlight w:val="none"/>
        </w:rPr>
        <w:t>。</w:t>
      </w:r>
    </w:p>
    <w:p>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8"/>
          <w:rFonts w:hint="eastAsia" w:ascii="仿宋" w:hAnsi="仿宋" w:eastAsia="仿宋"/>
          <w:b w:val="0"/>
          <w:bCs/>
          <w:color w:val="auto"/>
          <w:sz w:val="32"/>
          <w:szCs w:val="32"/>
          <w:highlight w:val="none"/>
          <w:lang w:val="en-US" w:eastAsia="zh-CN"/>
        </w:rPr>
        <w:t>年初未安排预算</w:t>
      </w:r>
      <w:r>
        <w:rPr>
          <w:rStyle w:val="18"/>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公务用车购置及运行维护费支出决算比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无变化</w:t>
      </w:r>
      <w:r>
        <w:rPr>
          <w:rFonts w:hint="eastAsia" w:ascii="仿宋_GB2312" w:eastAsia="仿宋_GB2312"/>
          <w:color w:val="auto"/>
          <w:sz w:val="32"/>
          <w:szCs w:val="32"/>
          <w:highlight w:val="none"/>
        </w:rPr>
        <w:t>。</w:t>
      </w:r>
    </w:p>
    <w:p>
      <w:pPr>
        <w:spacing w:line="600" w:lineRule="exact"/>
        <w:ind w:firstLine="640" w:firstLineChars="200"/>
        <w:rPr>
          <w:rFonts w:hint="default" w:ascii="仿宋_GB2312" w:eastAsia="仿宋_GB2312"/>
          <w:b/>
          <w:color w:val="auto"/>
          <w:sz w:val="32"/>
          <w:szCs w:val="32"/>
          <w:highlight w:val="none"/>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月底，单位共有公务用车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default" w:ascii="仿宋_GB2312" w:eastAsia="仿宋_GB2312"/>
          <w:color w:val="auto"/>
          <w:sz w:val="32"/>
          <w:szCs w:val="32"/>
          <w:highlight w:val="none"/>
        </w:rPr>
        <w:t>。</w:t>
      </w:r>
    </w:p>
    <w:p>
      <w:pPr>
        <w:spacing w:line="600" w:lineRule="exact"/>
        <w:ind w:firstLine="640"/>
        <w:rPr>
          <w:rFonts w:hint="eastAsia" w:ascii="仿宋_GB2312" w:eastAsia="仿宋_GB2312"/>
          <w:color w:val="auto"/>
          <w:sz w:val="32"/>
          <w:szCs w:val="32"/>
          <w:highlight w:val="none"/>
        </w:rPr>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0.95</w:t>
      </w:r>
      <w:r>
        <w:rPr>
          <w:rFonts w:hint="eastAsia" w:ascii="仿宋_GB2312" w:eastAsia="仿宋_GB2312"/>
          <w:color w:val="auto"/>
          <w:sz w:val="32"/>
          <w:szCs w:val="32"/>
          <w:highlight w:val="none"/>
        </w:rPr>
        <w:t>万元，</w:t>
      </w:r>
      <w:r>
        <w:rPr>
          <w:rStyle w:val="18"/>
          <w:rFonts w:hint="eastAsia" w:ascii="仿宋" w:hAnsi="仿宋" w:eastAsia="仿宋"/>
          <w:b w:val="0"/>
          <w:bCs/>
          <w:color w:val="auto"/>
          <w:sz w:val="32"/>
          <w:szCs w:val="32"/>
          <w:highlight w:val="none"/>
        </w:rPr>
        <w:t>完成预算</w:t>
      </w:r>
      <w:r>
        <w:rPr>
          <w:rStyle w:val="18"/>
          <w:rFonts w:hint="default" w:ascii="仿宋" w:hAnsi="仿宋" w:eastAsia="仿宋"/>
          <w:b w:val="0"/>
          <w:bCs/>
          <w:color w:val="auto"/>
          <w:sz w:val="32"/>
          <w:szCs w:val="32"/>
          <w:highlight w:val="none"/>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val="en-US" w:eastAsia="zh-CN"/>
        </w:rPr>
        <w:t>1.63</w:t>
      </w:r>
      <w:r>
        <w:rPr>
          <w:rFonts w:hint="eastAsia" w:ascii="仿宋_GB2312" w:eastAsia="仿宋_GB2312"/>
          <w:color w:val="auto"/>
          <w:sz w:val="32"/>
          <w:szCs w:val="32"/>
          <w:highlight w:val="none"/>
        </w:rPr>
        <w:t>万元，</w:t>
      </w:r>
      <w:r>
        <w:rPr>
          <w:rFonts w:hint="eastAsia" w:ascii="仿宋" w:hAnsi="仿宋" w:eastAsia="仿宋"/>
          <w:color w:val="auto"/>
          <w:sz w:val="32"/>
          <w:szCs w:val="32"/>
          <w:highlight w:val="none"/>
          <w:lang w:val="en-US" w:eastAsia="zh-CN"/>
        </w:rPr>
        <w:t>下降63.18%。</w:t>
      </w:r>
      <w:r>
        <w:rPr>
          <w:rFonts w:hint="eastAsia" w:ascii="仿宋_GB2312" w:eastAsia="仿宋_GB2312"/>
          <w:color w:val="auto"/>
          <w:sz w:val="32"/>
          <w:szCs w:val="32"/>
          <w:highlight w:val="none"/>
        </w:rPr>
        <w:t>主要原因是</w:t>
      </w:r>
      <w:r>
        <w:rPr>
          <w:rFonts w:hint="eastAsia" w:ascii="仿宋" w:hAnsi="仿宋" w:eastAsia="仿宋"/>
          <w:color w:val="auto"/>
          <w:sz w:val="32"/>
          <w:szCs w:val="32"/>
          <w:highlight w:val="none"/>
          <w:lang w:val="en-US" w:eastAsia="zh-CN"/>
        </w:rPr>
        <w:t>接待支出减少</w:t>
      </w:r>
      <w:r>
        <w:rPr>
          <w:rFonts w:hint="eastAsia" w:ascii="仿宋" w:hAnsi="仿宋" w:eastAsia="仿宋"/>
          <w:color w:val="auto"/>
          <w:sz w:val="32"/>
          <w:szCs w:val="32"/>
          <w:highlight w:val="none"/>
        </w:rPr>
        <w:t>。</w:t>
      </w:r>
      <w:r>
        <w:rPr>
          <w:rFonts w:hint="eastAsia" w:ascii="仿宋_GB2312" w:eastAsia="仿宋_GB2312"/>
          <w:b w:val="0"/>
          <w:bCs w:val="0"/>
          <w:color w:val="auto"/>
          <w:sz w:val="32"/>
          <w:szCs w:val="32"/>
          <w:highlight w:val="none"/>
          <w:lang w:val="en-US" w:eastAsia="zh-CN"/>
        </w:rPr>
        <w:t>其中</w:t>
      </w:r>
      <w:r>
        <w:rPr>
          <w:rFonts w:hint="eastAsia" w:ascii="仿宋_GB2312" w:eastAsia="仿宋_GB2312"/>
          <w:b w:val="0"/>
          <w:bCs w:val="0"/>
          <w:color w:val="auto"/>
          <w:sz w:val="32"/>
          <w:szCs w:val="32"/>
          <w:highlight w:val="none"/>
        </w:rPr>
        <w:t>：</w:t>
      </w:r>
    </w:p>
    <w:p>
      <w:pPr>
        <w:spacing w:line="600" w:lineRule="exact"/>
        <w:ind w:firstLine="642" w:firstLineChars="200"/>
        <w:jc w:val="left"/>
        <w:rPr>
          <w:rFonts w:hint="default" w:ascii="仿宋_GB2312" w:eastAsia="仿宋_GB2312"/>
          <w:color w:val="auto"/>
          <w:sz w:val="32"/>
          <w:szCs w:val="32"/>
          <w:highlight w:val="none"/>
          <w:lang w:val="en-US" w:eastAsia="zh-CN"/>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0.95</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val="en-US" w:eastAsia="zh-CN"/>
        </w:rPr>
        <w:t>招商引资接待</w:t>
      </w:r>
      <w:r>
        <w:rPr>
          <w:rFonts w:hint="eastAsia" w:ascii="仿宋_GB2312" w:eastAsia="仿宋_GB2312"/>
          <w:color w:val="auto"/>
          <w:sz w:val="32"/>
          <w:szCs w:val="32"/>
          <w:highlight w:val="none"/>
        </w:rPr>
        <w:t>活动开支的</w:t>
      </w:r>
      <w:r>
        <w:rPr>
          <w:rFonts w:hint="eastAsia" w:ascii="仿宋_GB2312" w:eastAsia="仿宋_GB2312"/>
          <w:color w:val="auto"/>
          <w:sz w:val="32"/>
          <w:szCs w:val="32"/>
          <w:highlight w:val="none"/>
          <w:lang w:val="en-US" w:eastAsia="zh-CN"/>
        </w:rPr>
        <w:t>用餐费</w:t>
      </w:r>
      <w:r>
        <w:rPr>
          <w:rFonts w:hint="eastAsia" w:ascii="仿宋_GB2312" w:eastAsia="仿宋_GB2312"/>
          <w:color w:val="auto"/>
          <w:sz w:val="32"/>
          <w:szCs w:val="32"/>
          <w:highlight w:val="none"/>
        </w:rPr>
        <w:t>，共计支出</w:t>
      </w:r>
      <w:r>
        <w:rPr>
          <w:rFonts w:hint="eastAsia" w:ascii="仿宋_GB2312" w:eastAsia="仿宋_GB2312"/>
          <w:color w:val="auto"/>
          <w:sz w:val="32"/>
          <w:szCs w:val="32"/>
          <w:highlight w:val="none"/>
          <w:lang w:val="en-US" w:eastAsia="zh-CN"/>
        </w:rPr>
        <w:t>0.95</w:t>
      </w:r>
      <w:r>
        <w:rPr>
          <w:rFonts w:hint="eastAsia" w:ascii="仿宋_GB2312" w:eastAsia="仿宋_GB2312"/>
          <w:color w:val="auto"/>
          <w:sz w:val="32"/>
          <w:szCs w:val="32"/>
          <w:highlight w:val="none"/>
        </w:rPr>
        <w:t>万元，具体内容包括：</w:t>
      </w:r>
      <w:r>
        <w:rPr>
          <w:rFonts w:hint="eastAsia" w:ascii="仿宋_GB2312" w:eastAsia="仿宋_GB2312"/>
          <w:color w:val="auto"/>
          <w:sz w:val="32"/>
          <w:szCs w:val="32"/>
          <w:highlight w:val="none"/>
          <w:lang w:val="en-US" w:eastAsia="zh-CN"/>
        </w:rPr>
        <w:t>接待招商引资企业2次20人，接待安全工作省督导组检查1次12人。</w:t>
      </w:r>
    </w:p>
    <w:p>
      <w:pPr>
        <w:spacing w:line="600" w:lineRule="exact"/>
        <w:ind w:firstLine="642" w:firstLineChars="200"/>
        <w:jc w:val="left"/>
        <w:rPr>
          <w:rFonts w:ascii="仿宋_GB2312" w:eastAsia="仿宋_GB2312"/>
          <w:color w:val="auto"/>
          <w:sz w:val="32"/>
          <w:szCs w:val="32"/>
          <w:highlight w:val="none"/>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r>
        <w:rPr>
          <w:rFonts w:hint="default" w:ascii="仿宋_GB2312" w:eastAsia="仿宋_GB2312"/>
          <w:color w:val="auto"/>
          <w:sz w:val="32"/>
          <w:szCs w:val="32"/>
          <w:highlight w:val="none"/>
        </w:rPr>
        <w:t>。</w:t>
      </w:r>
      <w:r>
        <w:rPr>
          <w:rFonts w:hint="eastAsia" w:ascii="仿宋_GB2312" w:eastAsia="仿宋_GB2312"/>
          <w:color w:val="auto"/>
          <w:sz w:val="32"/>
          <w:szCs w:val="32"/>
          <w:highlight w:val="none"/>
        </w:rPr>
        <w:t>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次（不包括陪同人员）</w:t>
      </w:r>
      <w:r>
        <w:rPr>
          <w:rFonts w:hint="eastAsia" w:ascii="仿宋_GB2312" w:eastAsia="仿宋_GB2312"/>
          <w:color w:val="auto"/>
          <w:sz w:val="32"/>
          <w:szCs w:val="32"/>
          <w:highlight w:val="none"/>
        </w:rPr>
        <w:t>，共计支出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600" w:lineRule="exact"/>
        <w:ind w:firstLine="640"/>
        <w:jc w:val="left"/>
        <w:outlineLvl w:val="1"/>
        <w:rPr>
          <w:rStyle w:val="29"/>
          <w:rFonts w:ascii="黑体" w:hAnsi="黑体" w:eastAsia="黑体"/>
          <w:color w:val="auto"/>
          <w:highlight w:val="none"/>
        </w:rPr>
      </w:pPr>
      <w:bookmarkStart w:id="40" w:name="_Toc15377218"/>
      <w:bookmarkStart w:id="41" w:name="_Toc15396610"/>
      <w:r>
        <w:rPr>
          <w:rFonts w:hint="eastAsia" w:ascii="黑体" w:eastAsia="黑体"/>
          <w:color w:val="auto"/>
          <w:sz w:val="32"/>
          <w:szCs w:val="32"/>
          <w:highlight w:val="none"/>
        </w:rPr>
        <w:t>八、</w:t>
      </w:r>
      <w:r>
        <w:rPr>
          <w:rStyle w:val="29"/>
          <w:rFonts w:hint="eastAsia" w:ascii="黑体" w:hAnsi="黑体" w:eastAsia="黑体"/>
          <w:b w:val="0"/>
          <w:color w:val="auto"/>
          <w:highlight w:val="none"/>
        </w:rPr>
        <w:t>政府性基金预算支出决算情况说明</w:t>
      </w:r>
      <w:bookmarkEnd w:id="40"/>
      <w:bookmarkEnd w:id="41"/>
    </w:p>
    <w:p>
      <w:pPr>
        <w:spacing w:line="600" w:lineRule="exact"/>
        <w:ind w:firstLine="640"/>
        <w:jc w:val="left"/>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848.78</w:t>
      </w:r>
      <w:r>
        <w:rPr>
          <w:rFonts w:hint="eastAsia" w:ascii="仿宋_GB2312" w:eastAsia="仿宋_GB2312"/>
          <w:color w:val="auto"/>
          <w:sz w:val="32"/>
          <w:szCs w:val="32"/>
          <w:highlight w:val="none"/>
        </w:rPr>
        <w:t>万元。</w:t>
      </w:r>
    </w:p>
    <w:p>
      <w:pPr>
        <w:numPr>
          <w:ilvl w:val="0"/>
          <w:numId w:val="4"/>
        </w:numPr>
        <w:spacing w:line="600" w:lineRule="exact"/>
        <w:ind w:firstLine="640"/>
        <w:jc w:val="left"/>
        <w:outlineLvl w:val="1"/>
        <w:rPr>
          <w:rStyle w:val="29"/>
          <w:rFonts w:ascii="黑体" w:hAnsi="黑体" w:eastAsia="黑体"/>
          <w:b w:val="0"/>
          <w:color w:val="auto"/>
          <w:highlight w:val="none"/>
        </w:rPr>
      </w:pPr>
      <w:bookmarkStart w:id="42" w:name="_Toc15377219"/>
      <w:bookmarkStart w:id="43" w:name="_Toc15396611"/>
      <w:r>
        <w:rPr>
          <w:rStyle w:val="29"/>
          <w:rFonts w:hint="eastAsia" w:ascii="黑体" w:hAnsi="黑体" w:eastAsia="黑体"/>
          <w:b w:val="0"/>
          <w:color w:val="auto"/>
          <w:highlight w:val="none"/>
        </w:rPr>
        <w:t>国有资本经营预算支出决算情况说明</w:t>
      </w:r>
      <w:bookmarkEnd w:id="42"/>
      <w:bookmarkEnd w:id="43"/>
    </w:p>
    <w:p>
      <w:pPr>
        <w:spacing w:line="600" w:lineRule="exact"/>
        <w:ind w:firstLine="640"/>
        <w:jc w:val="left"/>
        <w:rPr>
          <w:rFonts w:ascii="方正小标宋简体" w:hAns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0.03</w:t>
      </w:r>
      <w:r>
        <w:rPr>
          <w:rFonts w:hint="eastAsia" w:ascii="仿宋_GB2312" w:eastAsia="仿宋_GB2312"/>
          <w:color w:val="auto"/>
          <w:sz w:val="32"/>
          <w:szCs w:val="32"/>
          <w:highlight w:val="none"/>
        </w:rPr>
        <w:t>万元。</w:t>
      </w:r>
    </w:p>
    <w:p>
      <w:pPr>
        <w:numPr>
          <w:ilvl w:val="0"/>
          <w:numId w:val="4"/>
        </w:numPr>
        <w:spacing w:line="600" w:lineRule="exact"/>
        <w:ind w:firstLine="640"/>
        <w:jc w:val="left"/>
        <w:outlineLvl w:val="1"/>
        <w:rPr>
          <w:rStyle w:val="29"/>
          <w:rFonts w:hint="eastAsia" w:ascii="黑体" w:hAnsi="黑体" w:eastAsia="黑体"/>
          <w:b w:val="0"/>
          <w:color w:val="auto"/>
          <w:highlight w:val="none"/>
        </w:rPr>
      </w:pPr>
      <w:bookmarkStart w:id="44" w:name="_Toc15377221"/>
      <w:bookmarkStart w:id="45" w:name="_Toc15396612"/>
      <w:r>
        <w:rPr>
          <w:rStyle w:val="29"/>
          <w:rFonts w:hint="eastAsia" w:ascii="黑体" w:hAnsi="黑体" w:eastAsia="黑体"/>
          <w:b w:val="0"/>
          <w:color w:val="auto"/>
          <w:highlight w:val="none"/>
        </w:rPr>
        <w:t>其他重要事项的情况说明</w:t>
      </w:r>
      <w:bookmarkEnd w:id="44"/>
      <w:bookmarkEnd w:id="45"/>
    </w:p>
    <w:p>
      <w:pPr>
        <w:spacing w:line="600" w:lineRule="exact"/>
        <w:ind w:firstLine="642" w:firstLineChars="200"/>
        <w:outlineLvl w:val="2"/>
        <w:rPr>
          <w:rFonts w:ascii="仿宋" w:hAnsi="仿宋" w:eastAsia="仿宋"/>
          <w:color w:val="auto"/>
          <w:sz w:val="32"/>
          <w:szCs w:val="32"/>
          <w:highlight w:val="none"/>
        </w:rPr>
      </w:pPr>
      <w:bookmarkStart w:id="46" w:name="_Toc15377222"/>
      <w:r>
        <w:rPr>
          <w:rFonts w:hint="eastAsia" w:ascii="仿宋" w:hAnsi="仿宋" w:eastAsia="仿宋"/>
          <w:b/>
          <w:color w:val="auto"/>
          <w:sz w:val="32"/>
          <w:szCs w:val="32"/>
          <w:highlight w:val="none"/>
        </w:rPr>
        <w:t>（一）机关运行经费支出情况</w:t>
      </w:r>
      <w:bookmarkEnd w:id="46"/>
    </w:p>
    <w:p>
      <w:pPr>
        <w:spacing w:line="600" w:lineRule="exact"/>
        <w:ind w:firstLine="640" w:firstLineChars="200"/>
        <w:rPr>
          <w:rFonts w:hint="default" w:ascii="仿宋_GB2312" w:eastAsia="仿宋_GB2312"/>
          <w:color w:val="auto"/>
          <w:sz w:val="32"/>
          <w:szCs w:val="32"/>
          <w:highlight w:val="none"/>
          <w:lang w:val="en-US"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袁家坝办事处</w:t>
      </w:r>
      <w:r>
        <w:rPr>
          <w:rFonts w:hint="eastAsia" w:ascii="仿宋_GB2312" w:eastAsia="仿宋_GB2312"/>
          <w:color w:val="auto"/>
          <w:sz w:val="32"/>
          <w:szCs w:val="32"/>
          <w:highlight w:val="none"/>
        </w:rPr>
        <w:t>机关运行经费支出</w:t>
      </w:r>
      <w:r>
        <w:rPr>
          <w:rFonts w:hint="eastAsia" w:ascii="仿宋_GB2312" w:eastAsia="仿宋_GB2312"/>
          <w:color w:val="auto"/>
          <w:sz w:val="32"/>
          <w:szCs w:val="32"/>
          <w:highlight w:val="none"/>
          <w:lang w:val="en-US" w:eastAsia="zh-CN"/>
        </w:rPr>
        <w:t>55.77</w:t>
      </w:r>
      <w:r>
        <w:rPr>
          <w:rFonts w:hint="eastAsia" w:ascii="仿宋_GB2312" w:eastAsia="仿宋_GB2312"/>
          <w:color w:val="auto"/>
          <w:sz w:val="32"/>
          <w:szCs w:val="32"/>
          <w:highlight w:val="none"/>
        </w:rPr>
        <w:t>万元，比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val="en-US" w:eastAsia="zh-CN"/>
        </w:rPr>
        <w:t>64.22</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53.52</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val="en-US" w:eastAsia="zh-CN"/>
        </w:rPr>
        <w:t>支出减少。</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bookmarkStart w:id="47" w:name="_Toc15377223"/>
      <w:r>
        <w:rPr>
          <w:rFonts w:hint="eastAsia" w:ascii="仿宋" w:hAnsi="仿宋" w:eastAsia="仿宋"/>
          <w:b/>
          <w:color w:val="auto"/>
          <w:sz w:val="32"/>
          <w:szCs w:val="32"/>
          <w:highlight w:val="none"/>
        </w:rPr>
        <w:t>（二）政府采购支出情况</w:t>
      </w:r>
      <w:bookmarkEnd w:id="47"/>
    </w:p>
    <w:p>
      <w:pP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袁家坝办事处</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28.4</w:t>
      </w:r>
      <w:r>
        <w:rPr>
          <w:rFonts w:hint="eastAsia" w:ascii="仿宋_GB2312" w:eastAsia="仿宋_GB2312"/>
          <w:color w:val="auto"/>
          <w:sz w:val="32"/>
          <w:szCs w:val="32"/>
          <w:highlight w:val="none"/>
        </w:rPr>
        <w:t>万元，其中：政府采购货物支出</w:t>
      </w:r>
      <w:r>
        <w:rPr>
          <w:rFonts w:hint="eastAsia" w:ascii="仿宋_GB2312" w:eastAsia="仿宋_GB2312"/>
          <w:color w:val="auto"/>
          <w:sz w:val="32"/>
          <w:szCs w:val="32"/>
          <w:highlight w:val="none"/>
          <w:lang w:val="en-US" w:eastAsia="zh-CN"/>
        </w:rPr>
        <w:t>28.4</w:t>
      </w:r>
      <w:r>
        <w:rPr>
          <w:rFonts w:hint="eastAsia" w:ascii="仿宋_GB2312" w:eastAsia="仿宋_GB2312"/>
          <w:color w:val="auto"/>
          <w:sz w:val="32"/>
          <w:szCs w:val="32"/>
          <w:highlight w:val="none"/>
        </w:rPr>
        <w:t>万元、政府采购工程支出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万元、政府采购服务支出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val="en-US" w:eastAsia="zh-CN"/>
        </w:rPr>
        <w:t>办事处新办公楼采购空调、家具等</w:t>
      </w:r>
      <w:r>
        <w:rPr>
          <w:rFonts w:hint="eastAsia" w:ascii="仿宋_GB2312" w:eastAsia="仿宋_GB2312"/>
          <w:color w:val="auto"/>
          <w:sz w:val="32"/>
          <w:szCs w:val="32"/>
          <w:highlight w:val="none"/>
        </w:rPr>
        <w:t>。授予中小企业合同金额</w:t>
      </w:r>
      <w:r>
        <w:rPr>
          <w:rFonts w:hint="eastAsia" w:ascii="仿宋_GB2312" w:eastAsia="仿宋_GB2312"/>
          <w:color w:val="auto"/>
          <w:sz w:val="32"/>
          <w:szCs w:val="32"/>
          <w:highlight w:val="none"/>
          <w:lang w:val="en-US" w:eastAsia="zh-CN"/>
        </w:rPr>
        <w:t>28.4</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100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28.4</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100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bookmarkStart w:id="48" w:name="_Toc15377224"/>
      <w:r>
        <w:rPr>
          <w:rFonts w:hint="eastAsia" w:ascii="仿宋" w:hAnsi="仿宋" w:eastAsia="仿宋"/>
          <w:b/>
          <w:color w:val="auto"/>
          <w:sz w:val="32"/>
          <w:szCs w:val="32"/>
          <w:highlight w:val="none"/>
        </w:rPr>
        <w:t>（三）国有资产占有使用情况</w:t>
      </w:r>
      <w:bookmarkEnd w:id="48"/>
    </w:p>
    <w:p>
      <w:pPr>
        <w:autoSpaceDE w:val="0"/>
        <w:autoSpaceDN w:val="0"/>
        <w:adjustRightInd w:val="0"/>
        <w:spacing w:line="600" w:lineRule="exact"/>
        <w:ind w:firstLine="640" w:firstLineChars="200"/>
        <w:jc w:val="left"/>
        <w:rPr>
          <w:rFonts w:ascii="仿宋" w:hAnsi="仿宋" w:eastAsia="仿宋"/>
          <w:b/>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val="en-US" w:eastAsia="zh-CN"/>
        </w:rPr>
        <w:t>袁家坝办事处</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autoSpaceDE w:val="0"/>
        <w:autoSpaceDN w:val="0"/>
        <w:adjustRightInd w:val="0"/>
        <w:spacing w:line="600" w:lineRule="exact"/>
        <w:ind w:firstLine="642"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pPr>
        <w:pStyle w:val="7"/>
        <w:ind w:firstLine="640" w:firstLineChars="200"/>
        <w:rPr>
          <w:color w:val="auto"/>
          <w:highlight w:val="yellow"/>
        </w:rPr>
      </w:pPr>
      <w:r>
        <w:rPr>
          <w:rFonts w:hint="eastAsia" w:ascii="仿宋_GB2312" w:hAnsi="仿宋_GB2312" w:eastAsia="仿宋_GB2312" w:cs="仿宋_GB2312"/>
          <w:color w:val="auto"/>
          <w:sz w:val="32"/>
          <w:szCs w:val="32"/>
          <w:highlight w:val="none"/>
        </w:rPr>
        <w:t>根据预算绩效管理要求，本单位在202</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w:t>
      </w:r>
      <w:r>
        <w:rPr>
          <w:rFonts w:hint="eastAsia" w:hAnsi="仿宋_GB2312" w:cs="仿宋_GB2312"/>
          <w:color w:val="auto"/>
          <w:sz w:val="32"/>
          <w:szCs w:val="32"/>
          <w:highlight w:val="none"/>
          <w:lang w:val="en-US" w:eastAsia="zh-CN"/>
        </w:rPr>
        <w:t>袁家坝党建经费、袁家坝城乡环境卫生整治</w:t>
      </w:r>
      <w:r>
        <w:rPr>
          <w:rFonts w:hint="eastAsia" w:ascii="仿宋_GB2312" w:hAnsi="仿宋_GB2312" w:eastAsia="仿宋_GB2312" w:cs="仿宋_GB2312"/>
          <w:color w:val="auto"/>
          <w:sz w:val="32"/>
          <w:szCs w:val="32"/>
          <w:highlight w:val="none"/>
        </w:rPr>
        <w:t>项目等</w:t>
      </w:r>
      <w:r>
        <w:rPr>
          <w:rFonts w:hint="eastAsia" w:hAnsi="仿宋_GB2312" w:cs="仿宋_GB2312"/>
          <w:color w:val="auto"/>
          <w:sz w:val="32"/>
          <w:szCs w:val="32"/>
          <w:highlight w:val="none"/>
          <w:lang w:val="en-US" w:eastAsia="zh-CN"/>
        </w:rPr>
        <w:t>26</w:t>
      </w:r>
      <w:r>
        <w:rPr>
          <w:rFonts w:hint="eastAsia" w:ascii="仿宋_GB2312" w:hAnsi="仿宋_GB2312" w:eastAsia="仿宋_GB2312" w:cs="仿宋_GB2312"/>
          <w:color w:val="auto"/>
          <w:sz w:val="32"/>
          <w:szCs w:val="32"/>
          <w:highlight w:val="none"/>
        </w:rPr>
        <w:t>个项目开展了预算事前绩效评估，对</w:t>
      </w:r>
      <w:r>
        <w:rPr>
          <w:rFonts w:hint="eastAsia" w:hAnsi="仿宋_GB2312" w:cs="仿宋_GB2312"/>
          <w:color w:val="auto"/>
          <w:sz w:val="32"/>
          <w:szCs w:val="32"/>
          <w:highlight w:val="none"/>
          <w:lang w:val="en-US" w:eastAsia="zh-CN"/>
        </w:rPr>
        <w:t>26</w:t>
      </w:r>
      <w:r>
        <w:rPr>
          <w:rFonts w:hint="eastAsia" w:ascii="仿宋_GB2312" w:hAnsi="仿宋_GB2312" w:eastAsia="仿宋_GB2312" w:cs="仿宋_GB2312"/>
          <w:color w:val="auto"/>
          <w:sz w:val="32"/>
          <w:szCs w:val="32"/>
          <w:highlight w:val="none"/>
        </w:rPr>
        <w:t>个项目编制了绩效目标，预算执行过程中，选取</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个项目开展绩效监控，组织对</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个项目开展绩效自评，绩效自评表详见</w:t>
      </w:r>
      <w:r>
        <w:rPr>
          <w:rFonts w:hint="eastAsia" w:hAnsi="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p>
    <w:p>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numPr>
          <w:ilvl w:val="0"/>
          <w:numId w:val="5"/>
        </w:numPr>
        <w:spacing w:line="600" w:lineRule="exact"/>
        <w:ind w:firstLine="660" w:firstLineChars="150"/>
        <w:jc w:val="center"/>
        <w:outlineLvl w:val="0"/>
        <w:rPr>
          <w:rStyle w:val="28"/>
          <w:rFonts w:ascii="黑体" w:hAnsi="黑体" w:eastAsia="黑体"/>
          <w:b w:val="0"/>
          <w:color w:val="auto"/>
          <w:highlight w:val="none"/>
        </w:rPr>
      </w:pPr>
      <w:bookmarkStart w:id="49" w:name="_Toc15377225"/>
      <w:bookmarkStart w:id="50" w:name="_Toc15396613"/>
      <w:r>
        <w:rPr>
          <w:rFonts w:hint="eastAsia" w:ascii="黑体" w:hAnsi="黑体" w:eastAsia="黑体"/>
          <w:color w:val="auto"/>
          <w:sz w:val="44"/>
          <w:szCs w:val="44"/>
          <w:highlight w:val="none"/>
        </w:rPr>
        <w:t>名</w:t>
      </w:r>
      <w:r>
        <w:rPr>
          <w:rStyle w:val="28"/>
          <w:rFonts w:hint="eastAsia" w:ascii="黑体" w:hAnsi="黑体" w:eastAsia="黑体"/>
          <w:b w:val="0"/>
          <w:color w:val="auto"/>
          <w:highlight w:val="none"/>
        </w:rPr>
        <w:t>词解释</w:t>
      </w:r>
      <w:bookmarkEnd w:id="49"/>
      <w:bookmarkEnd w:id="50"/>
    </w:p>
    <w:p>
      <w:pPr>
        <w:spacing w:line="600" w:lineRule="exact"/>
        <w:jc w:val="left"/>
        <w:rPr>
          <w:rFonts w:ascii="宋体"/>
          <w:b/>
          <w:color w:val="auto"/>
          <w:sz w:val="44"/>
          <w:szCs w:val="44"/>
          <w:highlight w:val="none"/>
        </w:rPr>
      </w:pPr>
    </w:p>
    <w:p>
      <w:pPr>
        <w:pStyle w:val="26"/>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1.财政拨款收入：指单位从同级财政部门取得的财政预算资金。</w:t>
      </w:r>
    </w:p>
    <w:p>
      <w:pPr>
        <w:pStyle w:val="26"/>
        <w:spacing w:line="56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 xml:space="preserve">.年初结转和结余：指以前年度尚未完成、结转到本年按有关规定继续使用的资金。 </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sz w:val="32"/>
          <w:szCs w:val="32"/>
          <w:lang w:val="en-US" w:eastAsia="zh-CN"/>
        </w:rPr>
        <w:t>3</w:t>
      </w:r>
      <w:r>
        <w:rPr>
          <w:rFonts w:hint="eastAsia" w:ascii="仿宋_GB2312" w:eastAsia="仿宋_GB2312"/>
          <w:sz w:val="32"/>
          <w:szCs w:val="32"/>
        </w:rPr>
        <w:t>.</w:t>
      </w:r>
      <w:r>
        <w:rPr>
          <w:rFonts w:hint="eastAsia" w:ascii="仿宋_GB2312" w:eastAsia="仿宋_GB2312"/>
          <w:color w:val="auto"/>
          <w:sz w:val="32"/>
          <w:szCs w:val="32"/>
          <w:highlight w:val="none"/>
        </w:rPr>
        <w:t>结余分配：指事业单位按照会计制度规定</w:t>
      </w:r>
      <w:r>
        <w:rPr>
          <w:rFonts w:hint="eastAsia" w:ascii="仿宋_GB2312" w:eastAsia="仿宋_GB2312"/>
          <w:color w:val="auto"/>
          <w:sz w:val="32"/>
          <w:szCs w:val="32"/>
          <w:highlight w:val="none"/>
          <w:lang w:eastAsia="zh-CN"/>
        </w:rPr>
        <w:t>缴纳的所得税、提取的专用结余以及转入非财政拨款结余的金额</w:t>
      </w:r>
      <w:r>
        <w:rPr>
          <w:rFonts w:hint="eastAsia" w:ascii="仿宋_GB2312" w:eastAsia="仿宋_GB2312"/>
          <w:color w:val="auto"/>
          <w:sz w:val="32"/>
          <w:szCs w:val="32"/>
          <w:highlight w:val="none"/>
        </w:rPr>
        <w:t>等。</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sz w:val="32"/>
          <w:szCs w:val="32"/>
          <w:highlight w:val="none"/>
          <w:lang w:val="en-US" w:eastAsia="zh-CN"/>
        </w:rPr>
        <w:t>4</w:t>
      </w:r>
      <w:r>
        <w:rPr>
          <w:rFonts w:hint="eastAsia" w:ascii="仿宋_GB2312" w:eastAsia="仿宋_GB2312"/>
          <w:sz w:val="32"/>
          <w:szCs w:val="32"/>
          <w:highlight w:val="none"/>
        </w:rPr>
        <w:t>、</w:t>
      </w:r>
      <w:r>
        <w:rPr>
          <w:rFonts w:hint="eastAsia" w:ascii="仿宋_GB2312" w:eastAsia="仿宋_GB2312"/>
          <w:color w:val="auto"/>
          <w:sz w:val="32"/>
          <w:szCs w:val="32"/>
          <w:highlight w:val="none"/>
        </w:rPr>
        <w:t>年末结转和结余：指单位按有关规定结转到下年或以后年度继续使用的资金。</w:t>
      </w:r>
    </w:p>
    <w:p>
      <w:pPr>
        <w:keepNext w:val="0"/>
        <w:keepLines w:val="0"/>
        <w:widowControl/>
        <w:suppressLineNumbers w:val="0"/>
        <w:ind w:firstLine="640" w:firstLineChars="200"/>
        <w:jc w:val="left"/>
      </w:pPr>
      <w:r>
        <w:rPr>
          <w:rFonts w:hint="eastAsia" w:ascii="仿宋_GB2312" w:eastAsia="仿宋_GB2312"/>
          <w:color w:val="000000"/>
          <w:sz w:val="32"/>
          <w:szCs w:val="32"/>
          <w:lang w:val="en-US" w:eastAsia="zh-CN"/>
        </w:rPr>
        <w:t>5</w:t>
      </w:r>
      <w:r>
        <w:rPr>
          <w:rFonts w:hint="eastAsia" w:ascii="仿宋_GB2312" w:eastAsia="仿宋_GB2312"/>
          <w:color w:val="000000"/>
          <w:sz w:val="32"/>
          <w:szCs w:val="32"/>
        </w:rPr>
        <w:t>.</w:t>
      </w:r>
      <w:r>
        <w:rPr>
          <w:rFonts w:hint="eastAsia" w:ascii="仿宋_GB2312" w:hAnsi="仿宋_GB2312" w:eastAsia="仿宋_GB2312" w:cs="仿宋_GB2312"/>
          <w:kern w:val="0"/>
          <w:sz w:val="32"/>
          <w:szCs w:val="32"/>
          <w:lang w:val="en-US" w:eastAsia="zh-CN" w:bidi="ar"/>
        </w:rPr>
        <w:t>一般公共服务支出（类）201政府办公厅（室）及相关机构事务（款）03行政运行（项）01：指反映行政单位（包括实行公务员管理的事业单位）的基本支出。</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 xml:space="preserve">. </w:t>
      </w:r>
      <w:r>
        <w:rPr>
          <w:rFonts w:hint="eastAsia" w:ascii="仿宋_GB2312" w:hAnsi="仿宋_GB2312" w:eastAsia="仿宋_GB2312" w:cs="仿宋_GB2312"/>
          <w:kern w:val="0"/>
          <w:sz w:val="32"/>
          <w:szCs w:val="32"/>
          <w:lang w:val="en-US" w:eastAsia="zh-CN" w:bidi="ar"/>
        </w:rPr>
        <w:t>一般公共服务支出（类）201政府办公厅（室）及相关机构事务（款）03</w:t>
      </w:r>
      <w:r>
        <w:rPr>
          <w:rFonts w:hint="eastAsia" w:ascii="仿宋_GB2312" w:eastAsia="仿宋_GB2312"/>
          <w:color w:val="000000"/>
          <w:sz w:val="32"/>
          <w:szCs w:val="32"/>
        </w:rPr>
        <w:t>一般行政管理事务（项）02：指反映行政单位（包括实行公务员管理的事业单位）未单独设置项级科目的其他项目支出。</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lang w:val="en-US" w:eastAsia="zh-CN"/>
        </w:rPr>
        <w:t>7</w:t>
      </w:r>
      <w:r>
        <w:rPr>
          <w:rFonts w:hint="eastAsia" w:ascii="仿宋_GB2312" w:eastAsia="仿宋_GB2312"/>
          <w:color w:val="000000"/>
          <w:sz w:val="32"/>
          <w:szCs w:val="32"/>
        </w:rPr>
        <w:t xml:space="preserve">. </w:t>
      </w:r>
      <w:r>
        <w:rPr>
          <w:rFonts w:hint="eastAsia" w:ascii="仿宋_GB2312" w:hAnsi="仿宋_GB2312" w:eastAsia="仿宋_GB2312" w:cs="仿宋_GB2312"/>
          <w:kern w:val="0"/>
          <w:sz w:val="32"/>
          <w:szCs w:val="32"/>
          <w:lang w:val="en-US" w:eastAsia="zh-CN" w:bidi="ar"/>
        </w:rPr>
        <w:t>一般公共服务支出（类）201政府办公厅（室）及相关机构事务（款）03</w:t>
      </w:r>
      <w:r>
        <w:rPr>
          <w:rFonts w:hint="eastAsia" w:ascii="仿宋_GB2312" w:eastAsia="仿宋_GB2312"/>
          <w:color w:val="000000"/>
          <w:sz w:val="32"/>
          <w:szCs w:val="32"/>
          <w:lang w:val="en-US" w:eastAsia="zh-CN"/>
        </w:rPr>
        <w:t>机关服务</w:t>
      </w:r>
      <w:r>
        <w:rPr>
          <w:rFonts w:hint="eastAsia" w:ascii="仿宋_GB2312" w:eastAsia="仿宋_GB2312"/>
          <w:color w:val="000000"/>
          <w:sz w:val="32"/>
          <w:szCs w:val="32"/>
        </w:rPr>
        <w:t>（项）0</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w:t>
      </w:r>
      <w:r>
        <w:rPr>
          <w:rFonts w:hint="eastAsia" w:ascii="仿宋_GB2312" w:eastAsia="仿宋_GB2312"/>
          <w:color w:val="000000"/>
          <w:sz w:val="32"/>
          <w:szCs w:val="32"/>
          <w:lang w:val="en-US" w:eastAsia="zh-CN"/>
        </w:rPr>
        <w:t>反映为行政单位（包括实行公务员管理的事业单位）提供后勤服务的各类后勤服务中心、医务室等附属事业单位的支出</w:t>
      </w:r>
      <w:r>
        <w:rPr>
          <w:rFonts w:hint="eastAsia" w:ascii="仿宋_GB2312" w:eastAsia="仿宋_GB2312"/>
          <w:color w:val="00000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18"/>
          <w:rFonts w:hint="eastAsia" w:ascii="仿宋_GB2312" w:eastAsia="仿宋_GB2312"/>
          <w:b w:val="0"/>
          <w:bCs w:val="0"/>
          <w:color w:val="000000"/>
          <w:sz w:val="32"/>
          <w:szCs w:val="32"/>
          <w:lang w:val="en-US" w:eastAsia="zh-CN"/>
        </w:rPr>
      </w:pPr>
      <w:r>
        <w:rPr>
          <w:rFonts w:hint="eastAsia" w:ascii="仿宋_GB2312" w:eastAsia="仿宋_GB2312"/>
          <w:color w:val="000000"/>
          <w:sz w:val="32"/>
          <w:szCs w:val="32"/>
          <w:lang w:val="en-US" w:eastAsia="zh-CN"/>
        </w:rPr>
        <w:t>8</w:t>
      </w:r>
      <w:r>
        <w:rPr>
          <w:rFonts w:hint="eastAsia" w:ascii="仿宋_GB2312" w:eastAsia="仿宋_GB2312"/>
          <w:color w:val="000000"/>
          <w:sz w:val="32"/>
          <w:szCs w:val="32"/>
        </w:rPr>
        <w:t>.</w:t>
      </w:r>
      <w:r>
        <w:rPr>
          <w:rFonts w:hint="eastAsia" w:ascii="仿宋_GB2312" w:hAnsi="仿宋_GB2312" w:eastAsia="仿宋_GB2312" w:cs="仿宋_GB2312"/>
          <w:kern w:val="0"/>
          <w:sz w:val="32"/>
          <w:szCs w:val="32"/>
          <w:lang w:val="en-US" w:eastAsia="zh-CN" w:bidi="ar"/>
        </w:rPr>
        <w:t>一般公共服务支出（类）201纪检监察事务（款）11</w:t>
      </w:r>
      <w:r>
        <w:rPr>
          <w:rFonts w:hint="eastAsia" w:ascii="仿宋_GB2312" w:eastAsia="仿宋_GB2312"/>
          <w:color w:val="000000"/>
          <w:sz w:val="32"/>
          <w:szCs w:val="32"/>
        </w:rPr>
        <w:t xml:space="preserve">  </w:t>
      </w:r>
      <w:r>
        <w:rPr>
          <w:rFonts w:hint="eastAsia" w:ascii="仿宋_GB2312" w:hAnsi="仿宋_GB2312" w:eastAsia="仿宋_GB2312" w:cs="仿宋_GB2312"/>
          <w:kern w:val="0"/>
          <w:sz w:val="32"/>
          <w:szCs w:val="32"/>
          <w:lang w:val="en-US" w:eastAsia="zh-CN" w:bidi="ar"/>
        </w:rPr>
        <w:t>一般行政管理事务（项）02</w:t>
      </w:r>
      <w:r>
        <w:rPr>
          <w:rStyle w:val="18"/>
          <w:rFonts w:hint="eastAsia" w:ascii="仿宋_GB2312" w:eastAsia="仿宋_GB2312"/>
          <w:b w:val="0"/>
          <w:bCs w:val="0"/>
          <w:color w:val="000000"/>
          <w:sz w:val="32"/>
          <w:szCs w:val="32"/>
        </w:rPr>
        <w:t>：</w:t>
      </w:r>
      <w:r>
        <w:rPr>
          <w:rStyle w:val="18"/>
          <w:rFonts w:hint="eastAsia" w:ascii="仿宋_GB2312" w:eastAsia="仿宋_GB2312"/>
          <w:b w:val="0"/>
          <w:bCs w:val="0"/>
          <w:color w:val="000000"/>
          <w:sz w:val="32"/>
          <w:szCs w:val="32"/>
          <w:lang w:val="en-US" w:eastAsia="zh-CN"/>
        </w:rPr>
        <w:t xml:space="preserve">反映行政单位（包括实行公务员管理的事业单位）未单独设置项目科目的其他项目支出。 </w:t>
      </w:r>
    </w:p>
    <w:p>
      <w:pPr>
        <w:spacing w:line="560" w:lineRule="exact"/>
        <w:ind w:firstLine="640" w:firstLineChars="200"/>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9.</w:t>
      </w:r>
      <w:r>
        <w:rPr>
          <w:rFonts w:hint="eastAsia" w:ascii="仿宋_GB2312" w:hAnsi="仿宋_GB2312" w:eastAsia="仿宋_GB2312" w:cs="仿宋_GB2312"/>
          <w:kern w:val="0"/>
          <w:sz w:val="32"/>
          <w:szCs w:val="32"/>
          <w:lang w:val="en-US" w:eastAsia="zh-CN" w:bidi="ar"/>
        </w:rPr>
        <w:t>一般公共服务支出（类）201</w:t>
      </w:r>
      <w:r>
        <w:rPr>
          <w:rFonts w:hint="eastAsia" w:ascii="仿宋_GB2312" w:eastAsia="仿宋_GB2312"/>
          <w:color w:val="000000"/>
          <w:sz w:val="32"/>
          <w:szCs w:val="32"/>
          <w:lang w:val="en-US" w:eastAsia="zh-CN"/>
        </w:rPr>
        <w:t>招商事务（项）13招商引资（款）08：指反映用于招商引资、优化经济环境等反面的支出。</w:t>
      </w:r>
    </w:p>
    <w:p>
      <w:pPr>
        <w:spacing w:line="560" w:lineRule="exact"/>
        <w:ind w:firstLine="640" w:firstLineChars="200"/>
        <w:rPr>
          <w:rFonts w:hint="eastAsia" w:ascii="仿宋_GB2312" w:eastAsia="仿宋_GB2312"/>
          <w:color w:val="auto"/>
          <w:sz w:val="32"/>
          <w:szCs w:val="32"/>
        </w:rPr>
      </w:pPr>
      <w:r>
        <w:rPr>
          <w:rFonts w:hint="eastAsia" w:ascii="仿宋_GB2312" w:eastAsia="仿宋_GB2312"/>
          <w:color w:val="000000"/>
          <w:sz w:val="32"/>
          <w:szCs w:val="32"/>
          <w:lang w:val="en-US" w:eastAsia="zh-CN"/>
        </w:rPr>
        <w:t>10.</w:t>
      </w:r>
      <w:r>
        <w:rPr>
          <w:rFonts w:hint="eastAsia" w:ascii="仿宋_GB2312" w:hAnsi="仿宋_GB2312" w:eastAsia="仿宋_GB2312" w:cs="仿宋_GB2312"/>
          <w:kern w:val="0"/>
          <w:sz w:val="32"/>
          <w:szCs w:val="32"/>
          <w:lang w:val="en-US" w:eastAsia="zh-CN" w:bidi="ar"/>
        </w:rPr>
        <w:t>一般公共服务支出（类）201组织事务（款）32</w:t>
      </w:r>
      <w:r>
        <w:rPr>
          <w:rFonts w:hint="eastAsia" w:ascii="仿宋_GB2312" w:eastAsia="仿宋_GB2312"/>
          <w:color w:val="000000"/>
          <w:sz w:val="32"/>
          <w:szCs w:val="32"/>
        </w:rPr>
        <w:t>其 一般行政管理事务（项）</w:t>
      </w:r>
      <w:r>
        <w:rPr>
          <w:rFonts w:hint="eastAsia" w:ascii="仿宋_GB2312" w:eastAsia="仿宋_GB2312"/>
          <w:color w:val="000000"/>
          <w:sz w:val="32"/>
          <w:szCs w:val="32"/>
          <w:lang w:val="en-US" w:eastAsia="zh-CN"/>
        </w:rPr>
        <w:t>02</w:t>
      </w:r>
      <w:r>
        <w:rPr>
          <w:rFonts w:hint="eastAsia" w:ascii="仿宋_GB2312" w:eastAsia="仿宋_GB2312"/>
          <w:color w:val="auto"/>
          <w:sz w:val="32"/>
          <w:szCs w:val="32"/>
        </w:rPr>
        <w:t>：指反映</w:t>
      </w:r>
      <w:r>
        <w:rPr>
          <w:rFonts w:hint="eastAsia" w:ascii="仿宋_GB2312" w:eastAsia="仿宋_GB2312"/>
          <w:color w:val="auto"/>
          <w:sz w:val="32"/>
          <w:szCs w:val="32"/>
          <w:lang w:eastAsia="zh-CN"/>
        </w:rPr>
        <w:t>行政单位（包括实行公务员管理的事业单位）未单独设置顶级科目的去他项目支出</w:t>
      </w:r>
      <w:r>
        <w:rPr>
          <w:rFonts w:hint="eastAsia" w:ascii="仿宋_GB2312" w:eastAsia="仿宋_GB2312"/>
          <w:color w:val="auto"/>
          <w:sz w:val="32"/>
          <w:szCs w:val="32"/>
        </w:rPr>
        <w:t>。</w:t>
      </w:r>
    </w:p>
    <w:p>
      <w:pPr>
        <w:spacing w:line="560" w:lineRule="exact"/>
        <w:ind w:firstLine="640" w:firstLineChars="200"/>
        <w:rPr>
          <w:rFonts w:hint="eastAsia" w:ascii="仿宋_GB2312" w:eastAsia="仿宋_GB2312"/>
          <w:color w:val="auto"/>
          <w:sz w:val="32"/>
          <w:szCs w:val="32"/>
          <w:lang w:val="en-US" w:eastAsia="zh-CN"/>
        </w:rPr>
      </w:pPr>
      <w:r>
        <w:rPr>
          <w:rFonts w:hint="eastAsia" w:ascii="仿宋_GB2312" w:eastAsia="仿宋_GB2312"/>
          <w:color w:val="000000"/>
          <w:sz w:val="32"/>
          <w:szCs w:val="32"/>
          <w:lang w:val="en-US" w:eastAsia="zh-CN"/>
        </w:rPr>
        <w:t>11.</w:t>
      </w:r>
      <w:r>
        <w:rPr>
          <w:rFonts w:hint="eastAsia" w:ascii="仿宋_GB2312" w:hAnsi="仿宋_GB2312" w:eastAsia="仿宋_GB2312" w:cs="仿宋_GB2312"/>
          <w:kern w:val="0"/>
          <w:sz w:val="32"/>
          <w:szCs w:val="32"/>
          <w:lang w:val="en-US" w:eastAsia="zh-CN" w:bidi="ar"/>
        </w:rPr>
        <w:t>一般公共服务（类）201其他一般公共服务支出（款）99</w:t>
      </w:r>
      <w:r>
        <w:rPr>
          <w:rFonts w:hint="eastAsia" w:ascii="仿宋_GB2312" w:eastAsia="仿宋_GB2312"/>
          <w:color w:val="000000"/>
          <w:sz w:val="32"/>
          <w:szCs w:val="32"/>
        </w:rPr>
        <w:t xml:space="preserve"> </w:t>
      </w:r>
      <w:r>
        <w:rPr>
          <w:rFonts w:hint="eastAsia" w:ascii="仿宋_GB2312" w:hAnsi="仿宋_GB2312" w:eastAsia="仿宋_GB2312" w:cs="仿宋_GB2312"/>
          <w:kern w:val="0"/>
          <w:sz w:val="32"/>
          <w:szCs w:val="32"/>
          <w:lang w:val="en-US" w:eastAsia="zh-CN" w:bidi="ar"/>
        </w:rPr>
        <w:t>其他一般公共服务支出</w:t>
      </w:r>
      <w:r>
        <w:rPr>
          <w:rFonts w:hint="eastAsia" w:ascii="仿宋_GB2312" w:eastAsia="仿宋_GB2312"/>
          <w:color w:val="000000"/>
          <w:sz w:val="32"/>
          <w:szCs w:val="32"/>
        </w:rPr>
        <w:t>（项）99：</w:t>
      </w:r>
      <w:r>
        <w:rPr>
          <w:rFonts w:hint="eastAsia" w:ascii="仿宋_GB2312" w:eastAsia="仿宋_GB2312"/>
          <w:color w:val="auto"/>
          <w:sz w:val="32"/>
          <w:szCs w:val="32"/>
          <w:lang w:eastAsia="zh-CN"/>
        </w:rPr>
        <w:t>反映除上诉项目以外</w:t>
      </w:r>
      <w:r>
        <w:rPr>
          <w:rFonts w:hint="eastAsia" w:ascii="仿宋_GB2312" w:eastAsia="仿宋_GB2312"/>
          <w:color w:val="auto"/>
          <w:sz w:val="32"/>
          <w:szCs w:val="32"/>
          <w:lang w:val="en-US" w:eastAsia="zh-CN"/>
        </w:rPr>
        <w:t>的其他一般公共服务支出。</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auto"/>
          <w:sz w:val="32"/>
          <w:szCs w:val="32"/>
          <w:lang w:val="en-US" w:eastAsia="zh-CN"/>
        </w:rPr>
        <w:t>12.</w:t>
      </w:r>
      <w:r>
        <w:rPr>
          <w:rFonts w:hint="eastAsia" w:ascii="仿宋_GB2312" w:eastAsia="仿宋_GB2312"/>
          <w:color w:val="000000"/>
          <w:sz w:val="32"/>
          <w:szCs w:val="32"/>
          <w:lang w:eastAsia="zh-CN"/>
        </w:rPr>
        <w:t>公共安全支出（类）</w:t>
      </w:r>
      <w:r>
        <w:rPr>
          <w:rFonts w:hint="eastAsia" w:ascii="仿宋_GB2312" w:eastAsia="仿宋_GB2312"/>
          <w:color w:val="000000"/>
          <w:sz w:val="32"/>
          <w:szCs w:val="32"/>
          <w:lang w:val="en-US" w:eastAsia="zh-CN"/>
        </w:rPr>
        <w:t>204国家安全（款）03</w:t>
      </w:r>
      <w:r>
        <w:rPr>
          <w:rFonts w:hint="eastAsia" w:ascii="仿宋_GB2312" w:eastAsia="仿宋_GB2312"/>
          <w:color w:val="000000"/>
          <w:sz w:val="32"/>
          <w:szCs w:val="32"/>
        </w:rPr>
        <w:t>其他国家安全支出（项）99：指反映用于安全方面的支出。</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lang w:val="en-US" w:eastAsia="zh-CN"/>
        </w:rPr>
        <w:t>13</w:t>
      </w:r>
      <w:r>
        <w:rPr>
          <w:rFonts w:hint="eastAsia" w:ascii="仿宋_GB2312" w:eastAsia="仿宋_GB2312"/>
          <w:color w:val="000000"/>
          <w:sz w:val="32"/>
          <w:szCs w:val="32"/>
        </w:rPr>
        <w:t>.</w:t>
      </w:r>
      <w:r>
        <w:rPr>
          <w:rFonts w:hint="eastAsia" w:ascii="仿宋_GB2312" w:eastAsia="仿宋_GB2312"/>
          <w:color w:val="000000"/>
          <w:sz w:val="32"/>
          <w:szCs w:val="32"/>
          <w:lang w:eastAsia="zh-CN"/>
        </w:rPr>
        <w:t>社会保障和就业支出（类）</w:t>
      </w:r>
      <w:r>
        <w:rPr>
          <w:rFonts w:hint="eastAsia" w:ascii="仿宋_GB2312" w:eastAsia="仿宋_GB2312"/>
          <w:color w:val="000000"/>
          <w:sz w:val="32"/>
          <w:szCs w:val="32"/>
          <w:lang w:val="en-US" w:eastAsia="zh-CN"/>
        </w:rPr>
        <w:t>208行政事业单位养老支出（款）05行政单位离退休</w:t>
      </w:r>
      <w:r>
        <w:rPr>
          <w:rFonts w:hint="eastAsia" w:ascii="仿宋_GB2312" w:eastAsia="仿宋_GB2312"/>
          <w:color w:val="000000"/>
          <w:sz w:val="32"/>
          <w:szCs w:val="32"/>
        </w:rPr>
        <w:t>（项）0</w:t>
      </w:r>
      <w:r>
        <w:rPr>
          <w:rFonts w:hint="eastAsia" w:ascii="仿宋_GB2312" w:eastAsia="仿宋_GB2312"/>
          <w:color w:val="000000"/>
          <w:sz w:val="32"/>
          <w:szCs w:val="32"/>
          <w:lang w:val="en-US" w:eastAsia="zh-CN"/>
        </w:rPr>
        <w:t>1：反映行政单位开支的离退休经费</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lang w:val="en-US" w:eastAsia="zh-CN"/>
        </w:rPr>
        <w:t>14</w:t>
      </w:r>
      <w:r>
        <w:rPr>
          <w:rFonts w:hint="eastAsia" w:ascii="仿宋_GB2312" w:eastAsia="仿宋_GB2312"/>
          <w:color w:val="000000"/>
          <w:sz w:val="32"/>
          <w:szCs w:val="32"/>
        </w:rPr>
        <w:t>.</w:t>
      </w:r>
      <w:r>
        <w:rPr>
          <w:rFonts w:hint="eastAsia" w:ascii="仿宋_GB2312" w:eastAsia="仿宋_GB2312"/>
          <w:color w:val="000000"/>
          <w:sz w:val="32"/>
          <w:szCs w:val="32"/>
          <w:lang w:eastAsia="zh-CN"/>
        </w:rPr>
        <w:t>社会保障和就业支出（类）</w:t>
      </w:r>
      <w:r>
        <w:rPr>
          <w:rFonts w:hint="eastAsia" w:ascii="仿宋_GB2312" w:eastAsia="仿宋_GB2312"/>
          <w:color w:val="000000"/>
          <w:sz w:val="32"/>
          <w:szCs w:val="32"/>
          <w:lang w:val="en-US" w:eastAsia="zh-CN"/>
        </w:rPr>
        <w:t>208行政事业单位养老支出（款）05</w:t>
      </w:r>
      <w:r>
        <w:rPr>
          <w:rFonts w:hint="eastAsia" w:ascii="仿宋_GB2312" w:eastAsia="仿宋_GB2312"/>
          <w:color w:val="000000"/>
          <w:sz w:val="32"/>
          <w:szCs w:val="32"/>
        </w:rPr>
        <w:t>机关事业单位基本养老保险缴费支出（项）05：指反映机关事业单位实施养老保险制度由单位缴纳的基本养老保险费支出。</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lang w:val="en-US" w:eastAsia="zh-CN"/>
        </w:rPr>
        <w:t>15.</w:t>
      </w:r>
      <w:r>
        <w:rPr>
          <w:rFonts w:hint="eastAsia" w:ascii="仿宋_GB2312" w:eastAsia="仿宋_GB2312"/>
          <w:color w:val="000000"/>
          <w:sz w:val="32"/>
          <w:szCs w:val="32"/>
          <w:lang w:eastAsia="zh-CN"/>
        </w:rPr>
        <w:t>社会保障和就业支出（类）</w:t>
      </w:r>
      <w:r>
        <w:rPr>
          <w:rFonts w:hint="eastAsia" w:ascii="仿宋_GB2312" w:eastAsia="仿宋_GB2312"/>
          <w:color w:val="000000"/>
          <w:sz w:val="32"/>
          <w:szCs w:val="32"/>
          <w:lang w:val="en-US" w:eastAsia="zh-CN"/>
        </w:rPr>
        <w:t>208行政事业单位养老支出（款）05</w:t>
      </w:r>
      <w:r>
        <w:rPr>
          <w:rFonts w:hint="eastAsia" w:ascii="仿宋_GB2312" w:eastAsia="仿宋_GB2312"/>
          <w:color w:val="000000"/>
          <w:sz w:val="32"/>
          <w:szCs w:val="32"/>
        </w:rPr>
        <w:t>机关事业单位职业年金缴费支出（项）06：指反映机关事业单位实施养老保险制度由单位实际缴纳的职业年金支出。</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lang w:val="en-US" w:eastAsia="zh-CN"/>
        </w:rPr>
        <w:t>16</w:t>
      </w:r>
      <w:r>
        <w:rPr>
          <w:rFonts w:hint="eastAsia" w:ascii="仿宋_GB2312" w:eastAsia="仿宋_GB2312"/>
          <w:color w:val="000000"/>
          <w:sz w:val="32"/>
          <w:szCs w:val="32"/>
        </w:rPr>
        <w:t>.</w:t>
      </w:r>
      <w:r>
        <w:rPr>
          <w:rFonts w:hint="eastAsia" w:ascii="仿宋_GB2312" w:eastAsia="仿宋_GB2312"/>
          <w:color w:val="000000"/>
          <w:sz w:val="32"/>
          <w:szCs w:val="32"/>
          <w:lang w:val="en-US" w:eastAsia="zh-CN"/>
        </w:rPr>
        <w:t>卫生健康支出</w:t>
      </w:r>
      <w:r>
        <w:rPr>
          <w:rFonts w:hint="eastAsia" w:ascii="仿宋_GB2312" w:eastAsia="仿宋_GB2312"/>
          <w:color w:val="000000"/>
          <w:sz w:val="32"/>
          <w:szCs w:val="32"/>
          <w:lang w:eastAsia="zh-CN"/>
        </w:rPr>
        <w:t>（类）</w:t>
      </w:r>
      <w:r>
        <w:rPr>
          <w:rFonts w:hint="eastAsia" w:ascii="仿宋_GB2312" w:eastAsia="仿宋_GB2312"/>
          <w:color w:val="000000"/>
          <w:sz w:val="32"/>
          <w:szCs w:val="32"/>
          <w:lang w:val="en-US" w:eastAsia="zh-CN"/>
        </w:rPr>
        <w:t>210行政事业单位医疗</w:t>
      </w:r>
      <w:r>
        <w:rPr>
          <w:rFonts w:hint="eastAsia" w:ascii="仿宋_GB2312" w:eastAsia="仿宋_GB2312"/>
          <w:color w:val="000000"/>
          <w:sz w:val="32"/>
          <w:szCs w:val="32"/>
        </w:rPr>
        <w:t>（</w:t>
      </w:r>
      <w:r>
        <w:rPr>
          <w:rFonts w:hint="eastAsia" w:ascii="仿宋_GB2312" w:eastAsia="仿宋_GB2312"/>
          <w:color w:val="000000"/>
          <w:sz w:val="32"/>
          <w:szCs w:val="32"/>
          <w:lang w:eastAsia="zh-CN"/>
        </w:rPr>
        <w:t>款</w:t>
      </w:r>
      <w:r>
        <w:rPr>
          <w:rFonts w:hint="eastAsia" w:ascii="仿宋_GB2312" w:eastAsia="仿宋_GB2312"/>
          <w:color w:val="000000"/>
          <w:sz w:val="32"/>
          <w:szCs w:val="32"/>
        </w:rPr>
        <w:t>）</w:t>
      </w:r>
      <w:r>
        <w:rPr>
          <w:rFonts w:hint="eastAsia" w:ascii="仿宋_GB2312" w:eastAsia="仿宋_GB2312"/>
          <w:color w:val="000000"/>
          <w:sz w:val="32"/>
          <w:szCs w:val="32"/>
          <w:lang w:val="en-US" w:eastAsia="zh-CN"/>
        </w:rPr>
        <w:t>11行政事业单位医疗（项）01</w:t>
      </w:r>
      <w:r>
        <w:rPr>
          <w:rFonts w:hint="eastAsia" w:ascii="仿宋_GB2312" w:eastAsia="仿宋_GB2312"/>
          <w:color w:val="000000"/>
          <w:sz w:val="32"/>
          <w:szCs w:val="32"/>
        </w:rPr>
        <w:t>：</w:t>
      </w:r>
      <w:r>
        <w:rPr>
          <w:rFonts w:hint="eastAsia" w:ascii="仿宋_GB2312" w:eastAsia="仿宋_GB2312"/>
          <w:color w:val="auto"/>
          <w:sz w:val="32"/>
          <w:szCs w:val="32"/>
        </w:rPr>
        <w:t>指反映</w:t>
      </w:r>
      <w:r>
        <w:rPr>
          <w:rFonts w:hint="eastAsia" w:ascii="仿宋_GB2312" w:eastAsia="仿宋_GB2312"/>
          <w:color w:val="000000"/>
          <w:sz w:val="32"/>
          <w:szCs w:val="32"/>
        </w:rPr>
        <w:t>财政部门集中安排的行政单位</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包括实行公务员管理事业单位，下同）</w:t>
      </w:r>
      <w:r>
        <w:rPr>
          <w:rFonts w:hint="eastAsia" w:ascii="仿宋_GB2312" w:eastAsia="仿宋_GB2312"/>
          <w:color w:val="000000"/>
          <w:sz w:val="32"/>
          <w:szCs w:val="32"/>
        </w:rPr>
        <w:t>基本医疗保险缴费经费，未参加医疗保险的行政单位的公费医疗经费，按国家规定享受离休人员</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红军老战士</w:t>
      </w:r>
      <w:r>
        <w:rPr>
          <w:rFonts w:hint="eastAsia" w:ascii="仿宋_GB2312" w:eastAsia="仿宋_GB2312"/>
          <w:color w:val="000000"/>
          <w:sz w:val="32"/>
          <w:szCs w:val="32"/>
        </w:rPr>
        <w:t>待遇的医疗</w:t>
      </w:r>
      <w:r>
        <w:rPr>
          <w:rFonts w:hint="eastAsia" w:ascii="仿宋_GB2312" w:eastAsia="仿宋_GB2312"/>
          <w:color w:val="000000"/>
          <w:sz w:val="32"/>
          <w:szCs w:val="32"/>
          <w:lang w:val="en-US" w:eastAsia="zh-CN"/>
        </w:rPr>
        <w:t>经费</w:t>
      </w:r>
      <w:r>
        <w:rPr>
          <w:rFonts w:hint="eastAsia" w:ascii="仿宋_GB2312" w:eastAsia="仿宋_GB2312"/>
          <w:color w:val="000000"/>
          <w:sz w:val="32"/>
          <w:szCs w:val="32"/>
        </w:rPr>
        <w:t>。</w:t>
      </w:r>
    </w:p>
    <w:p>
      <w:pPr>
        <w:spacing w:line="560" w:lineRule="exact"/>
        <w:ind w:firstLine="640" w:firstLineChars="200"/>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17.城乡社区支出</w:t>
      </w:r>
      <w:r>
        <w:rPr>
          <w:rFonts w:hint="eastAsia" w:ascii="仿宋_GB2312" w:eastAsia="仿宋_GB2312"/>
          <w:color w:val="000000"/>
          <w:sz w:val="32"/>
          <w:szCs w:val="32"/>
        </w:rPr>
        <w:t>（类）21</w:t>
      </w:r>
      <w:r>
        <w:rPr>
          <w:rFonts w:hint="eastAsia" w:ascii="仿宋_GB2312" w:eastAsia="仿宋_GB2312"/>
          <w:color w:val="000000"/>
          <w:sz w:val="32"/>
          <w:szCs w:val="32"/>
          <w:lang w:val="en-US" w:eastAsia="zh-CN"/>
        </w:rPr>
        <w:t>2城乡社区环境卫生</w:t>
      </w:r>
      <w:r>
        <w:rPr>
          <w:rFonts w:hint="eastAsia" w:ascii="仿宋_GB2312" w:eastAsia="仿宋_GB2312"/>
          <w:color w:val="000000"/>
          <w:sz w:val="32"/>
          <w:szCs w:val="32"/>
        </w:rPr>
        <w:t>（款）</w:t>
      </w:r>
      <w:r>
        <w:rPr>
          <w:rFonts w:hint="eastAsia" w:ascii="仿宋_GB2312" w:eastAsia="仿宋_GB2312"/>
          <w:color w:val="000000"/>
          <w:sz w:val="32"/>
          <w:szCs w:val="32"/>
          <w:lang w:val="en-US" w:eastAsia="zh-CN"/>
        </w:rPr>
        <w:t>05城乡社区环境卫生</w:t>
      </w:r>
      <w:r>
        <w:rPr>
          <w:rFonts w:hint="eastAsia" w:ascii="仿宋_GB2312" w:eastAsia="仿宋_GB2312"/>
          <w:color w:val="000000"/>
          <w:sz w:val="32"/>
          <w:szCs w:val="32"/>
        </w:rPr>
        <w:t>（项）01：</w:t>
      </w:r>
      <w:r>
        <w:rPr>
          <w:rFonts w:hint="eastAsia" w:ascii="仿宋_GB2312" w:eastAsia="仿宋_GB2312"/>
          <w:color w:val="000000"/>
          <w:sz w:val="32"/>
          <w:szCs w:val="32"/>
          <w:lang w:eastAsia="zh-CN"/>
        </w:rPr>
        <w:t>反映城乡社区道路清扫、垃圾清运与处理、公厕建设与维护、园林绿化等方面的支出。</w:t>
      </w:r>
      <w:r>
        <w:rPr>
          <w:rFonts w:hint="eastAsia" w:ascii="仿宋_GB2312" w:eastAsia="仿宋_GB2312"/>
          <w:color w:val="000000"/>
          <w:sz w:val="32"/>
          <w:szCs w:val="32"/>
          <w:lang w:val="en-US" w:eastAsia="zh-CN"/>
        </w:rPr>
        <w:t>。</w:t>
      </w:r>
    </w:p>
    <w:p>
      <w:pPr>
        <w:spacing w:line="560" w:lineRule="exact"/>
        <w:ind w:firstLine="640" w:firstLineChars="200"/>
        <w:rPr>
          <w:rFonts w:hint="eastAsia" w:ascii="仿宋_GB2312" w:eastAsia="仿宋_GB2312"/>
          <w:color w:val="auto"/>
          <w:sz w:val="32"/>
          <w:szCs w:val="32"/>
          <w:lang w:val="en-US" w:eastAsia="zh-CN"/>
        </w:rPr>
      </w:pPr>
      <w:r>
        <w:rPr>
          <w:rFonts w:hint="eastAsia" w:ascii="仿宋_GB2312" w:eastAsia="仿宋_GB2312"/>
          <w:color w:val="000000"/>
          <w:sz w:val="32"/>
          <w:szCs w:val="32"/>
          <w:lang w:val="en-US" w:eastAsia="zh-CN"/>
        </w:rPr>
        <w:t>18.城乡社区支出</w:t>
      </w:r>
      <w:r>
        <w:rPr>
          <w:rFonts w:hint="eastAsia" w:ascii="仿宋_GB2312" w:eastAsia="仿宋_GB2312"/>
          <w:color w:val="000000"/>
          <w:sz w:val="32"/>
          <w:szCs w:val="32"/>
        </w:rPr>
        <w:t>（类）21</w:t>
      </w:r>
      <w:r>
        <w:rPr>
          <w:rFonts w:hint="eastAsia" w:ascii="仿宋_GB2312" w:eastAsia="仿宋_GB2312"/>
          <w:color w:val="000000"/>
          <w:sz w:val="32"/>
          <w:szCs w:val="32"/>
          <w:lang w:val="en-US" w:eastAsia="zh-CN"/>
        </w:rPr>
        <w:t>2国有土地使用权出让收入安排的支出</w:t>
      </w:r>
      <w:r>
        <w:rPr>
          <w:rFonts w:hint="eastAsia" w:ascii="仿宋_GB2312" w:eastAsia="仿宋_GB2312"/>
          <w:color w:val="000000"/>
          <w:sz w:val="32"/>
          <w:szCs w:val="32"/>
        </w:rPr>
        <w:t>（款）</w:t>
      </w:r>
      <w:r>
        <w:rPr>
          <w:rFonts w:hint="eastAsia" w:ascii="仿宋_GB2312" w:eastAsia="仿宋_GB2312"/>
          <w:color w:val="000000"/>
          <w:sz w:val="32"/>
          <w:szCs w:val="32"/>
          <w:lang w:val="en-US" w:eastAsia="zh-CN"/>
        </w:rPr>
        <w:t>08其他国有土地使用权出让收入安排的支出</w:t>
      </w:r>
      <w:r>
        <w:rPr>
          <w:rFonts w:hint="eastAsia" w:ascii="仿宋_GB2312" w:eastAsia="仿宋_GB2312"/>
          <w:color w:val="000000"/>
          <w:sz w:val="32"/>
          <w:szCs w:val="32"/>
        </w:rPr>
        <w:t>（项）</w:t>
      </w:r>
      <w:r>
        <w:rPr>
          <w:rFonts w:hint="eastAsia" w:ascii="仿宋_GB2312" w:eastAsia="仿宋_GB2312"/>
          <w:color w:val="000000"/>
          <w:sz w:val="32"/>
          <w:szCs w:val="32"/>
          <w:lang w:val="en-US" w:eastAsia="zh-CN"/>
        </w:rPr>
        <w:t>99</w:t>
      </w:r>
      <w:r>
        <w:rPr>
          <w:rFonts w:hint="eastAsia" w:ascii="仿宋_GB2312" w:eastAsia="仿宋_GB2312"/>
          <w:color w:val="000000"/>
          <w:sz w:val="32"/>
          <w:szCs w:val="32"/>
        </w:rPr>
        <w:t>：</w:t>
      </w:r>
      <w:r>
        <w:rPr>
          <w:rFonts w:hint="eastAsia" w:ascii="仿宋_GB2312" w:eastAsia="仿宋_GB2312"/>
          <w:color w:val="auto"/>
          <w:sz w:val="32"/>
          <w:szCs w:val="32"/>
          <w:lang w:eastAsia="zh-CN"/>
        </w:rPr>
        <w:t>反映</w:t>
      </w:r>
      <w:r>
        <w:rPr>
          <w:rFonts w:hint="eastAsia" w:ascii="仿宋_GB2312" w:eastAsia="仿宋_GB2312"/>
          <w:color w:val="auto"/>
          <w:sz w:val="32"/>
          <w:szCs w:val="32"/>
          <w:lang w:val="en-US" w:eastAsia="zh-CN"/>
        </w:rPr>
        <w:t>土地出让收入用于其他方面的</w:t>
      </w:r>
      <w:r>
        <w:rPr>
          <w:rFonts w:hint="eastAsia" w:ascii="仿宋_GB2312" w:eastAsia="仿宋_GB2312"/>
          <w:color w:val="auto"/>
          <w:sz w:val="32"/>
          <w:szCs w:val="32"/>
          <w:lang w:eastAsia="zh-CN"/>
        </w:rPr>
        <w:t>支出。</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lang w:val="en-US" w:eastAsia="zh-CN"/>
        </w:rPr>
        <w:t>19</w:t>
      </w:r>
      <w:r>
        <w:rPr>
          <w:rFonts w:hint="eastAsia" w:ascii="仿宋_GB2312" w:eastAsia="仿宋_GB2312"/>
          <w:color w:val="000000"/>
          <w:sz w:val="32"/>
          <w:szCs w:val="32"/>
        </w:rPr>
        <w:t>.</w:t>
      </w:r>
      <w:r>
        <w:rPr>
          <w:rFonts w:hint="eastAsia" w:ascii="仿宋_GB2312" w:eastAsia="仿宋_GB2312"/>
          <w:color w:val="000000"/>
          <w:sz w:val="32"/>
          <w:szCs w:val="32"/>
          <w:lang w:eastAsia="zh-CN"/>
        </w:rPr>
        <w:t>农林水支出（类）</w:t>
      </w:r>
      <w:r>
        <w:rPr>
          <w:rFonts w:hint="eastAsia" w:ascii="仿宋_GB2312" w:eastAsia="仿宋_GB2312"/>
          <w:color w:val="000000"/>
          <w:sz w:val="32"/>
          <w:szCs w:val="32"/>
        </w:rPr>
        <w:t>213</w:t>
      </w:r>
      <w:r>
        <w:rPr>
          <w:rFonts w:hint="eastAsia" w:ascii="仿宋_GB2312" w:eastAsia="仿宋_GB2312"/>
          <w:color w:val="000000"/>
          <w:sz w:val="32"/>
          <w:szCs w:val="32"/>
          <w:lang w:eastAsia="zh-CN"/>
        </w:rPr>
        <w:t>农业</w:t>
      </w:r>
      <w:r>
        <w:rPr>
          <w:rFonts w:hint="eastAsia" w:ascii="仿宋_GB2312" w:eastAsia="仿宋_GB2312"/>
          <w:color w:val="000000"/>
          <w:sz w:val="32"/>
          <w:szCs w:val="32"/>
          <w:lang w:val="en-US" w:eastAsia="zh-CN"/>
        </w:rPr>
        <w:t>农村</w:t>
      </w:r>
      <w:r>
        <w:rPr>
          <w:rFonts w:hint="eastAsia" w:ascii="仿宋_GB2312" w:eastAsia="仿宋_GB2312"/>
          <w:color w:val="000000"/>
          <w:sz w:val="32"/>
          <w:szCs w:val="32"/>
        </w:rPr>
        <w:t>（款）01病虫害控制（项）08：反映用于病虫鼠害及疫情监测、预报、预防、控制、检疫、防疫所需的仪器、设施、药物、疫苗、种苗，疫畜防治、扑杀补偿及劳务补助、菌（毒）种保藏及动植物及其产品检疫、检测等方面的支出。</w:t>
      </w:r>
    </w:p>
    <w:p>
      <w:pPr>
        <w:spacing w:line="560" w:lineRule="exact"/>
        <w:ind w:firstLine="640" w:firstLineChars="200"/>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20.</w:t>
      </w:r>
      <w:r>
        <w:rPr>
          <w:rFonts w:hint="eastAsia" w:ascii="仿宋_GB2312" w:eastAsia="仿宋_GB2312"/>
          <w:color w:val="000000"/>
          <w:sz w:val="32"/>
          <w:szCs w:val="32"/>
          <w:lang w:eastAsia="zh-CN"/>
        </w:rPr>
        <w:t>农林水支出（类）</w:t>
      </w:r>
      <w:r>
        <w:rPr>
          <w:rFonts w:hint="eastAsia" w:ascii="仿宋_GB2312" w:eastAsia="仿宋_GB2312"/>
          <w:color w:val="000000"/>
          <w:sz w:val="32"/>
          <w:szCs w:val="32"/>
        </w:rPr>
        <w:t>213</w:t>
      </w:r>
      <w:r>
        <w:rPr>
          <w:rFonts w:hint="eastAsia" w:ascii="仿宋_GB2312" w:eastAsia="仿宋_GB2312"/>
          <w:color w:val="000000"/>
          <w:sz w:val="32"/>
          <w:szCs w:val="32"/>
          <w:lang w:eastAsia="zh-CN"/>
        </w:rPr>
        <w:t>农业</w:t>
      </w:r>
      <w:r>
        <w:rPr>
          <w:rFonts w:hint="eastAsia" w:ascii="仿宋_GB2312" w:eastAsia="仿宋_GB2312"/>
          <w:color w:val="000000"/>
          <w:sz w:val="32"/>
          <w:szCs w:val="32"/>
          <w:lang w:val="en-US" w:eastAsia="zh-CN"/>
        </w:rPr>
        <w:t>农村</w:t>
      </w:r>
      <w:r>
        <w:rPr>
          <w:rFonts w:hint="eastAsia" w:ascii="仿宋_GB2312" w:eastAsia="仿宋_GB2312"/>
          <w:color w:val="000000"/>
          <w:sz w:val="32"/>
          <w:szCs w:val="32"/>
        </w:rPr>
        <w:t>（款）01</w:t>
      </w:r>
      <w:r>
        <w:rPr>
          <w:rFonts w:hint="eastAsia" w:ascii="仿宋_GB2312" w:eastAsia="仿宋_GB2312"/>
          <w:color w:val="000000"/>
          <w:sz w:val="32"/>
          <w:szCs w:val="32"/>
          <w:lang w:val="en-US" w:eastAsia="zh-CN"/>
        </w:rPr>
        <w:t>其他农业农村支出</w:t>
      </w:r>
      <w:r>
        <w:rPr>
          <w:rFonts w:hint="eastAsia" w:ascii="仿宋_GB2312" w:eastAsia="仿宋_GB2312"/>
          <w:color w:val="000000"/>
          <w:sz w:val="32"/>
          <w:szCs w:val="32"/>
        </w:rPr>
        <w:t>（项）</w:t>
      </w:r>
      <w:r>
        <w:rPr>
          <w:rFonts w:hint="eastAsia" w:ascii="仿宋_GB2312" w:eastAsia="仿宋_GB2312"/>
          <w:color w:val="000000"/>
          <w:sz w:val="32"/>
          <w:szCs w:val="32"/>
          <w:lang w:val="en-US" w:eastAsia="zh-CN"/>
        </w:rPr>
        <w:t>99：反映上述项目外其他用于农业农村方面的支出。</w:t>
      </w:r>
    </w:p>
    <w:p>
      <w:pPr>
        <w:spacing w:line="56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lang w:val="en-US" w:eastAsia="zh-CN"/>
        </w:rPr>
        <w:t>21.</w:t>
      </w:r>
      <w:r>
        <w:rPr>
          <w:rFonts w:hint="eastAsia" w:ascii="仿宋_GB2312" w:eastAsia="仿宋_GB2312"/>
          <w:color w:val="000000"/>
          <w:sz w:val="32"/>
          <w:szCs w:val="32"/>
          <w:lang w:eastAsia="zh-CN"/>
        </w:rPr>
        <w:t>农林水支出（类）</w:t>
      </w:r>
      <w:r>
        <w:rPr>
          <w:rFonts w:hint="eastAsia" w:ascii="仿宋_GB2312" w:eastAsia="仿宋_GB2312"/>
          <w:color w:val="000000"/>
          <w:sz w:val="32"/>
          <w:szCs w:val="32"/>
        </w:rPr>
        <w:t>213</w:t>
      </w:r>
      <w:r>
        <w:rPr>
          <w:rFonts w:hint="eastAsia" w:ascii="仿宋_GB2312" w:eastAsia="仿宋_GB2312"/>
          <w:color w:val="000000"/>
          <w:sz w:val="32"/>
          <w:szCs w:val="32"/>
          <w:lang w:eastAsia="zh-CN"/>
        </w:rPr>
        <w:t>水利</w:t>
      </w:r>
      <w:r>
        <w:rPr>
          <w:rFonts w:hint="eastAsia" w:ascii="仿宋_GB2312" w:eastAsia="仿宋_GB2312"/>
          <w:color w:val="000000"/>
          <w:sz w:val="32"/>
          <w:szCs w:val="32"/>
        </w:rPr>
        <w:t>（款）03防汛（项）14：反映防汛业务支出。</w:t>
      </w:r>
      <w:r>
        <w:rPr>
          <w:rFonts w:hint="eastAsia" w:ascii="仿宋_GB2312" w:eastAsia="仿宋_GB2312"/>
          <w:color w:val="000000"/>
          <w:sz w:val="32"/>
          <w:szCs w:val="32"/>
          <w:lang w:eastAsia="zh-CN"/>
        </w:rPr>
        <w:t>有关事项包括防汛物资购置管护，防汛通信设施设备、网络系统、车船设备运行维护，防汛值班、水情报汛、防汛指挥系统运行维护、水毁修复以及防汛组织（如防汛预案编制、检查、演习、宣传、会议等），汛期调用民工及劳动保护，水利设施灾后重建，退田还湖，蓄滞洪区补偿、水情、雨情、决策支持，防汛视频会商，应急度汛，山洪灾害防治等。</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lang w:val="en-US" w:eastAsia="zh-CN"/>
        </w:rPr>
        <w:t>22.</w:t>
      </w:r>
      <w:r>
        <w:rPr>
          <w:rFonts w:hint="eastAsia" w:ascii="仿宋_GB2312" w:eastAsia="仿宋_GB2312"/>
          <w:color w:val="000000"/>
          <w:sz w:val="32"/>
          <w:szCs w:val="32"/>
          <w:lang w:eastAsia="zh-CN"/>
        </w:rPr>
        <w:t>农林水支出（类）</w:t>
      </w:r>
      <w:r>
        <w:rPr>
          <w:rFonts w:hint="eastAsia" w:ascii="仿宋_GB2312" w:eastAsia="仿宋_GB2312"/>
          <w:color w:val="000000"/>
          <w:sz w:val="32"/>
          <w:szCs w:val="32"/>
        </w:rPr>
        <w:t>213</w:t>
      </w:r>
      <w:r>
        <w:rPr>
          <w:rFonts w:hint="eastAsia" w:ascii="仿宋_GB2312" w:eastAsia="仿宋_GB2312"/>
          <w:color w:val="000000"/>
          <w:sz w:val="32"/>
          <w:szCs w:val="32"/>
          <w:lang w:eastAsia="zh-CN"/>
        </w:rPr>
        <w:t>农村综合改革</w:t>
      </w:r>
      <w:r>
        <w:rPr>
          <w:rFonts w:hint="eastAsia" w:ascii="仿宋_GB2312" w:eastAsia="仿宋_GB2312"/>
          <w:color w:val="000000"/>
          <w:sz w:val="32"/>
          <w:szCs w:val="32"/>
        </w:rPr>
        <w:t>（款）07对村民委员会和村党支部的补助（项）05：反映各级财政对村民委员会和村党支部的补助支出，以及支持建立县级基本财力保障机制安排的村级组织运转奖补资金。</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lang w:val="en-US" w:eastAsia="zh-CN"/>
        </w:rPr>
        <w:t>23</w:t>
      </w:r>
      <w:r>
        <w:rPr>
          <w:rFonts w:hint="eastAsia" w:ascii="仿宋_GB2312" w:eastAsia="仿宋_GB2312"/>
          <w:color w:val="000000"/>
          <w:sz w:val="32"/>
          <w:szCs w:val="32"/>
        </w:rPr>
        <w:t>.</w:t>
      </w:r>
      <w:r>
        <w:rPr>
          <w:rFonts w:hint="eastAsia" w:ascii="仿宋_GB2312" w:eastAsia="仿宋_GB2312"/>
          <w:color w:val="000000"/>
          <w:sz w:val="32"/>
          <w:szCs w:val="32"/>
          <w:lang w:eastAsia="zh-CN"/>
        </w:rPr>
        <w:t>住房保障支出</w:t>
      </w:r>
      <w:r>
        <w:rPr>
          <w:rFonts w:hint="eastAsia" w:ascii="仿宋_GB2312" w:eastAsia="仿宋_GB2312"/>
          <w:color w:val="000000"/>
          <w:sz w:val="32"/>
          <w:szCs w:val="32"/>
        </w:rPr>
        <w:t>（类）221</w:t>
      </w:r>
      <w:r>
        <w:rPr>
          <w:rFonts w:hint="eastAsia" w:ascii="仿宋_GB2312" w:eastAsia="仿宋_GB2312"/>
          <w:color w:val="000000"/>
          <w:sz w:val="32"/>
          <w:szCs w:val="32"/>
          <w:lang w:eastAsia="zh-CN"/>
        </w:rPr>
        <w:t>住房改革支出</w:t>
      </w:r>
      <w:r>
        <w:rPr>
          <w:rFonts w:hint="eastAsia" w:ascii="仿宋_GB2312" w:eastAsia="仿宋_GB2312"/>
          <w:color w:val="000000"/>
          <w:sz w:val="32"/>
          <w:szCs w:val="32"/>
        </w:rPr>
        <w:t>（款）02住房公积金（项）01：指反映行政事业单位按人力资源和社会保障部、财政部规定的基本工资和津贴补贴以及规定比例为职工缴纳的住房公积金。</w:t>
      </w:r>
    </w:p>
    <w:p>
      <w:pPr>
        <w:pStyle w:val="2"/>
        <w:ind w:left="0" w:leftChars="0" w:firstLine="640" w:firstLineChars="200"/>
        <w:rPr>
          <w:rFonts w:hint="eastAsia" w:ascii="仿宋_GB2312" w:eastAsia="仿宋_GB2312"/>
          <w:color w:val="000000"/>
          <w:sz w:val="32"/>
          <w:szCs w:val="32"/>
        </w:rPr>
      </w:pPr>
      <w:r>
        <w:rPr>
          <w:rFonts w:hint="eastAsia" w:ascii="仿宋_GB2312" w:eastAsia="仿宋_GB2312"/>
          <w:color w:val="000000"/>
          <w:sz w:val="32"/>
          <w:szCs w:val="32"/>
          <w:lang w:val="en-US" w:eastAsia="zh-CN"/>
        </w:rPr>
        <w:t>24</w:t>
      </w:r>
      <w:r>
        <w:rPr>
          <w:rFonts w:hint="eastAsia" w:ascii="仿宋_GB2312" w:eastAsia="仿宋_GB2312"/>
          <w:color w:val="000000"/>
          <w:sz w:val="32"/>
          <w:szCs w:val="32"/>
        </w:rPr>
        <w:t>.</w:t>
      </w:r>
      <w:r>
        <w:rPr>
          <w:rFonts w:hint="eastAsia" w:ascii="仿宋_GB2312" w:eastAsia="仿宋_GB2312"/>
          <w:color w:val="000000"/>
          <w:sz w:val="32"/>
          <w:szCs w:val="32"/>
          <w:lang w:val="en-US" w:eastAsia="zh-CN"/>
        </w:rPr>
        <w:t>国有资本经营预算收入</w:t>
      </w:r>
      <w:r>
        <w:rPr>
          <w:rFonts w:hint="eastAsia" w:ascii="仿宋_GB2312" w:eastAsia="仿宋_GB2312"/>
          <w:color w:val="000000"/>
          <w:sz w:val="32"/>
          <w:szCs w:val="32"/>
        </w:rPr>
        <w:t>（类）22</w:t>
      </w:r>
      <w:r>
        <w:rPr>
          <w:rFonts w:hint="eastAsia" w:ascii="仿宋_GB2312" w:eastAsia="仿宋_GB2312"/>
          <w:color w:val="000000"/>
          <w:sz w:val="32"/>
          <w:szCs w:val="32"/>
          <w:lang w:val="en-US" w:eastAsia="zh-CN"/>
        </w:rPr>
        <w:t>3解决历史遗留问题及改革成本</w:t>
      </w:r>
      <w:r>
        <w:rPr>
          <w:rFonts w:hint="eastAsia" w:ascii="仿宋_GB2312" w:eastAsia="仿宋_GB2312"/>
          <w:color w:val="000000"/>
          <w:sz w:val="32"/>
          <w:szCs w:val="32"/>
          <w:lang w:eastAsia="zh-CN"/>
        </w:rPr>
        <w:t>支出</w:t>
      </w:r>
      <w:r>
        <w:rPr>
          <w:rFonts w:hint="eastAsia" w:ascii="仿宋_GB2312" w:eastAsia="仿宋_GB2312"/>
          <w:color w:val="000000"/>
          <w:sz w:val="32"/>
          <w:szCs w:val="32"/>
        </w:rPr>
        <w:t>（款）</w:t>
      </w:r>
      <w:r>
        <w:rPr>
          <w:rFonts w:hint="eastAsia" w:ascii="仿宋_GB2312" w:eastAsia="仿宋_GB2312"/>
          <w:color w:val="000000"/>
          <w:sz w:val="32"/>
          <w:szCs w:val="32"/>
          <w:lang w:val="en-US" w:eastAsia="zh-CN"/>
        </w:rPr>
        <w:t>01国有企业退休人员社会化管理补助支出</w:t>
      </w:r>
      <w:r>
        <w:rPr>
          <w:rFonts w:hint="eastAsia" w:ascii="仿宋_GB2312" w:eastAsia="仿宋_GB2312"/>
          <w:color w:val="000000"/>
          <w:sz w:val="32"/>
          <w:szCs w:val="32"/>
        </w:rPr>
        <w:t>（项）</w:t>
      </w:r>
      <w:r>
        <w:rPr>
          <w:rFonts w:hint="eastAsia" w:ascii="仿宋_GB2312" w:eastAsia="仿宋_GB2312"/>
          <w:color w:val="000000"/>
          <w:sz w:val="32"/>
          <w:szCs w:val="32"/>
          <w:lang w:val="en-US" w:eastAsia="zh-CN"/>
        </w:rPr>
        <w:t>05</w:t>
      </w:r>
      <w:r>
        <w:rPr>
          <w:rFonts w:hint="eastAsia" w:ascii="仿宋_GB2312" w:eastAsia="仿宋_GB2312"/>
          <w:color w:val="000000"/>
          <w:sz w:val="32"/>
          <w:szCs w:val="32"/>
        </w:rPr>
        <w:t>：指反映</w:t>
      </w:r>
      <w:r>
        <w:rPr>
          <w:rFonts w:hint="eastAsia" w:ascii="仿宋_GB2312" w:eastAsia="仿宋_GB2312"/>
          <w:color w:val="000000"/>
          <w:sz w:val="32"/>
          <w:szCs w:val="32"/>
          <w:lang w:val="en-US" w:eastAsia="zh-CN"/>
        </w:rPr>
        <w:t>用国有资本经营预算收入安排的国有企业退休人员移交社区实行社会化管理的支出</w:t>
      </w:r>
      <w:r>
        <w:rPr>
          <w:rFonts w:hint="eastAsia" w:ascii="仿宋_GB2312" w:eastAsia="仿宋_GB2312"/>
          <w:color w:val="000000"/>
          <w:sz w:val="32"/>
          <w:szCs w:val="32"/>
        </w:rPr>
        <w:t>。</w:t>
      </w:r>
    </w:p>
    <w:p>
      <w:pPr>
        <w:pStyle w:val="2"/>
        <w:ind w:left="0" w:leftChars="0" w:firstLine="640" w:firstLineChars="200"/>
        <w:rPr>
          <w:rFonts w:hint="eastAsia" w:ascii="仿宋_GB2312" w:eastAsia="仿宋_GB2312"/>
          <w:color w:val="000000"/>
          <w:sz w:val="32"/>
          <w:szCs w:val="32"/>
          <w:lang w:val="en-US" w:eastAsia="zh-CN"/>
        </w:rPr>
      </w:pPr>
      <w:r>
        <w:rPr>
          <w:rFonts w:hint="eastAsia" w:ascii="仿宋_GB2312" w:eastAsia="仿宋_GB2312"/>
          <w:color w:val="auto"/>
          <w:sz w:val="32"/>
          <w:szCs w:val="32"/>
          <w:lang w:val="en-US" w:eastAsia="zh-CN"/>
        </w:rPr>
        <w:t>25.</w:t>
      </w:r>
      <w:r>
        <w:rPr>
          <w:rFonts w:hint="eastAsia" w:ascii="仿宋" w:hAnsi="仿宋" w:eastAsia="仿宋" w:cs="仿宋"/>
          <w:color w:val="000000"/>
          <w:sz w:val="32"/>
          <w:szCs w:val="32"/>
          <w:lang w:val="en-US" w:eastAsia="zh-CN"/>
        </w:rPr>
        <w:t>应急防治及应急管理支出</w:t>
      </w:r>
      <w:r>
        <w:rPr>
          <w:rFonts w:hint="eastAsia" w:ascii="仿宋" w:hAnsi="仿宋" w:eastAsia="仿宋" w:cs="仿宋"/>
          <w:color w:val="000000"/>
          <w:sz w:val="32"/>
          <w:szCs w:val="32"/>
        </w:rPr>
        <w:t>（类）</w:t>
      </w:r>
      <w:r>
        <w:rPr>
          <w:rFonts w:hint="eastAsia" w:ascii="仿宋" w:hAnsi="仿宋" w:eastAsia="仿宋" w:cs="仿宋"/>
          <w:color w:val="000000"/>
          <w:sz w:val="32"/>
          <w:szCs w:val="32"/>
          <w:lang w:val="en-US" w:eastAsia="zh-CN"/>
        </w:rPr>
        <w:t>224</w:t>
      </w:r>
      <w:r>
        <w:rPr>
          <w:rFonts w:hint="eastAsia" w:ascii="仿宋_GB2312" w:eastAsia="仿宋_GB2312"/>
          <w:color w:val="000000"/>
          <w:sz w:val="32"/>
          <w:szCs w:val="32"/>
          <w:lang w:val="en-US" w:eastAsia="zh-CN"/>
        </w:rPr>
        <w:t>应急管理事务</w:t>
      </w:r>
      <w:r>
        <w:rPr>
          <w:rFonts w:hint="eastAsia" w:ascii="仿宋_GB2312" w:eastAsia="仿宋_GB2312"/>
          <w:color w:val="000000"/>
          <w:sz w:val="32"/>
          <w:szCs w:val="32"/>
        </w:rPr>
        <w:t>（款）</w:t>
      </w:r>
      <w:r>
        <w:rPr>
          <w:rFonts w:hint="eastAsia" w:ascii="仿宋_GB2312" w:eastAsia="仿宋_GB2312"/>
          <w:color w:val="000000"/>
          <w:sz w:val="32"/>
          <w:szCs w:val="32"/>
          <w:lang w:val="en-US" w:eastAsia="zh-CN"/>
        </w:rPr>
        <w:t>01应急救援</w:t>
      </w:r>
      <w:r>
        <w:rPr>
          <w:rFonts w:hint="eastAsia" w:ascii="仿宋_GB2312" w:eastAsia="仿宋_GB2312"/>
          <w:color w:val="000000"/>
          <w:sz w:val="32"/>
          <w:szCs w:val="32"/>
        </w:rPr>
        <w:t>（项）</w:t>
      </w:r>
      <w:r>
        <w:rPr>
          <w:rFonts w:hint="eastAsia" w:ascii="仿宋_GB2312" w:eastAsia="仿宋_GB2312"/>
          <w:color w:val="000000"/>
          <w:sz w:val="32"/>
          <w:szCs w:val="32"/>
          <w:lang w:val="en-US" w:eastAsia="zh-CN"/>
        </w:rPr>
        <w:t>08：反映安全生产、自然灾害应急救援反面支出。</w:t>
      </w:r>
    </w:p>
    <w:p>
      <w:pPr>
        <w:spacing w:line="560" w:lineRule="exact"/>
        <w:ind w:firstLine="640" w:firstLineChars="200"/>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26.</w:t>
      </w:r>
      <w:r>
        <w:rPr>
          <w:rFonts w:hint="eastAsia" w:ascii="仿宋" w:hAnsi="仿宋" w:eastAsia="仿宋" w:cs="仿宋"/>
          <w:color w:val="000000"/>
          <w:sz w:val="32"/>
          <w:szCs w:val="32"/>
          <w:lang w:val="en-US" w:eastAsia="zh-CN"/>
        </w:rPr>
        <w:t>应急防治及应急管理支出</w:t>
      </w:r>
      <w:r>
        <w:rPr>
          <w:rFonts w:hint="eastAsia" w:ascii="仿宋" w:hAnsi="仿宋" w:eastAsia="仿宋" w:cs="仿宋"/>
          <w:color w:val="000000"/>
          <w:sz w:val="32"/>
          <w:szCs w:val="32"/>
        </w:rPr>
        <w:t>（类）</w:t>
      </w:r>
      <w:r>
        <w:rPr>
          <w:rFonts w:hint="eastAsia" w:ascii="仿宋" w:hAnsi="仿宋" w:eastAsia="仿宋" w:cs="仿宋"/>
          <w:color w:val="000000"/>
          <w:sz w:val="32"/>
          <w:szCs w:val="32"/>
          <w:lang w:val="en-US" w:eastAsia="zh-CN"/>
        </w:rPr>
        <w:t>224</w:t>
      </w:r>
      <w:r>
        <w:rPr>
          <w:rFonts w:hint="eastAsia" w:ascii="仿宋_GB2312" w:eastAsia="仿宋_GB2312"/>
          <w:color w:val="000000"/>
          <w:sz w:val="32"/>
          <w:szCs w:val="32"/>
          <w:lang w:val="en-US" w:eastAsia="zh-CN"/>
        </w:rPr>
        <w:t>应急管理事务</w:t>
      </w:r>
      <w:r>
        <w:rPr>
          <w:rFonts w:hint="eastAsia" w:ascii="仿宋_GB2312" w:eastAsia="仿宋_GB2312"/>
          <w:color w:val="000000"/>
          <w:sz w:val="32"/>
          <w:szCs w:val="32"/>
        </w:rPr>
        <w:t>（款）</w:t>
      </w:r>
      <w:r>
        <w:rPr>
          <w:rFonts w:hint="eastAsia" w:ascii="仿宋_GB2312" w:eastAsia="仿宋_GB2312"/>
          <w:color w:val="000000"/>
          <w:sz w:val="32"/>
          <w:szCs w:val="32"/>
          <w:lang w:val="en-US" w:eastAsia="zh-CN"/>
        </w:rPr>
        <w:t>01</w:t>
      </w:r>
      <w:r>
        <w:rPr>
          <w:rFonts w:hint="default" w:ascii="仿宋_GB2312" w:eastAsia="仿宋_GB2312"/>
          <w:color w:val="000000"/>
          <w:sz w:val="32"/>
          <w:szCs w:val="32"/>
          <w:lang w:eastAsia="zh-CN"/>
        </w:rPr>
        <w:t>其他应急管理支出</w:t>
      </w:r>
      <w:r>
        <w:rPr>
          <w:rFonts w:hint="eastAsia" w:ascii="仿宋_GB2312" w:eastAsia="仿宋_GB2312"/>
          <w:color w:val="000000"/>
          <w:sz w:val="32"/>
          <w:szCs w:val="32"/>
        </w:rPr>
        <w:t>（项）</w:t>
      </w:r>
      <w:r>
        <w:rPr>
          <w:rFonts w:hint="eastAsia" w:ascii="仿宋_GB2312" w:eastAsia="仿宋_GB2312"/>
          <w:color w:val="000000"/>
          <w:sz w:val="32"/>
          <w:szCs w:val="32"/>
          <w:lang w:val="en-US" w:eastAsia="zh-CN"/>
        </w:rPr>
        <w:t>99：反映上述项目以外其他应急管理反面的支出。</w:t>
      </w:r>
    </w:p>
    <w:p>
      <w:pPr>
        <w:pStyle w:val="2"/>
        <w:ind w:left="0" w:leftChars="0" w:firstLine="0" w:firstLineChars="0"/>
        <w:rPr>
          <w:rFonts w:hint="eastAsia" w:ascii="仿宋_GB2312" w:eastAsia="仿宋_GB2312"/>
          <w:color w:val="000000"/>
          <w:sz w:val="32"/>
          <w:szCs w:val="32"/>
          <w:lang w:val="en-US" w:eastAsia="zh-CN"/>
        </w:rPr>
      </w:pPr>
      <w:r>
        <w:rPr>
          <w:rFonts w:hint="eastAsia"/>
          <w:lang w:val="en-US" w:eastAsia="zh-CN"/>
        </w:rPr>
        <w:t xml:space="preserve">     </w:t>
      </w:r>
      <w:r>
        <w:rPr>
          <w:rFonts w:hint="eastAsia" w:ascii="仿宋_GB2312" w:eastAsia="仿宋_GB2312"/>
          <w:color w:val="000000"/>
          <w:sz w:val="32"/>
          <w:szCs w:val="32"/>
          <w:lang w:val="en-US" w:eastAsia="zh-CN"/>
        </w:rPr>
        <w:t>27.</w:t>
      </w:r>
      <w:r>
        <w:rPr>
          <w:rFonts w:hint="eastAsia" w:ascii="仿宋" w:hAnsi="仿宋" w:eastAsia="仿宋" w:cs="仿宋"/>
          <w:color w:val="000000"/>
          <w:sz w:val="32"/>
          <w:szCs w:val="32"/>
          <w:lang w:val="en-US" w:eastAsia="zh-CN"/>
        </w:rPr>
        <w:t>应急防治及应急管理支出</w:t>
      </w:r>
      <w:r>
        <w:rPr>
          <w:rFonts w:hint="eastAsia" w:ascii="仿宋" w:hAnsi="仿宋" w:eastAsia="仿宋" w:cs="仿宋"/>
          <w:color w:val="000000"/>
          <w:sz w:val="32"/>
          <w:szCs w:val="32"/>
        </w:rPr>
        <w:t>（类）</w:t>
      </w:r>
      <w:r>
        <w:rPr>
          <w:rFonts w:hint="eastAsia" w:ascii="仿宋" w:hAnsi="仿宋" w:eastAsia="仿宋" w:cs="仿宋"/>
          <w:color w:val="000000"/>
          <w:sz w:val="32"/>
          <w:szCs w:val="32"/>
          <w:lang w:val="en-US" w:eastAsia="zh-CN"/>
        </w:rPr>
        <w:t>224</w:t>
      </w:r>
      <w:r>
        <w:rPr>
          <w:rFonts w:hint="eastAsia" w:ascii="仿宋_GB2312" w:eastAsia="仿宋_GB2312"/>
          <w:color w:val="000000"/>
          <w:sz w:val="32"/>
          <w:szCs w:val="32"/>
          <w:lang w:val="en-US" w:eastAsia="zh-CN"/>
        </w:rPr>
        <w:t>自然灾害救灾及恢复重建支出</w:t>
      </w:r>
      <w:r>
        <w:rPr>
          <w:rFonts w:hint="eastAsia" w:ascii="仿宋_GB2312" w:eastAsia="仿宋_GB2312"/>
          <w:color w:val="000000"/>
          <w:sz w:val="32"/>
          <w:szCs w:val="32"/>
        </w:rPr>
        <w:t>（款）</w:t>
      </w:r>
      <w:r>
        <w:rPr>
          <w:rFonts w:hint="eastAsia" w:ascii="仿宋_GB2312" w:eastAsia="仿宋_GB2312"/>
          <w:color w:val="000000"/>
          <w:sz w:val="32"/>
          <w:szCs w:val="32"/>
          <w:lang w:val="en-US" w:eastAsia="zh-CN"/>
        </w:rPr>
        <w:t>07自然灾害救灾补助</w:t>
      </w:r>
      <w:r>
        <w:rPr>
          <w:rFonts w:hint="eastAsia" w:ascii="仿宋_GB2312" w:eastAsia="仿宋_GB2312"/>
          <w:color w:val="000000"/>
          <w:sz w:val="32"/>
          <w:szCs w:val="32"/>
        </w:rPr>
        <w:t>（项）</w:t>
      </w:r>
      <w:r>
        <w:rPr>
          <w:rFonts w:hint="eastAsia" w:ascii="仿宋_GB2312" w:eastAsia="仿宋_GB2312"/>
          <w:color w:val="000000"/>
          <w:sz w:val="32"/>
          <w:szCs w:val="32"/>
          <w:lang w:val="en-US" w:eastAsia="zh-CN"/>
        </w:rPr>
        <w:t>03：反映用于重大自然灾害应急救援和受灾群众救灾的支出。</w:t>
      </w:r>
    </w:p>
    <w:p>
      <w:pPr>
        <w:pStyle w:val="2"/>
        <w:ind w:left="0" w:leftChars="0" w:firstLine="640" w:firstLineChars="200"/>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28.</w:t>
      </w:r>
      <w:r>
        <w:rPr>
          <w:rFonts w:hint="eastAsia" w:ascii="仿宋" w:hAnsi="仿宋" w:eastAsia="仿宋" w:cs="仿宋"/>
          <w:color w:val="000000"/>
          <w:sz w:val="32"/>
          <w:szCs w:val="32"/>
          <w:lang w:val="en-US" w:eastAsia="zh-CN"/>
        </w:rPr>
        <w:t>其他支出</w:t>
      </w:r>
      <w:r>
        <w:rPr>
          <w:rFonts w:hint="eastAsia" w:ascii="仿宋" w:hAnsi="仿宋" w:eastAsia="仿宋" w:cs="仿宋"/>
          <w:color w:val="000000"/>
          <w:sz w:val="32"/>
          <w:szCs w:val="32"/>
        </w:rPr>
        <w:t>（类）</w:t>
      </w:r>
      <w:r>
        <w:rPr>
          <w:rFonts w:hint="eastAsia" w:ascii="仿宋" w:hAnsi="仿宋" w:eastAsia="仿宋" w:cs="仿宋"/>
          <w:color w:val="000000"/>
          <w:sz w:val="32"/>
          <w:szCs w:val="32"/>
          <w:lang w:val="en-US" w:eastAsia="zh-CN"/>
        </w:rPr>
        <w:t>229彩票公益事业安排的</w:t>
      </w:r>
      <w:r>
        <w:rPr>
          <w:rFonts w:hint="eastAsia" w:ascii="仿宋_GB2312" w:eastAsia="仿宋_GB2312"/>
          <w:color w:val="000000"/>
          <w:sz w:val="32"/>
          <w:szCs w:val="32"/>
          <w:lang w:val="en-US" w:eastAsia="zh-CN"/>
        </w:rPr>
        <w:t>支出</w:t>
      </w:r>
      <w:r>
        <w:rPr>
          <w:rFonts w:hint="eastAsia" w:ascii="仿宋_GB2312" w:eastAsia="仿宋_GB2312"/>
          <w:color w:val="000000"/>
          <w:sz w:val="32"/>
          <w:szCs w:val="32"/>
        </w:rPr>
        <w:t>（款）</w:t>
      </w:r>
      <w:r>
        <w:rPr>
          <w:rFonts w:hint="eastAsia" w:ascii="仿宋_GB2312" w:eastAsia="仿宋_GB2312"/>
          <w:color w:val="000000"/>
          <w:sz w:val="32"/>
          <w:szCs w:val="32"/>
          <w:lang w:val="en-US" w:eastAsia="zh-CN"/>
        </w:rPr>
        <w:t>60用于体育事业的彩票公益金支出</w:t>
      </w:r>
      <w:r>
        <w:rPr>
          <w:rFonts w:hint="eastAsia" w:ascii="仿宋_GB2312" w:eastAsia="仿宋_GB2312"/>
          <w:color w:val="000000"/>
          <w:sz w:val="32"/>
          <w:szCs w:val="32"/>
        </w:rPr>
        <w:t>（项）</w:t>
      </w:r>
      <w:r>
        <w:rPr>
          <w:rFonts w:hint="eastAsia" w:ascii="仿宋_GB2312" w:eastAsia="仿宋_GB2312"/>
          <w:color w:val="000000"/>
          <w:sz w:val="32"/>
          <w:szCs w:val="32"/>
          <w:lang w:val="en-US" w:eastAsia="zh-CN"/>
        </w:rPr>
        <w:t>03：反映体育事业彩票公益金支出。</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lang w:val="en-US" w:eastAsia="zh-CN"/>
        </w:rPr>
        <w:t>29</w:t>
      </w:r>
      <w:r>
        <w:rPr>
          <w:rFonts w:hint="eastAsia" w:ascii="仿宋_GB2312" w:eastAsia="仿宋_GB2312"/>
          <w:color w:val="000000"/>
          <w:sz w:val="32"/>
          <w:szCs w:val="32"/>
        </w:rPr>
        <w:t>.基本支出：指为保障机构正常运转、完成日常工作任务而发生的人员支出和公用支出。</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lang w:val="en-US" w:eastAsia="zh-CN"/>
        </w:rPr>
        <w:t>30</w:t>
      </w:r>
      <w:r>
        <w:rPr>
          <w:rFonts w:hint="eastAsia" w:ascii="仿宋_GB2312" w:eastAsia="仿宋_GB2312"/>
          <w:color w:val="000000"/>
          <w:sz w:val="32"/>
          <w:szCs w:val="32"/>
        </w:rPr>
        <w:t xml:space="preserve">.项目支出：指在基本支出之外为完成特定行政任务和事业发展目标所发生的支出。 </w:t>
      </w:r>
    </w:p>
    <w:p>
      <w:pPr>
        <w:ind w:firstLine="640" w:firstLineChars="200"/>
        <w:rPr>
          <w:rFonts w:ascii="仿宋_GB2312" w:eastAsia="仿宋_GB2312"/>
          <w:color w:val="auto"/>
          <w:sz w:val="32"/>
          <w:szCs w:val="32"/>
          <w:highlight w:val="none"/>
        </w:rPr>
      </w:pPr>
      <w:r>
        <w:rPr>
          <w:rFonts w:hint="eastAsia" w:ascii="仿宋_GB2312" w:eastAsia="仿宋_GB2312"/>
          <w:color w:val="000000"/>
          <w:sz w:val="32"/>
          <w:szCs w:val="32"/>
          <w:highlight w:val="none"/>
          <w:lang w:val="en-US" w:eastAsia="zh-CN"/>
        </w:rPr>
        <w:t>31</w:t>
      </w:r>
      <w:r>
        <w:rPr>
          <w:rFonts w:hint="eastAsia" w:ascii="仿宋_GB2312" w:eastAsia="仿宋_GB2312"/>
          <w:color w:val="000000"/>
          <w:sz w:val="32"/>
          <w:szCs w:val="32"/>
          <w:highlight w:val="none"/>
        </w:rPr>
        <w:t>.</w:t>
      </w:r>
      <w:r>
        <w:rPr>
          <w:rFonts w:hint="eastAsia" w:ascii="仿宋_GB2312" w:eastAsia="仿宋_GB2312"/>
          <w:color w:val="auto"/>
          <w:sz w:val="32"/>
          <w:szCs w:val="32"/>
          <w:highlight w:val="none"/>
        </w:rPr>
        <w:t>经营支出：指事业单位在专业业务活动及其辅助活动之外开展非独立核算经营活动发生的支出。</w:t>
      </w:r>
    </w:p>
    <w:p>
      <w:pPr>
        <w:pStyle w:val="26"/>
        <w:spacing w:line="56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32.</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6"/>
        <w:spacing w:line="56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33</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both"/>
        <w:outlineLvl w:val="0"/>
        <w:rPr>
          <w:rStyle w:val="28"/>
          <w:rFonts w:ascii="黑体" w:hAnsi="黑体" w:eastAsia="黑体"/>
          <w:b w:val="0"/>
          <w:color w:val="auto"/>
          <w:highlight w:val="none"/>
        </w:rPr>
      </w:pPr>
      <w:bookmarkStart w:id="51" w:name="_Toc15377226"/>
      <w:r>
        <w:rPr>
          <w:rFonts w:ascii="宋体"/>
          <w:b/>
          <w:color w:val="auto"/>
          <w:sz w:val="44"/>
          <w:szCs w:val="44"/>
          <w:highlight w:val="none"/>
        </w:rPr>
        <w:br w:type="page"/>
      </w:r>
      <w:bookmarkStart w:id="52" w:name="_Toc15396614"/>
      <w:r>
        <w:rPr>
          <w:rFonts w:hint="eastAsia" w:ascii="宋体"/>
          <w:b/>
          <w:color w:val="auto"/>
          <w:sz w:val="44"/>
          <w:szCs w:val="44"/>
          <w:highlight w:val="none"/>
          <w:lang w:val="en-US" w:eastAsia="zh-CN"/>
        </w:rPr>
        <w:t xml:space="preserve">           </w:t>
      </w:r>
      <w:r>
        <w:rPr>
          <w:rFonts w:hint="eastAsia" w:ascii="黑体" w:hAnsi="黑体" w:eastAsia="黑体"/>
          <w:color w:val="auto"/>
          <w:sz w:val="44"/>
          <w:szCs w:val="44"/>
          <w:highlight w:val="none"/>
        </w:rPr>
        <w:t>第</w:t>
      </w:r>
      <w:r>
        <w:rPr>
          <w:rStyle w:val="28"/>
          <w:rFonts w:hint="eastAsia" w:ascii="黑体" w:hAnsi="黑体" w:eastAsia="黑体"/>
          <w:b w:val="0"/>
          <w:color w:val="auto"/>
          <w:highlight w:val="none"/>
        </w:rPr>
        <w:t>四部分 附件</w:t>
      </w:r>
      <w:bookmarkEnd w:id="52"/>
    </w:p>
    <w:p>
      <w:pPr>
        <w:spacing w:line="600" w:lineRule="exact"/>
        <w:ind w:firstLine="960" w:firstLineChars="300"/>
        <w:jc w:val="both"/>
        <w:outlineLvl w:val="0"/>
        <w:rPr>
          <w:rFonts w:hint="eastAsia" w:ascii="宋体" w:hAnsi="宋体" w:eastAsia="宋体" w:cs="宋体"/>
          <w:color w:val="auto"/>
          <w:kern w:val="0"/>
          <w:sz w:val="32"/>
          <w:szCs w:val="32"/>
          <w:highlight w:val="none"/>
          <w:lang w:val="en-US" w:eastAsia="zh-CN" w:bidi="ar-SA"/>
        </w:rPr>
      </w:pPr>
      <w:bookmarkStart w:id="53" w:name="_Toc15396618"/>
      <w:r>
        <w:rPr>
          <w:rFonts w:hint="eastAsia" w:ascii="宋体" w:hAnsi="宋体" w:eastAsia="宋体" w:cs="宋体"/>
          <w:color w:val="auto"/>
          <w:kern w:val="0"/>
          <w:sz w:val="32"/>
          <w:szCs w:val="32"/>
          <w:highlight w:val="none"/>
          <w:lang w:val="en-US" w:eastAsia="zh-CN" w:bidi="ar-SA"/>
        </w:rPr>
        <w:t>部门预算项目支出绩效自评表（2022年度）</w:t>
      </w:r>
    </w:p>
    <w:tbl>
      <w:tblPr>
        <w:tblStyle w:val="16"/>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38"/>
        <w:gridCol w:w="771"/>
        <w:gridCol w:w="1216"/>
        <w:gridCol w:w="2659"/>
        <w:gridCol w:w="438"/>
        <w:gridCol w:w="771"/>
        <w:gridCol w:w="438"/>
        <w:gridCol w:w="605"/>
        <w:gridCol w:w="383"/>
        <w:gridCol w:w="383"/>
        <w:gridCol w:w="3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51088922T000004771451-袁家坝党建经费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保障办事处党建、统战工作正常开展，贯彻落实上级部门的部署要求。</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完成目标任务已完成，无资金结余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支付党建日常广告费、宣传费等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购置彩色打印机数量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完成时效</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宣传费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设备验收合格率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党建宣传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设备购置费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设备利用率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党建知识知晓率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宣传力度有待加强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该项目规划科学，项目管理规范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51088922T000004795597-袁家坝纪委工作经费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保障纪检监察工作正常运行，加大监督力度，营造风清气正的政治生态</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完成目标任务已完成，无资金结余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支付纪委办案费、广告费等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审查案件次数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案件限时办结率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案件办理时限达标率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办案效率有待提高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办案人员被投诉次数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投诉举报处置率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该项目规划科学，项目管理规范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51088922T000004795640-袁家坝防汛经费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完成河长制公示牌更新，开展汛前安全专项检查及汛期安全动态查看</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完成项目目标，无资金结余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开展河湖管理宣传，完成河长制公示牌更新，开展汛前安全专项检查及汛期安全动态查看，加强汛期值班值守，确保安全度汛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防汛值班天数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河流公示牌更新维护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值班人员在岗率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重大洪灾事故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项目已完成，确保确保安全度过汛期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51088922T000004795876-袁家坝应急管理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加大安全、森林防火检查和知识的宣传</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项目已完成，无结余资金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支付安全、森林防火等宣传费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森林防火宣传活动次数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宣传次数不足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安全检查次数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森林防火安全检查覆盖率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险情反应时间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重大安全事故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该项目规划科学，项目管理规范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51088922T000004795919-袁家坝综治工作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办事处信访、维稳、防邪、禁毒、扫黑除恶宣传等日常工作正常运行，保障辖区社会稳定</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项目已完成，无结余资金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办事处信访、维稳、防邪、禁毒、扫黑除恶宣传等日常工作正常运行支出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宣传次数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值班天数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信访举报办结率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信访办结率有待提高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宣传费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差旅费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值班费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重大群体事件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确保了综治工资日常工作正常运行，保障辖区社会稳定。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51088922T000004795957-袁家坝城乡环境卫生整治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保障辖区及周边环境质量得到切实改善，辖区内环境质量得到逐步改善，民众满意度上升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项目已完成，无结余资金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支付辖区内环境卫生整治费用，集中整治6次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集中整治次数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检查次数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抽查覆盖率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检查优良率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45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加班费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未有加班费支出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环境保护宣传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整治劳务费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40000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环境卫生</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垃圾处置及时率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该项目规划科学，项目管理规范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51088922T000004795983-袁家坝畜禽防疫工作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保障农科项目日常办公工作正常运行，春秋两季防疫消毒物品，宣传畜禽防疫知识等</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项目已完成，无结余资金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支付畜禽防疫宣传费、差旅费等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春秋两季防疫消毒次数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宣传畜禽防疫知识次数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强制免疫病种接种率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89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接种率有待提高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差旅费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6000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宣传费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4000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重大疫情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该项目规划科学，项目管理规范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51088922T000004796004-袁家坝干部培训费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保障办事处干部职工日常培训费用。提高干部职工队伍的整体素质，强化学习，不断为基层培养更多的干部队伍，保障党的基层组织建设不断创新发展</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项目已完成，无结余资金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支付干部培训费、差旅费等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参加培训班次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干部培训时间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参加培训人次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培训合格率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培训计划完成率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干部参训率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干部业务水平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高中低</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干部业务水平有待提高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该项目规划科学，项目管理规范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51088922T000004796012-袁家坝公务应急车辆运行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保障办事处党政机关公务用车应急需要</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项目已完成，无结余资金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支付机关应急用车油费、维修费等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3.46</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3.46</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应急用车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车辆正常运行率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公务用车运行维护费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40000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应急用车保障率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保障率有待提高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该项目规划科学，项目管理规范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51088922T000004796099-袁家坝伙食团补助经费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提高食堂服务水平，为办事处工作顺利开展提供后勤保障</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项目已完成，无结余资金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支付机关食堂购买蔬菜肉类等费用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保障天数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天</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保障人数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卫生检查合格率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人均标准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元/人*月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工作人员就餐率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餐余垃圾处理率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就餐职工满意度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满意率有待提高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该项目规划科学，项目管理规范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51088922T000004796118-铝产业园指挥部经费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建设铝产业园区，招商引资产业项目30个，工业技改项目12个，完成目标并落地建设，促进园区发展</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项目已完成，无结余资金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支付铝产业园指挥部日常支出，及广告费、差旅费等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79.92</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79.92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79.92</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79.92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完成招商引资项目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工作人员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项目建设质量达标率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办公差旅费用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800000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招商引资费用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固定资产投资增长率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新增就业岗位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490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新增就业岗位未达标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固定资产投资规模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亿元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该项目规划科学，项目管理规范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51088922T000005350106-袁家坝工程类支出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完成办事处项目工程款、中介费等的兑付</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完成目标任务，资金无结余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兑付办事处工程款、中介费支出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164.30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164.30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164.30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164.30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兑付施工企业数量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工程验收合格率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兑付工程款及中介费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滑坡灾害治理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基础设施建设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营商环境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满意度有待提高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该项目规划科学，项目管理规范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51088922T000006582080-袁家坝地灾应急项目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完成上石村二组堡坎垮塌整治和覃家梁三组郑家崖滑坡治理</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项目已完成，无结余资金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支付办事处工程款上石村二组堡坎垮塌整治和覃家梁三组郑家崖滑坡治理工程款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项目个数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验收合格率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天</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180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地质滑坡事件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涉及辖区居民满意度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群众满意度有待提高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该项目规划科学，项目管理规范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51088922T000007247450-袁家坝拆迁项目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确保辖区各村社2021年青苗款及时支付到位，拆迁项目工作顺利开展</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项目已完成，无结余资金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支付办事处2022年青苗款、拆迁资金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798.78</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798.78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798.78</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798.78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拆迁项目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及时支付率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完成拆迁项目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优良中低差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辖区安置人员满意度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好坏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安置对象满意率有待提高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该项目规划科学，项目管理规范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51088922T000007298432-袁家坝园区配套设施建设项目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袁家坝园区配套设施建设项目惠及辖区企业50余家，职工3000余人。</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项目已完成，无结余资金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完成辖区第三停车场建设及嘉陵社区广场建设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67.00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67.00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67.00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67.00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按时按需完成配套设施建设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满足辖区企业、职工工作生活需要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670000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辖区企业职工及居民满意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该项目规划科学，项目管理规范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51088922T000007308832-袁家坝办事处办公楼搬迁新增办公设备采购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袁家坝办事处，铝产业攻坚指挥部办公楼搬迁，按时按需进行改造及办公设备采购，文化氛围打造</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项目已完成，无结余资金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指挥部及办事处采购办公设备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按时按需进行改造及办公设备采购，文化氛围打造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确保正常开展工作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优良中低差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采购人满意率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满意率有待提高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该项目规划科学，项目管理规范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51088923T000008267307-袁家坝抗旱救灾资金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对石盘社区和上石村两处提灌站维修治理</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项目已完成，无结余资金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对石盘社区和上石村两处提灌站维修治理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涉及村社个数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完成提灌站维修率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涉及村社农作物生长率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完成农作物灌溉率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辖区群众满意率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满意率有待提高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该项目规划科学，项目管理规范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0" w:type="auto"/>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51088923T000008796563-袁家坝体育中心建设项目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广元经济技术开发区袁家坝办事处部门</w:t>
            </w:r>
          </w:p>
        </w:tc>
        <w:tc>
          <w:tcPr>
            <w:tcW w:w="0" w:type="auto"/>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广元经济技术开发区袁家坝办事处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完成袁家坝体育中心建设项目</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项目已完成，无结余资金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0" w:type="auto"/>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支付袁家坝体育场建设项目资金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验收合格率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完成1个体育场建设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足球场、篮球场出租率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辖区群众满意度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该项目规划科学，项目管理规范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0" w:type="auto"/>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bl>
    <w:p>
      <w:pPr>
        <w:pStyle w:val="7"/>
        <w:rPr>
          <w:rFonts w:hint="eastAsia" w:ascii="仿宋_GB2312" w:hAnsi="Calibri" w:eastAsia="仿宋_GB2312" w:cs="仿宋"/>
          <w:color w:val="auto"/>
          <w:kern w:val="0"/>
          <w:sz w:val="32"/>
          <w:szCs w:val="32"/>
          <w:highlight w:val="none"/>
          <w:lang w:val="en-US" w:eastAsia="zh-CN" w:bidi="ar-SA"/>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both"/>
        <w:outlineLvl w:val="0"/>
        <w:rPr>
          <w:rFonts w:hint="eastAsia" w:ascii="黑体" w:hAnsi="黑体" w:eastAsia="黑体"/>
          <w:color w:val="auto"/>
          <w:sz w:val="44"/>
          <w:szCs w:val="44"/>
          <w:highlight w:val="none"/>
        </w:rPr>
      </w:pPr>
    </w:p>
    <w:p>
      <w:pPr>
        <w:spacing w:line="600" w:lineRule="exact"/>
        <w:ind w:firstLine="2640" w:firstLineChars="600"/>
        <w:jc w:val="both"/>
        <w:outlineLvl w:val="0"/>
        <w:rPr>
          <w:rFonts w:hint="eastAsia" w:ascii="黑体" w:hAnsi="黑体" w:eastAsia="黑体"/>
          <w:color w:val="auto"/>
          <w:sz w:val="44"/>
          <w:szCs w:val="44"/>
          <w:highlight w:val="none"/>
        </w:rPr>
      </w:pPr>
    </w:p>
    <w:p>
      <w:pPr>
        <w:spacing w:line="600" w:lineRule="exact"/>
        <w:ind w:firstLine="2640" w:firstLineChars="600"/>
        <w:jc w:val="both"/>
        <w:outlineLvl w:val="0"/>
        <w:rPr>
          <w:rFonts w:hint="eastAsia" w:ascii="黑体" w:hAnsi="黑体" w:eastAsia="黑体"/>
          <w:color w:val="auto"/>
          <w:sz w:val="44"/>
          <w:szCs w:val="44"/>
          <w:highlight w:val="none"/>
        </w:rPr>
      </w:pPr>
    </w:p>
    <w:p>
      <w:pPr>
        <w:spacing w:line="600" w:lineRule="exact"/>
        <w:ind w:firstLine="2640" w:firstLineChars="600"/>
        <w:jc w:val="both"/>
        <w:outlineLvl w:val="0"/>
        <w:rPr>
          <w:rFonts w:hint="eastAsia" w:ascii="黑体" w:hAnsi="黑体" w:eastAsia="黑体"/>
          <w:color w:val="auto"/>
          <w:sz w:val="44"/>
          <w:szCs w:val="44"/>
          <w:highlight w:val="none"/>
        </w:rPr>
      </w:pPr>
    </w:p>
    <w:p>
      <w:pPr>
        <w:spacing w:line="600" w:lineRule="exact"/>
        <w:ind w:firstLine="2640" w:firstLineChars="600"/>
        <w:jc w:val="both"/>
        <w:outlineLvl w:val="0"/>
        <w:rPr>
          <w:rFonts w:hint="eastAsia" w:ascii="黑体" w:hAnsi="黑体" w:eastAsia="黑体"/>
          <w:color w:val="auto"/>
          <w:sz w:val="44"/>
          <w:szCs w:val="44"/>
          <w:highlight w:val="none"/>
        </w:rPr>
      </w:pPr>
    </w:p>
    <w:p>
      <w:pPr>
        <w:spacing w:line="600" w:lineRule="exact"/>
        <w:ind w:firstLine="2640" w:firstLineChars="600"/>
        <w:jc w:val="both"/>
        <w:outlineLvl w:val="0"/>
        <w:rPr>
          <w:rFonts w:hint="eastAsia" w:ascii="黑体" w:hAnsi="黑体" w:eastAsia="黑体"/>
          <w:color w:val="auto"/>
          <w:sz w:val="44"/>
          <w:szCs w:val="44"/>
          <w:highlight w:val="none"/>
        </w:rPr>
      </w:pPr>
    </w:p>
    <w:p>
      <w:pPr>
        <w:spacing w:line="600" w:lineRule="exact"/>
        <w:ind w:firstLine="2640" w:firstLineChars="600"/>
        <w:jc w:val="both"/>
        <w:outlineLvl w:val="0"/>
        <w:rPr>
          <w:rFonts w:hint="eastAsia" w:ascii="黑体" w:hAnsi="黑体" w:eastAsia="黑体"/>
          <w:color w:val="auto"/>
          <w:sz w:val="44"/>
          <w:szCs w:val="44"/>
          <w:highlight w:val="none"/>
        </w:rPr>
      </w:pPr>
    </w:p>
    <w:p>
      <w:pPr>
        <w:spacing w:line="600" w:lineRule="exact"/>
        <w:ind w:firstLine="2640" w:firstLineChars="600"/>
        <w:jc w:val="both"/>
        <w:outlineLvl w:val="0"/>
        <w:rPr>
          <w:rFonts w:hint="eastAsia" w:ascii="仿宋" w:hAnsi="仿宋" w:eastAsia="仿宋"/>
          <w:b w:val="0"/>
          <w:color w:val="auto"/>
          <w:highlight w:val="none"/>
        </w:rPr>
      </w:pPr>
      <w:r>
        <w:rPr>
          <w:rFonts w:hint="eastAsia" w:ascii="黑体" w:hAnsi="黑体" w:eastAsia="黑体"/>
          <w:color w:val="auto"/>
          <w:sz w:val="44"/>
          <w:szCs w:val="44"/>
          <w:highlight w:val="none"/>
        </w:rPr>
        <w:t>第</w:t>
      </w:r>
      <w:r>
        <w:rPr>
          <w:rStyle w:val="28"/>
          <w:rFonts w:hint="eastAsia" w:ascii="黑体" w:hAnsi="黑体" w:eastAsia="黑体"/>
          <w:b w:val="0"/>
          <w:color w:val="auto"/>
          <w:highlight w:val="none"/>
        </w:rPr>
        <w:t>五部分 附表</w:t>
      </w:r>
      <w:bookmarkEnd w:id="51"/>
      <w:bookmarkEnd w:id="53"/>
      <w:bookmarkStart w:id="54" w:name="_Toc15396619"/>
    </w:p>
    <w:p>
      <w:pPr>
        <w:pStyle w:val="5"/>
        <w:rPr>
          <w:rFonts w:ascii="仿宋" w:hAnsi="仿宋" w:eastAsia="仿宋"/>
          <w:color w:val="auto"/>
          <w:highlight w:val="none"/>
        </w:rPr>
      </w:pPr>
      <w:r>
        <w:rPr>
          <w:rFonts w:hint="eastAsia" w:ascii="仿宋" w:hAnsi="仿宋" w:eastAsia="仿宋"/>
          <w:b w:val="0"/>
          <w:color w:val="auto"/>
          <w:highlight w:val="none"/>
        </w:rPr>
        <w:t>一、收</w:t>
      </w:r>
      <w:r>
        <w:rPr>
          <w:rStyle w:val="29"/>
          <w:rFonts w:hint="eastAsia" w:ascii="仿宋" w:hAnsi="仿宋" w:eastAsia="仿宋"/>
          <w:b w:val="0"/>
          <w:bCs w:val="0"/>
          <w:color w:val="auto"/>
          <w:highlight w:val="none"/>
        </w:rPr>
        <w:t>入支出决算总表</w:t>
      </w:r>
      <w:bookmarkEnd w:id="54"/>
    </w:p>
    <w:p>
      <w:pPr>
        <w:pStyle w:val="5"/>
        <w:rPr>
          <w:rFonts w:ascii="仿宋" w:hAnsi="仿宋" w:eastAsia="仿宋"/>
          <w:color w:val="auto"/>
          <w:highlight w:val="none"/>
        </w:rPr>
      </w:pPr>
      <w:bookmarkStart w:id="55" w:name="_Toc15396620"/>
      <w:r>
        <w:rPr>
          <w:rFonts w:hint="eastAsia" w:ascii="仿宋" w:hAnsi="仿宋" w:eastAsia="仿宋"/>
          <w:b w:val="0"/>
          <w:color w:val="auto"/>
          <w:highlight w:val="none"/>
        </w:rPr>
        <w:t>二、收</w:t>
      </w:r>
      <w:r>
        <w:rPr>
          <w:rStyle w:val="29"/>
          <w:rFonts w:hint="eastAsia" w:ascii="仿宋" w:hAnsi="仿宋" w:eastAsia="仿宋"/>
          <w:b w:val="0"/>
          <w:bCs w:val="0"/>
          <w:color w:val="auto"/>
          <w:highlight w:val="none"/>
        </w:rPr>
        <w:t>入决算表</w:t>
      </w:r>
      <w:bookmarkEnd w:id="55"/>
    </w:p>
    <w:p>
      <w:pPr>
        <w:pStyle w:val="5"/>
        <w:rPr>
          <w:rFonts w:ascii="仿宋" w:hAnsi="仿宋" w:eastAsia="仿宋"/>
          <w:color w:val="auto"/>
          <w:highlight w:val="none"/>
        </w:rPr>
      </w:pPr>
      <w:bookmarkStart w:id="56" w:name="_Toc15396621"/>
      <w:r>
        <w:rPr>
          <w:rStyle w:val="29"/>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29"/>
          <w:rFonts w:hint="eastAsia" w:ascii="仿宋" w:hAnsi="仿宋" w:eastAsia="仿宋"/>
          <w:b w:val="0"/>
          <w:bCs w:val="0"/>
          <w:color w:val="auto"/>
          <w:highlight w:val="none"/>
        </w:rPr>
        <w:t>出决算表</w:t>
      </w:r>
      <w:bookmarkEnd w:id="56"/>
    </w:p>
    <w:p>
      <w:pPr>
        <w:pStyle w:val="5"/>
        <w:rPr>
          <w:rFonts w:ascii="仿宋" w:hAnsi="仿宋" w:eastAsia="仿宋"/>
          <w:b w:val="0"/>
          <w:color w:val="auto"/>
          <w:highlight w:val="none"/>
        </w:rPr>
      </w:pPr>
      <w:bookmarkStart w:id="57" w:name="_Toc15396622"/>
      <w:r>
        <w:rPr>
          <w:rStyle w:val="29"/>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29"/>
          <w:rFonts w:hint="eastAsia" w:ascii="仿宋" w:hAnsi="仿宋" w:eastAsia="仿宋"/>
          <w:b w:val="0"/>
          <w:bCs w:val="0"/>
          <w:color w:val="auto"/>
          <w:highlight w:val="none"/>
        </w:rPr>
        <w:t>政拨款收入支出决算总表</w:t>
      </w:r>
      <w:bookmarkEnd w:id="57"/>
    </w:p>
    <w:p>
      <w:pPr>
        <w:pStyle w:val="5"/>
        <w:rPr>
          <w:rStyle w:val="29"/>
          <w:rFonts w:ascii="仿宋" w:hAnsi="仿宋" w:eastAsia="仿宋"/>
          <w:b w:val="0"/>
          <w:bCs w:val="0"/>
          <w:color w:val="auto"/>
          <w:highlight w:val="none"/>
        </w:rPr>
      </w:pPr>
      <w:bookmarkStart w:id="58" w:name="_Toc15396623"/>
      <w:r>
        <w:rPr>
          <w:rStyle w:val="29"/>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29"/>
          <w:rFonts w:hint="eastAsia" w:ascii="仿宋" w:hAnsi="仿宋" w:eastAsia="仿宋"/>
          <w:b w:val="0"/>
          <w:bCs w:val="0"/>
          <w:color w:val="auto"/>
          <w:highlight w:val="none"/>
        </w:rPr>
        <w:t>政拨款支出决算明细表</w:t>
      </w:r>
      <w:bookmarkEnd w:id="58"/>
      <w:bookmarkStart w:id="59" w:name="_Toc15396624"/>
    </w:p>
    <w:p>
      <w:pPr>
        <w:pStyle w:val="5"/>
        <w:rPr>
          <w:rFonts w:ascii="仿宋" w:hAnsi="仿宋" w:eastAsia="仿宋"/>
          <w:color w:val="auto"/>
          <w:highlight w:val="none"/>
        </w:rPr>
      </w:pPr>
      <w:r>
        <w:rPr>
          <w:rStyle w:val="29"/>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29"/>
          <w:rFonts w:hint="eastAsia" w:ascii="仿宋" w:hAnsi="仿宋" w:eastAsia="仿宋"/>
          <w:b w:val="0"/>
          <w:bCs w:val="0"/>
          <w:color w:val="auto"/>
          <w:highlight w:val="none"/>
        </w:rPr>
        <w:t>般公共预算财政拨款支出决算表</w:t>
      </w:r>
      <w:bookmarkEnd w:id="59"/>
    </w:p>
    <w:p>
      <w:pPr>
        <w:pStyle w:val="5"/>
        <w:rPr>
          <w:rFonts w:ascii="仿宋" w:hAnsi="仿宋" w:eastAsia="仿宋"/>
          <w:color w:val="auto"/>
          <w:highlight w:val="none"/>
        </w:rPr>
      </w:pPr>
      <w:bookmarkStart w:id="60" w:name="_Toc15396625"/>
      <w:r>
        <w:rPr>
          <w:rStyle w:val="29"/>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29"/>
          <w:rFonts w:hint="eastAsia" w:ascii="仿宋" w:hAnsi="仿宋" w:eastAsia="仿宋"/>
          <w:b w:val="0"/>
          <w:bCs w:val="0"/>
          <w:color w:val="auto"/>
          <w:highlight w:val="none"/>
        </w:rPr>
        <w:t>般公共预算财政拨款支出决算明细表</w:t>
      </w:r>
      <w:bookmarkEnd w:id="60"/>
    </w:p>
    <w:p>
      <w:pPr>
        <w:pStyle w:val="5"/>
        <w:rPr>
          <w:rFonts w:ascii="仿宋" w:hAnsi="仿宋" w:eastAsia="仿宋"/>
          <w:color w:val="auto"/>
          <w:highlight w:val="none"/>
        </w:rPr>
      </w:pPr>
      <w:bookmarkStart w:id="61" w:name="_Toc15396626"/>
      <w:r>
        <w:rPr>
          <w:rStyle w:val="29"/>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29"/>
          <w:rFonts w:hint="eastAsia" w:ascii="仿宋" w:hAnsi="仿宋" w:eastAsia="仿宋"/>
          <w:b w:val="0"/>
          <w:bCs w:val="0"/>
          <w:color w:val="auto"/>
          <w:highlight w:val="none"/>
        </w:rPr>
        <w:t>般公共预算财政拨款基本支出决算表</w:t>
      </w:r>
      <w:bookmarkEnd w:id="61"/>
    </w:p>
    <w:p>
      <w:pPr>
        <w:pStyle w:val="5"/>
        <w:rPr>
          <w:rFonts w:ascii="仿宋" w:hAnsi="仿宋" w:eastAsia="仿宋"/>
          <w:color w:val="auto"/>
          <w:highlight w:val="none"/>
        </w:rPr>
      </w:pPr>
      <w:bookmarkStart w:id="62" w:name="_Toc15396627"/>
      <w:r>
        <w:rPr>
          <w:rStyle w:val="29"/>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29"/>
          <w:rFonts w:hint="eastAsia" w:ascii="仿宋" w:hAnsi="仿宋" w:eastAsia="仿宋"/>
          <w:b w:val="0"/>
          <w:bCs w:val="0"/>
          <w:color w:val="auto"/>
          <w:highlight w:val="none"/>
        </w:rPr>
        <w:t>般公共预算财政拨款项目支出决算表</w:t>
      </w:r>
      <w:bookmarkEnd w:id="62"/>
    </w:p>
    <w:p>
      <w:pPr>
        <w:pStyle w:val="5"/>
        <w:rPr>
          <w:rFonts w:ascii="仿宋" w:hAnsi="仿宋" w:eastAsia="仿宋"/>
          <w:color w:val="auto"/>
          <w:highlight w:val="none"/>
        </w:rPr>
      </w:pPr>
      <w:bookmarkStart w:id="63" w:name="_Toc15396628"/>
      <w:r>
        <w:rPr>
          <w:rStyle w:val="29"/>
          <w:rFonts w:hint="eastAsia" w:ascii="仿宋" w:hAnsi="仿宋" w:eastAsia="仿宋"/>
          <w:b w:val="0"/>
          <w:bCs w:val="0"/>
          <w:color w:val="auto"/>
          <w:highlight w:val="none"/>
        </w:rPr>
        <w:t>十、</w:t>
      </w:r>
      <w:bookmarkEnd w:id="63"/>
      <w:r>
        <w:rPr>
          <w:rFonts w:hint="eastAsia" w:ascii="仿宋" w:hAnsi="仿宋" w:eastAsia="仿宋"/>
          <w:b w:val="0"/>
          <w:color w:val="auto"/>
          <w:highlight w:val="none"/>
        </w:rPr>
        <w:t>政</w:t>
      </w:r>
      <w:r>
        <w:rPr>
          <w:rStyle w:val="29"/>
          <w:rFonts w:hint="eastAsia" w:ascii="仿宋" w:hAnsi="仿宋" w:eastAsia="仿宋"/>
          <w:b w:val="0"/>
          <w:bCs w:val="0"/>
          <w:color w:val="auto"/>
          <w:highlight w:val="none"/>
        </w:rPr>
        <w:t>府性基金预算财政拨款收入支出决算表</w:t>
      </w:r>
    </w:p>
    <w:p>
      <w:pPr>
        <w:pStyle w:val="5"/>
        <w:rPr>
          <w:rFonts w:ascii="仿宋" w:hAnsi="仿宋" w:eastAsia="仿宋"/>
          <w:color w:val="auto"/>
          <w:highlight w:val="none"/>
        </w:rPr>
      </w:pPr>
      <w:bookmarkStart w:id="64" w:name="_Toc15396629"/>
      <w:r>
        <w:rPr>
          <w:rStyle w:val="29"/>
          <w:rFonts w:hint="eastAsia" w:ascii="仿宋" w:hAnsi="仿宋" w:eastAsia="仿宋"/>
          <w:b w:val="0"/>
          <w:bCs w:val="0"/>
          <w:color w:val="auto"/>
          <w:highlight w:val="none"/>
        </w:rPr>
        <w:t>十一、</w:t>
      </w:r>
      <w:bookmarkEnd w:id="64"/>
      <w:r>
        <w:rPr>
          <w:rFonts w:hint="eastAsia" w:ascii="仿宋" w:hAnsi="仿宋" w:eastAsia="仿宋"/>
          <w:b w:val="0"/>
          <w:color w:val="auto"/>
          <w:highlight w:val="none"/>
        </w:rPr>
        <w:t>国</w:t>
      </w:r>
      <w:r>
        <w:rPr>
          <w:rStyle w:val="29"/>
          <w:rFonts w:hint="eastAsia" w:ascii="仿宋" w:hAnsi="仿宋" w:eastAsia="仿宋"/>
          <w:b w:val="0"/>
          <w:bCs w:val="0"/>
          <w:color w:val="auto"/>
          <w:highlight w:val="none"/>
        </w:rPr>
        <w:t>有资本经营预算</w:t>
      </w:r>
      <w:r>
        <w:rPr>
          <w:rStyle w:val="29"/>
          <w:rFonts w:hint="eastAsia" w:ascii="仿宋" w:hAnsi="仿宋" w:eastAsia="仿宋"/>
          <w:b w:val="0"/>
          <w:bCs w:val="0"/>
          <w:color w:val="auto"/>
          <w:highlight w:val="none"/>
          <w:lang w:eastAsia="zh-CN"/>
        </w:rPr>
        <w:t>财政拨款收入</w:t>
      </w:r>
      <w:r>
        <w:rPr>
          <w:rStyle w:val="29"/>
          <w:rFonts w:hint="eastAsia" w:ascii="仿宋" w:hAnsi="仿宋" w:eastAsia="仿宋"/>
          <w:b w:val="0"/>
          <w:bCs w:val="0"/>
          <w:color w:val="auto"/>
          <w:highlight w:val="none"/>
        </w:rPr>
        <w:t>支出决算表</w:t>
      </w:r>
    </w:p>
    <w:p>
      <w:pPr>
        <w:pStyle w:val="5"/>
        <w:rPr>
          <w:rFonts w:ascii="仿宋" w:hAnsi="仿宋" w:eastAsia="仿宋"/>
          <w:color w:val="auto"/>
          <w:highlight w:val="none"/>
        </w:rPr>
      </w:pPr>
      <w:bookmarkStart w:id="65" w:name="_Toc15396630"/>
      <w:r>
        <w:rPr>
          <w:rStyle w:val="29"/>
          <w:rFonts w:hint="eastAsia" w:ascii="仿宋" w:hAnsi="仿宋" w:eastAsia="仿宋"/>
          <w:b w:val="0"/>
          <w:bCs w:val="0"/>
          <w:color w:val="auto"/>
          <w:highlight w:val="none"/>
        </w:rPr>
        <w:t>十二、</w:t>
      </w:r>
      <w:bookmarkEnd w:id="65"/>
      <w:r>
        <w:rPr>
          <w:rStyle w:val="29"/>
          <w:rFonts w:hint="eastAsia" w:ascii="仿宋" w:hAnsi="仿宋" w:eastAsia="仿宋"/>
          <w:b w:val="0"/>
          <w:bCs w:val="0"/>
          <w:color w:val="auto"/>
          <w:highlight w:val="none"/>
          <w:lang w:eastAsia="zh-CN"/>
        </w:rPr>
        <w:t>国有资本经营预算财政拨款支出决算表</w:t>
      </w:r>
    </w:p>
    <w:p>
      <w:pPr>
        <w:pStyle w:val="5"/>
        <w:rPr>
          <w:rFonts w:hint="eastAsia" w:eastAsia="仿宋"/>
          <w:color w:val="auto"/>
          <w:highlight w:val="none"/>
          <w:lang w:eastAsia="zh-CN"/>
        </w:rPr>
      </w:pPr>
      <w:bookmarkStart w:id="66" w:name="_Toc15396631"/>
      <w:r>
        <w:rPr>
          <w:rStyle w:val="29"/>
          <w:rFonts w:hint="eastAsia" w:ascii="仿宋" w:hAnsi="仿宋" w:eastAsia="仿宋"/>
          <w:b w:val="0"/>
          <w:bCs w:val="0"/>
          <w:color w:val="auto"/>
          <w:highlight w:val="none"/>
        </w:rPr>
        <w:t>十三、</w:t>
      </w:r>
      <w:bookmarkEnd w:id="66"/>
      <w:r>
        <w:rPr>
          <w:rStyle w:val="29"/>
          <w:rFonts w:hint="eastAsia" w:ascii="仿宋" w:hAnsi="仿宋" w:eastAsia="仿宋"/>
          <w:b w:val="0"/>
          <w:bCs w:val="0"/>
          <w:color w:val="auto"/>
          <w:highlight w:val="none"/>
          <w:lang w:eastAsia="zh-CN"/>
        </w:rPr>
        <w:t>财政拨款“三公”经费支出决算表</w:t>
      </w:r>
    </w:p>
    <w:sectPr>
      <w:headerReference r:id="rId3" w:type="default"/>
      <w:footerReference r:id="rId4" w:type="default"/>
      <w:pgSz w:w="11906" w:h="16838"/>
      <w:pgMar w:top="850" w:right="1800" w:bottom="850" w:left="1800" w:header="851" w:footer="992" w:gutter="0"/>
      <w:pgNumType w:start="1"/>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FB" w:usb2="0000002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pPr>
          <w:pStyle w:val="11"/>
          <w:jc w:val="center"/>
        </w:pPr>
        <w:r>
          <w:fldChar w:fldCharType="begin"/>
        </w:r>
        <w:r>
          <w:instrText xml:space="preserve">PAGE   \* MERGEFORMAT</w:instrText>
        </w:r>
        <w:r>
          <w:fldChar w:fldCharType="separate"/>
        </w:r>
        <w:r>
          <w:rPr>
            <w:lang w:val="zh-CN"/>
          </w:rPr>
          <w:t>8</w:t>
        </w:r>
        <w:r>
          <w:fldChar w:fldCharType="end"/>
        </w:r>
      </w:p>
    </w:sdtContent>
  </w:sdt>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3818A09A"/>
    <w:multiLevelType w:val="singleLevel"/>
    <w:tmpl w:val="3818A09A"/>
    <w:lvl w:ilvl="0" w:tentative="0">
      <w:start w:val="1"/>
      <w:numFmt w:val="chineseCounting"/>
      <w:suff w:val="nothing"/>
      <w:lvlText w:val="%1、"/>
      <w:lvlJc w:val="left"/>
      <w:pPr>
        <w:ind w:left="210"/>
      </w:pPr>
      <w:rPr>
        <w:rFonts w:hint="eastAsia"/>
      </w:rPr>
    </w:lvl>
  </w:abstractNum>
  <w:abstractNum w:abstractNumId="4">
    <w:nsid w:val="57C3C401"/>
    <w:multiLevelType w:val="singleLevel"/>
    <w:tmpl w:val="57C3C401"/>
    <w:lvl w:ilvl="0" w:tentative="0">
      <w:start w:val="1"/>
      <w:numFmt w:val="chineseCounting"/>
      <w:suff w:val="nothing"/>
      <w:lvlText w:val="（%1）"/>
      <w:lvlJc w:val="left"/>
      <w:rPr>
        <w:rFonts w:hint="eastAsia"/>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5MjMzNTllNzkxMGJjYTc5MmMxNjFlNjE4Y2Y3Y2M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3112B18"/>
    <w:rsid w:val="053A62B5"/>
    <w:rsid w:val="05CC3EBD"/>
    <w:rsid w:val="0A2032A3"/>
    <w:rsid w:val="0B3C58AA"/>
    <w:rsid w:val="0B8A37D8"/>
    <w:rsid w:val="0EDF5220"/>
    <w:rsid w:val="107E1C03"/>
    <w:rsid w:val="10A828B6"/>
    <w:rsid w:val="10C055FF"/>
    <w:rsid w:val="118107EC"/>
    <w:rsid w:val="11DD6519"/>
    <w:rsid w:val="15F52A45"/>
    <w:rsid w:val="16BB723D"/>
    <w:rsid w:val="17FA257E"/>
    <w:rsid w:val="18015F3F"/>
    <w:rsid w:val="1BE8440E"/>
    <w:rsid w:val="1D155CEE"/>
    <w:rsid w:val="20F57F95"/>
    <w:rsid w:val="22504FC7"/>
    <w:rsid w:val="22FF7F67"/>
    <w:rsid w:val="240371BF"/>
    <w:rsid w:val="25711CC6"/>
    <w:rsid w:val="25C741E6"/>
    <w:rsid w:val="25D521DA"/>
    <w:rsid w:val="27842671"/>
    <w:rsid w:val="29100474"/>
    <w:rsid w:val="29FD04D3"/>
    <w:rsid w:val="2ABE7A3E"/>
    <w:rsid w:val="2CA234A8"/>
    <w:rsid w:val="2EB70B76"/>
    <w:rsid w:val="2EFA178C"/>
    <w:rsid w:val="30625D65"/>
    <w:rsid w:val="30B46D73"/>
    <w:rsid w:val="319F7F4E"/>
    <w:rsid w:val="34746356"/>
    <w:rsid w:val="34C77A4B"/>
    <w:rsid w:val="383D272C"/>
    <w:rsid w:val="39AE70AB"/>
    <w:rsid w:val="3A104898"/>
    <w:rsid w:val="3C0C0783"/>
    <w:rsid w:val="3F9F3A96"/>
    <w:rsid w:val="40BE4710"/>
    <w:rsid w:val="48BF60AB"/>
    <w:rsid w:val="493C27E9"/>
    <w:rsid w:val="496F39ED"/>
    <w:rsid w:val="49FF41D3"/>
    <w:rsid w:val="4BA0670F"/>
    <w:rsid w:val="4BE068DB"/>
    <w:rsid w:val="4BF6002B"/>
    <w:rsid w:val="4ECE2238"/>
    <w:rsid w:val="51DB4B86"/>
    <w:rsid w:val="55333C3E"/>
    <w:rsid w:val="58471B19"/>
    <w:rsid w:val="5AF70979"/>
    <w:rsid w:val="5C8C2A1A"/>
    <w:rsid w:val="5ED03A93"/>
    <w:rsid w:val="6354042E"/>
    <w:rsid w:val="64CA39A1"/>
    <w:rsid w:val="664569B8"/>
    <w:rsid w:val="68734169"/>
    <w:rsid w:val="69630ADE"/>
    <w:rsid w:val="6C4A05C8"/>
    <w:rsid w:val="6D3B1A89"/>
    <w:rsid w:val="6EF3ED1E"/>
    <w:rsid w:val="6F0364AD"/>
    <w:rsid w:val="6FBA02AE"/>
    <w:rsid w:val="6FDC4566"/>
    <w:rsid w:val="71852303"/>
    <w:rsid w:val="71BF4EC2"/>
    <w:rsid w:val="72734D90"/>
    <w:rsid w:val="7412278C"/>
    <w:rsid w:val="74BD1EF2"/>
    <w:rsid w:val="76F4F0B3"/>
    <w:rsid w:val="780229E0"/>
    <w:rsid w:val="79E7B28D"/>
    <w:rsid w:val="7BFE282B"/>
    <w:rsid w:val="7F7C5F81"/>
    <w:rsid w:val="7F9F20EE"/>
    <w:rsid w:val="93F36A4F"/>
    <w:rsid w:val="9E3A10E2"/>
    <w:rsid w:val="ABFE2CA7"/>
    <w:rsid w:val="AFDF4F64"/>
    <w:rsid w:val="BAEF25B8"/>
    <w:rsid w:val="C7FFB1D3"/>
    <w:rsid w:val="EEBF484C"/>
    <w:rsid w:val="EFFF50E8"/>
    <w:rsid w:val="F2E1F9D4"/>
    <w:rsid w:val="F3EF6A5B"/>
    <w:rsid w:val="F7880819"/>
    <w:rsid w:val="FFFB848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99"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2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99"/>
    <w:pPr>
      <w:ind w:firstLine="420" w:firstLineChars="200"/>
    </w:pPr>
  </w:style>
  <w:style w:type="paragraph" w:styleId="3">
    <w:name w:val="Body Text Indent"/>
    <w:basedOn w:val="1"/>
    <w:qFormat/>
    <w:uiPriority w:val="0"/>
    <w:pPr>
      <w:spacing w:after="120" w:afterLines="0"/>
      <w:ind w:left="420" w:leftChars="200"/>
    </w:pPr>
  </w:style>
  <w:style w:type="paragraph" w:styleId="7">
    <w:name w:val="Body Text"/>
    <w:basedOn w:val="1"/>
    <w:link w:val="25"/>
    <w:qFormat/>
    <w:uiPriority w:val="99"/>
    <w:pPr>
      <w:spacing w:beforeLines="30"/>
    </w:pPr>
    <w:rPr>
      <w:rFonts w:ascii="仿宋_GB2312" w:eastAsia="仿宋_GB2312"/>
      <w:kern w:val="0"/>
      <w:sz w:val="30"/>
    </w:rPr>
  </w:style>
  <w:style w:type="paragraph" w:styleId="8">
    <w:name w:val="toc 3"/>
    <w:basedOn w:val="1"/>
    <w:next w:val="1"/>
    <w:unhideWhenUsed/>
    <w:qFormat/>
    <w:uiPriority w:val="39"/>
    <w:pPr>
      <w:tabs>
        <w:tab w:val="right" w:leader="dot" w:pos="8296"/>
      </w:tabs>
      <w:ind w:left="840" w:leftChars="400"/>
    </w:pPr>
  </w:style>
  <w:style w:type="paragraph" w:styleId="9">
    <w:name w:val="Plain Text"/>
    <w:basedOn w:val="1"/>
    <w:qFormat/>
    <w:uiPriority w:val="0"/>
    <w:rPr>
      <w:rFonts w:ascii="宋体" w:hAnsi="Courier New" w:eastAsia="仿宋"/>
      <w:kern w:val="0"/>
      <w:sz w:val="32"/>
    </w:rPr>
  </w:style>
  <w:style w:type="paragraph" w:styleId="10">
    <w:name w:val="Balloon Text"/>
    <w:basedOn w:val="1"/>
    <w:link w:val="31"/>
    <w:semiHidden/>
    <w:unhideWhenUsed/>
    <w:qFormat/>
    <w:uiPriority w:val="99"/>
    <w:rPr>
      <w:sz w:val="18"/>
      <w:szCs w:val="18"/>
    </w:rPr>
  </w:style>
  <w:style w:type="paragraph" w:styleId="11">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able of figures"/>
    <w:basedOn w:val="1"/>
    <w:next w:val="1"/>
    <w:qFormat/>
    <w:uiPriority w:val="99"/>
    <w:pPr>
      <w:ind w:left="200" w:leftChars="200" w:hanging="200" w:hangingChars="200"/>
    </w:pPr>
  </w:style>
  <w:style w:type="paragraph" w:styleId="15">
    <w:name w:val="toc 2"/>
    <w:basedOn w:val="1"/>
    <w:next w:val="1"/>
    <w:unhideWhenUsed/>
    <w:qFormat/>
    <w:uiPriority w:val="39"/>
    <w:pPr>
      <w:tabs>
        <w:tab w:val="right" w:leader="dot" w:pos="8296"/>
      </w:tabs>
      <w:ind w:left="420" w:left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character" w:customStyle="1" w:styleId="20">
    <w:name w:val="Header Char"/>
    <w:basedOn w:val="17"/>
    <w:semiHidden/>
    <w:qFormat/>
    <w:uiPriority w:val="99"/>
    <w:rPr>
      <w:rFonts w:ascii="Times New Roman" w:hAnsi="Times New Roman"/>
      <w:sz w:val="18"/>
      <w:szCs w:val="18"/>
    </w:rPr>
  </w:style>
  <w:style w:type="character" w:customStyle="1" w:styleId="21">
    <w:name w:val="页眉 Char"/>
    <w:link w:val="12"/>
    <w:semiHidden/>
    <w:qFormat/>
    <w:locked/>
    <w:uiPriority w:val="99"/>
    <w:rPr>
      <w:sz w:val="18"/>
    </w:rPr>
  </w:style>
  <w:style w:type="character" w:customStyle="1" w:styleId="22">
    <w:name w:val="Footer Char"/>
    <w:basedOn w:val="17"/>
    <w:semiHidden/>
    <w:qFormat/>
    <w:uiPriority w:val="99"/>
    <w:rPr>
      <w:rFonts w:ascii="Times New Roman" w:hAnsi="Times New Roman"/>
      <w:sz w:val="18"/>
      <w:szCs w:val="18"/>
    </w:rPr>
  </w:style>
  <w:style w:type="character" w:customStyle="1" w:styleId="23">
    <w:name w:val="页脚 Char"/>
    <w:link w:val="11"/>
    <w:qFormat/>
    <w:locked/>
    <w:uiPriority w:val="99"/>
    <w:rPr>
      <w:sz w:val="18"/>
    </w:rPr>
  </w:style>
  <w:style w:type="character" w:customStyle="1" w:styleId="24">
    <w:name w:val="Body Text Char"/>
    <w:basedOn w:val="17"/>
    <w:semiHidden/>
    <w:qFormat/>
    <w:uiPriority w:val="99"/>
    <w:rPr>
      <w:rFonts w:ascii="Times New Roman" w:hAnsi="Times New Roman"/>
      <w:szCs w:val="24"/>
    </w:rPr>
  </w:style>
  <w:style w:type="character" w:customStyle="1" w:styleId="25">
    <w:name w:val="正文文本 Char"/>
    <w:link w:val="7"/>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Char"/>
    <w:basedOn w:val="17"/>
    <w:link w:val="4"/>
    <w:qFormat/>
    <w:uiPriority w:val="9"/>
    <w:rPr>
      <w:rFonts w:ascii="Times New Roman" w:hAnsi="Times New Roman"/>
      <w:b/>
      <w:bCs/>
      <w:kern w:val="44"/>
      <w:sz w:val="44"/>
      <w:szCs w:val="44"/>
    </w:rPr>
  </w:style>
  <w:style w:type="character" w:customStyle="1" w:styleId="29">
    <w:name w:val="标题 2 Char"/>
    <w:basedOn w:val="17"/>
    <w:link w:val="5"/>
    <w:qFormat/>
    <w:uiPriority w:val="9"/>
    <w:rPr>
      <w:rFonts w:asciiTheme="majorHAnsi" w:hAnsiTheme="majorHAnsi" w:eastAsiaTheme="majorEastAsia" w:cstheme="majorBidi"/>
      <w:b/>
      <w:bCs/>
      <w:kern w:val="2"/>
      <w:sz w:val="32"/>
      <w:szCs w:val="32"/>
    </w:rPr>
  </w:style>
  <w:style w:type="paragraph" w:customStyle="1" w:styleId="30">
    <w:name w:val="TOC 标题1"/>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Char"/>
    <w:basedOn w:val="17"/>
    <w:link w:val="10"/>
    <w:semiHidden/>
    <w:qFormat/>
    <w:uiPriority w:val="99"/>
    <w:rPr>
      <w:rFonts w:ascii="Times New Roman" w:hAnsi="Times New Roman"/>
      <w:kern w:val="2"/>
      <w:sz w:val="18"/>
      <w:szCs w:val="18"/>
    </w:rPr>
  </w:style>
  <w:style w:type="character" w:customStyle="1" w:styleId="32">
    <w:name w:val="标题 3 Char"/>
    <w:basedOn w:val="17"/>
    <w:link w:val="6"/>
    <w:qFormat/>
    <w:uiPriority w:val="9"/>
    <w:rPr>
      <w:rFonts w:ascii="Times New Roman" w:hAnsi="Times New Roman"/>
      <w:b/>
      <w:bCs/>
      <w:kern w:val="2"/>
      <w:sz w:val="32"/>
      <w:szCs w:val="32"/>
    </w:rPr>
  </w:style>
  <w:style w:type="paragraph" w:customStyle="1" w:styleId="33">
    <w:name w:val="TOC Heading"/>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p0"/>
    <w:basedOn w:val="1"/>
    <w:qFormat/>
    <w:uiPriority w:val="99"/>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4.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5.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6.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7.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800" b="1" i="0" u="none" strike="noStrike" kern="1200" baseline="0">
                <a:solidFill>
                  <a:schemeClr val="dk1">
                    <a:lumMod val="75000"/>
                    <a:lumOff val="25000"/>
                  </a:schemeClr>
                </a:solidFill>
                <a:latin typeface="+mn-lt"/>
                <a:ea typeface="+mn-ea"/>
                <a:cs typeface="+mn-cs"/>
              </a:defRPr>
            </a:pPr>
            <a:r>
              <a:t>收支决算总计（万元）</a:t>
            </a:r>
          </a:p>
        </c:rich>
      </c:tx>
      <c:layout/>
      <c:overlay val="false"/>
      <c:spPr>
        <a:noFill/>
        <a:ln>
          <a:noFill/>
        </a:ln>
        <a:effectLst/>
      </c:spPr>
    </c:title>
    <c:autoTitleDeleted val="false"/>
    <c:plotArea>
      <c:layout>
        <c:manualLayout>
          <c:layoutTarget val="inner"/>
          <c:xMode val="edge"/>
          <c:yMode val="edge"/>
          <c:x val="0.07495"/>
          <c:y val="0.137"/>
          <c:w val="0.8938"/>
          <c:h val="0.7924"/>
        </c:manualLayout>
      </c:layout>
      <c:barChart>
        <c:barDir val="col"/>
        <c:grouping val="clustered"/>
        <c:varyColors val="false"/>
        <c:ser>
          <c:idx val="0"/>
          <c:order val="0"/>
          <c:tx>
            <c:strRef>
              <c:f>Sheet1!$B$1</c:f>
              <c:strCache>
                <c:ptCount val="1"/>
                <c:pt idx="0">
                  <c:v>系列 1</c:v>
                </c:pt>
              </c:strCache>
            </c:strRef>
          </c:tx>
          <c:spPr>
            <a:solidFill>
              <a:schemeClr val="accent1">
                <a:alpha val="85000"/>
              </a:schemeClr>
            </a:solidFill>
            <a:ln w="9525" cap="flat" cmpd="sng" algn="ctr">
              <a:solidFill>
                <a:schemeClr val="lt1">
                  <a:alpha val="50000"/>
                </a:schemeClr>
              </a:solidFill>
              <a:round/>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1" i="0" u="none" strike="noStrike" kern="1200" baseline="0">
                    <a:solidFill>
                      <a:schemeClr val="lt1"/>
                    </a:solidFill>
                    <a:latin typeface="+mn-lt"/>
                    <a:ea typeface="+mn-ea"/>
                    <a:cs typeface="+mn-cs"/>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a:solidFill>
                        <a:schemeClr val="dk1">
                          <a:lumMod val="50000"/>
                          <a:lumOff val="50000"/>
                        </a:schemeClr>
                      </a:solidFill>
                    </a:ln>
                    <a:effectLst/>
                  </c:spPr>
                </c15:leaderLines>
              </c:ext>
            </c:extLst>
          </c:dLbls>
          <c:cat>
            <c:strRef>
              <c:f>Sheet1!$A$2:$A$3</c:f>
              <c:strCache>
                <c:ptCount val="2"/>
                <c:pt idx="0">
                  <c:v>2021年收入支出决算总计</c:v>
                </c:pt>
                <c:pt idx="1">
                  <c:v>2022年收入支出决算总计</c:v>
                </c:pt>
              </c:strCache>
            </c:strRef>
          </c:cat>
          <c:val>
            <c:numRef>
              <c:f>Sheet1!$B$2:$B$3</c:f>
              <c:numCache>
                <c:formatCode>General</c:formatCode>
                <c:ptCount val="2"/>
                <c:pt idx="0">
                  <c:v>1144.39</c:v>
                </c:pt>
                <c:pt idx="1">
                  <c:v>1912.76</c:v>
                </c:pt>
              </c:numCache>
            </c:numRef>
          </c:val>
        </c:ser>
        <c:ser>
          <c:idx val="1"/>
          <c:order val="1"/>
          <c:tx>
            <c:strRef>
              <c:f>Sheet1!#REF!</c:f>
              <c:strCache>
                <c:ptCount val="1"/>
                <c:pt idx="0">
                  <c:v/>
                </c:pt>
              </c:strCache>
            </c:strRef>
          </c:tx>
          <c:spPr>
            <a:solidFill>
              <a:schemeClr val="accent2">
                <a:alpha val="85000"/>
              </a:schemeClr>
            </a:solidFill>
            <a:ln w="9525" cap="flat" cmpd="sng" algn="ctr">
              <a:solidFill>
                <a:schemeClr val="lt1">
                  <a:alpha val="50000"/>
                </a:schemeClr>
              </a:solidFill>
              <a:round/>
            </a:ln>
            <a:effectLst/>
          </c:spPr>
          <c:invertIfNegative val="false"/>
          <c:dLbls>
            <c:delete val="true"/>
          </c:dLbls>
          <c:cat>
            <c:strRef>
              <c:f>Sheet1!$A$2:$A$3</c:f>
              <c:strCache>
                <c:ptCount val="2"/>
                <c:pt idx="0">
                  <c:v>2021年收入支出决算总计</c:v>
                </c:pt>
                <c:pt idx="1">
                  <c:v>2022年收入支出决算总计</c:v>
                </c:pt>
              </c:strCache>
            </c:strRef>
          </c:cat>
          <c:val>
            <c:numRef>
              <c:f>Sheet1!#REF!</c:f>
              <c:numCache>
                <c:formatCode>General</c:formatCode>
                <c:ptCount val="1"/>
                <c:pt idx="0">
                  <c:v>1</c:v>
                </c:pt>
              </c:numCache>
            </c:numRef>
          </c:val>
        </c:ser>
        <c:ser>
          <c:idx val="2"/>
          <c:order val="2"/>
          <c:tx>
            <c:strRef>
              <c:f>Sheet1!#REF!</c:f>
              <c:strCache>
                <c:ptCount val="1"/>
                <c:pt idx="0">
                  <c:v/>
                </c:pt>
              </c:strCache>
            </c:strRef>
          </c:tx>
          <c:spPr>
            <a:solidFill>
              <a:schemeClr val="accent3">
                <a:alpha val="85000"/>
              </a:schemeClr>
            </a:solidFill>
            <a:ln w="9525" cap="flat" cmpd="sng" algn="ctr">
              <a:solidFill>
                <a:schemeClr val="lt1">
                  <a:alpha val="50000"/>
                </a:schemeClr>
              </a:solidFill>
              <a:round/>
            </a:ln>
            <a:effectLst/>
          </c:spPr>
          <c:invertIfNegative val="false"/>
          <c:dLbls>
            <c:delete val="true"/>
          </c:dLbls>
          <c:cat>
            <c:strRef>
              <c:f>Sheet1!$A$2:$A$3</c:f>
              <c:strCache>
                <c:ptCount val="2"/>
                <c:pt idx="0">
                  <c:v>2021年收入支出决算总计</c:v>
                </c:pt>
                <c:pt idx="1">
                  <c:v>2022年收入支出决算总计</c:v>
                </c:pt>
              </c:strCache>
            </c:strRef>
          </c:cat>
          <c:val>
            <c:numRef>
              <c:f>Sheet1!#REF!</c:f>
              <c:numCache>
                <c:formatCode>General</c:formatCode>
                <c:ptCount val="1"/>
                <c:pt idx="0">
                  <c:v>1</c:v>
                </c:pt>
              </c:numCache>
            </c:numRef>
          </c:val>
        </c:ser>
        <c:dLbls>
          <c:showLegendKey val="false"/>
          <c:showVal val="true"/>
          <c:showCatName val="false"/>
          <c:showSerName val="false"/>
          <c:showPercent val="false"/>
          <c:showBubbleSize val="false"/>
        </c:dLbls>
        <c:gapWidth val="65"/>
        <c:overlap val="0"/>
        <c:axId val="159512124"/>
        <c:axId val="456226928"/>
      </c:barChart>
      <c:catAx>
        <c:axId val="159512124"/>
        <c:scaling>
          <c:orientation val="minMax"/>
        </c:scaling>
        <c:delete val="false"/>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true"/>
          <a:lstStyle/>
          <a:p>
            <a:pPr>
              <a:defRPr lang="zh-CN" sz="900" b="0" i="0" u="none" strike="noStrike" kern="1200" cap="all" baseline="0">
                <a:solidFill>
                  <a:schemeClr val="dk1">
                    <a:lumMod val="75000"/>
                    <a:lumOff val="25000"/>
                  </a:schemeClr>
                </a:solidFill>
                <a:latin typeface="+mn-lt"/>
                <a:ea typeface="+mn-ea"/>
                <a:cs typeface="+mn-cs"/>
              </a:defRPr>
            </a:pPr>
          </a:p>
        </c:txPr>
        <c:crossAx val="456226928"/>
        <c:crosses val="autoZero"/>
        <c:auto val="true"/>
        <c:lblAlgn val="ctr"/>
        <c:lblOffset val="100"/>
        <c:noMultiLvlLbl val="false"/>
      </c:catAx>
      <c:valAx>
        <c:axId val="456226928"/>
        <c:scaling>
          <c:orientation val="minMax"/>
        </c:scaling>
        <c:delete val="true"/>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false"/>
              </a:gradFill>
              <a:round/>
            </a:ln>
            <a:effectLst/>
          </c:spPr>
        </c:majorGridlines>
        <c:numFmt formatCode="General" sourceLinked="true"/>
        <c:majorTickMark val="none"/>
        <c:minorTickMark val="none"/>
        <c:tickLblPos val="nextTo"/>
        <c:txPr>
          <a:bodyPr rot="-60000000" spcFirstLastPara="0" vertOverflow="ellipsis" vert="horz" wrap="square" anchor="ctr" anchorCtr="true"/>
          <a:lstStyle/>
          <a:p>
            <a:pPr>
              <a:defRPr lang="zh-CN" sz="900" b="0" i="0" u="none" strike="noStrike" kern="1200" baseline="0">
                <a:solidFill>
                  <a:schemeClr val="dk1">
                    <a:lumMod val="75000"/>
                    <a:lumOff val="25000"/>
                  </a:schemeClr>
                </a:solidFill>
                <a:latin typeface="+mn-lt"/>
                <a:ea typeface="+mn-ea"/>
                <a:cs typeface="+mn-cs"/>
              </a:defRPr>
            </a:pPr>
          </a:p>
        </c:txPr>
        <c:crossAx val="159512124"/>
        <c:crosses val="autoZero"/>
        <c:crossBetween val="between"/>
      </c:valAx>
      <c:spPr>
        <a:noFill/>
        <a:ln>
          <a:noFill/>
        </a:ln>
        <a:effectLst/>
      </c:spPr>
    </c:plotArea>
    <c:plotVisOnly val="true"/>
    <c:dispBlanksAs val="gap"/>
    <c:showDLblsOverMax val="false"/>
  </c:chart>
  <c:spPr>
    <a:gradFill flip="none" rotWithShape="true">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2022</a:t>
            </a:r>
            <a:r>
              <a:rPr altLang="en-US"/>
              <a:t>年本年收入</a:t>
            </a:r>
            <a:r>
              <a:rPr lang="en-US" altLang="zh-CN"/>
              <a:t>(</a:t>
            </a:r>
            <a:r>
              <a:rPr altLang="zh-CN"/>
              <a:t>万元</a:t>
            </a:r>
            <a:r>
              <a:rPr lang="en-US" altLang="zh-CN"/>
              <a:t>)</a:t>
            </a:r>
            <a:endParaRPr lang="en-US" altLang="zh-CN"/>
          </a:p>
        </c:rich>
      </c:tx>
      <c:layout/>
      <c:overlay val="false"/>
      <c:spPr>
        <a:noFill/>
        <a:ln>
          <a:noFill/>
        </a:ln>
        <a:effectLst/>
      </c:spPr>
    </c:title>
    <c:autoTitleDeleted val="false"/>
    <c:plotArea>
      <c:layout/>
      <c:pieChart>
        <c:varyColors val="true"/>
        <c:ser>
          <c:idx val="0"/>
          <c:order val="0"/>
          <c:tx>
            <c:strRef>
              <c:f>Sheet1!$B$1</c:f>
              <c:strCache>
                <c:ptCount val="1"/>
                <c:pt idx="0">
                  <c:v>销售额</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Sheet1!$A$2:$A$4</c:f>
              <c:strCache>
                <c:ptCount val="3"/>
                <c:pt idx="0">
                  <c:v>一般公共预算财政拨款收入</c:v>
                </c:pt>
                <c:pt idx="1">
                  <c:v>政府性基金预算财政拨款收入</c:v>
                </c:pt>
                <c:pt idx="2">
                  <c:v>国有资本经营预算财政拨款收入</c:v>
                </c:pt>
              </c:strCache>
            </c:strRef>
          </c:cat>
          <c:val>
            <c:numRef>
              <c:f>Sheet1!$B$2:$B$4</c:f>
              <c:numCache>
                <c:formatCode>General</c:formatCode>
                <c:ptCount val="3"/>
                <c:pt idx="0">
                  <c:v>1063.94</c:v>
                </c:pt>
                <c:pt idx="1">
                  <c:v>848.78</c:v>
                </c:pt>
                <c:pt idx="2">
                  <c:v>0.003</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20</a:t>
            </a:r>
            <a:r>
              <a:rPr lang="en-US" altLang="zh-CN"/>
              <a:t>22</a:t>
            </a:r>
            <a:r>
              <a:t>年本年支出（万元）</a:t>
            </a:r>
          </a:p>
        </c:rich>
      </c:tx>
      <c:layout/>
      <c:overlay val="false"/>
      <c:spPr>
        <a:noFill/>
        <a:ln>
          <a:noFill/>
        </a:ln>
        <a:effectLst/>
      </c:spPr>
    </c:title>
    <c:autoTitleDeleted val="false"/>
    <c:plotArea>
      <c:layout/>
      <c:pieChart>
        <c:varyColors val="true"/>
        <c:ser>
          <c:idx val="0"/>
          <c:order val="0"/>
          <c:tx>
            <c:strRef>
              <c:f>Sheet1!$B$1</c:f>
              <c:strCache>
                <c:ptCount val="1"/>
                <c:pt idx="0">
                  <c:v>2022年本年支出（万元）</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dLbl>
              <c:idx val="0"/>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1342.49</a:t>
                    </a:r>
                    <a:endParaRPr lang="en-US" altLang="zh-CN"/>
                  </a:p>
                </c:rich>
              </c:tx>
              <c:dLblPos val="bestFit"/>
              <c:showLegendKey val="false"/>
              <c:showVal val="true"/>
              <c:showCatName val="false"/>
              <c:showSerName val="false"/>
              <c:showPercent val="false"/>
              <c:showBubbleSize val="false"/>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570.27</a:t>
                    </a:r>
                    <a:endParaRPr lang="en-US" altLang="zh-CN"/>
                  </a:p>
                </c:rich>
              </c:tx>
              <c:dLblPos val="bestFit"/>
              <c:showLegendKey val="false"/>
              <c:showVal val="true"/>
              <c:showCatName val="false"/>
              <c:showSerName val="false"/>
              <c:showPercent val="false"/>
              <c:showBubbleSize val="false"/>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项目支出</c:v>
                </c:pt>
                <c:pt idx="1">
                  <c:v>基本支出</c:v>
                </c:pt>
              </c:strCache>
            </c:strRef>
          </c:cat>
          <c:val>
            <c:numRef>
              <c:f>Sheet1!$B$2:$B$3</c:f>
              <c:numCache>
                <c:formatCode>#,##0.00</c:formatCode>
                <c:ptCount val="2"/>
                <c:pt idx="0">
                  <c:v>1432.49</c:v>
                </c:pt>
                <c:pt idx="1">
                  <c:v>570.27</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800" b="1" i="0" u="none" strike="noStrike" kern="1200" baseline="0">
                <a:solidFill>
                  <a:schemeClr val="dk1">
                    <a:lumMod val="75000"/>
                    <a:lumOff val="25000"/>
                  </a:schemeClr>
                </a:solidFill>
                <a:latin typeface="+mn-lt"/>
                <a:ea typeface="+mn-ea"/>
                <a:cs typeface="+mn-cs"/>
              </a:defRPr>
            </a:pPr>
            <a:r>
              <a:t>财政拨款收支决算总计（万元）</a:t>
            </a:r>
          </a:p>
        </c:rich>
      </c:tx>
      <c:layout/>
      <c:overlay val="false"/>
      <c:spPr>
        <a:noFill/>
        <a:ln>
          <a:noFill/>
        </a:ln>
        <a:effectLst/>
      </c:spPr>
    </c:title>
    <c:autoTitleDeleted val="false"/>
    <c:plotArea>
      <c:layout>
        <c:manualLayout>
          <c:layoutTarget val="inner"/>
          <c:xMode val="edge"/>
          <c:yMode val="edge"/>
          <c:x val="0.07495"/>
          <c:y val="0.138331870708424"/>
          <c:w val="0.8938"/>
          <c:h val="0.7924"/>
        </c:manualLayout>
      </c:layout>
      <c:barChart>
        <c:barDir val="col"/>
        <c:grouping val="clustered"/>
        <c:varyColors val="false"/>
        <c:ser>
          <c:idx val="0"/>
          <c:order val="0"/>
          <c:tx>
            <c:strRef>
              <c:f>Sheet1!$B$1</c:f>
              <c:strCache>
                <c:ptCount val="1"/>
                <c:pt idx="0">
                  <c:v>系列 1</c:v>
                </c:pt>
              </c:strCache>
            </c:strRef>
          </c:tx>
          <c:spPr>
            <a:solidFill>
              <a:schemeClr val="accent1">
                <a:alpha val="85000"/>
              </a:schemeClr>
            </a:solidFill>
            <a:ln w="9525" cap="flat" cmpd="sng" algn="ctr">
              <a:solidFill>
                <a:schemeClr val="lt1">
                  <a:alpha val="50000"/>
                </a:schemeClr>
              </a:solidFill>
              <a:round/>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1" i="0" u="none" strike="noStrike" kern="1200" baseline="0">
                    <a:solidFill>
                      <a:schemeClr val="lt1"/>
                    </a:solidFill>
                    <a:latin typeface="+mn-lt"/>
                    <a:ea typeface="+mn-ea"/>
                    <a:cs typeface="+mn-cs"/>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a:solidFill>
                        <a:schemeClr val="dk1">
                          <a:lumMod val="50000"/>
                          <a:lumOff val="50000"/>
                        </a:schemeClr>
                      </a:solidFill>
                    </a:ln>
                    <a:effectLst/>
                  </c:spPr>
                </c15:leaderLines>
              </c:ext>
            </c:extLst>
          </c:dLbls>
          <c:cat>
            <c:strRef>
              <c:f>Sheet1!$A$2:$A$3</c:f>
              <c:strCache>
                <c:ptCount val="2"/>
                <c:pt idx="0">
                  <c:v>2021年收入支出决算总计</c:v>
                </c:pt>
                <c:pt idx="1">
                  <c:v>2022年收入支出决算总计</c:v>
                </c:pt>
              </c:strCache>
            </c:strRef>
          </c:cat>
          <c:val>
            <c:numRef>
              <c:f>Sheet1!$B$2:$B$3</c:f>
              <c:numCache>
                <c:formatCode>General</c:formatCode>
                <c:ptCount val="2"/>
                <c:pt idx="0">
                  <c:v>1144.39</c:v>
                </c:pt>
                <c:pt idx="1">
                  <c:v>1912.76</c:v>
                </c:pt>
              </c:numCache>
            </c:numRef>
          </c:val>
        </c:ser>
        <c:ser>
          <c:idx val="1"/>
          <c:order val="1"/>
          <c:tx>
            <c:strRef>
              <c:f>Sheet1!#REF!</c:f>
              <c:strCache>
                <c:ptCount val="1"/>
                <c:pt idx="0">
                  <c:v/>
                </c:pt>
              </c:strCache>
            </c:strRef>
          </c:tx>
          <c:spPr>
            <a:solidFill>
              <a:schemeClr val="accent2">
                <a:alpha val="85000"/>
              </a:schemeClr>
            </a:solidFill>
            <a:ln w="9525" cap="flat" cmpd="sng" algn="ctr">
              <a:solidFill>
                <a:schemeClr val="lt1">
                  <a:alpha val="50000"/>
                </a:schemeClr>
              </a:solidFill>
              <a:round/>
            </a:ln>
            <a:effectLst/>
          </c:spPr>
          <c:invertIfNegative val="false"/>
          <c:dLbls>
            <c:delete val="true"/>
          </c:dLbls>
          <c:cat>
            <c:strRef>
              <c:f>Sheet1!$A$2:$A$3</c:f>
              <c:strCache>
                <c:ptCount val="2"/>
                <c:pt idx="0">
                  <c:v>2021年收入支出决算总计</c:v>
                </c:pt>
                <c:pt idx="1">
                  <c:v>2022年收入支出决算总计</c:v>
                </c:pt>
              </c:strCache>
            </c:strRef>
          </c:cat>
          <c:val>
            <c:numRef>
              <c:f>Sheet1!#REF!</c:f>
              <c:numCache>
                <c:formatCode>General</c:formatCode>
                <c:ptCount val="1"/>
                <c:pt idx="0">
                  <c:v>1</c:v>
                </c:pt>
              </c:numCache>
            </c:numRef>
          </c:val>
        </c:ser>
        <c:ser>
          <c:idx val="2"/>
          <c:order val="2"/>
          <c:tx>
            <c:strRef>
              <c:f>Sheet1!#REF!</c:f>
              <c:strCache>
                <c:ptCount val="1"/>
                <c:pt idx="0">
                  <c:v/>
                </c:pt>
              </c:strCache>
            </c:strRef>
          </c:tx>
          <c:spPr>
            <a:solidFill>
              <a:schemeClr val="accent3">
                <a:alpha val="85000"/>
              </a:schemeClr>
            </a:solidFill>
            <a:ln w="9525" cap="flat" cmpd="sng" algn="ctr">
              <a:solidFill>
                <a:schemeClr val="lt1">
                  <a:alpha val="50000"/>
                </a:schemeClr>
              </a:solidFill>
              <a:round/>
            </a:ln>
            <a:effectLst/>
          </c:spPr>
          <c:invertIfNegative val="false"/>
          <c:dLbls>
            <c:delete val="true"/>
          </c:dLbls>
          <c:cat>
            <c:strRef>
              <c:f>Sheet1!$A$2:$A$3</c:f>
              <c:strCache>
                <c:ptCount val="2"/>
                <c:pt idx="0">
                  <c:v>2021年收入支出决算总计</c:v>
                </c:pt>
                <c:pt idx="1">
                  <c:v>2022年收入支出决算总计</c:v>
                </c:pt>
              </c:strCache>
            </c:strRef>
          </c:cat>
          <c:val>
            <c:numRef>
              <c:f>Sheet1!#REF!</c:f>
              <c:numCache>
                <c:formatCode>General</c:formatCode>
                <c:ptCount val="1"/>
                <c:pt idx="0">
                  <c:v>1</c:v>
                </c:pt>
              </c:numCache>
            </c:numRef>
          </c:val>
        </c:ser>
        <c:dLbls>
          <c:showLegendKey val="false"/>
          <c:showVal val="true"/>
          <c:showCatName val="false"/>
          <c:showSerName val="false"/>
          <c:showPercent val="false"/>
          <c:showBubbleSize val="false"/>
        </c:dLbls>
        <c:gapWidth val="65"/>
        <c:overlap val="0"/>
        <c:axId val="159512124"/>
        <c:axId val="456226928"/>
      </c:barChart>
      <c:catAx>
        <c:axId val="159512124"/>
        <c:scaling>
          <c:orientation val="minMax"/>
        </c:scaling>
        <c:delete val="false"/>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true"/>
          <a:lstStyle/>
          <a:p>
            <a:pPr>
              <a:defRPr lang="zh-CN" sz="900" b="0" i="0" u="none" strike="noStrike" kern="1200" cap="all" baseline="0">
                <a:solidFill>
                  <a:schemeClr val="dk1">
                    <a:lumMod val="75000"/>
                    <a:lumOff val="25000"/>
                  </a:schemeClr>
                </a:solidFill>
                <a:latin typeface="+mn-lt"/>
                <a:ea typeface="+mn-ea"/>
                <a:cs typeface="+mn-cs"/>
              </a:defRPr>
            </a:pPr>
          </a:p>
        </c:txPr>
        <c:crossAx val="456226928"/>
        <c:crosses val="autoZero"/>
        <c:auto val="true"/>
        <c:lblAlgn val="ctr"/>
        <c:lblOffset val="100"/>
        <c:noMultiLvlLbl val="false"/>
      </c:catAx>
      <c:valAx>
        <c:axId val="456226928"/>
        <c:scaling>
          <c:orientation val="minMax"/>
        </c:scaling>
        <c:delete val="true"/>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false"/>
              </a:gradFill>
              <a:round/>
            </a:ln>
            <a:effectLst/>
          </c:spPr>
        </c:majorGridlines>
        <c:numFmt formatCode="General" sourceLinked="true"/>
        <c:majorTickMark val="none"/>
        <c:minorTickMark val="none"/>
        <c:tickLblPos val="nextTo"/>
        <c:txPr>
          <a:bodyPr rot="-60000000" spcFirstLastPara="0" vertOverflow="ellipsis" vert="horz" wrap="square" anchor="ctr" anchorCtr="true"/>
          <a:lstStyle/>
          <a:p>
            <a:pPr>
              <a:defRPr lang="zh-CN" sz="900" b="0" i="0" u="none" strike="noStrike" kern="1200" baseline="0">
                <a:solidFill>
                  <a:schemeClr val="dk1">
                    <a:lumMod val="75000"/>
                    <a:lumOff val="25000"/>
                  </a:schemeClr>
                </a:solidFill>
                <a:latin typeface="+mn-lt"/>
                <a:ea typeface="+mn-ea"/>
                <a:cs typeface="+mn-cs"/>
              </a:defRPr>
            </a:pPr>
          </a:p>
        </c:txPr>
        <c:crossAx val="159512124"/>
        <c:crosses val="autoZero"/>
        <c:crossBetween val="between"/>
      </c:valAx>
      <c:spPr>
        <a:noFill/>
        <a:ln>
          <a:noFill/>
        </a:ln>
        <a:effectLst/>
      </c:spPr>
    </c:plotArea>
    <c:plotVisOnly val="true"/>
    <c:dispBlanksAs val="gap"/>
    <c:showDLblsOverMax val="false"/>
  </c:chart>
  <c:spPr>
    <a:gradFill flip="none" rotWithShape="true">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800" b="1" i="0" u="none" strike="noStrike" kern="1200" baseline="0">
                <a:solidFill>
                  <a:schemeClr val="dk1">
                    <a:lumMod val="75000"/>
                    <a:lumOff val="25000"/>
                  </a:schemeClr>
                </a:solidFill>
                <a:latin typeface="+mn-lt"/>
                <a:ea typeface="+mn-ea"/>
                <a:cs typeface="+mn-cs"/>
              </a:defRPr>
            </a:pPr>
            <a:r>
              <a:t>一般公共预算财政拨款支出决算总计（万元）</a:t>
            </a:r>
          </a:p>
        </c:rich>
      </c:tx>
      <c:layout/>
      <c:overlay val="false"/>
      <c:spPr>
        <a:noFill/>
        <a:ln>
          <a:noFill/>
        </a:ln>
        <a:effectLst/>
      </c:spPr>
    </c:title>
    <c:autoTitleDeleted val="false"/>
    <c:plotArea>
      <c:layout>
        <c:manualLayout>
          <c:layoutTarget val="inner"/>
          <c:xMode val="edge"/>
          <c:yMode val="edge"/>
          <c:x val="0.0555749999999999"/>
          <c:y val="0.0931133143527047"/>
          <c:w val="0.8938"/>
          <c:h val="0.7924"/>
        </c:manualLayout>
      </c:layout>
      <c:barChart>
        <c:barDir val="col"/>
        <c:grouping val="clustered"/>
        <c:varyColors val="false"/>
        <c:ser>
          <c:idx val="0"/>
          <c:order val="0"/>
          <c:tx>
            <c:strRef>
              <c:f>Sheet1!$B$1</c:f>
              <c:strCache>
                <c:ptCount val="1"/>
                <c:pt idx="0">
                  <c:v>系列 1</c:v>
                </c:pt>
              </c:strCache>
            </c:strRef>
          </c:tx>
          <c:spPr>
            <a:solidFill>
              <a:schemeClr val="accent1">
                <a:alpha val="85000"/>
              </a:schemeClr>
            </a:solidFill>
            <a:ln w="9525" cap="flat" cmpd="sng" algn="ctr">
              <a:solidFill>
                <a:schemeClr val="lt1">
                  <a:alpha val="50000"/>
                </a:schemeClr>
              </a:solidFill>
              <a:round/>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1" i="0" u="none" strike="noStrike" kern="1200" baseline="0">
                    <a:solidFill>
                      <a:schemeClr val="lt1"/>
                    </a:solidFill>
                    <a:latin typeface="+mn-lt"/>
                    <a:ea typeface="+mn-ea"/>
                    <a:cs typeface="+mn-cs"/>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a:solidFill>
                        <a:schemeClr val="dk1">
                          <a:lumMod val="50000"/>
                          <a:lumOff val="50000"/>
                        </a:schemeClr>
                      </a:solidFill>
                    </a:ln>
                    <a:effectLst/>
                  </c:spPr>
                </c15:leaderLines>
              </c:ext>
            </c:extLst>
          </c:dLbls>
          <c:cat>
            <c:strRef>
              <c:f>Sheet1!$A$2:$A$3</c:f>
              <c:strCache>
                <c:ptCount val="2"/>
                <c:pt idx="0">
                  <c:v>2021年支出决算总计</c:v>
                </c:pt>
                <c:pt idx="1">
                  <c:v>2022年支出决算总计</c:v>
                </c:pt>
              </c:strCache>
            </c:strRef>
          </c:cat>
          <c:val>
            <c:numRef>
              <c:f>Sheet1!$B$2:$B$3</c:f>
              <c:numCache>
                <c:formatCode>General</c:formatCode>
                <c:ptCount val="2"/>
                <c:pt idx="0">
                  <c:v>1144.39</c:v>
                </c:pt>
                <c:pt idx="1">
                  <c:v>1063.94</c:v>
                </c:pt>
              </c:numCache>
            </c:numRef>
          </c:val>
        </c:ser>
        <c:ser>
          <c:idx val="1"/>
          <c:order val="1"/>
          <c:tx>
            <c:strRef>
              <c:f>Sheet1!#REF!</c:f>
              <c:strCache>
                <c:ptCount val="1"/>
                <c:pt idx="0">
                  <c:v/>
                </c:pt>
              </c:strCache>
            </c:strRef>
          </c:tx>
          <c:spPr>
            <a:solidFill>
              <a:schemeClr val="accent2">
                <a:alpha val="85000"/>
              </a:schemeClr>
            </a:solidFill>
            <a:ln w="9525" cap="flat" cmpd="sng" algn="ctr">
              <a:solidFill>
                <a:schemeClr val="lt1">
                  <a:alpha val="50000"/>
                </a:schemeClr>
              </a:solidFill>
              <a:round/>
            </a:ln>
            <a:effectLst/>
          </c:spPr>
          <c:invertIfNegative val="false"/>
          <c:dLbls>
            <c:delete val="true"/>
          </c:dLbls>
          <c:cat>
            <c:strRef>
              <c:f>Sheet1!$A$2:$A$3</c:f>
              <c:strCache>
                <c:ptCount val="2"/>
                <c:pt idx="0">
                  <c:v>2021年支出决算总计</c:v>
                </c:pt>
                <c:pt idx="1">
                  <c:v>2022年支出决算总计</c:v>
                </c:pt>
              </c:strCache>
            </c:strRef>
          </c:cat>
          <c:val>
            <c:numRef>
              <c:f>Sheet1!#REF!</c:f>
              <c:numCache>
                <c:formatCode>General</c:formatCode>
                <c:ptCount val="1"/>
                <c:pt idx="0">
                  <c:v>1</c:v>
                </c:pt>
              </c:numCache>
            </c:numRef>
          </c:val>
        </c:ser>
        <c:ser>
          <c:idx val="2"/>
          <c:order val="2"/>
          <c:tx>
            <c:strRef>
              <c:f>Sheet1!#REF!</c:f>
              <c:strCache>
                <c:ptCount val="1"/>
                <c:pt idx="0">
                  <c:v/>
                </c:pt>
              </c:strCache>
            </c:strRef>
          </c:tx>
          <c:spPr>
            <a:solidFill>
              <a:schemeClr val="accent3">
                <a:alpha val="85000"/>
              </a:schemeClr>
            </a:solidFill>
            <a:ln w="9525" cap="flat" cmpd="sng" algn="ctr">
              <a:solidFill>
                <a:schemeClr val="lt1">
                  <a:alpha val="50000"/>
                </a:schemeClr>
              </a:solidFill>
              <a:round/>
            </a:ln>
            <a:effectLst/>
          </c:spPr>
          <c:invertIfNegative val="false"/>
          <c:dLbls>
            <c:delete val="true"/>
          </c:dLbls>
          <c:cat>
            <c:strRef>
              <c:f>Sheet1!$A$2:$A$3</c:f>
              <c:strCache>
                <c:ptCount val="2"/>
                <c:pt idx="0">
                  <c:v>2021年支出决算总计</c:v>
                </c:pt>
                <c:pt idx="1">
                  <c:v>2022年支出决算总计</c:v>
                </c:pt>
              </c:strCache>
            </c:strRef>
          </c:cat>
          <c:val>
            <c:numRef>
              <c:f>Sheet1!#REF!</c:f>
              <c:numCache>
                <c:formatCode>General</c:formatCode>
                <c:ptCount val="1"/>
                <c:pt idx="0">
                  <c:v>1</c:v>
                </c:pt>
              </c:numCache>
            </c:numRef>
          </c:val>
        </c:ser>
        <c:dLbls>
          <c:showLegendKey val="false"/>
          <c:showVal val="true"/>
          <c:showCatName val="false"/>
          <c:showSerName val="false"/>
          <c:showPercent val="false"/>
          <c:showBubbleSize val="false"/>
        </c:dLbls>
        <c:gapWidth val="65"/>
        <c:overlap val="0"/>
        <c:axId val="159512124"/>
        <c:axId val="456226928"/>
      </c:barChart>
      <c:catAx>
        <c:axId val="159512124"/>
        <c:scaling>
          <c:orientation val="minMax"/>
        </c:scaling>
        <c:delete val="false"/>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true"/>
          <a:lstStyle/>
          <a:p>
            <a:pPr>
              <a:defRPr lang="zh-CN" sz="900" b="0" i="0" u="none" strike="noStrike" kern="1200" cap="all" baseline="0">
                <a:solidFill>
                  <a:schemeClr val="dk1">
                    <a:lumMod val="75000"/>
                    <a:lumOff val="25000"/>
                  </a:schemeClr>
                </a:solidFill>
                <a:latin typeface="+mn-lt"/>
                <a:ea typeface="+mn-ea"/>
                <a:cs typeface="+mn-cs"/>
              </a:defRPr>
            </a:pPr>
          </a:p>
        </c:txPr>
        <c:crossAx val="456226928"/>
        <c:crosses val="autoZero"/>
        <c:auto val="true"/>
        <c:lblAlgn val="ctr"/>
        <c:lblOffset val="100"/>
        <c:noMultiLvlLbl val="false"/>
      </c:catAx>
      <c:valAx>
        <c:axId val="456226928"/>
        <c:scaling>
          <c:orientation val="minMax"/>
        </c:scaling>
        <c:delete val="true"/>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false"/>
              </a:gradFill>
              <a:round/>
            </a:ln>
            <a:effectLst/>
          </c:spPr>
        </c:majorGridlines>
        <c:numFmt formatCode="General" sourceLinked="true"/>
        <c:majorTickMark val="none"/>
        <c:minorTickMark val="none"/>
        <c:tickLblPos val="nextTo"/>
        <c:txPr>
          <a:bodyPr rot="-60000000" spcFirstLastPara="0" vertOverflow="ellipsis" vert="horz" wrap="square" anchor="ctr" anchorCtr="true"/>
          <a:lstStyle/>
          <a:p>
            <a:pPr>
              <a:defRPr lang="zh-CN" sz="900" b="0" i="0" u="none" strike="noStrike" kern="1200" baseline="0">
                <a:solidFill>
                  <a:schemeClr val="dk1">
                    <a:lumMod val="75000"/>
                    <a:lumOff val="25000"/>
                  </a:schemeClr>
                </a:solidFill>
                <a:latin typeface="+mn-lt"/>
                <a:ea typeface="+mn-ea"/>
                <a:cs typeface="+mn-cs"/>
              </a:defRPr>
            </a:pPr>
          </a:p>
        </c:txPr>
        <c:crossAx val="159512124"/>
        <c:crosses val="autoZero"/>
        <c:crossBetween val="between"/>
      </c:valAx>
      <c:spPr>
        <a:noFill/>
        <a:ln>
          <a:noFill/>
        </a:ln>
        <a:effectLst/>
      </c:spPr>
    </c:plotArea>
    <c:plotVisOnly val="true"/>
    <c:dispBlanksAs val="gap"/>
    <c:showDLblsOverMax val="false"/>
  </c:chart>
  <c:spPr>
    <a:gradFill flip="none" rotWithShape="true">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a:t>
            </a:r>
          </a:p>
        </c:rich>
      </c:tx>
      <c:layout>
        <c:manualLayout>
          <c:xMode val="edge"/>
          <c:yMode val="edge"/>
          <c:x val="0.29483492733125"/>
          <c:y val="0.0147021468684488"/>
        </c:manualLayout>
      </c:layout>
      <c:overlay val="false"/>
      <c:spPr>
        <a:noFill/>
        <a:ln>
          <a:noFill/>
        </a:ln>
        <a:effectLst/>
      </c:spPr>
    </c:title>
    <c:autoTitleDeleted val="false"/>
    <c:plotArea>
      <c:layout>
        <c:manualLayout>
          <c:layoutTarget val="inner"/>
          <c:xMode val="edge"/>
          <c:yMode val="edge"/>
          <c:x val="0.290975323149236"/>
          <c:y val="0.158169386169386"/>
          <c:w val="0.418049353701528"/>
          <c:h val="0.608136752136752"/>
        </c:manualLayout>
      </c:layout>
      <c:pieChart>
        <c:varyColors val="true"/>
        <c:ser>
          <c:idx val="0"/>
          <c:order val="0"/>
          <c:tx>
            <c:strRef>
              <c:f>Sheet1!$B$1</c:f>
              <c:strCache>
                <c:ptCount val="1"/>
                <c:pt idx="0">
                  <c:v>一般公共预算财政拨款支出</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Pt>
            <c:idx val="3"/>
            <c:bubble3D val="false"/>
            <c:spPr>
              <a:solidFill>
                <a:schemeClr val="accent4"/>
              </a:solidFill>
              <a:ln w="19050">
                <a:solidFill>
                  <a:schemeClr val="lt1"/>
                </a:solidFill>
              </a:ln>
              <a:effectLst/>
            </c:spPr>
          </c:dPt>
          <c:dPt>
            <c:idx val="4"/>
            <c:bubble3D val="false"/>
            <c:spPr>
              <a:solidFill>
                <a:schemeClr val="accent5"/>
              </a:solidFill>
              <a:ln w="19050">
                <a:solidFill>
                  <a:schemeClr val="lt1"/>
                </a:solidFill>
              </a:ln>
              <a:effectLst/>
            </c:spPr>
          </c:dPt>
          <c:dPt>
            <c:idx val="5"/>
            <c:bubble3D val="false"/>
            <c:spPr>
              <a:solidFill>
                <a:schemeClr val="accent6"/>
              </a:solidFill>
              <a:ln w="19050">
                <a:solidFill>
                  <a:schemeClr val="lt1"/>
                </a:solidFill>
              </a:ln>
              <a:effectLst/>
            </c:spPr>
          </c:dPt>
          <c:dPt>
            <c:idx val="6"/>
            <c:bubble3D val="false"/>
            <c:spPr>
              <a:solidFill>
                <a:schemeClr val="accent1">
                  <a:lumMod val="60000"/>
                </a:schemeClr>
              </a:solidFill>
              <a:ln w="19050">
                <a:solidFill>
                  <a:schemeClr val="lt1"/>
                </a:solidFill>
              </a:ln>
              <a:effectLst/>
            </c:spPr>
          </c:dPt>
          <c:dPt>
            <c:idx val="7"/>
            <c:bubble3D val="false"/>
            <c:spPr>
              <a:solidFill>
                <a:schemeClr val="accent2">
                  <a:lumMod val="60000"/>
                </a:schemeClr>
              </a:solidFill>
              <a:ln w="19050">
                <a:solidFill>
                  <a:schemeClr val="lt1"/>
                </a:solidFill>
              </a:ln>
              <a:effectLst/>
            </c:spPr>
          </c:dPt>
          <c:dLbls>
            <c:dLbl>
              <c:idx val="1"/>
              <c:layout>
                <c:manualLayout>
                  <c:x val="0.0530441001123828"/>
                  <c:y val="-0.0106431767205139"/>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3"/>
              <c:layout>
                <c:manualLayout>
                  <c:x val="-0.0306145677211758"/>
                  <c:y val="0.00216051209934091"/>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4"/>
              <c:layout>
                <c:manualLayout>
                  <c:x val="-0.0668083679737389"/>
                  <c:y val="-0.0296677547420245"/>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6"/>
              <c:layout>
                <c:manualLayout>
                  <c:x val="-0.0148299435725757"/>
                  <c:y val="-0.00944806752366946"/>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7"/>
              <c:layout>
                <c:manualLayout>
                  <c:x val="0.0337639287015442"/>
                  <c:y val="-0.0136573293145582"/>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Sheet1!$A$2:$A$9</c:f>
              <c:strCache>
                <c:ptCount val="8"/>
                <c:pt idx="0">
                  <c:v>一般公共服务支出</c:v>
                </c:pt>
                <c:pt idx="1">
                  <c:v>公共安全支出</c:v>
                </c:pt>
                <c:pt idx="2">
                  <c:v>社会保障和就业支出</c:v>
                </c:pt>
                <c:pt idx="3">
                  <c:v>卫生健康支出</c:v>
                </c:pt>
                <c:pt idx="4">
                  <c:v>城乡社区支出</c:v>
                </c:pt>
                <c:pt idx="5">
                  <c:v>农林水支出</c:v>
                </c:pt>
                <c:pt idx="6">
                  <c:v>住房保障支出</c:v>
                </c:pt>
                <c:pt idx="7">
                  <c:v>灾害防治及应急管理支出</c:v>
                </c:pt>
              </c:strCache>
            </c:strRef>
          </c:cat>
          <c:val>
            <c:numRef>
              <c:f>Sheet1!$B$2:$B$9</c:f>
              <c:numCache>
                <c:formatCode>0.00%</c:formatCode>
                <c:ptCount val="8"/>
                <c:pt idx="0">
                  <c:v>0.484</c:v>
                </c:pt>
                <c:pt idx="1">
                  <c:v>0.0075</c:v>
                </c:pt>
                <c:pt idx="2">
                  <c:v>0.0464</c:v>
                </c:pt>
                <c:pt idx="3">
                  <c:v>0.0131</c:v>
                </c:pt>
                <c:pt idx="4">
                  <c:v>0.0047</c:v>
                </c:pt>
                <c:pt idx="5">
                  <c:v>0.4032</c:v>
                </c:pt>
                <c:pt idx="6">
                  <c:v>0.0261</c:v>
                </c:pt>
                <c:pt idx="7">
                  <c:v>0.015</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2022</a:t>
            </a:r>
            <a:r>
              <a:rPr altLang="en-US"/>
              <a:t>年本年收入</a:t>
            </a:r>
            <a:r>
              <a:rPr lang="en-US" altLang="zh-CN"/>
              <a:t>(</a:t>
            </a:r>
            <a:r>
              <a:rPr altLang="zh-CN"/>
              <a:t>万元</a:t>
            </a:r>
            <a:r>
              <a:rPr lang="en-US" altLang="zh-CN"/>
              <a:t>)</a:t>
            </a:r>
            <a:endParaRPr lang="en-US" altLang="zh-CN"/>
          </a:p>
        </c:rich>
      </c:tx>
      <c:layout/>
      <c:overlay val="false"/>
      <c:spPr>
        <a:noFill/>
        <a:ln>
          <a:noFill/>
        </a:ln>
        <a:effectLst/>
      </c:spPr>
    </c:title>
    <c:autoTitleDeleted val="false"/>
    <c:plotArea>
      <c:layout/>
      <c:pieChart>
        <c:varyColors val="true"/>
        <c:ser>
          <c:idx val="0"/>
          <c:order val="0"/>
          <c:tx>
            <c:strRef>
              <c:f>Sheet1!$B$1</c:f>
              <c:strCache>
                <c:ptCount val="1"/>
                <c:pt idx="0">
                  <c:v>销售额</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因公出国（境）支出</c:v>
                </c:pt>
                <c:pt idx="1">
                  <c:v>公务用车购置及运行维护费支出</c:v>
                </c:pt>
                <c:pt idx="2">
                  <c:v>公务接待费支出</c:v>
                </c:pt>
              </c:strCache>
            </c:strRef>
          </c:cat>
          <c:val>
            <c:numRef>
              <c:f>Sheet1!$B$2:$B$4</c:f>
              <c:numCache>
                <c:formatCode>General</c:formatCode>
                <c:ptCount val="3"/>
                <c:pt idx="0">
                  <c:v>0</c:v>
                </c:pt>
                <c:pt idx="1">
                  <c:v>0</c:v>
                </c:pt>
                <c:pt idx="2">
                  <c:v>0.95</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true">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true">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false"/>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false"/>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true">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true">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false"/>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false"/>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true">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true">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false"/>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false"/>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63</Pages>
  <Words>26825</Words>
  <Characters>31583</Characters>
  <Lines>61</Lines>
  <Paragraphs>17</Paragraphs>
  <TotalTime>27</TotalTime>
  <ScaleCrop>false</ScaleCrop>
  <LinksUpToDate>false</LinksUpToDate>
  <CharactersWithSpaces>31727</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2020-08-06T01:49:00Z</dcterms:created>
  <dc:creator>曹颖</dc:creator>
  <cp:lastModifiedBy> </cp:lastModifiedBy>
  <cp:lastPrinted>2023-08-01T02:35:00Z</cp:lastPrinted>
  <dcterms:modified xsi:type="dcterms:W3CDTF">2023-10-25T09:31:01Z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6406868D165444FA8942DC11B743E3E9_13</vt:lpwstr>
  </property>
</Properties>
</file>