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shd w:val="clear"/>
        <w:kinsoku/>
        <w:wordWrap/>
        <w:overflowPunct/>
        <w:topLinePunct w:val="0"/>
        <w:autoSpaceDE/>
        <w:autoSpaceDN/>
        <w:bidi w:val="0"/>
        <w:adjustRightInd w:val="0"/>
        <w:snapToGrid w:val="0"/>
        <w:spacing w:line="360" w:lineRule="auto"/>
        <w:jc w:val="center"/>
        <w:textAlignment w:val="auto"/>
        <w:outlineLvl w:val="9"/>
        <w:rPr>
          <w:rFonts w:hint="eastAsia" w:ascii="方正小标宋简体" w:hAnsi="方正小标宋简体" w:eastAsia="方正小标宋简体" w:cs="方正小标宋简体"/>
          <w:color w:val="auto"/>
          <w:kern w:val="2"/>
          <w:sz w:val="72"/>
          <w:szCs w:val="72"/>
          <w:highlight w:val="none"/>
          <w:lang w:val="zh-CN" w:eastAsia="zh-CN" w:bidi="ar-SA"/>
        </w:rPr>
      </w:pPr>
      <w:r>
        <w:rPr>
          <w:rFonts w:hint="eastAsia" w:ascii="方正小标宋简体" w:hAnsi="方正小标宋简体" w:eastAsia="方正小标宋简体" w:cs="方正小标宋简体"/>
          <w:color w:val="auto"/>
          <w:kern w:val="2"/>
          <w:sz w:val="72"/>
          <w:szCs w:val="72"/>
          <w:highlight w:val="none"/>
          <w:lang w:val="zh-CN" w:eastAsia="zh-CN" w:bidi="ar-SA"/>
        </w:rPr>
        <w:t>2022年度</w:t>
      </w:r>
    </w:p>
    <w:p>
      <w:pPr>
        <w:keepNext w:val="0"/>
        <w:keepLines w:val="0"/>
        <w:pageBreakBefore w:val="0"/>
        <w:widowControl w:val="0"/>
        <w:shd w:val="clear"/>
        <w:kinsoku/>
        <w:wordWrap/>
        <w:overflowPunct/>
        <w:topLinePunct w:val="0"/>
        <w:autoSpaceDE/>
        <w:autoSpaceDN/>
        <w:bidi w:val="0"/>
        <w:adjustRightInd w:val="0"/>
        <w:snapToGrid w:val="0"/>
        <w:spacing w:line="360" w:lineRule="auto"/>
        <w:jc w:val="center"/>
        <w:textAlignment w:val="auto"/>
        <w:outlineLvl w:val="9"/>
        <w:rPr>
          <w:rFonts w:hint="eastAsia" w:ascii="方正小标宋简体" w:hAnsi="方正小标宋简体" w:eastAsia="方正小标宋简体" w:cs="方正小标宋简体"/>
          <w:color w:val="auto"/>
          <w:kern w:val="2"/>
          <w:sz w:val="72"/>
          <w:szCs w:val="72"/>
          <w:highlight w:val="none"/>
          <w:lang w:val="zh-CN" w:eastAsia="zh-CN" w:bidi="ar-SA"/>
        </w:rPr>
      </w:pPr>
      <w:r>
        <w:rPr>
          <w:rFonts w:hint="eastAsia" w:ascii="方正小标宋简体" w:hAnsi="方正小标宋简体" w:eastAsia="方正小标宋简体" w:cs="方正小标宋简体"/>
          <w:color w:val="auto"/>
          <w:kern w:val="2"/>
          <w:sz w:val="72"/>
          <w:szCs w:val="72"/>
          <w:highlight w:val="none"/>
          <w:lang w:val="zh-CN" w:eastAsia="zh-CN" w:bidi="ar-SA"/>
        </w:rPr>
        <w:t>广元市特种设备监督检验所单位决算</w:t>
      </w:r>
    </w:p>
    <w:p>
      <w:pPr>
        <w:keepNext w:val="0"/>
        <w:keepLines w:val="0"/>
        <w:pageBreakBefore w:val="0"/>
        <w:widowControl w:val="0"/>
        <w:shd w:val="clear"/>
        <w:kinsoku/>
        <w:wordWrap/>
        <w:overflowPunct/>
        <w:topLinePunct w:val="0"/>
        <w:autoSpaceDE/>
        <w:autoSpaceDN/>
        <w:bidi w:val="0"/>
        <w:adjustRightInd w:val="0"/>
        <w:snapToGrid w:val="0"/>
        <w:spacing w:line="360" w:lineRule="auto"/>
        <w:jc w:val="center"/>
        <w:textAlignment w:val="auto"/>
        <w:outlineLvl w:val="9"/>
        <w:rPr>
          <w:rFonts w:hint="eastAsia" w:ascii="方正小标宋简体" w:hAnsi="方正小标宋简体" w:eastAsia="方正小标宋简体"/>
          <w:color w:val="auto"/>
          <w:kern w:val="2"/>
          <w:sz w:val="52"/>
          <w:szCs w:val="24"/>
          <w:highlight w:val="none"/>
          <w:lang w:val="zh-CN"/>
        </w:rPr>
      </w:pPr>
    </w:p>
    <w:p>
      <w:pPr>
        <w:keepNext/>
        <w:keepLines/>
        <w:shd w:val="clear"/>
        <w:tabs>
          <w:tab w:val="right" w:leader="dot" w:pos="8296"/>
        </w:tabs>
        <w:spacing w:line="576" w:lineRule="exact"/>
        <w:rPr>
          <w:rFonts w:hint="eastAsia" w:ascii="黑体" w:hAnsi="黑体" w:eastAsia="黑体"/>
          <w:b/>
          <w:color w:val="auto"/>
          <w:kern w:val="2"/>
          <w:sz w:val="48"/>
          <w:szCs w:val="24"/>
          <w:highlight w:val="none"/>
          <w:lang w:val="zh-CN"/>
        </w:rPr>
      </w:pPr>
    </w:p>
    <w:p>
      <w:pPr>
        <w:shd w:val="clear"/>
        <w:jc w:val="center"/>
        <w:rPr>
          <w:rFonts w:hint="eastAsia" w:ascii="黑体" w:hAnsi="黑体" w:eastAsia="黑体"/>
          <w:color w:val="auto"/>
          <w:kern w:val="2"/>
          <w:sz w:val="28"/>
          <w:szCs w:val="24"/>
          <w:highlight w:val="none"/>
          <w:lang w:val="zh-CN"/>
        </w:rPr>
      </w:pPr>
      <w:r>
        <w:rPr>
          <w:rFonts w:hint="eastAsia" w:ascii="黑体" w:hAnsi="黑体" w:eastAsia="黑体"/>
          <w:color w:val="auto"/>
          <w:kern w:val="2"/>
          <w:sz w:val="48"/>
          <w:szCs w:val="24"/>
          <w:highlight w:val="none"/>
          <w:lang w:val="zh-CN"/>
        </w:rPr>
        <w:br w:type="page"/>
      </w:r>
      <w:r>
        <w:rPr>
          <w:rFonts w:hint="eastAsia" w:ascii="黑体" w:hAnsi="黑体" w:eastAsia="黑体"/>
          <w:color w:val="auto"/>
          <w:kern w:val="2"/>
          <w:sz w:val="48"/>
          <w:szCs w:val="24"/>
          <w:highlight w:val="none"/>
          <w:lang w:val="zh-CN"/>
        </w:rPr>
        <w:t>目录</w:t>
      </w:r>
    </w:p>
    <w:p>
      <w:pPr>
        <w:shd w:val="clear"/>
        <w:tabs>
          <w:tab w:val="right" w:leader="dot" w:pos="8296"/>
        </w:tabs>
        <w:spacing w:before="93"/>
        <w:jc w:val="center"/>
        <w:rPr>
          <w:rFonts w:hint="eastAsia" w:ascii="仿宋" w:hAnsi="仿宋" w:eastAsia="仿宋"/>
          <w:color w:val="auto"/>
          <w:kern w:val="2"/>
          <w:sz w:val="28"/>
          <w:szCs w:val="24"/>
          <w:highlight w:val="none"/>
          <w:lang w:val="zh-CN"/>
        </w:rPr>
      </w:pPr>
      <w:r>
        <w:rPr>
          <w:rFonts w:hint="eastAsia" w:ascii="仿宋" w:hAnsi="仿宋" w:eastAsia="仿宋"/>
          <w:color w:val="auto"/>
          <w:kern w:val="2"/>
          <w:sz w:val="28"/>
          <w:szCs w:val="24"/>
          <w:highlight w:val="none"/>
          <w:lang w:val="zh-CN"/>
        </w:rPr>
        <w:t>公开时间：2023年</w:t>
      </w:r>
      <w:r>
        <w:rPr>
          <w:rFonts w:hint="eastAsia" w:ascii="仿宋" w:hAnsi="仿宋" w:eastAsia="仿宋"/>
          <w:color w:val="auto"/>
          <w:kern w:val="2"/>
          <w:sz w:val="28"/>
          <w:szCs w:val="24"/>
          <w:highlight w:val="none"/>
          <w:lang w:val="en-US" w:eastAsia="zh-CN"/>
        </w:rPr>
        <w:t>10</w:t>
      </w:r>
      <w:r>
        <w:rPr>
          <w:rFonts w:hint="eastAsia" w:ascii="仿宋" w:hAnsi="仿宋" w:eastAsia="仿宋"/>
          <w:color w:val="auto"/>
          <w:kern w:val="2"/>
          <w:sz w:val="28"/>
          <w:szCs w:val="24"/>
          <w:highlight w:val="none"/>
          <w:lang w:val="zh-CN"/>
        </w:rPr>
        <w:t>月</w:t>
      </w:r>
      <w:r>
        <w:rPr>
          <w:rFonts w:hint="eastAsia" w:ascii="仿宋" w:hAnsi="仿宋" w:eastAsia="仿宋"/>
          <w:color w:val="auto"/>
          <w:kern w:val="2"/>
          <w:sz w:val="28"/>
          <w:szCs w:val="24"/>
          <w:highlight w:val="none"/>
          <w:lang w:val="en-US" w:eastAsia="zh-CN"/>
        </w:rPr>
        <w:t xml:space="preserve">  </w:t>
      </w:r>
      <w:r>
        <w:rPr>
          <w:rFonts w:hint="eastAsia" w:ascii="仿宋" w:hAnsi="仿宋" w:eastAsia="仿宋"/>
          <w:color w:val="auto"/>
          <w:kern w:val="2"/>
          <w:sz w:val="28"/>
          <w:szCs w:val="24"/>
          <w:highlight w:val="none"/>
          <w:lang w:val="zh-CN"/>
        </w:rPr>
        <w:t>日</w:t>
      </w:r>
    </w:p>
    <w:sdt>
      <w:sdtPr>
        <w:rPr>
          <w:rFonts w:hint="default" w:ascii="宋体" w:hAnsi="宋体" w:eastAsia="宋体" w:cs="Times New Roman"/>
          <w:color w:val="auto"/>
          <w:sz w:val="21"/>
          <w:szCs w:val="24"/>
          <w:highlight w:val="none"/>
        </w:rPr>
        <w:id w:val="147480072"/>
        <w15:color w:val="DBDBDB"/>
        <w:docPartObj>
          <w:docPartGallery w:val="Table of Contents"/>
          <w:docPartUnique/>
        </w:docPartObj>
      </w:sdtPr>
      <w:sdtEndPr>
        <w:rPr>
          <w:rFonts w:hint="eastAsia" w:ascii="仿宋_GB2312" w:hAnsi="Times New Roman" w:eastAsia="仿宋_GB2312" w:cs="Times New Roman"/>
          <w:color w:val="auto"/>
          <w:sz w:val="30"/>
          <w:szCs w:val="24"/>
          <w:highlight w:val="none"/>
          <w:lang w:val="zh-CN"/>
        </w:rPr>
      </w:sdtEndPr>
      <w:sdtContent>
        <w:p>
          <w:pPr>
            <w:shd w:val="clear"/>
            <w:spacing w:before="0" w:beforeLines="0" w:after="0" w:afterLines="0" w:line="240" w:lineRule="auto"/>
            <w:ind w:left="0" w:leftChars="0" w:right="0" w:rightChars="0" w:firstLine="0" w:firstLineChars="0"/>
            <w:jc w:val="center"/>
            <w:rPr>
              <w:color w:val="auto"/>
              <w:highlight w:val="none"/>
            </w:rPr>
          </w:pPr>
          <w:bookmarkStart w:id="39" w:name="_GoBack"/>
          <w:bookmarkEnd w:id="39"/>
        </w:p>
        <w:p>
          <w:pPr>
            <w:pStyle w:val="10"/>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TOC \o "1-3" \h \u </w:instrText>
          </w:r>
          <w:r>
            <w:rPr>
              <w:rFonts w:hint="eastAsia"/>
              <w:color w:val="auto"/>
              <w:highlight w:val="none"/>
              <w:lang w:val="zh-CN"/>
            </w:rPr>
            <w:fldChar w:fldCharType="separate"/>
          </w:r>
          <w:r>
            <w:rPr>
              <w:rFonts w:hint="eastAsia"/>
              <w:color w:val="auto"/>
              <w:highlight w:val="none"/>
              <w:lang w:val="zh-CN"/>
            </w:rPr>
            <w:fldChar w:fldCharType="begin"/>
          </w:r>
          <w:r>
            <w:rPr>
              <w:rFonts w:hint="eastAsia"/>
              <w:color w:val="auto"/>
              <w:highlight w:val="none"/>
              <w:lang w:val="zh-CN"/>
            </w:rPr>
            <w:instrText xml:space="preserve"> HYPERLINK \l _Toc29132 </w:instrText>
          </w:r>
          <w:r>
            <w:rPr>
              <w:rFonts w:hint="eastAsia"/>
              <w:color w:val="auto"/>
              <w:highlight w:val="none"/>
              <w:lang w:val="zh-CN"/>
            </w:rPr>
            <w:fldChar w:fldCharType="separate"/>
          </w:r>
          <w:r>
            <w:rPr>
              <w:rFonts w:hint="eastAsia" w:ascii="黑体" w:hAnsi="黑体" w:eastAsia="黑体"/>
              <w:color w:val="auto"/>
              <w:kern w:val="44"/>
              <w:szCs w:val="24"/>
              <w:highlight w:val="none"/>
              <w:lang w:val="zh-CN"/>
            </w:rPr>
            <w:t>第一部分 单位概况</w:t>
          </w:r>
          <w:r>
            <w:rPr>
              <w:color w:val="auto"/>
              <w:highlight w:val="none"/>
            </w:rPr>
            <w:tab/>
          </w:r>
          <w:r>
            <w:rPr>
              <w:color w:val="auto"/>
              <w:highlight w:val="none"/>
            </w:rPr>
            <w:fldChar w:fldCharType="begin"/>
          </w:r>
          <w:r>
            <w:rPr>
              <w:color w:val="auto"/>
              <w:highlight w:val="none"/>
            </w:rPr>
            <w:instrText xml:space="preserve"> PAGEREF _Toc29132 \h </w:instrText>
          </w:r>
          <w:r>
            <w:rPr>
              <w:color w:val="auto"/>
              <w:highlight w:val="none"/>
            </w:rPr>
            <w:fldChar w:fldCharType="separate"/>
          </w:r>
          <w:r>
            <w:rPr>
              <w:color w:val="auto"/>
              <w:highlight w:val="none"/>
            </w:rPr>
            <w:t>1</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_Toc29429 </w:instrText>
          </w:r>
          <w:r>
            <w:rPr>
              <w:rFonts w:hint="eastAsia"/>
              <w:color w:val="auto"/>
              <w:highlight w:val="none"/>
              <w:lang w:val="zh-CN"/>
            </w:rPr>
            <w:fldChar w:fldCharType="separate"/>
          </w:r>
          <w:r>
            <w:rPr>
              <w:rFonts w:hint="eastAsia" w:ascii="黑体" w:hAnsi="黑体" w:eastAsia="黑体"/>
              <w:color w:val="auto"/>
              <w:kern w:val="2"/>
              <w:szCs w:val="24"/>
              <w:highlight w:val="none"/>
              <w:lang w:val="zh-CN"/>
            </w:rPr>
            <w:t>一、主要职责</w:t>
          </w:r>
          <w:r>
            <w:rPr>
              <w:color w:val="auto"/>
              <w:highlight w:val="none"/>
            </w:rPr>
            <w:tab/>
          </w:r>
          <w:r>
            <w:rPr>
              <w:color w:val="auto"/>
              <w:highlight w:val="none"/>
            </w:rPr>
            <w:fldChar w:fldCharType="begin"/>
          </w:r>
          <w:r>
            <w:rPr>
              <w:color w:val="auto"/>
              <w:highlight w:val="none"/>
            </w:rPr>
            <w:instrText xml:space="preserve"> PAGEREF _Toc29429 \h </w:instrText>
          </w:r>
          <w:r>
            <w:rPr>
              <w:color w:val="auto"/>
              <w:highlight w:val="none"/>
            </w:rPr>
            <w:fldChar w:fldCharType="separate"/>
          </w:r>
          <w:r>
            <w:rPr>
              <w:color w:val="auto"/>
              <w:highlight w:val="none"/>
            </w:rPr>
            <w:t>1</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_Toc15647 </w:instrText>
          </w:r>
          <w:r>
            <w:rPr>
              <w:rFonts w:hint="eastAsia"/>
              <w:color w:val="auto"/>
              <w:highlight w:val="none"/>
              <w:lang w:val="zh-CN"/>
            </w:rPr>
            <w:fldChar w:fldCharType="separate"/>
          </w:r>
          <w:r>
            <w:rPr>
              <w:rFonts w:hint="eastAsia" w:ascii="黑体" w:hAnsi="黑体" w:eastAsia="黑体"/>
              <w:color w:val="auto"/>
              <w:kern w:val="2"/>
              <w:szCs w:val="24"/>
              <w:highlight w:val="none"/>
              <w:lang w:val="zh-CN"/>
            </w:rPr>
            <w:t>二、 机构设置</w:t>
          </w:r>
          <w:r>
            <w:rPr>
              <w:color w:val="auto"/>
              <w:highlight w:val="none"/>
            </w:rPr>
            <w:tab/>
          </w:r>
          <w:r>
            <w:rPr>
              <w:color w:val="auto"/>
              <w:highlight w:val="none"/>
            </w:rPr>
            <w:fldChar w:fldCharType="begin"/>
          </w:r>
          <w:r>
            <w:rPr>
              <w:color w:val="auto"/>
              <w:highlight w:val="none"/>
            </w:rPr>
            <w:instrText xml:space="preserve"> PAGEREF _Toc15647 \h </w:instrText>
          </w:r>
          <w:r>
            <w:rPr>
              <w:color w:val="auto"/>
              <w:highlight w:val="none"/>
            </w:rPr>
            <w:fldChar w:fldCharType="separate"/>
          </w:r>
          <w:r>
            <w:rPr>
              <w:color w:val="auto"/>
              <w:highlight w:val="none"/>
            </w:rPr>
            <w:t>1</w:t>
          </w:r>
          <w:r>
            <w:rPr>
              <w:color w:val="auto"/>
              <w:highlight w:val="none"/>
            </w:rPr>
            <w:fldChar w:fldCharType="end"/>
          </w:r>
          <w:r>
            <w:rPr>
              <w:rFonts w:hint="eastAsia"/>
              <w:color w:val="auto"/>
              <w:highlight w:val="none"/>
              <w:lang w:val="zh-CN"/>
            </w:rPr>
            <w:fldChar w:fldCharType="end"/>
          </w:r>
        </w:p>
        <w:p>
          <w:pPr>
            <w:pStyle w:val="10"/>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_Toc8161 </w:instrText>
          </w:r>
          <w:r>
            <w:rPr>
              <w:rFonts w:hint="eastAsia"/>
              <w:color w:val="auto"/>
              <w:highlight w:val="none"/>
              <w:lang w:val="zh-CN"/>
            </w:rPr>
            <w:fldChar w:fldCharType="separate"/>
          </w:r>
          <w:r>
            <w:rPr>
              <w:rFonts w:hint="eastAsia" w:ascii="黑体" w:hAnsi="黑体" w:eastAsia="黑体"/>
              <w:color w:val="auto"/>
              <w:kern w:val="44"/>
              <w:szCs w:val="24"/>
              <w:highlight w:val="none"/>
              <w:lang w:val="zh-CN"/>
            </w:rPr>
            <w:t>第二部分 2022年度单位决算情况说明</w:t>
          </w:r>
          <w:r>
            <w:rPr>
              <w:color w:val="auto"/>
              <w:highlight w:val="none"/>
            </w:rPr>
            <w:tab/>
          </w:r>
          <w:r>
            <w:rPr>
              <w:color w:val="auto"/>
              <w:highlight w:val="none"/>
            </w:rPr>
            <w:fldChar w:fldCharType="begin"/>
          </w:r>
          <w:r>
            <w:rPr>
              <w:color w:val="auto"/>
              <w:highlight w:val="none"/>
            </w:rPr>
            <w:instrText xml:space="preserve"> PAGEREF _Toc8161 \h </w:instrText>
          </w:r>
          <w:r>
            <w:rPr>
              <w:color w:val="auto"/>
              <w:highlight w:val="none"/>
            </w:rPr>
            <w:fldChar w:fldCharType="separate"/>
          </w:r>
          <w:r>
            <w:rPr>
              <w:color w:val="auto"/>
              <w:highlight w:val="none"/>
            </w:rPr>
            <w:t>2</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_Toc30024 </w:instrText>
          </w:r>
          <w:r>
            <w:rPr>
              <w:rFonts w:hint="eastAsia"/>
              <w:color w:val="auto"/>
              <w:highlight w:val="none"/>
              <w:lang w:val="zh-CN"/>
            </w:rPr>
            <w:fldChar w:fldCharType="separate"/>
          </w:r>
          <w:r>
            <w:rPr>
              <w:rFonts w:hint="eastAsia" w:ascii="黑体" w:hAnsi="黑体" w:eastAsia="黑体"/>
              <w:color w:val="auto"/>
              <w:kern w:val="2"/>
              <w:szCs w:val="24"/>
              <w:highlight w:val="none"/>
              <w:lang w:val="zh-CN"/>
            </w:rPr>
            <w:t>一、收入支出决算总体情况说明</w:t>
          </w:r>
          <w:r>
            <w:rPr>
              <w:color w:val="auto"/>
              <w:highlight w:val="none"/>
            </w:rPr>
            <w:tab/>
          </w:r>
          <w:r>
            <w:rPr>
              <w:color w:val="auto"/>
              <w:highlight w:val="none"/>
            </w:rPr>
            <w:fldChar w:fldCharType="begin"/>
          </w:r>
          <w:r>
            <w:rPr>
              <w:color w:val="auto"/>
              <w:highlight w:val="none"/>
            </w:rPr>
            <w:instrText xml:space="preserve"> PAGEREF _Toc30024 \h </w:instrText>
          </w:r>
          <w:r>
            <w:rPr>
              <w:color w:val="auto"/>
              <w:highlight w:val="none"/>
            </w:rPr>
            <w:fldChar w:fldCharType="separate"/>
          </w:r>
          <w:r>
            <w:rPr>
              <w:color w:val="auto"/>
              <w:highlight w:val="none"/>
            </w:rPr>
            <w:t>2</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_Toc30656 </w:instrText>
          </w:r>
          <w:r>
            <w:rPr>
              <w:rFonts w:hint="eastAsia"/>
              <w:color w:val="auto"/>
              <w:highlight w:val="none"/>
              <w:lang w:val="zh-CN"/>
            </w:rPr>
            <w:fldChar w:fldCharType="separate"/>
          </w:r>
          <w:r>
            <w:rPr>
              <w:rFonts w:hint="eastAsia" w:ascii="黑体" w:hAnsi="黑体" w:eastAsia="黑体"/>
              <w:color w:val="auto"/>
              <w:kern w:val="2"/>
              <w:szCs w:val="24"/>
              <w:highlight w:val="none"/>
              <w:lang w:val="zh-CN"/>
            </w:rPr>
            <w:t>二、收入决算情况说明</w:t>
          </w:r>
          <w:r>
            <w:rPr>
              <w:color w:val="auto"/>
              <w:highlight w:val="none"/>
            </w:rPr>
            <w:tab/>
          </w:r>
          <w:r>
            <w:rPr>
              <w:color w:val="auto"/>
              <w:highlight w:val="none"/>
            </w:rPr>
            <w:fldChar w:fldCharType="begin"/>
          </w:r>
          <w:r>
            <w:rPr>
              <w:color w:val="auto"/>
              <w:highlight w:val="none"/>
            </w:rPr>
            <w:instrText xml:space="preserve"> PAGEREF _Toc30656 \h </w:instrText>
          </w:r>
          <w:r>
            <w:rPr>
              <w:color w:val="auto"/>
              <w:highlight w:val="none"/>
            </w:rPr>
            <w:fldChar w:fldCharType="separate"/>
          </w:r>
          <w:r>
            <w:rPr>
              <w:color w:val="auto"/>
              <w:highlight w:val="none"/>
            </w:rPr>
            <w:t>3</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_Toc13629 </w:instrText>
          </w:r>
          <w:r>
            <w:rPr>
              <w:rFonts w:hint="eastAsia"/>
              <w:color w:val="auto"/>
              <w:highlight w:val="none"/>
              <w:lang w:val="zh-CN"/>
            </w:rPr>
            <w:fldChar w:fldCharType="separate"/>
          </w:r>
          <w:r>
            <w:rPr>
              <w:rFonts w:hint="eastAsia" w:ascii="黑体" w:hAnsi="黑体" w:eastAsia="黑体"/>
              <w:color w:val="auto"/>
              <w:kern w:val="2"/>
              <w:szCs w:val="24"/>
              <w:highlight w:val="none"/>
              <w:lang w:val="zh-CN"/>
            </w:rPr>
            <w:t>三、支出决算情况说明</w:t>
          </w:r>
          <w:r>
            <w:rPr>
              <w:color w:val="auto"/>
              <w:highlight w:val="none"/>
            </w:rPr>
            <w:tab/>
          </w:r>
          <w:r>
            <w:rPr>
              <w:color w:val="auto"/>
              <w:highlight w:val="none"/>
            </w:rPr>
            <w:fldChar w:fldCharType="begin"/>
          </w:r>
          <w:r>
            <w:rPr>
              <w:color w:val="auto"/>
              <w:highlight w:val="none"/>
            </w:rPr>
            <w:instrText xml:space="preserve"> PAGEREF _Toc13629 \h </w:instrText>
          </w:r>
          <w:r>
            <w:rPr>
              <w:color w:val="auto"/>
              <w:highlight w:val="none"/>
            </w:rPr>
            <w:fldChar w:fldCharType="separate"/>
          </w:r>
          <w:r>
            <w:rPr>
              <w:color w:val="auto"/>
              <w:highlight w:val="none"/>
            </w:rPr>
            <w:t>3</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_Toc1865 </w:instrText>
          </w:r>
          <w:r>
            <w:rPr>
              <w:rFonts w:hint="eastAsia"/>
              <w:color w:val="auto"/>
              <w:highlight w:val="none"/>
              <w:lang w:val="zh-CN"/>
            </w:rPr>
            <w:fldChar w:fldCharType="separate"/>
          </w:r>
          <w:r>
            <w:rPr>
              <w:rFonts w:hint="eastAsia" w:ascii="黑体" w:hAnsi="黑体" w:eastAsia="黑体"/>
              <w:color w:val="auto"/>
              <w:kern w:val="2"/>
              <w:szCs w:val="24"/>
              <w:highlight w:val="none"/>
              <w:lang w:val="zh-CN"/>
            </w:rPr>
            <w:t>四、财政拨款收入支出决算总体情况说明</w:t>
          </w:r>
          <w:r>
            <w:rPr>
              <w:color w:val="auto"/>
              <w:highlight w:val="none"/>
            </w:rPr>
            <w:tab/>
          </w:r>
          <w:r>
            <w:rPr>
              <w:color w:val="auto"/>
              <w:highlight w:val="none"/>
            </w:rPr>
            <w:fldChar w:fldCharType="begin"/>
          </w:r>
          <w:r>
            <w:rPr>
              <w:color w:val="auto"/>
              <w:highlight w:val="none"/>
            </w:rPr>
            <w:instrText xml:space="preserve"> PAGEREF _Toc1865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_Toc9741 </w:instrText>
          </w:r>
          <w:r>
            <w:rPr>
              <w:rFonts w:hint="eastAsia"/>
              <w:color w:val="auto"/>
              <w:highlight w:val="none"/>
              <w:lang w:val="zh-CN"/>
            </w:rPr>
            <w:fldChar w:fldCharType="separate"/>
          </w:r>
          <w:r>
            <w:rPr>
              <w:rFonts w:hint="eastAsia" w:ascii="黑体" w:hAnsi="黑体" w:eastAsia="黑体"/>
              <w:color w:val="auto"/>
              <w:kern w:val="2"/>
              <w:szCs w:val="24"/>
              <w:highlight w:val="none"/>
              <w:lang w:val="zh-CN"/>
            </w:rPr>
            <w:t>五、一般公共预算财政拨款支出决算情况说明</w:t>
          </w:r>
          <w:r>
            <w:rPr>
              <w:color w:val="auto"/>
              <w:highlight w:val="none"/>
            </w:rPr>
            <w:tab/>
          </w:r>
          <w:r>
            <w:rPr>
              <w:color w:val="auto"/>
              <w:highlight w:val="none"/>
            </w:rPr>
            <w:fldChar w:fldCharType="begin"/>
          </w:r>
          <w:r>
            <w:rPr>
              <w:color w:val="auto"/>
              <w:highlight w:val="none"/>
            </w:rPr>
            <w:instrText xml:space="preserve"> PAGEREF _Toc9741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_Toc21669 </w:instrText>
          </w:r>
          <w:r>
            <w:rPr>
              <w:rFonts w:hint="eastAsia"/>
              <w:color w:val="auto"/>
              <w:highlight w:val="none"/>
              <w:lang w:val="zh-CN"/>
            </w:rPr>
            <w:fldChar w:fldCharType="separate"/>
          </w:r>
          <w:r>
            <w:rPr>
              <w:rFonts w:hint="eastAsia" w:ascii="黑体" w:hAnsi="黑体" w:eastAsia="黑体"/>
              <w:color w:val="auto"/>
              <w:kern w:val="2"/>
              <w:szCs w:val="24"/>
              <w:highlight w:val="none"/>
              <w:lang w:val="zh-CN"/>
            </w:rPr>
            <w:t>六、一般公共预算财政拨款基本支出决算情况说明</w:t>
          </w:r>
          <w:r>
            <w:rPr>
              <w:color w:val="auto"/>
              <w:highlight w:val="none"/>
            </w:rPr>
            <w:tab/>
          </w:r>
          <w:r>
            <w:rPr>
              <w:color w:val="auto"/>
              <w:highlight w:val="none"/>
            </w:rPr>
            <w:fldChar w:fldCharType="begin"/>
          </w:r>
          <w:r>
            <w:rPr>
              <w:color w:val="auto"/>
              <w:highlight w:val="none"/>
            </w:rPr>
            <w:instrText xml:space="preserve"> PAGEREF _Toc21669 \h </w:instrText>
          </w:r>
          <w:r>
            <w:rPr>
              <w:color w:val="auto"/>
              <w:highlight w:val="none"/>
            </w:rPr>
            <w:fldChar w:fldCharType="separate"/>
          </w:r>
          <w:r>
            <w:rPr>
              <w:color w:val="auto"/>
              <w:highlight w:val="none"/>
            </w:rPr>
            <w:t>6</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_Toc1224 </w:instrText>
          </w:r>
          <w:r>
            <w:rPr>
              <w:rFonts w:hint="eastAsia"/>
              <w:color w:val="auto"/>
              <w:highlight w:val="none"/>
              <w:lang w:val="zh-CN"/>
            </w:rPr>
            <w:fldChar w:fldCharType="separate"/>
          </w:r>
          <w:r>
            <w:rPr>
              <w:rFonts w:hint="eastAsia" w:ascii="黑体" w:hAnsi="黑体" w:eastAsia="黑体"/>
              <w:color w:val="auto"/>
              <w:kern w:val="2"/>
              <w:szCs w:val="24"/>
              <w:highlight w:val="none"/>
              <w:lang w:val="zh-CN"/>
            </w:rPr>
            <w:t>七、“三公”经费财政拨款支出决算情况说明</w:t>
          </w:r>
          <w:r>
            <w:rPr>
              <w:color w:val="auto"/>
              <w:highlight w:val="none"/>
            </w:rPr>
            <w:tab/>
          </w:r>
          <w:r>
            <w:rPr>
              <w:color w:val="auto"/>
              <w:highlight w:val="none"/>
            </w:rPr>
            <w:fldChar w:fldCharType="begin"/>
          </w:r>
          <w:r>
            <w:rPr>
              <w:color w:val="auto"/>
              <w:highlight w:val="none"/>
            </w:rPr>
            <w:instrText xml:space="preserve"> PAGEREF _Toc1224 \h </w:instrText>
          </w:r>
          <w:r>
            <w:rPr>
              <w:color w:val="auto"/>
              <w:highlight w:val="none"/>
            </w:rPr>
            <w:fldChar w:fldCharType="separate"/>
          </w:r>
          <w:r>
            <w:rPr>
              <w:color w:val="auto"/>
              <w:highlight w:val="none"/>
            </w:rPr>
            <w:t>7</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_Toc21591 </w:instrText>
          </w:r>
          <w:r>
            <w:rPr>
              <w:rFonts w:hint="eastAsia"/>
              <w:color w:val="auto"/>
              <w:highlight w:val="none"/>
              <w:lang w:val="zh-CN"/>
            </w:rPr>
            <w:fldChar w:fldCharType="separate"/>
          </w:r>
          <w:r>
            <w:rPr>
              <w:rFonts w:hint="eastAsia" w:ascii="黑体" w:hAnsi="黑体" w:eastAsia="黑体"/>
              <w:color w:val="auto"/>
              <w:kern w:val="2"/>
              <w:szCs w:val="24"/>
              <w:highlight w:val="none"/>
              <w:lang w:val="zh-CN"/>
            </w:rPr>
            <w:t>八、政府性基金预算支出决算情况说明</w:t>
          </w:r>
          <w:r>
            <w:rPr>
              <w:color w:val="auto"/>
              <w:highlight w:val="none"/>
            </w:rPr>
            <w:tab/>
          </w:r>
          <w:r>
            <w:rPr>
              <w:color w:val="auto"/>
              <w:highlight w:val="none"/>
            </w:rPr>
            <w:fldChar w:fldCharType="begin"/>
          </w:r>
          <w:r>
            <w:rPr>
              <w:color w:val="auto"/>
              <w:highlight w:val="none"/>
            </w:rPr>
            <w:instrText xml:space="preserve"> PAGEREF _Toc21591 \h </w:instrText>
          </w:r>
          <w:r>
            <w:rPr>
              <w:color w:val="auto"/>
              <w:highlight w:val="none"/>
            </w:rPr>
            <w:fldChar w:fldCharType="separate"/>
          </w:r>
          <w:r>
            <w:rPr>
              <w:color w:val="auto"/>
              <w:highlight w:val="none"/>
            </w:rPr>
            <w:t>8</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_Toc25008 </w:instrText>
          </w:r>
          <w:r>
            <w:rPr>
              <w:rFonts w:hint="eastAsia"/>
              <w:color w:val="auto"/>
              <w:highlight w:val="none"/>
              <w:lang w:val="zh-CN"/>
            </w:rPr>
            <w:fldChar w:fldCharType="separate"/>
          </w:r>
          <w:r>
            <w:rPr>
              <w:rFonts w:hint="eastAsia" w:ascii="黑体" w:hAnsi="黑体" w:eastAsia="黑体"/>
              <w:color w:val="auto"/>
              <w:kern w:val="2"/>
              <w:szCs w:val="24"/>
              <w:highlight w:val="none"/>
              <w:lang w:val="zh-CN"/>
            </w:rPr>
            <w:t>九、国有资本经营预算支出决算情况说明</w:t>
          </w:r>
          <w:r>
            <w:rPr>
              <w:color w:val="auto"/>
              <w:highlight w:val="none"/>
            </w:rPr>
            <w:tab/>
          </w:r>
          <w:r>
            <w:rPr>
              <w:color w:val="auto"/>
              <w:highlight w:val="none"/>
            </w:rPr>
            <w:fldChar w:fldCharType="begin"/>
          </w:r>
          <w:r>
            <w:rPr>
              <w:color w:val="auto"/>
              <w:highlight w:val="none"/>
            </w:rPr>
            <w:instrText xml:space="preserve"> PAGEREF _Toc25008 \h </w:instrText>
          </w:r>
          <w:r>
            <w:rPr>
              <w:color w:val="auto"/>
              <w:highlight w:val="none"/>
            </w:rPr>
            <w:fldChar w:fldCharType="separate"/>
          </w:r>
          <w:r>
            <w:rPr>
              <w:color w:val="auto"/>
              <w:highlight w:val="none"/>
            </w:rPr>
            <w:t>8</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_Toc30418 </w:instrText>
          </w:r>
          <w:r>
            <w:rPr>
              <w:rFonts w:hint="eastAsia"/>
              <w:color w:val="auto"/>
              <w:highlight w:val="none"/>
              <w:lang w:val="zh-CN"/>
            </w:rPr>
            <w:fldChar w:fldCharType="separate"/>
          </w:r>
          <w:r>
            <w:rPr>
              <w:rFonts w:hint="eastAsia" w:ascii="黑体" w:hAnsi="黑体" w:eastAsia="黑体"/>
              <w:color w:val="auto"/>
              <w:kern w:val="2"/>
              <w:szCs w:val="24"/>
              <w:highlight w:val="none"/>
              <w:lang w:val="zh-CN"/>
            </w:rPr>
            <w:t>十、其他重要事项的情况说明</w:t>
          </w:r>
          <w:r>
            <w:rPr>
              <w:color w:val="auto"/>
              <w:highlight w:val="none"/>
            </w:rPr>
            <w:tab/>
          </w:r>
          <w:r>
            <w:rPr>
              <w:color w:val="auto"/>
              <w:highlight w:val="none"/>
            </w:rPr>
            <w:fldChar w:fldCharType="begin"/>
          </w:r>
          <w:r>
            <w:rPr>
              <w:color w:val="auto"/>
              <w:highlight w:val="none"/>
            </w:rPr>
            <w:instrText xml:space="preserve"> PAGEREF _Toc30418 \h </w:instrText>
          </w:r>
          <w:r>
            <w:rPr>
              <w:color w:val="auto"/>
              <w:highlight w:val="none"/>
            </w:rPr>
            <w:fldChar w:fldCharType="separate"/>
          </w:r>
          <w:r>
            <w:rPr>
              <w:color w:val="auto"/>
              <w:highlight w:val="none"/>
            </w:rPr>
            <w:t>9</w:t>
          </w:r>
          <w:r>
            <w:rPr>
              <w:color w:val="auto"/>
              <w:highlight w:val="none"/>
            </w:rPr>
            <w:fldChar w:fldCharType="end"/>
          </w:r>
          <w:r>
            <w:rPr>
              <w:rFonts w:hint="eastAsia"/>
              <w:color w:val="auto"/>
              <w:highlight w:val="none"/>
              <w:lang w:val="zh-CN"/>
            </w:rPr>
            <w:fldChar w:fldCharType="end"/>
          </w:r>
        </w:p>
        <w:p>
          <w:pPr>
            <w:pStyle w:val="10"/>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_Toc25395 </w:instrText>
          </w:r>
          <w:r>
            <w:rPr>
              <w:rFonts w:hint="eastAsia"/>
              <w:color w:val="auto"/>
              <w:highlight w:val="none"/>
              <w:lang w:val="zh-CN"/>
            </w:rPr>
            <w:fldChar w:fldCharType="separate"/>
          </w:r>
          <w:r>
            <w:rPr>
              <w:rFonts w:hint="eastAsia" w:ascii="黑体" w:hAnsi="黑体" w:eastAsia="黑体"/>
              <w:color w:val="auto"/>
              <w:kern w:val="2"/>
              <w:szCs w:val="24"/>
              <w:highlight w:val="none"/>
              <w:lang w:val="zh-CN"/>
            </w:rPr>
            <w:t>第三部分 名</w:t>
          </w:r>
          <w:r>
            <w:rPr>
              <w:rFonts w:hint="eastAsia" w:ascii="黑体" w:hAnsi="黑体" w:eastAsia="黑体"/>
              <w:color w:val="auto"/>
              <w:kern w:val="44"/>
              <w:szCs w:val="24"/>
              <w:highlight w:val="none"/>
              <w:lang w:val="zh-CN"/>
            </w:rPr>
            <w:t>词解释</w:t>
          </w:r>
          <w:r>
            <w:rPr>
              <w:color w:val="auto"/>
              <w:highlight w:val="none"/>
            </w:rPr>
            <w:tab/>
          </w:r>
          <w:r>
            <w:rPr>
              <w:color w:val="auto"/>
              <w:highlight w:val="none"/>
            </w:rPr>
            <w:fldChar w:fldCharType="begin"/>
          </w:r>
          <w:r>
            <w:rPr>
              <w:color w:val="auto"/>
              <w:highlight w:val="none"/>
            </w:rPr>
            <w:instrText xml:space="preserve"> PAGEREF _Toc25395 \h </w:instrText>
          </w:r>
          <w:r>
            <w:rPr>
              <w:color w:val="auto"/>
              <w:highlight w:val="none"/>
            </w:rPr>
            <w:fldChar w:fldCharType="separate"/>
          </w:r>
          <w:r>
            <w:rPr>
              <w:color w:val="auto"/>
              <w:highlight w:val="none"/>
            </w:rPr>
            <w:t>11</w:t>
          </w:r>
          <w:r>
            <w:rPr>
              <w:color w:val="auto"/>
              <w:highlight w:val="none"/>
            </w:rPr>
            <w:fldChar w:fldCharType="end"/>
          </w:r>
          <w:r>
            <w:rPr>
              <w:rFonts w:hint="eastAsia"/>
              <w:color w:val="auto"/>
              <w:highlight w:val="none"/>
              <w:lang w:val="zh-CN"/>
            </w:rPr>
            <w:fldChar w:fldCharType="end"/>
          </w:r>
        </w:p>
        <w:p>
          <w:pPr>
            <w:pStyle w:val="10"/>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_Toc8740 </w:instrText>
          </w:r>
          <w:r>
            <w:rPr>
              <w:rFonts w:hint="eastAsia"/>
              <w:color w:val="auto"/>
              <w:highlight w:val="none"/>
              <w:lang w:val="zh-CN"/>
            </w:rPr>
            <w:fldChar w:fldCharType="separate"/>
          </w:r>
          <w:r>
            <w:rPr>
              <w:rFonts w:hint="eastAsia" w:ascii="黑体" w:hAnsi="黑体" w:eastAsia="黑体"/>
              <w:color w:val="auto"/>
              <w:kern w:val="2"/>
              <w:szCs w:val="24"/>
              <w:highlight w:val="none"/>
              <w:lang w:val="en-US"/>
            </w:rPr>
            <w:t>第</w:t>
          </w:r>
          <w:r>
            <w:rPr>
              <w:rFonts w:hint="eastAsia" w:ascii="黑体" w:hAnsi="黑体" w:eastAsia="黑体"/>
              <w:color w:val="auto"/>
              <w:kern w:val="44"/>
              <w:szCs w:val="24"/>
              <w:highlight w:val="none"/>
              <w:lang w:val="en-US"/>
            </w:rPr>
            <w:t>四部分 附件</w:t>
          </w:r>
          <w:r>
            <w:rPr>
              <w:color w:val="auto"/>
              <w:highlight w:val="none"/>
            </w:rPr>
            <w:tab/>
          </w:r>
          <w:r>
            <w:rPr>
              <w:color w:val="auto"/>
              <w:highlight w:val="none"/>
            </w:rPr>
            <w:fldChar w:fldCharType="begin"/>
          </w:r>
          <w:r>
            <w:rPr>
              <w:color w:val="auto"/>
              <w:highlight w:val="none"/>
            </w:rPr>
            <w:instrText xml:space="preserve"> PAGEREF _Toc8740 \h </w:instrText>
          </w:r>
          <w:r>
            <w:rPr>
              <w:color w:val="auto"/>
              <w:highlight w:val="none"/>
            </w:rPr>
            <w:fldChar w:fldCharType="separate"/>
          </w:r>
          <w:r>
            <w:rPr>
              <w:color w:val="auto"/>
              <w:highlight w:val="none"/>
            </w:rPr>
            <w:t>13</w:t>
          </w:r>
          <w:r>
            <w:rPr>
              <w:color w:val="auto"/>
              <w:highlight w:val="none"/>
            </w:rPr>
            <w:fldChar w:fldCharType="end"/>
          </w:r>
          <w:r>
            <w:rPr>
              <w:rFonts w:hint="eastAsia"/>
              <w:color w:val="auto"/>
              <w:highlight w:val="none"/>
              <w:lang w:val="zh-CN"/>
            </w:rPr>
            <w:fldChar w:fldCharType="end"/>
          </w:r>
        </w:p>
        <w:p>
          <w:pPr>
            <w:pStyle w:val="10"/>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_Toc26360 </w:instrText>
          </w:r>
          <w:r>
            <w:rPr>
              <w:rFonts w:hint="eastAsia"/>
              <w:color w:val="auto"/>
              <w:highlight w:val="none"/>
              <w:lang w:val="zh-CN"/>
            </w:rPr>
            <w:fldChar w:fldCharType="separate"/>
          </w:r>
          <w:r>
            <w:rPr>
              <w:rFonts w:hint="eastAsia" w:ascii="黑体" w:hAnsi="黑体" w:eastAsia="黑体"/>
              <w:color w:val="auto"/>
              <w:kern w:val="44"/>
              <w:szCs w:val="24"/>
              <w:highlight w:val="none"/>
              <w:lang w:val="en-US"/>
            </w:rPr>
            <w:t>第五部分 附表</w:t>
          </w:r>
          <w:r>
            <w:rPr>
              <w:color w:val="auto"/>
              <w:highlight w:val="none"/>
            </w:rPr>
            <w:tab/>
          </w:r>
          <w:r>
            <w:rPr>
              <w:color w:val="auto"/>
              <w:highlight w:val="none"/>
            </w:rPr>
            <w:fldChar w:fldCharType="begin"/>
          </w:r>
          <w:r>
            <w:rPr>
              <w:color w:val="auto"/>
              <w:highlight w:val="none"/>
            </w:rPr>
            <w:instrText xml:space="preserve"> PAGEREF _Toc26360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_Toc30580 </w:instrText>
          </w:r>
          <w:r>
            <w:rPr>
              <w:rFonts w:hint="eastAsia"/>
              <w:color w:val="auto"/>
              <w:highlight w:val="none"/>
              <w:lang w:val="zh-CN"/>
            </w:rPr>
            <w:fldChar w:fldCharType="separate"/>
          </w:r>
          <w:r>
            <w:rPr>
              <w:rFonts w:hint="eastAsia" w:ascii="仿宋" w:hAnsi="仿宋" w:eastAsia="仿宋"/>
              <w:color w:val="auto"/>
              <w:kern w:val="2"/>
              <w:szCs w:val="24"/>
              <w:highlight w:val="none"/>
              <w:lang w:val="en-US"/>
            </w:rPr>
            <w:t>一、收入支出决算总表</w:t>
          </w:r>
          <w:r>
            <w:rPr>
              <w:color w:val="auto"/>
              <w:highlight w:val="none"/>
            </w:rPr>
            <w:tab/>
          </w:r>
          <w:r>
            <w:rPr>
              <w:color w:val="auto"/>
              <w:highlight w:val="none"/>
            </w:rPr>
            <w:fldChar w:fldCharType="begin"/>
          </w:r>
          <w:r>
            <w:rPr>
              <w:color w:val="auto"/>
              <w:highlight w:val="none"/>
            </w:rPr>
            <w:instrText xml:space="preserve"> PAGEREF _Toc30580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_Toc15691 </w:instrText>
          </w:r>
          <w:r>
            <w:rPr>
              <w:rFonts w:hint="eastAsia"/>
              <w:color w:val="auto"/>
              <w:highlight w:val="none"/>
              <w:lang w:val="zh-CN"/>
            </w:rPr>
            <w:fldChar w:fldCharType="separate"/>
          </w:r>
          <w:r>
            <w:rPr>
              <w:rFonts w:hint="eastAsia" w:ascii="仿宋" w:hAnsi="仿宋" w:eastAsia="仿宋"/>
              <w:color w:val="auto"/>
              <w:kern w:val="2"/>
              <w:szCs w:val="24"/>
              <w:highlight w:val="none"/>
              <w:lang w:val="en-US"/>
            </w:rPr>
            <w:t>二、收入决算表</w:t>
          </w:r>
          <w:r>
            <w:rPr>
              <w:color w:val="auto"/>
              <w:highlight w:val="none"/>
            </w:rPr>
            <w:tab/>
          </w:r>
          <w:r>
            <w:rPr>
              <w:color w:val="auto"/>
              <w:highlight w:val="none"/>
            </w:rPr>
            <w:fldChar w:fldCharType="begin"/>
          </w:r>
          <w:r>
            <w:rPr>
              <w:color w:val="auto"/>
              <w:highlight w:val="none"/>
            </w:rPr>
            <w:instrText xml:space="preserve"> PAGEREF _Toc15691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_Toc2391 </w:instrText>
          </w:r>
          <w:r>
            <w:rPr>
              <w:rFonts w:hint="eastAsia"/>
              <w:color w:val="auto"/>
              <w:highlight w:val="none"/>
              <w:lang w:val="zh-CN"/>
            </w:rPr>
            <w:fldChar w:fldCharType="separate"/>
          </w:r>
          <w:r>
            <w:rPr>
              <w:rFonts w:hint="eastAsia" w:ascii="仿宋" w:hAnsi="仿宋" w:eastAsia="仿宋"/>
              <w:color w:val="auto"/>
              <w:kern w:val="2"/>
              <w:szCs w:val="24"/>
              <w:highlight w:val="none"/>
              <w:lang w:val="en-US"/>
            </w:rPr>
            <w:t>三、支出决算表</w:t>
          </w:r>
          <w:r>
            <w:rPr>
              <w:color w:val="auto"/>
              <w:highlight w:val="none"/>
            </w:rPr>
            <w:tab/>
          </w:r>
          <w:r>
            <w:rPr>
              <w:color w:val="auto"/>
              <w:highlight w:val="none"/>
            </w:rPr>
            <w:fldChar w:fldCharType="begin"/>
          </w:r>
          <w:r>
            <w:rPr>
              <w:color w:val="auto"/>
              <w:highlight w:val="none"/>
            </w:rPr>
            <w:instrText xml:space="preserve"> PAGEREF _Toc2391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_Toc556 </w:instrText>
          </w:r>
          <w:r>
            <w:rPr>
              <w:rFonts w:hint="eastAsia"/>
              <w:color w:val="auto"/>
              <w:highlight w:val="none"/>
              <w:lang w:val="zh-CN"/>
            </w:rPr>
            <w:fldChar w:fldCharType="separate"/>
          </w:r>
          <w:r>
            <w:rPr>
              <w:rFonts w:hint="eastAsia" w:ascii="仿宋" w:hAnsi="仿宋" w:eastAsia="仿宋"/>
              <w:color w:val="auto"/>
              <w:kern w:val="2"/>
              <w:szCs w:val="24"/>
              <w:highlight w:val="none"/>
              <w:lang w:val="en-US"/>
            </w:rPr>
            <w:t>四、财政拨款收入支出决算总表</w:t>
          </w:r>
          <w:r>
            <w:rPr>
              <w:color w:val="auto"/>
              <w:highlight w:val="none"/>
            </w:rPr>
            <w:tab/>
          </w:r>
          <w:r>
            <w:rPr>
              <w:color w:val="auto"/>
              <w:highlight w:val="none"/>
            </w:rPr>
            <w:fldChar w:fldCharType="begin"/>
          </w:r>
          <w:r>
            <w:rPr>
              <w:color w:val="auto"/>
              <w:highlight w:val="none"/>
            </w:rPr>
            <w:instrText xml:space="preserve"> PAGEREF _Toc556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_Toc8108 </w:instrText>
          </w:r>
          <w:r>
            <w:rPr>
              <w:rFonts w:hint="eastAsia"/>
              <w:color w:val="auto"/>
              <w:highlight w:val="none"/>
              <w:lang w:val="zh-CN"/>
            </w:rPr>
            <w:fldChar w:fldCharType="separate"/>
          </w:r>
          <w:r>
            <w:rPr>
              <w:rFonts w:hint="eastAsia" w:ascii="仿宋" w:hAnsi="仿宋" w:eastAsia="仿宋"/>
              <w:color w:val="auto"/>
              <w:kern w:val="2"/>
              <w:szCs w:val="24"/>
              <w:highlight w:val="none"/>
              <w:lang w:val="en-US"/>
            </w:rPr>
            <w:t>五、财政拨款支出决算明细表</w:t>
          </w:r>
          <w:r>
            <w:rPr>
              <w:color w:val="auto"/>
              <w:highlight w:val="none"/>
            </w:rPr>
            <w:tab/>
          </w:r>
          <w:r>
            <w:rPr>
              <w:color w:val="auto"/>
              <w:highlight w:val="none"/>
            </w:rPr>
            <w:fldChar w:fldCharType="begin"/>
          </w:r>
          <w:r>
            <w:rPr>
              <w:color w:val="auto"/>
              <w:highlight w:val="none"/>
            </w:rPr>
            <w:instrText xml:space="preserve"> PAGEREF _Toc8108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_Toc4703 </w:instrText>
          </w:r>
          <w:r>
            <w:rPr>
              <w:rFonts w:hint="eastAsia"/>
              <w:color w:val="auto"/>
              <w:highlight w:val="none"/>
              <w:lang w:val="zh-CN"/>
            </w:rPr>
            <w:fldChar w:fldCharType="separate"/>
          </w:r>
          <w:r>
            <w:rPr>
              <w:rFonts w:hint="eastAsia" w:ascii="仿宋" w:hAnsi="仿宋" w:eastAsia="仿宋"/>
              <w:color w:val="auto"/>
              <w:kern w:val="2"/>
              <w:szCs w:val="24"/>
              <w:highlight w:val="none"/>
              <w:lang w:val="en-US"/>
            </w:rPr>
            <w:t>六、一般公共预算财政拨款支出决算表</w:t>
          </w:r>
          <w:r>
            <w:rPr>
              <w:color w:val="auto"/>
              <w:highlight w:val="none"/>
            </w:rPr>
            <w:tab/>
          </w:r>
          <w:r>
            <w:rPr>
              <w:color w:val="auto"/>
              <w:highlight w:val="none"/>
            </w:rPr>
            <w:fldChar w:fldCharType="begin"/>
          </w:r>
          <w:r>
            <w:rPr>
              <w:color w:val="auto"/>
              <w:highlight w:val="none"/>
            </w:rPr>
            <w:instrText xml:space="preserve"> PAGEREF _Toc4703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_Toc28447 </w:instrText>
          </w:r>
          <w:r>
            <w:rPr>
              <w:rFonts w:hint="eastAsia"/>
              <w:color w:val="auto"/>
              <w:highlight w:val="none"/>
              <w:lang w:val="zh-CN"/>
            </w:rPr>
            <w:fldChar w:fldCharType="separate"/>
          </w:r>
          <w:r>
            <w:rPr>
              <w:rFonts w:hint="eastAsia" w:ascii="仿宋" w:hAnsi="仿宋" w:eastAsia="仿宋"/>
              <w:color w:val="auto"/>
              <w:kern w:val="2"/>
              <w:szCs w:val="24"/>
              <w:highlight w:val="none"/>
              <w:lang w:val="en-US"/>
            </w:rPr>
            <w:t>七、一般公共预算财政拨款支出决算明细表</w:t>
          </w:r>
          <w:r>
            <w:rPr>
              <w:color w:val="auto"/>
              <w:highlight w:val="none"/>
            </w:rPr>
            <w:tab/>
          </w:r>
          <w:r>
            <w:rPr>
              <w:color w:val="auto"/>
              <w:highlight w:val="none"/>
            </w:rPr>
            <w:fldChar w:fldCharType="begin"/>
          </w:r>
          <w:r>
            <w:rPr>
              <w:color w:val="auto"/>
              <w:highlight w:val="none"/>
            </w:rPr>
            <w:instrText xml:space="preserve"> PAGEREF _Toc28447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_Toc14089 </w:instrText>
          </w:r>
          <w:r>
            <w:rPr>
              <w:rFonts w:hint="eastAsia"/>
              <w:color w:val="auto"/>
              <w:highlight w:val="none"/>
              <w:lang w:val="zh-CN"/>
            </w:rPr>
            <w:fldChar w:fldCharType="separate"/>
          </w:r>
          <w:r>
            <w:rPr>
              <w:rFonts w:hint="eastAsia" w:ascii="仿宋" w:hAnsi="仿宋" w:eastAsia="仿宋"/>
              <w:color w:val="auto"/>
              <w:kern w:val="2"/>
              <w:szCs w:val="24"/>
              <w:highlight w:val="none"/>
              <w:lang w:val="en-US"/>
            </w:rPr>
            <w:t>八、一般公共预算财政拨款基本支出决算表</w:t>
          </w:r>
          <w:r>
            <w:rPr>
              <w:color w:val="auto"/>
              <w:highlight w:val="none"/>
            </w:rPr>
            <w:tab/>
          </w:r>
          <w:r>
            <w:rPr>
              <w:color w:val="auto"/>
              <w:highlight w:val="none"/>
            </w:rPr>
            <w:fldChar w:fldCharType="begin"/>
          </w:r>
          <w:r>
            <w:rPr>
              <w:color w:val="auto"/>
              <w:highlight w:val="none"/>
            </w:rPr>
            <w:instrText xml:space="preserve"> PAGEREF _Toc14089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_Toc3772 </w:instrText>
          </w:r>
          <w:r>
            <w:rPr>
              <w:rFonts w:hint="eastAsia"/>
              <w:color w:val="auto"/>
              <w:highlight w:val="none"/>
              <w:lang w:val="zh-CN"/>
            </w:rPr>
            <w:fldChar w:fldCharType="separate"/>
          </w:r>
          <w:r>
            <w:rPr>
              <w:rFonts w:hint="eastAsia" w:ascii="仿宋" w:hAnsi="仿宋" w:eastAsia="仿宋"/>
              <w:color w:val="auto"/>
              <w:kern w:val="2"/>
              <w:szCs w:val="24"/>
              <w:highlight w:val="none"/>
              <w:lang w:val="en-US"/>
            </w:rPr>
            <w:t>九、一般公共预算财政拨款项目支出决算表</w:t>
          </w:r>
          <w:r>
            <w:rPr>
              <w:color w:val="auto"/>
              <w:highlight w:val="none"/>
            </w:rPr>
            <w:tab/>
          </w:r>
          <w:r>
            <w:rPr>
              <w:color w:val="auto"/>
              <w:highlight w:val="none"/>
            </w:rPr>
            <w:fldChar w:fldCharType="begin"/>
          </w:r>
          <w:r>
            <w:rPr>
              <w:color w:val="auto"/>
              <w:highlight w:val="none"/>
            </w:rPr>
            <w:instrText xml:space="preserve"> PAGEREF _Toc3772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_Toc23420 </w:instrText>
          </w:r>
          <w:r>
            <w:rPr>
              <w:rFonts w:hint="eastAsia"/>
              <w:color w:val="auto"/>
              <w:highlight w:val="none"/>
              <w:lang w:val="zh-CN"/>
            </w:rPr>
            <w:fldChar w:fldCharType="separate"/>
          </w:r>
          <w:r>
            <w:rPr>
              <w:rFonts w:hint="eastAsia" w:ascii="仿宋" w:hAnsi="仿宋" w:eastAsia="仿宋"/>
              <w:color w:val="auto"/>
              <w:kern w:val="2"/>
              <w:szCs w:val="24"/>
              <w:highlight w:val="none"/>
              <w:lang w:val="en-US"/>
            </w:rPr>
            <w:t>十、政府性基金预算财政拨款收入支出决算表</w:t>
          </w:r>
          <w:r>
            <w:rPr>
              <w:color w:val="auto"/>
              <w:highlight w:val="none"/>
            </w:rPr>
            <w:tab/>
          </w:r>
          <w:r>
            <w:rPr>
              <w:color w:val="auto"/>
              <w:highlight w:val="none"/>
            </w:rPr>
            <w:fldChar w:fldCharType="begin"/>
          </w:r>
          <w:r>
            <w:rPr>
              <w:color w:val="auto"/>
              <w:highlight w:val="none"/>
            </w:rPr>
            <w:instrText xml:space="preserve"> PAGEREF _Toc23420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_Toc4901 </w:instrText>
          </w:r>
          <w:r>
            <w:rPr>
              <w:rFonts w:hint="eastAsia"/>
              <w:color w:val="auto"/>
              <w:highlight w:val="none"/>
              <w:lang w:val="zh-CN"/>
            </w:rPr>
            <w:fldChar w:fldCharType="separate"/>
          </w:r>
          <w:r>
            <w:rPr>
              <w:rFonts w:hint="eastAsia" w:ascii="仿宋" w:hAnsi="仿宋" w:eastAsia="仿宋"/>
              <w:color w:val="auto"/>
              <w:kern w:val="2"/>
              <w:szCs w:val="24"/>
              <w:highlight w:val="none"/>
              <w:lang w:val="en-US"/>
            </w:rPr>
            <w:t>十一、国有资本经营预算财政拨款收入支出决算表</w:t>
          </w:r>
          <w:r>
            <w:rPr>
              <w:color w:val="auto"/>
              <w:highlight w:val="none"/>
            </w:rPr>
            <w:tab/>
          </w:r>
          <w:r>
            <w:rPr>
              <w:color w:val="auto"/>
              <w:highlight w:val="none"/>
            </w:rPr>
            <w:fldChar w:fldCharType="begin"/>
          </w:r>
          <w:r>
            <w:rPr>
              <w:color w:val="auto"/>
              <w:highlight w:val="none"/>
            </w:rPr>
            <w:instrText xml:space="preserve"> PAGEREF _Toc4901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_Toc1567 </w:instrText>
          </w:r>
          <w:r>
            <w:rPr>
              <w:rFonts w:hint="eastAsia"/>
              <w:color w:val="auto"/>
              <w:highlight w:val="none"/>
              <w:lang w:val="zh-CN"/>
            </w:rPr>
            <w:fldChar w:fldCharType="separate"/>
          </w:r>
          <w:r>
            <w:rPr>
              <w:rFonts w:hint="eastAsia" w:ascii="仿宋" w:hAnsi="仿宋" w:eastAsia="仿宋"/>
              <w:color w:val="auto"/>
              <w:kern w:val="2"/>
              <w:szCs w:val="24"/>
              <w:highlight w:val="none"/>
              <w:lang w:val="en-US"/>
            </w:rPr>
            <w:t>十二、国有资本经营预算财政拨款支出决算表</w:t>
          </w:r>
          <w:r>
            <w:rPr>
              <w:color w:val="auto"/>
              <w:highlight w:val="none"/>
            </w:rPr>
            <w:tab/>
          </w:r>
          <w:r>
            <w:rPr>
              <w:color w:val="auto"/>
              <w:highlight w:val="none"/>
            </w:rPr>
            <w:fldChar w:fldCharType="begin"/>
          </w:r>
          <w:r>
            <w:rPr>
              <w:color w:val="auto"/>
              <w:highlight w:val="none"/>
            </w:rPr>
            <w:instrText xml:space="preserve"> PAGEREF _Toc1567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highlight w:val="none"/>
              <w:lang w:val="zh-CN"/>
            </w:rPr>
            <w:fldChar w:fldCharType="end"/>
          </w:r>
        </w:p>
        <w:p>
          <w:pPr>
            <w:pStyle w:val="11"/>
            <w:shd w:val="clear"/>
            <w:tabs>
              <w:tab w:val="right" w:leader="dot" w:pos="8640"/>
            </w:tabs>
            <w:rPr>
              <w:color w:val="auto"/>
              <w:highlight w:val="none"/>
            </w:rPr>
          </w:pPr>
          <w:r>
            <w:rPr>
              <w:rFonts w:hint="eastAsia"/>
              <w:color w:val="auto"/>
              <w:highlight w:val="none"/>
              <w:lang w:val="zh-CN"/>
            </w:rPr>
            <w:fldChar w:fldCharType="begin"/>
          </w:r>
          <w:r>
            <w:rPr>
              <w:rFonts w:hint="eastAsia"/>
              <w:color w:val="auto"/>
              <w:highlight w:val="none"/>
              <w:lang w:val="zh-CN"/>
            </w:rPr>
            <w:instrText xml:space="preserve"> HYPERLINK \l _Toc17474 </w:instrText>
          </w:r>
          <w:r>
            <w:rPr>
              <w:rFonts w:hint="eastAsia"/>
              <w:color w:val="auto"/>
              <w:highlight w:val="none"/>
              <w:lang w:val="zh-CN"/>
            </w:rPr>
            <w:fldChar w:fldCharType="separate"/>
          </w:r>
          <w:r>
            <w:rPr>
              <w:rFonts w:hint="eastAsia" w:ascii="仿宋" w:hAnsi="仿宋" w:eastAsia="仿宋"/>
              <w:color w:val="auto"/>
              <w:kern w:val="2"/>
              <w:szCs w:val="24"/>
              <w:highlight w:val="none"/>
              <w:lang w:val="en-US"/>
            </w:rPr>
            <w:t>十三、财政拨款“三公”经费支出决算表</w:t>
          </w:r>
          <w:r>
            <w:rPr>
              <w:color w:val="auto"/>
              <w:highlight w:val="none"/>
            </w:rPr>
            <w:tab/>
          </w:r>
          <w:r>
            <w:rPr>
              <w:color w:val="auto"/>
              <w:highlight w:val="none"/>
            </w:rPr>
            <w:fldChar w:fldCharType="begin"/>
          </w:r>
          <w:r>
            <w:rPr>
              <w:color w:val="auto"/>
              <w:highlight w:val="none"/>
            </w:rPr>
            <w:instrText xml:space="preserve"> PAGEREF _Toc17474 \h </w:instrText>
          </w:r>
          <w:r>
            <w:rPr>
              <w:color w:val="auto"/>
              <w:highlight w:val="none"/>
            </w:rPr>
            <w:fldChar w:fldCharType="separate"/>
          </w:r>
          <w:r>
            <w:rPr>
              <w:color w:val="auto"/>
              <w:highlight w:val="none"/>
            </w:rPr>
            <w:t>27</w:t>
          </w:r>
          <w:r>
            <w:rPr>
              <w:color w:val="auto"/>
              <w:highlight w:val="none"/>
            </w:rPr>
            <w:fldChar w:fldCharType="end"/>
          </w:r>
          <w:r>
            <w:rPr>
              <w:rFonts w:hint="eastAsia"/>
              <w:color w:val="auto"/>
              <w:highlight w:val="none"/>
              <w:lang w:val="zh-CN"/>
            </w:rPr>
            <w:fldChar w:fldCharType="end"/>
          </w:r>
        </w:p>
        <w:p>
          <w:pPr>
            <w:pStyle w:val="2"/>
            <w:shd w:val="clear"/>
            <w:rPr>
              <w:rFonts w:hint="eastAsia"/>
              <w:color w:val="auto"/>
              <w:highlight w:val="none"/>
              <w:lang w:val="zh-CN"/>
            </w:rPr>
          </w:pPr>
          <w:r>
            <w:rPr>
              <w:rFonts w:hint="eastAsia"/>
              <w:color w:val="auto"/>
              <w:highlight w:val="none"/>
              <w:lang w:val="zh-CN"/>
            </w:rPr>
            <w:fldChar w:fldCharType="end"/>
          </w:r>
        </w:p>
      </w:sdtContent>
    </w:sdt>
    <w:p>
      <w:pPr>
        <w:shd w:val="clear"/>
        <w:jc w:val="both"/>
        <w:rPr>
          <w:rFonts w:hint="eastAsia" w:ascii="Times New Roman" w:hAnsi="Times New Roman" w:eastAsia="Times New Roman"/>
          <w:color w:val="auto"/>
          <w:kern w:val="2"/>
          <w:sz w:val="21"/>
          <w:szCs w:val="24"/>
          <w:highlight w:val="none"/>
          <w:lang w:val="zh-CN"/>
        </w:rPr>
      </w:pPr>
    </w:p>
    <w:p>
      <w:pPr>
        <w:shd w:val="clear"/>
        <w:spacing w:line="440" w:lineRule="exact"/>
        <w:ind w:firstLine="1320"/>
        <w:rPr>
          <w:rFonts w:hint="eastAsia" w:ascii="仿宋" w:hAnsi="仿宋" w:eastAsia="仿宋"/>
          <w:color w:val="auto"/>
          <w:kern w:val="2"/>
          <w:sz w:val="24"/>
          <w:szCs w:val="24"/>
          <w:highlight w:val="none"/>
          <w:lang w:val="zh-CN"/>
        </w:rPr>
      </w:pPr>
    </w:p>
    <w:p>
      <w:pPr>
        <w:pStyle w:val="3"/>
        <w:keepNext/>
        <w:keepLines/>
        <w:shd w:val="clear"/>
        <w:spacing w:before="340" w:after="330" w:line="576" w:lineRule="auto"/>
        <w:jc w:val="center"/>
        <w:rPr>
          <w:rFonts w:hint="eastAsia" w:ascii="黑体" w:hAnsi="黑体" w:eastAsia="黑体"/>
          <w:color w:val="auto"/>
          <w:kern w:val="44"/>
          <w:sz w:val="44"/>
          <w:szCs w:val="24"/>
          <w:highlight w:val="none"/>
          <w:lang w:val="zh-CN"/>
        </w:rPr>
        <w:sectPr>
          <w:pgSz w:w="12240" w:h="15840"/>
          <w:pgMar w:top="1440" w:right="1800" w:bottom="1440" w:left="1800" w:header="720" w:footer="720" w:gutter="0"/>
          <w:lnNumType w:countBy="0" w:distance="360"/>
          <w:cols w:space="720" w:num="1"/>
        </w:sectPr>
      </w:pPr>
    </w:p>
    <w:p>
      <w:pPr>
        <w:pStyle w:val="3"/>
        <w:keepNext/>
        <w:keepLines/>
        <w:shd w:val="clear"/>
        <w:spacing w:before="340" w:after="330" w:line="576" w:lineRule="auto"/>
        <w:jc w:val="center"/>
        <w:rPr>
          <w:rFonts w:hint="eastAsia" w:ascii="黑体" w:hAnsi="黑体" w:eastAsia="黑体"/>
          <w:b/>
          <w:color w:val="auto"/>
          <w:kern w:val="44"/>
          <w:sz w:val="44"/>
          <w:szCs w:val="24"/>
          <w:highlight w:val="none"/>
          <w:lang w:val="zh-CN"/>
        </w:rPr>
      </w:pPr>
      <w:bookmarkStart w:id="0" w:name="_Toc29132"/>
      <w:r>
        <w:rPr>
          <w:rFonts w:hint="eastAsia" w:ascii="黑体" w:hAnsi="黑体" w:eastAsia="黑体"/>
          <w:color w:val="auto"/>
          <w:kern w:val="44"/>
          <w:sz w:val="44"/>
          <w:szCs w:val="24"/>
          <w:highlight w:val="none"/>
          <w:lang w:val="zh-CN"/>
        </w:rPr>
        <w:t>第一部分 单位概况</w:t>
      </w:r>
      <w:bookmarkEnd w:id="0"/>
    </w:p>
    <w:p>
      <w:pPr>
        <w:pStyle w:val="4"/>
        <w:keepNext/>
        <w:keepLines/>
        <w:pageBreakBefore w:val="0"/>
        <w:widowControl w:val="0"/>
        <w:shd w:val="clear"/>
        <w:kinsoku/>
        <w:wordWrap/>
        <w:overflowPunct/>
        <w:topLinePunct w:val="0"/>
        <w:autoSpaceDE w:val="0"/>
        <w:autoSpaceDN w:val="0"/>
        <w:bidi w:val="0"/>
        <w:adjustRightInd w:val="0"/>
        <w:snapToGrid/>
        <w:spacing w:before="260" w:after="260" w:line="576" w:lineRule="exact"/>
        <w:ind w:firstLine="0"/>
        <w:jc w:val="both"/>
        <w:textAlignment w:val="auto"/>
        <w:rPr>
          <w:rFonts w:hint="eastAsia" w:ascii="黑体" w:hAnsi="黑体" w:eastAsia="黑体"/>
          <w:color w:val="auto"/>
          <w:kern w:val="2"/>
          <w:sz w:val="32"/>
          <w:szCs w:val="24"/>
          <w:highlight w:val="none"/>
          <w:lang w:val="zh-CN"/>
        </w:rPr>
      </w:pPr>
      <w:bookmarkStart w:id="1" w:name="_Toc29429"/>
      <w:r>
        <w:rPr>
          <w:rFonts w:hint="eastAsia" w:ascii="黑体" w:hAnsi="黑体" w:eastAsia="黑体"/>
          <w:color w:val="auto"/>
          <w:kern w:val="2"/>
          <w:sz w:val="32"/>
          <w:szCs w:val="24"/>
          <w:highlight w:val="none"/>
          <w:lang w:val="zh-CN"/>
        </w:rPr>
        <w:t>一、主要</w:t>
      </w:r>
      <w:r>
        <w:rPr>
          <w:rFonts w:hint="eastAsia" w:ascii="黑体" w:hAnsi="黑体" w:eastAsia="黑体"/>
          <w:color w:val="auto"/>
          <w:kern w:val="2"/>
          <w:sz w:val="32"/>
          <w:szCs w:val="24"/>
          <w:highlight w:val="none"/>
          <w:lang w:val="zh-CN"/>
        </w:rPr>
        <w:t>职责</w:t>
      </w:r>
      <w:bookmarkEnd w:id="1"/>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0" w:firstLineChars="200"/>
        <w:textAlignment w:val="auto"/>
        <w:rPr>
          <w:rFonts w:hint="eastAsia"/>
          <w:color w:val="auto"/>
          <w:highlight w:val="none"/>
          <w:lang w:val="zh-CN"/>
        </w:rPr>
      </w:pPr>
      <w:r>
        <w:rPr>
          <w:rFonts w:hint="eastAsia" w:ascii="仿宋_GB2312" w:hAnsi="仿宋_GB2312" w:eastAsia="仿宋_GB2312"/>
          <w:color w:val="auto"/>
          <w:kern w:val="2"/>
          <w:sz w:val="32"/>
          <w:szCs w:val="24"/>
          <w:highlight w:val="none"/>
          <w:lang w:val="zh-CN"/>
        </w:rPr>
        <w:t>广元市特种设备监督检验所成立于1985年，是广元市市场</w:t>
      </w:r>
      <w:r>
        <w:rPr>
          <w:rFonts w:hint="eastAsia" w:ascii="仿宋_GB2312" w:hAnsi="仿宋_GB2312" w:eastAsia="仿宋_GB2312"/>
          <w:color w:val="auto"/>
          <w:kern w:val="2"/>
          <w:sz w:val="32"/>
          <w:szCs w:val="24"/>
          <w:highlight w:val="none"/>
          <w:lang w:val="en-US" w:eastAsia="zh-CN"/>
        </w:rPr>
        <w:t>监督管理局</w:t>
      </w:r>
      <w:r>
        <w:rPr>
          <w:rFonts w:hint="eastAsia" w:ascii="仿宋_GB2312" w:hAnsi="仿宋_GB2312" w:eastAsia="仿宋_GB2312"/>
          <w:color w:val="auto"/>
          <w:kern w:val="2"/>
          <w:sz w:val="32"/>
          <w:szCs w:val="24"/>
          <w:highlight w:val="none"/>
          <w:lang w:val="zh-CN"/>
        </w:rPr>
        <w:t>的直属技术机构，核定收支、定额补助的非营利事业单位，独立法人。业务范围是承担全市锅炉、压力容器（含气瓶）、压力管道、电梯、起重机械等特种设备的定期和监督检验；特种设备安全技术咨询服务等工作。</w:t>
      </w:r>
    </w:p>
    <w:p>
      <w:pPr>
        <w:pStyle w:val="4"/>
        <w:keepNext/>
        <w:keepLines/>
        <w:pageBreakBefore w:val="0"/>
        <w:widowControl w:val="0"/>
        <w:numPr>
          <w:ilvl w:val="0"/>
          <w:numId w:val="1"/>
        </w:numPr>
        <w:shd w:val="clear"/>
        <w:kinsoku/>
        <w:wordWrap/>
        <w:overflowPunct/>
        <w:topLinePunct w:val="0"/>
        <w:autoSpaceDE w:val="0"/>
        <w:autoSpaceDN w:val="0"/>
        <w:bidi w:val="0"/>
        <w:adjustRightInd w:val="0"/>
        <w:snapToGrid/>
        <w:spacing w:before="260" w:after="260" w:line="576" w:lineRule="exact"/>
        <w:ind w:firstLine="0"/>
        <w:jc w:val="both"/>
        <w:textAlignment w:val="auto"/>
        <w:rPr>
          <w:rFonts w:hint="eastAsia" w:ascii="黑体" w:hAnsi="黑体" w:eastAsia="黑体"/>
          <w:color w:val="auto"/>
          <w:kern w:val="2"/>
          <w:sz w:val="32"/>
          <w:szCs w:val="24"/>
          <w:highlight w:val="none"/>
          <w:lang w:val="zh-CN"/>
        </w:rPr>
      </w:pPr>
      <w:bookmarkStart w:id="2" w:name="_Toc15647"/>
      <w:r>
        <w:rPr>
          <w:rFonts w:hint="eastAsia" w:ascii="黑体" w:hAnsi="黑体" w:eastAsia="黑体"/>
          <w:color w:val="auto"/>
          <w:kern w:val="2"/>
          <w:sz w:val="32"/>
          <w:szCs w:val="24"/>
          <w:highlight w:val="none"/>
          <w:lang w:val="zh-CN"/>
        </w:rPr>
        <w:t>机</w:t>
      </w:r>
      <w:r>
        <w:rPr>
          <w:rFonts w:hint="eastAsia" w:ascii="黑体" w:hAnsi="黑体" w:eastAsia="黑体"/>
          <w:color w:val="auto"/>
          <w:kern w:val="2"/>
          <w:sz w:val="32"/>
          <w:szCs w:val="24"/>
          <w:highlight w:val="none"/>
          <w:lang w:val="zh-CN"/>
        </w:rPr>
        <w:t>构设置</w:t>
      </w:r>
      <w:bookmarkEnd w:id="2"/>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0" w:firstLineChars="200"/>
        <w:textAlignment w:val="auto"/>
        <w:rPr>
          <w:rFonts w:hint="default" w:ascii="仿宋_GB2312" w:hAnsi="仿宋_GB2312" w:eastAsia="仿宋_GB2312"/>
          <w:color w:val="auto"/>
          <w:kern w:val="2"/>
          <w:sz w:val="32"/>
          <w:szCs w:val="24"/>
          <w:highlight w:val="none"/>
          <w:lang w:val="zh-CN"/>
        </w:rPr>
      </w:pPr>
      <w:r>
        <w:rPr>
          <w:rFonts w:hint="default" w:ascii="仿宋_GB2312" w:hAnsi="仿宋_GB2312" w:eastAsia="仿宋_GB2312"/>
          <w:color w:val="auto"/>
          <w:kern w:val="2"/>
          <w:sz w:val="32"/>
          <w:szCs w:val="24"/>
          <w:highlight w:val="none"/>
          <w:lang w:val="zh-CN"/>
        </w:rPr>
        <w:t>202</w:t>
      </w:r>
      <w:r>
        <w:rPr>
          <w:rFonts w:hint="eastAsia" w:ascii="仿宋_GB2312" w:hAnsi="仿宋_GB2312" w:eastAsia="仿宋_GB2312"/>
          <w:color w:val="auto"/>
          <w:kern w:val="2"/>
          <w:sz w:val="32"/>
          <w:szCs w:val="24"/>
          <w:highlight w:val="none"/>
          <w:lang w:val="en-US" w:eastAsia="zh-CN"/>
        </w:rPr>
        <w:t>2</w:t>
      </w:r>
      <w:r>
        <w:rPr>
          <w:rFonts w:hint="default" w:ascii="仿宋_GB2312" w:hAnsi="仿宋_GB2312" w:eastAsia="仿宋_GB2312"/>
          <w:color w:val="auto"/>
          <w:kern w:val="2"/>
          <w:sz w:val="32"/>
          <w:szCs w:val="24"/>
          <w:highlight w:val="none"/>
          <w:lang w:val="zh-CN"/>
        </w:rPr>
        <w:t>年设独立预算单位1个，与上年无变化。从预算单位构成看，我单位部门预算为</w:t>
      </w:r>
      <w:r>
        <w:rPr>
          <w:rFonts w:hint="eastAsia" w:ascii="仿宋_GB2312" w:hAnsi="仿宋_GB2312" w:eastAsia="仿宋_GB2312"/>
          <w:color w:val="auto"/>
          <w:kern w:val="2"/>
          <w:sz w:val="32"/>
          <w:szCs w:val="24"/>
          <w:highlight w:val="none"/>
          <w:lang w:val="zh-CN"/>
        </w:rPr>
        <w:t>二级</w:t>
      </w:r>
      <w:r>
        <w:rPr>
          <w:rFonts w:hint="default" w:ascii="仿宋_GB2312" w:hAnsi="仿宋_GB2312" w:eastAsia="仿宋_GB2312"/>
          <w:color w:val="auto"/>
          <w:kern w:val="2"/>
          <w:sz w:val="32"/>
          <w:szCs w:val="24"/>
          <w:highlight w:val="none"/>
          <w:lang w:val="zh-CN"/>
        </w:rPr>
        <w:t>预算（属事业单位预算）。</w:t>
      </w:r>
    </w:p>
    <w:p>
      <w:pPr>
        <w:keepNext w:val="0"/>
        <w:keepLines w:val="0"/>
        <w:pageBreakBefore w:val="0"/>
        <w:widowControl w:val="0"/>
        <w:shd w:val="clear"/>
        <w:kinsoku/>
        <w:wordWrap/>
        <w:overflowPunct/>
        <w:topLinePunct w:val="0"/>
        <w:autoSpaceDE w:val="0"/>
        <w:autoSpaceDN w:val="0"/>
        <w:bidi w:val="0"/>
        <w:adjustRightInd w:val="0"/>
        <w:snapToGrid/>
        <w:spacing w:line="576" w:lineRule="exact"/>
        <w:textAlignment w:val="auto"/>
        <w:rPr>
          <w:rFonts w:hint="default" w:ascii="仿宋_GB2312" w:hAnsi="仿宋_GB2312" w:eastAsia="仿宋_GB2312"/>
          <w:color w:val="auto"/>
          <w:kern w:val="2"/>
          <w:sz w:val="32"/>
          <w:szCs w:val="24"/>
          <w:highlight w:val="none"/>
          <w:lang w:val="zh-CN"/>
        </w:rPr>
      </w:pPr>
    </w:p>
    <w:p>
      <w:pPr>
        <w:keepNext w:val="0"/>
        <w:keepLines w:val="0"/>
        <w:pageBreakBefore w:val="0"/>
        <w:widowControl w:val="0"/>
        <w:shd w:val="clear"/>
        <w:kinsoku/>
        <w:wordWrap/>
        <w:overflowPunct/>
        <w:topLinePunct w:val="0"/>
        <w:autoSpaceDE w:val="0"/>
        <w:autoSpaceDN w:val="0"/>
        <w:bidi w:val="0"/>
        <w:adjustRightInd w:val="0"/>
        <w:snapToGrid/>
        <w:spacing w:line="576" w:lineRule="exact"/>
        <w:textAlignment w:val="auto"/>
        <w:rPr>
          <w:rFonts w:hint="default" w:ascii="仿宋_GB2312" w:hAnsi="仿宋_GB2312" w:eastAsia="仿宋_GB2312"/>
          <w:color w:val="auto"/>
          <w:kern w:val="2"/>
          <w:sz w:val="32"/>
          <w:szCs w:val="24"/>
          <w:highlight w:val="none"/>
          <w:lang w:val="zh-CN"/>
        </w:rPr>
      </w:pPr>
    </w:p>
    <w:p>
      <w:pPr>
        <w:shd w:val="clear"/>
        <w:rPr>
          <w:rFonts w:hint="eastAsia" w:ascii="黑体" w:hAnsi="黑体" w:eastAsia="黑体"/>
          <w:color w:val="auto"/>
          <w:kern w:val="44"/>
          <w:sz w:val="44"/>
          <w:szCs w:val="24"/>
          <w:highlight w:val="none"/>
          <w:lang w:val="zh-CN"/>
        </w:rPr>
      </w:pPr>
      <w:r>
        <w:rPr>
          <w:rFonts w:hint="eastAsia" w:ascii="黑体" w:hAnsi="黑体" w:eastAsia="黑体"/>
          <w:color w:val="auto"/>
          <w:kern w:val="44"/>
          <w:sz w:val="44"/>
          <w:szCs w:val="24"/>
          <w:highlight w:val="none"/>
          <w:lang w:val="zh-CN"/>
        </w:rPr>
        <w:br w:type="page"/>
      </w:r>
    </w:p>
    <w:p>
      <w:pPr>
        <w:pStyle w:val="3"/>
        <w:keepNext/>
        <w:keepLines/>
        <w:shd w:val="clear"/>
        <w:spacing w:before="340" w:after="330" w:line="576" w:lineRule="exact"/>
        <w:ind w:right="442" w:firstLine="880"/>
        <w:jc w:val="center"/>
        <w:rPr>
          <w:rFonts w:hint="eastAsia" w:ascii="Times New Roman" w:hAnsi="Times New Roman" w:eastAsia="Times New Roman"/>
          <w:b/>
          <w:color w:val="auto"/>
          <w:kern w:val="44"/>
          <w:sz w:val="44"/>
          <w:szCs w:val="24"/>
          <w:highlight w:val="none"/>
          <w:lang w:val="zh-CN"/>
        </w:rPr>
      </w:pPr>
      <w:bookmarkStart w:id="3" w:name="_Toc8161"/>
      <w:r>
        <w:rPr>
          <w:rFonts w:hint="eastAsia" w:ascii="黑体" w:hAnsi="黑体" w:eastAsia="黑体"/>
          <w:color w:val="auto"/>
          <w:kern w:val="44"/>
          <w:sz w:val="44"/>
          <w:szCs w:val="24"/>
          <w:highlight w:val="none"/>
          <w:lang w:val="zh-CN"/>
        </w:rPr>
        <w:t>第二部分</w:t>
      </w:r>
      <w:r>
        <w:rPr>
          <w:rFonts w:hint="eastAsia" w:ascii="黑体" w:hAnsi="黑体" w:eastAsia="黑体"/>
          <w:b/>
          <w:color w:val="auto"/>
          <w:kern w:val="44"/>
          <w:sz w:val="44"/>
          <w:szCs w:val="24"/>
          <w:highlight w:val="none"/>
          <w:lang w:val="zh-CN"/>
        </w:rPr>
        <w:t xml:space="preserve"> </w:t>
      </w:r>
      <w:r>
        <w:rPr>
          <w:rFonts w:hint="eastAsia" w:ascii="黑体" w:hAnsi="黑体" w:eastAsia="黑体"/>
          <w:color w:val="auto"/>
          <w:kern w:val="44"/>
          <w:sz w:val="44"/>
          <w:szCs w:val="24"/>
          <w:highlight w:val="none"/>
          <w:lang w:val="zh-CN"/>
        </w:rPr>
        <w:t>2022年度单位决算情况说明</w:t>
      </w:r>
      <w:bookmarkEnd w:id="3"/>
    </w:p>
    <w:p>
      <w:pPr>
        <w:keepNext/>
        <w:keepLines/>
        <w:pageBreakBefore w:val="0"/>
        <w:widowControl w:val="0"/>
        <w:shd w:val="clear"/>
        <w:kinsoku/>
        <w:wordWrap/>
        <w:overflowPunct/>
        <w:topLinePunct w:val="0"/>
        <w:autoSpaceDE w:val="0"/>
        <w:autoSpaceDN w:val="0"/>
        <w:bidi w:val="0"/>
        <w:adjustRightInd w:val="0"/>
        <w:snapToGrid/>
        <w:spacing w:line="576" w:lineRule="exact"/>
        <w:ind w:firstLine="640" w:firstLineChars="200"/>
        <w:jc w:val="both"/>
        <w:textAlignment w:val="auto"/>
        <w:outlineLvl w:val="1"/>
        <w:rPr>
          <w:rFonts w:hint="eastAsia" w:ascii="黑体" w:hAnsi="黑体" w:eastAsia="黑体"/>
          <w:color w:val="auto"/>
          <w:kern w:val="2"/>
          <w:sz w:val="32"/>
          <w:szCs w:val="24"/>
          <w:highlight w:val="none"/>
          <w:lang w:val="zh-CN"/>
        </w:rPr>
      </w:pPr>
      <w:bookmarkStart w:id="4" w:name="_Toc30024"/>
      <w:r>
        <w:rPr>
          <w:rFonts w:hint="eastAsia" w:ascii="黑体" w:hAnsi="黑体" w:eastAsia="黑体"/>
          <w:color w:val="auto"/>
          <w:kern w:val="2"/>
          <w:sz w:val="32"/>
          <w:szCs w:val="24"/>
          <w:highlight w:val="none"/>
          <w:lang w:val="zh-CN"/>
        </w:rPr>
        <w:t>一、收</w:t>
      </w:r>
      <w:r>
        <w:rPr>
          <w:rFonts w:hint="eastAsia" w:ascii="黑体" w:hAnsi="黑体" w:eastAsia="黑体"/>
          <w:color w:val="auto"/>
          <w:kern w:val="2"/>
          <w:sz w:val="32"/>
          <w:szCs w:val="24"/>
          <w:highlight w:val="none"/>
          <w:lang w:val="zh-CN"/>
        </w:rPr>
        <w:t>入支出决算总体情况说明</w:t>
      </w:r>
      <w:bookmarkEnd w:id="4"/>
    </w:p>
    <w:p>
      <w:pPr>
        <w:keepNext/>
        <w:keepLines/>
        <w:shd w:val="clear"/>
        <w:spacing w:line="576" w:lineRule="exact"/>
        <w:ind w:firstLine="640"/>
        <w:jc w:val="both"/>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color w:val="auto"/>
          <w:kern w:val="2"/>
          <w:sz w:val="32"/>
          <w:szCs w:val="24"/>
          <w:highlight w:val="none"/>
          <w:lang w:val="zh-CN"/>
        </w:rPr>
        <w:t>2022年度收、支总计935.04万元。与2021年相比，收、支总计各增加84.2万元，增长9.9%。主要变动原因是人员经费</w:t>
      </w:r>
      <w:r>
        <w:rPr>
          <w:rFonts w:hint="eastAsia" w:ascii="仿宋_GB2312" w:hAnsi="仿宋_GB2312" w:eastAsia="仿宋_GB2312"/>
          <w:color w:val="auto"/>
          <w:kern w:val="2"/>
          <w:sz w:val="32"/>
          <w:szCs w:val="24"/>
          <w:highlight w:val="none"/>
          <w:lang w:val="en-US" w:eastAsia="zh-CN"/>
        </w:rPr>
        <w:t>增加</w:t>
      </w:r>
      <w:r>
        <w:rPr>
          <w:rFonts w:hint="eastAsia" w:ascii="仿宋_GB2312" w:hAnsi="仿宋_GB2312" w:eastAsia="仿宋_GB2312"/>
          <w:color w:val="auto"/>
          <w:kern w:val="2"/>
          <w:sz w:val="32"/>
          <w:szCs w:val="24"/>
          <w:highlight w:val="none"/>
          <w:lang w:val="zh-CN"/>
        </w:rPr>
        <w:t>。</w:t>
      </w:r>
    </w:p>
    <w:p>
      <w:pPr>
        <w:pStyle w:val="2"/>
        <w:shd w:val="clear"/>
        <w:jc w:val="center"/>
        <w:rPr>
          <w:rFonts w:hint="eastAsia"/>
          <w:color w:val="auto"/>
          <w:highlight w:val="none"/>
          <w:lang w:val="zh-CN"/>
        </w:rPr>
      </w:pPr>
      <w:r>
        <w:rPr>
          <w:rFonts w:hint="eastAsia"/>
          <w:color w:val="auto"/>
          <w:highlight w:val="none"/>
          <w:lang w:val="zh-CN"/>
        </w:rPr>
        <w:drawing>
          <wp:inline distT="0" distB="0" distL="114300" distR="114300">
            <wp:extent cx="5045710" cy="2872105"/>
            <wp:effectExtent l="0" t="0" r="8890" b="10795"/>
            <wp:docPr id="1" name="图片 1" descr="E:\预算管理一体化系统\预算一体化资料汇总\96、预算&amp;决算公开\2022年决算公开\市本级\1、特检所\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预算管理一体化系统\预算一体化资料汇总\96、预算&amp;决算公开\2022年决算公开\市本级\1、特检所\图片1.png图片1"/>
                    <pic:cNvPicPr>
                      <a:picLocks noChangeAspect="1"/>
                    </pic:cNvPicPr>
                  </pic:nvPicPr>
                  <pic:blipFill>
                    <a:blip r:embed="rId5"/>
                    <a:srcRect l="2990" r="2990"/>
                    <a:stretch>
                      <a:fillRect/>
                    </a:stretch>
                  </pic:blipFill>
                  <pic:spPr>
                    <a:xfrm>
                      <a:off x="0" y="0"/>
                      <a:ext cx="5045710" cy="2872105"/>
                    </a:xfrm>
                    <a:prstGeom prst="rect">
                      <a:avLst/>
                    </a:prstGeom>
                  </pic:spPr>
                </pic:pic>
              </a:graphicData>
            </a:graphic>
          </wp:inline>
        </w:drawing>
      </w:r>
    </w:p>
    <w:p>
      <w:pPr>
        <w:shd w:val="clear"/>
        <w:spacing w:line="600" w:lineRule="exact"/>
        <w:jc w:val="center"/>
        <w:rPr>
          <w:rFonts w:hint="eastAsia" w:ascii="仿宋" w:hAnsi="仿宋" w:eastAsia="仿宋"/>
          <w:color w:val="auto"/>
          <w:kern w:val="2"/>
          <w:sz w:val="32"/>
          <w:szCs w:val="24"/>
          <w:highlight w:val="none"/>
          <w:lang w:val="en-US"/>
        </w:rPr>
      </w:pPr>
      <w:r>
        <w:rPr>
          <w:rFonts w:hint="eastAsia" w:ascii="仿宋" w:hAnsi="仿宋" w:eastAsia="仿宋"/>
          <w:color w:val="auto"/>
          <w:kern w:val="2"/>
          <w:sz w:val="32"/>
          <w:szCs w:val="24"/>
          <w:highlight w:val="none"/>
          <w:lang w:val="en-US"/>
        </w:rPr>
        <w:t>（图1：收、支决算总计变动情况图）（柱状图）</w:t>
      </w:r>
    </w:p>
    <w:p>
      <w:pPr>
        <w:keepNext/>
        <w:keepLines/>
        <w:pageBreakBefore w:val="0"/>
        <w:widowControl w:val="0"/>
        <w:shd w:val="clear"/>
        <w:kinsoku/>
        <w:wordWrap/>
        <w:overflowPunct/>
        <w:topLinePunct w:val="0"/>
        <w:autoSpaceDE w:val="0"/>
        <w:autoSpaceDN w:val="0"/>
        <w:bidi w:val="0"/>
        <w:adjustRightInd w:val="0"/>
        <w:snapToGrid/>
        <w:spacing w:line="576" w:lineRule="exact"/>
        <w:ind w:firstLine="640" w:firstLineChars="200"/>
        <w:jc w:val="both"/>
        <w:textAlignment w:val="auto"/>
        <w:outlineLvl w:val="1"/>
        <w:rPr>
          <w:rFonts w:hint="eastAsia" w:ascii="黑体" w:hAnsi="黑体" w:eastAsia="黑体"/>
          <w:color w:val="auto"/>
          <w:kern w:val="2"/>
          <w:sz w:val="32"/>
          <w:szCs w:val="24"/>
          <w:highlight w:val="none"/>
          <w:lang w:val="zh-CN"/>
        </w:rPr>
      </w:pPr>
      <w:bookmarkStart w:id="5" w:name="_Toc30656"/>
      <w:r>
        <w:rPr>
          <w:rFonts w:hint="eastAsia" w:ascii="黑体" w:hAnsi="黑体" w:eastAsia="黑体"/>
          <w:color w:val="auto"/>
          <w:kern w:val="2"/>
          <w:sz w:val="32"/>
          <w:szCs w:val="24"/>
          <w:highlight w:val="none"/>
          <w:lang w:val="zh-CN"/>
        </w:rPr>
        <w:t>二、收</w:t>
      </w:r>
      <w:r>
        <w:rPr>
          <w:rFonts w:hint="eastAsia" w:ascii="黑体" w:hAnsi="黑体" w:eastAsia="黑体"/>
          <w:color w:val="auto"/>
          <w:kern w:val="2"/>
          <w:sz w:val="32"/>
          <w:szCs w:val="24"/>
          <w:highlight w:val="none"/>
          <w:lang w:val="zh-CN"/>
        </w:rPr>
        <w:t>入决算情况说明</w:t>
      </w:r>
      <w:bookmarkEnd w:id="5"/>
    </w:p>
    <w:p>
      <w:pPr>
        <w:keepNext/>
        <w:keepLines/>
        <w:shd w:val="clear"/>
        <w:spacing w:line="576" w:lineRule="exact"/>
        <w:ind w:firstLine="640"/>
        <w:jc w:val="both"/>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color w:val="auto"/>
          <w:kern w:val="2"/>
          <w:sz w:val="32"/>
          <w:szCs w:val="24"/>
          <w:highlight w:val="none"/>
          <w:lang w:val="zh-CN"/>
        </w:rPr>
        <w:t>2022年本年收入合计919万元，其中：一般公共预算财政拨款收入917.27万元，占99.8%；其他收入1.73万元，占0.2%。</w:t>
      </w:r>
    </w:p>
    <w:p>
      <w:pPr>
        <w:pStyle w:val="2"/>
        <w:shd w:val="clear"/>
        <w:jc w:val="center"/>
        <w:rPr>
          <w:rFonts w:hint="eastAsia" w:eastAsia="仿宋_GB2312"/>
          <w:color w:val="auto"/>
          <w:highlight w:val="none"/>
          <w:lang w:val="en-US" w:eastAsia="zh-CN"/>
        </w:rPr>
      </w:pPr>
      <w:r>
        <w:rPr>
          <w:rFonts w:hint="eastAsia" w:eastAsia="仿宋_GB2312"/>
          <w:color w:val="auto"/>
          <w:highlight w:val="none"/>
          <w:lang w:val="en-US" w:eastAsia="zh-CN"/>
        </w:rPr>
        <w:drawing>
          <wp:inline distT="0" distB="0" distL="114300" distR="114300">
            <wp:extent cx="4716780" cy="2530475"/>
            <wp:effectExtent l="0" t="0" r="7620" b="9525"/>
            <wp:docPr id="2" name="图片 2" descr="E:\预算管理一体化系统\预算一体化资料汇总\96、预算&amp;决算公开\2022年决算公开\市本级\1、特检所\图片2.png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预算管理一体化系统\预算一体化资料汇总\96、预算&amp;决算公开\2022年决算公开\市本级\1、特检所\图片2.png图片2"/>
                    <pic:cNvPicPr>
                      <a:picLocks noChangeAspect="1"/>
                    </pic:cNvPicPr>
                  </pic:nvPicPr>
                  <pic:blipFill>
                    <a:blip r:embed="rId6"/>
                    <a:srcRect l="91" r="91"/>
                    <a:stretch>
                      <a:fillRect/>
                    </a:stretch>
                  </pic:blipFill>
                  <pic:spPr>
                    <a:xfrm>
                      <a:off x="0" y="0"/>
                      <a:ext cx="4716780" cy="2530475"/>
                    </a:xfrm>
                    <a:prstGeom prst="rect">
                      <a:avLst/>
                    </a:prstGeom>
                  </pic:spPr>
                </pic:pic>
              </a:graphicData>
            </a:graphic>
          </wp:inline>
        </w:drawing>
      </w:r>
    </w:p>
    <w:p>
      <w:pPr>
        <w:shd w:val="clear"/>
        <w:spacing w:line="600" w:lineRule="exact"/>
        <w:jc w:val="center"/>
        <w:rPr>
          <w:rFonts w:hint="eastAsia" w:ascii="仿宋" w:hAnsi="仿宋" w:eastAsia="仿宋"/>
          <w:color w:val="auto"/>
          <w:kern w:val="2"/>
          <w:sz w:val="32"/>
          <w:szCs w:val="24"/>
          <w:highlight w:val="none"/>
          <w:lang w:val="en-US"/>
        </w:rPr>
      </w:pPr>
      <w:r>
        <w:rPr>
          <w:rFonts w:hint="eastAsia" w:ascii="仿宋" w:hAnsi="仿宋" w:eastAsia="仿宋"/>
          <w:color w:val="auto"/>
          <w:kern w:val="2"/>
          <w:sz w:val="32"/>
          <w:szCs w:val="24"/>
          <w:highlight w:val="none"/>
          <w:lang w:val="en-US"/>
        </w:rPr>
        <w:t>（图2：收入决算结构图）（饼状图）</w:t>
      </w:r>
    </w:p>
    <w:p>
      <w:pPr>
        <w:keepNext/>
        <w:keepLines/>
        <w:pageBreakBefore w:val="0"/>
        <w:widowControl w:val="0"/>
        <w:shd w:val="clear"/>
        <w:kinsoku/>
        <w:wordWrap/>
        <w:overflowPunct/>
        <w:topLinePunct w:val="0"/>
        <w:autoSpaceDE w:val="0"/>
        <w:autoSpaceDN w:val="0"/>
        <w:bidi w:val="0"/>
        <w:adjustRightInd w:val="0"/>
        <w:snapToGrid/>
        <w:spacing w:line="576" w:lineRule="exact"/>
        <w:ind w:firstLine="640" w:firstLineChars="200"/>
        <w:jc w:val="both"/>
        <w:textAlignment w:val="auto"/>
        <w:outlineLvl w:val="1"/>
        <w:rPr>
          <w:rFonts w:hint="eastAsia" w:ascii="黑体" w:hAnsi="黑体" w:eastAsia="黑体"/>
          <w:color w:val="auto"/>
          <w:kern w:val="2"/>
          <w:sz w:val="32"/>
          <w:szCs w:val="24"/>
          <w:highlight w:val="none"/>
          <w:lang w:val="zh-CN"/>
        </w:rPr>
      </w:pPr>
      <w:bookmarkStart w:id="6" w:name="_Toc13629"/>
      <w:r>
        <w:rPr>
          <w:rFonts w:hint="eastAsia" w:ascii="黑体" w:hAnsi="黑体" w:eastAsia="黑体"/>
          <w:color w:val="auto"/>
          <w:kern w:val="2"/>
          <w:sz w:val="32"/>
          <w:szCs w:val="24"/>
          <w:highlight w:val="none"/>
          <w:lang w:val="zh-CN"/>
        </w:rPr>
        <w:t>三、支</w:t>
      </w:r>
      <w:r>
        <w:rPr>
          <w:rFonts w:hint="eastAsia" w:ascii="黑体" w:hAnsi="黑体" w:eastAsia="黑体"/>
          <w:color w:val="auto"/>
          <w:kern w:val="2"/>
          <w:sz w:val="32"/>
          <w:szCs w:val="24"/>
          <w:highlight w:val="none"/>
          <w:lang w:val="zh-CN"/>
        </w:rPr>
        <w:t>出决算情况说明</w:t>
      </w:r>
      <w:bookmarkEnd w:id="6"/>
    </w:p>
    <w:p>
      <w:pPr>
        <w:keepNext/>
        <w:keepLines/>
        <w:shd w:val="clear"/>
        <w:spacing w:line="576" w:lineRule="exact"/>
        <w:ind w:firstLine="640"/>
        <w:jc w:val="both"/>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color w:val="auto"/>
          <w:kern w:val="2"/>
          <w:sz w:val="32"/>
          <w:szCs w:val="24"/>
          <w:highlight w:val="none"/>
          <w:lang w:val="zh-CN"/>
        </w:rPr>
        <w:t>2022年本年支出合计935.04万元，其中：基本支出426.49万元，占45.6%；项目支出508.55万元，占54.4%。</w:t>
      </w:r>
    </w:p>
    <w:p>
      <w:pPr>
        <w:shd w:val="clear"/>
        <w:spacing w:line="240" w:lineRule="auto"/>
        <w:jc w:val="center"/>
        <w:rPr>
          <w:rFonts w:hint="eastAsia" w:ascii="仿宋" w:hAnsi="仿宋" w:eastAsia="仿宋"/>
          <w:b/>
          <w:color w:val="auto"/>
          <w:kern w:val="2"/>
          <w:sz w:val="32"/>
          <w:szCs w:val="24"/>
          <w:highlight w:val="none"/>
          <w:lang w:val="en-US" w:eastAsia="zh-CN"/>
        </w:rPr>
      </w:pPr>
      <w:r>
        <w:rPr>
          <w:rFonts w:hint="eastAsia" w:ascii="仿宋" w:hAnsi="仿宋" w:eastAsia="仿宋"/>
          <w:b/>
          <w:color w:val="auto"/>
          <w:kern w:val="2"/>
          <w:sz w:val="32"/>
          <w:szCs w:val="24"/>
          <w:highlight w:val="none"/>
          <w:lang w:val="en-US" w:eastAsia="zh-CN"/>
        </w:rPr>
        <w:drawing>
          <wp:inline distT="0" distB="0" distL="114300" distR="114300">
            <wp:extent cx="4347210" cy="2492375"/>
            <wp:effectExtent l="0" t="0" r="8890" b="9525"/>
            <wp:docPr id="3" name="图片 3" descr="E:\预算管理一体化系统\预算一体化资料汇总\96、预算&amp;决算公开\2022年决算公开\市本级\1、特检所\图片3.png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预算管理一体化系统\预算一体化资料汇总\96、预算&amp;决算公开\2022年决算公开\市本级\1、特检所\图片3.png图片3"/>
                    <pic:cNvPicPr>
                      <a:picLocks noChangeAspect="1"/>
                    </pic:cNvPicPr>
                  </pic:nvPicPr>
                  <pic:blipFill>
                    <a:blip r:embed="rId7"/>
                    <a:srcRect/>
                    <a:stretch>
                      <a:fillRect/>
                    </a:stretch>
                  </pic:blipFill>
                  <pic:spPr>
                    <a:xfrm>
                      <a:off x="0" y="0"/>
                      <a:ext cx="4347210" cy="2492375"/>
                    </a:xfrm>
                    <a:prstGeom prst="rect">
                      <a:avLst/>
                    </a:prstGeom>
                  </pic:spPr>
                </pic:pic>
              </a:graphicData>
            </a:graphic>
          </wp:inline>
        </w:drawing>
      </w:r>
    </w:p>
    <w:p>
      <w:pPr>
        <w:shd w:val="clear"/>
        <w:spacing w:line="600" w:lineRule="exact"/>
        <w:jc w:val="center"/>
        <w:rPr>
          <w:rFonts w:hint="eastAsia" w:ascii="仿宋" w:hAnsi="仿宋" w:eastAsia="仿宋"/>
          <w:color w:val="auto"/>
          <w:kern w:val="2"/>
          <w:sz w:val="32"/>
          <w:szCs w:val="24"/>
          <w:highlight w:val="none"/>
          <w:lang w:val="en-US"/>
        </w:rPr>
      </w:pPr>
      <w:r>
        <w:rPr>
          <w:rFonts w:hint="eastAsia" w:ascii="仿宋" w:hAnsi="仿宋" w:eastAsia="仿宋"/>
          <w:color w:val="auto"/>
          <w:kern w:val="2"/>
          <w:sz w:val="32"/>
          <w:szCs w:val="24"/>
          <w:highlight w:val="none"/>
          <w:lang w:val="en-US"/>
        </w:rPr>
        <w:t>（图3：支出决算结构图）（饼状图）</w:t>
      </w:r>
    </w:p>
    <w:p>
      <w:pPr>
        <w:keepNext/>
        <w:keepLines/>
        <w:pageBreakBefore w:val="0"/>
        <w:widowControl w:val="0"/>
        <w:shd w:val="clear"/>
        <w:kinsoku/>
        <w:wordWrap/>
        <w:overflowPunct/>
        <w:topLinePunct w:val="0"/>
        <w:autoSpaceDE w:val="0"/>
        <w:autoSpaceDN w:val="0"/>
        <w:bidi w:val="0"/>
        <w:adjustRightInd w:val="0"/>
        <w:snapToGrid/>
        <w:spacing w:line="576" w:lineRule="exact"/>
        <w:ind w:firstLine="640" w:firstLineChars="200"/>
        <w:jc w:val="both"/>
        <w:textAlignment w:val="auto"/>
        <w:outlineLvl w:val="1"/>
        <w:rPr>
          <w:rFonts w:hint="eastAsia" w:ascii="黑体" w:hAnsi="黑体" w:eastAsia="黑体"/>
          <w:color w:val="auto"/>
          <w:kern w:val="2"/>
          <w:sz w:val="32"/>
          <w:szCs w:val="24"/>
          <w:highlight w:val="none"/>
          <w:lang w:val="zh-CN"/>
        </w:rPr>
      </w:pPr>
      <w:bookmarkStart w:id="7" w:name="_Toc1865"/>
      <w:r>
        <w:rPr>
          <w:rFonts w:hint="eastAsia" w:ascii="黑体" w:hAnsi="黑体" w:eastAsia="黑体"/>
          <w:color w:val="auto"/>
          <w:kern w:val="2"/>
          <w:sz w:val="32"/>
          <w:szCs w:val="24"/>
          <w:highlight w:val="none"/>
          <w:lang w:val="zh-CN"/>
        </w:rPr>
        <w:t>四、财</w:t>
      </w:r>
      <w:r>
        <w:rPr>
          <w:rFonts w:hint="eastAsia" w:ascii="黑体" w:hAnsi="黑体" w:eastAsia="黑体"/>
          <w:color w:val="auto"/>
          <w:kern w:val="2"/>
          <w:sz w:val="32"/>
          <w:szCs w:val="24"/>
          <w:highlight w:val="none"/>
          <w:lang w:val="zh-CN"/>
        </w:rPr>
        <w:t>政拨款收入支出决算总体情况说明</w:t>
      </w:r>
      <w:bookmarkEnd w:id="7"/>
    </w:p>
    <w:p>
      <w:pPr>
        <w:shd w:val="clear"/>
        <w:spacing w:line="576" w:lineRule="exact"/>
        <w:ind w:firstLine="640"/>
        <w:jc w:val="both"/>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color w:val="auto"/>
          <w:kern w:val="2"/>
          <w:sz w:val="32"/>
          <w:szCs w:val="24"/>
          <w:highlight w:val="none"/>
          <w:lang w:val="zh-CN"/>
        </w:rPr>
        <w:t>2022年财政拨款收、支总计931.35万元。与2021年相比，财政拨款收、支总计各增加84.59万元，增长10%。主要变动原因是人员经费增加。</w:t>
      </w:r>
    </w:p>
    <w:p>
      <w:pPr>
        <w:shd w:val="clear"/>
        <w:spacing w:line="240" w:lineRule="auto"/>
        <w:jc w:val="center"/>
        <w:rPr>
          <w:rFonts w:hint="eastAsia" w:ascii="仿宋" w:hAnsi="仿宋" w:eastAsia="仿宋"/>
          <w:b/>
          <w:color w:val="auto"/>
          <w:kern w:val="2"/>
          <w:sz w:val="32"/>
          <w:szCs w:val="24"/>
          <w:highlight w:val="none"/>
          <w:lang w:val="en-US" w:eastAsia="zh-CN"/>
        </w:rPr>
      </w:pPr>
      <w:r>
        <w:rPr>
          <w:rFonts w:hint="eastAsia" w:ascii="仿宋" w:hAnsi="仿宋" w:eastAsia="仿宋"/>
          <w:b/>
          <w:color w:val="auto"/>
          <w:kern w:val="2"/>
          <w:sz w:val="32"/>
          <w:szCs w:val="24"/>
          <w:highlight w:val="none"/>
          <w:lang w:val="en-US" w:eastAsia="zh-CN"/>
        </w:rPr>
        <w:drawing>
          <wp:inline distT="0" distB="0" distL="114300" distR="114300">
            <wp:extent cx="4559935" cy="2614295"/>
            <wp:effectExtent l="0" t="0" r="12065" b="1905"/>
            <wp:docPr id="4" name="图片 4"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4"/>
                    <pic:cNvPicPr>
                      <a:picLocks noChangeAspect="1"/>
                    </pic:cNvPicPr>
                  </pic:nvPicPr>
                  <pic:blipFill>
                    <a:blip r:embed="rId8"/>
                    <a:stretch>
                      <a:fillRect/>
                    </a:stretch>
                  </pic:blipFill>
                  <pic:spPr>
                    <a:xfrm>
                      <a:off x="0" y="0"/>
                      <a:ext cx="4559935" cy="2614295"/>
                    </a:xfrm>
                    <a:prstGeom prst="rect">
                      <a:avLst/>
                    </a:prstGeom>
                  </pic:spPr>
                </pic:pic>
              </a:graphicData>
            </a:graphic>
          </wp:inline>
        </w:drawing>
      </w:r>
    </w:p>
    <w:p>
      <w:pPr>
        <w:shd w:val="clear"/>
        <w:spacing w:line="600" w:lineRule="exact"/>
        <w:jc w:val="center"/>
        <w:rPr>
          <w:rFonts w:hint="eastAsia" w:ascii="仿宋" w:hAnsi="仿宋" w:eastAsia="仿宋"/>
          <w:color w:val="auto"/>
          <w:kern w:val="2"/>
          <w:sz w:val="32"/>
          <w:szCs w:val="24"/>
          <w:highlight w:val="none"/>
          <w:lang w:val="en-US"/>
        </w:rPr>
      </w:pPr>
      <w:r>
        <w:rPr>
          <w:rFonts w:hint="eastAsia" w:ascii="仿宋" w:hAnsi="仿宋" w:eastAsia="仿宋"/>
          <w:color w:val="auto"/>
          <w:kern w:val="2"/>
          <w:sz w:val="32"/>
          <w:szCs w:val="24"/>
          <w:highlight w:val="none"/>
          <w:lang w:val="en-US"/>
        </w:rPr>
        <w:t>（图4：财政拨款收、支决算总计变动情况）（柱状图）</w:t>
      </w:r>
      <w:bookmarkStart w:id="8" w:name="_Toc9741"/>
    </w:p>
    <w:p>
      <w:pPr>
        <w:shd w:val="clear"/>
        <w:spacing w:line="600" w:lineRule="exact"/>
        <w:jc w:val="center"/>
        <w:rPr>
          <w:rFonts w:hint="eastAsia" w:ascii="黑体" w:hAnsi="黑体" w:eastAsia="黑体"/>
          <w:color w:val="auto"/>
          <w:kern w:val="2"/>
          <w:sz w:val="32"/>
          <w:szCs w:val="24"/>
          <w:highlight w:val="none"/>
          <w:lang w:val="zh-CN"/>
        </w:rPr>
      </w:pPr>
      <w:r>
        <w:rPr>
          <w:rFonts w:hint="eastAsia" w:ascii="黑体" w:hAnsi="黑体" w:eastAsia="黑体"/>
          <w:color w:val="auto"/>
          <w:kern w:val="2"/>
          <w:sz w:val="32"/>
          <w:szCs w:val="24"/>
          <w:highlight w:val="none"/>
          <w:lang w:val="zh-CN"/>
        </w:rPr>
        <w:t>五、</w:t>
      </w:r>
      <w:r>
        <w:rPr>
          <w:rFonts w:hint="eastAsia" w:ascii="黑体" w:hAnsi="黑体" w:eastAsia="黑体"/>
          <w:b/>
          <w:color w:val="auto"/>
          <w:kern w:val="2"/>
          <w:sz w:val="32"/>
          <w:szCs w:val="24"/>
          <w:highlight w:val="none"/>
          <w:lang w:val="zh-CN"/>
        </w:rPr>
        <w:t>一</w:t>
      </w:r>
      <w:r>
        <w:rPr>
          <w:rFonts w:hint="eastAsia" w:ascii="黑体" w:hAnsi="黑体" w:eastAsia="黑体"/>
          <w:color w:val="auto"/>
          <w:kern w:val="2"/>
          <w:sz w:val="32"/>
          <w:szCs w:val="24"/>
          <w:highlight w:val="none"/>
          <w:lang w:val="zh-CN"/>
        </w:rPr>
        <w:t>般公共预算财政拨款支出决算情况说明</w:t>
      </w:r>
      <w:bookmarkEnd w:id="8"/>
      <w:bookmarkStart w:id="9" w:name="_Toc11703"/>
    </w:p>
    <w:p>
      <w:pPr>
        <w:shd w:val="clear"/>
        <w:spacing w:line="600" w:lineRule="exact"/>
        <w:jc w:val="center"/>
        <w:rPr>
          <w:rFonts w:hint="eastAsia" w:ascii="仿宋_GB2312" w:hAnsi="仿宋_GB2312" w:eastAsia="仿宋_GB2312"/>
          <w:b/>
          <w:color w:val="auto"/>
          <w:kern w:val="2"/>
          <w:sz w:val="32"/>
          <w:szCs w:val="24"/>
          <w:highlight w:val="none"/>
          <w:lang w:val="zh-CN"/>
        </w:rPr>
      </w:pPr>
      <w:r>
        <w:rPr>
          <w:rFonts w:hint="eastAsia" w:ascii="仿宋_GB2312" w:hAnsi="仿宋_GB2312" w:eastAsia="仿宋_GB2312"/>
          <w:b/>
          <w:color w:val="auto"/>
          <w:kern w:val="2"/>
          <w:sz w:val="32"/>
          <w:szCs w:val="24"/>
          <w:highlight w:val="none"/>
          <w:lang w:val="zh-CN"/>
        </w:rPr>
        <w:t>（一）一般公共预算财政拨款支出决算总体情况。</w:t>
      </w:r>
      <w:bookmarkEnd w:id="9"/>
    </w:p>
    <w:p>
      <w:pPr>
        <w:keepNext w:val="0"/>
        <w:keepLines w:val="0"/>
        <w:pageBreakBefore w:val="0"/>
        <w:widowControl w:val="0"/>
        <w:shd w:val="clear"/>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color w:val="auto"/>
          <w:kern w:val="2"/>
          <w:sz w:val="32"/>
          <w:szCs w:val="24"/>
          <w:highlight w:val="none"/>
          <w:lang w:val="zh-CN"/>
        </w:rPr>
        <w:t>2022年一般公共预算财政拨款支出931.35万元，占本年支出合计的99.6%。与2021年相比，一般公共预算财政拨款支出增加150.09万元，增长19.2%。主要变动原因是人员经费增加以及特种设备检验检测成本增加。</w:t>
      </w:r>
    </w:p>
    <w:p>
      <w:pPr>
        <w:shd w:val="clear"/>
        <w:spacing w:line="240" w:lineRule="auto"/>
        <w:jc w:val="center"/>
        <w:rPr>
          <w:rFonts w:hint="eastAsia" w:ascii="仿宋" w:hAnsi="仿宋" w:eastAsia="仿宋"/>
          <w:color w:val="auto"/>
          <w:kern w:val="2"/>
          <w:sz w:val="32"/>
          <w:szCs w:val="24"/>
          <w:highlight w:val="none"/>
          <w:lang w:val="en-US" w:eastAsia="zh-CN"/>
        </w:rPr>
      </w:pPr>
      <w:r>
        <w:rPr>
          <w:rFonts w:hint="eastAsia" w:ascii="仿宋" w:hAnsi="仿宋" w:eastAsia="仿宋"/>
          <w:color w:val="auto"/>
          <w:kern w:val="2"/>
          <w:sz w:val="32"/>
          <w:szCs w:val="24"/>
          <w:highlight w:val="none"/>
          <w:lang w:val="en-US" w:eastAsia="zh-CN"/>
        </w:rPr>
        <w:drawing>
          <wp:inline distT="0" distB="0" distL="114300" distR="114300">
            <wp:extent cx="4172585" cy="2392680"/>
            <wp:effectExtent l="0" t="0" r="5715" b="7620"/>
            <wp:docPr id="5" name="图片 5"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5"/>
                    <pic:cNvPicPr>
                      <a:picLocks noChangeAspect="1"/>
                    </pic:cNvPicPr>
                  </pic:nvPicPr>
                  <pic:blipFill>
                    <a:blip r:embed="rId9"/>
                    <a:stretch>
                      <a:fillRect/>
                    </a:stretch>
                  </pic:blipFill>
                  <pic:spPr>
                    <a:xfrm>
                      <a:off x="0" y="0"/>
                      <a:ext cx="4172585" cy="2392680"/>
                    </a:xfrm>
                    <a:prstGeom prst="rect">
                      <a:avLst/>
                    </a:prstGeom>
                  </pic:spPr>
                </pic:pic>
              </a:graphicData>
            </a:graphic>
          </wp:inline>
        </w:drawing>
      </w:r>
    </w:p>
    <w:p>
      <w:pPr>
        <w:shd w:val="clear"/>
        <w:spacing w:line="600" w:lineRule="exact"/>
        <w:jc w:val="center"/>
        <w:rPr>
          <w:rFonts w:hint="eastAsia" w:ascii="仿宋" w:hAnsi="仿宋" w:eastAsia="仿宋"/>
          <w:color w:val="auto"/>
          <w:kern w:val="2"/>
          <w:sz w:val="32"/>
          <w:szCs w:val="24"/>
          <w:highlight w:val="none"/>
          <w:lang w:val="en-US"/>
        </w:rPr>
      </w:pPr>
      <w:r>
        <w:rPr>
          <w:rFonts w:hint="eastAsia" w:ascii="仿宋" w:hAnsi="仿宋" w:eastAsia="仿宋"/>
          <w:color w:val="auto"/>
          <w:kern w:val="2"/>
          <w:sz w:val="32"/>
          <w:szCs w:val="24"/>
          <w:highlight w:val="none"/>
          <w:lang w:val="en-US"/>
        </w:rPr>
        <w:t>（图5：一般公共预算财政拨款支出决算变动情况）（柱状图）</w:t>
      </w:r>
    </w:p>
    <w:p>
      <w:pPr>
        <w:keepNext/>
        <w:keepLines/>
        <w:pageBreakBefore w:val="0"/>
        <w:widowControl w:val="0"/>
        <w:shd w:val="clear"/>
        <w:kinsoku/>
        <w:wordWrap/>
        <w:overflowPunct/>
        <w:topLinePunct w:val="0"/>
        <w:autoSpaceDE w:val="0"/>
        <w:autoSpaceDN w:val="0"/>
        <w:bidi w:val="0"/>
        <w:adjustRightInd w:val="0"/>
        <w:snapToGrid/>
        <w:spacing w:line="576" w:lineRule="exact"/>
        <w:ind w:firstLine="643" w:firstLineChars="200"/>
        <w:jc w:val="both"/>
        <w:textAlignment w:val="auto"/>
        <w:outlineLvl w:val="2"/>
        <w:rPr>
          <w:rFonts w:hint="eastAsia" w:ascii="仿宋_GB2312" w:hAnsi="仿宋_GB2312" w:eastAsia="仿宋_GB2312"/>
          <w:b/>
          <w:color w:val="auto"/>
          <w:kern w:val="2"/>
          <w:sz w:val="32"/>
          <w:szCs w:val="24"/>
          <w:highlight w:val="none"/>
          <w:lang w:val="zh-CN"/>
        </w:rPr>
      </w:pPr>
      <w:bookmarkStart w:id="10" w:name="_Toc17097"/>
      <w:r>
        <w:rPr>
          <w:rFonts w:hint="eastAsia" w:ascii="仿宋_GB2312" w:hAnsi="仿宋_GB2312" w:eastAsia="仿宋_GB2312"/>
          <w:b/>
          <w:color w:val="auto"/>
          <w:kern w:val="2"/>
          <w:sz w:val="32"/>
          <w:szCs w:val="24"/>
          <w:highlight w:val="none"/>
          <w:lang w:val="zh-CN"/>
        </w:rPr>
        <w:t>（二）一般公共预算财政拨款支出决算结构情况。</w:t>
      </w:r>
      <w:bookmarkEnd w:id="10"/>
    </w:p>
    <w:p>
      <w:pPr>
        <w:keepNext/>
        <w:keepLines/>
        <w:shd w:val="clear"/>
        <w:spacing w:line="576" w:lineRule="exact"/>
        <w:ind w:firstLine="640"/>
        <w:jc w:val="both"/>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color w:val="auto"/>
          <w:kern w:val="2"/>
          <w:sz w:val="32"/>
          <w:szCs w:val="24"/>
          <w:highlight w:val="none"/>
          <w:lang w:val="zh-CN"/>
        </w:rPr>
        <w:t>2022年一般公共预算财政拨款支出931.35万元，主要用于以下方面：一般公共服务支出854.86万元，占91.8%；社会保障和就业支出38.01万元，占4.1%；卫生健康支出12.01万元，占1.3%；住房保障支出26.47万元，占2.8%。</w:t>
      </w:r>
    </w:p>
    <w:p>
      <w:pPr>
        <w:shd w:val="clear"/>
        <w:spacing w:line="240" w:lineRule="auto"/>
        <w:jc w:val="center"/>
        <w:rPr>
          <w:rFonts w:hint="eastAsia" w:ascii="仿宋" w:hAnsi="仿宋" w:eastAsia="仿宋"/>
          <w:b/>
          <w:color w:val="auto"/>
          <w:kern w:val="2"/>
          <w:sz w:val="32"/>
          <w:szCs w:val="24"/>
          <w:highlight w:val="none"/>
          <w:lang w:val="en-US" w:eastAsia="zh-CN"/>
        </w:rPr>
      </w:pPr>
      <w:r>
        <w:rPr>
          <w:rFonts w:hint="eastAsia" w:ascii="仿宋" w:hAnsi="仿宋" w:eastAsia="仿宋"/>
          <w:b/>
          <w:color w:val="auto"/>
          <w:kern w:val="2"/>
          <w:sz w:val="32"/>
          <w:szCs w:val="24"/>
          <w:highlight w:val="none"/>
          <w:lang w:val="en-US" w:eastAsia="zh-CN"/>
        </w:rPr>
        <w:drawing>
          <wp:inline distT="0" distB="0" distL="114300" distR="114300">
            <wp:extent cx="5485765" cy="2566670"/>
            <wp:effectExtent l="0" t="0" r="635" b="11430"/>
            <wp:docPr id="6" name="图片 6"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6"/>
                    <pic:cNvPicPr>
                      <a:picLocks noChangeAspect="1"/>
                    </pic:cNvPicPr>
                  </pic:nvPicPr>
                  <pic:blipFill>
                    <a:blip r:embed="rId10"/>
                    <a:stretch>
                      <a:fillRect/>
                    </a:stretch>
                  </pic:blipFill>
                  <pic:spPr>
                    <a:xfrm>
                      <a:off x="0" y="0"/>
                      <a:ext cx="5485765" cy="2566670"/>
                    </a:xfrm>
                    <a:prstGeom prst="rect">
                      <a:avLst/>
                    </a:prstGeom>
                  </pic:spPr>
                </pic:pic>
              </a:graphicData>
            </a:graphic>
          </wp:inline>
        </w:drawing>
      </w:r>
    </w:p>
    <w:p>
      <w:pPr>
        <w:shd w:val="clear"/>
        <w:spacing w:line="600" w:lineRule="exact"/>
        <w:jc w:val="center"/>
        <w:rPr>
          <w:rFonts w:hint="eastAsia" w:ascii="仿宋" w:hAnsi="仿宋" w:eastAsia="仿宋"/>
          <w:color w:val="auto"/>
          <w:kern w:val="2"/>
          <w:sz w:val="32"/>
          <w:szCs w:val="24"/>
          <w:highlight w:val="none"/>
          <w:lang w:val="en-US"/>
        </w:rPr>
      </w:pPr>
      <w:r>
        <w:rPr>
          <w:rFonts w:hint="eastAsia" w:ascii="仿宋" w:hAnsi="仿宋" w:eastAsia="仿宋"/>
          <w:color w:val="auto"/>
          <w:kern w:val="2"/>
          <w:sz w:val="32"/>
          <w:szCs w:val="24"/>
          <w:highlight w:val="none"/>
          <w:lang w:val="en-US"/>
        </w:rPr>
        <w:t>（图6：一般公共预算财政拨款支出决算结构）（饼状图）</w:t>
      </w:r>
    </w:p>
    <w:p>
      <w:pPr>
        <w:keepNext/>
        <w:keepLines/>
        <w:pageBreakBefore w:val="0"/>
        <w:widowControl w:val="0"/>
        <w:shd w:val="clear"/>
        <w:kinsoku/>
        <w:wordWrap/>
        <w:overflowPunct/>
        <w:topLinePunct w:val="0"/>
        <w:autoSpaceDE w:val="0"/>
        <w:autoSpaceDN w:val="0"/>
        <w:bidi w:val="0"/>
        <w:adjustRightInd w:val="0"/>
        <w:snapToGrid/>
        <w:spacing w:line="576" w:lineRule="exact"/>
        <w:ind w:firstLine="643" w:firstLineChars="200"/>
        <w:jc w:val="both"/>
        <w:textAlignment w:val="auto"/>
        <w:outlineLvl w:val="2"/>
        <w:rPr>
          <w:rFonts w:hint="eastAsia" w:ascii="仿宋_GB2312" w:hAnsi="仿宋_GB2312" w:eastAsia="仿宋_GB2312"/>
          <w:b/>
          <w:color w:val="auto"/>
          <w:kern w:val="2"/>
          <w:sz w:val="32"/>
          <w:szCs w:val="24"/>
          <w:highlight w:val="none"/>
          <w:lang w:val="zh-CN"/>
        </w:rPr>
      </w:pPr>
      <w:bookmarkStart w:id="11" w:name="_Toc14228"/>
      <w:r>
        <w:rPr>
          <w:rFonts w:hint="eastAsia" w:ascii="仿宋_GB2312" w:hAnsi="仿宋_GB2312" w:eastAsia="仿宋_GB2312"/>
          <w:b/>
          <w:color w:val="auto"/>
          <w:kern w:val="2"/>
          <w:sz w:val="32"/>
          <w:szCs w:val="24"/>
          <w:highlight w:val="none"/>
          <w:lang w:val="zh-CN"/>
        </w:rPr>
        <w:t>（三）一般公共预算财政拨款支出决算具体情况。</w:t>
      </w:r>
      <w:bookmarkEnd w:id="11"/>
    </w:p>
    <w:p>
      <w:pPr>
        <w:keepNext/>
        <w:keepLines/>
        <w:shd w:val="clear"/>
        <w:spacing w:line="576" w:lineRule="exact"/>
        <w:ind w:firstLine="643"/>
        <w:jc w:val="both"/>
        <w:rPr>
          <w:rFonts w:hint="eastAsia" w:ascii="仿宋_GB2312" w:hAnsi="仿宋_GB2312" w:eastAsia="仿宋_GB2312"/>
          <w:b w:val="0"/>
          <w:bCs/>
          <w:color w:val="auto"/>
          <w:kern w:val="2"/>
          <w:sz w:val="32"/>
          <w:szCs w:val="24"/>
          <w:highlight w:val="none"/>
          <w:lang w:val="zh-CN"/>
        </w:rPr>
      </w:pPr>
      <w:r>
        <w:rPr>
          <w:rFonts w:hint="eastAsia" w:ascii="仿宋_GB2312" w:hAnsi="仿宋_GB2312" w:eastAsia="仿宋_GB2312"/>
          <w:b w:val="0"/>
          <w:bCs/>
          <w:color w:val="auto"/>
          <w:kern w:val="2"/>
          <w:sz w:val="32"/>
          <w:szCs w:val="24"/>
          <w:highlight w:val="none"/>
          <w:lang w:val="zh-CN"/>
        </w:rPr>
        <w:t>2022年一般公共预算支出决算数为931.35万元，完成预算100%。其中：</w:t>
      </w:r>
    </w:p>
    <w:p>
      <w:pPr>
        <w:keepNext/>
        <w:keepLines/>
        <w:numPr>
          <w:ilvl w:val="0"/>
          <w:numId w:val="0"/>
        </w:numPr>
        <w:shd w:val="clear"/>
        <w:spacing w:line="576" w:lineRule="exact"/>
        <w:ind w:firstLine="640" w:firstLineChars="200"/>
        <w:jc w:val="both"/>
        <w:rPr>
          <w:rFonts w:hint="eastAsia" w:ascii="仿宋" w:hAnsi="仿宋" w:eastAsia="仿宋"/>
          <w:b w:val="0"/>
          <w:bCs/>
          <w:color w:val="auto"/>
          <w:kern w:val="2"/>
          <w:sz w:val="32"/>
          <w:szCs w:val="24"/>
          <w:highlight w:val="none"/>
          <w:lang w:val="en-US" w:eastAsia="zh-CN"/>
        </w:rPr>
      </w:pPr>
      <w:r>
        <w:rPr>
          <w:rFonts w:hint="eastAsia" w:ascii="仿宋_GB2312" w:hAnsi="仿宋_GB2312" w:eastAsia="仿宋_GB2312"/>
          <w:b w:val="0"/>
          <w:bCs/>
          <w:color w:val="auto"/>
          <w:kern w:val="2"/>
          <w:sz w:val="32"/>
          <w:szCs w:val="24"/>
          <w:highlight w:val="none"/>
          <w:lang w:val="en-US" w:eastAsia="zh-CN"/>
        </w:rPr>
        <w:t>1.</w:t>
      </w:r>
      <w:r>
        <w:rPr>
          <w:rFonts w:hint="eastAsia" w:ascii="仿宋_GB2312" w:hAnsi="仿宋_GB2312" w:eastAsia="仿宋_GB2312"/>
          <w:b w:val="0"/>
          <w:bCs/>
          <w:color w:val="auto"/>
          <w:kern w:val="2"/>
          <w:sz w:val="32"/>
          <w:szCs w:val="24"/>
          <w:highlight w:val="none"/>
          <w:lang w:val="en-US"/>
        </w:rPr>
        <w:t>一般公共服务支出（类）市场监督管理事务（款）事业运行（项）</w:t>
      </w:r>
      <w:r>
        <w:rPr>
          <w:rFonts w:hint="eastAsia" w:ascii="仿宋_GB2312" w:hAnsi="仿宋_GB2312" w:eastAsia="仿宋_GB2312"/>
          <w:b w:val="0"/>
          <w:bCs/>
          <w:color w:val="auto"/>
          <w:kern w:val="2"/>
          <w:sz w:val="32"/>
          <w:szCs w:val="24"/>
          <w:highlight w:val="none"/>
          <w:lang w:val="en-US" w:eastAsia="zh-CN"/>
        </w:rPr>
        <w:t>：</w:t>
      </w:r>
      <w:r>
        <w:rPr>
          <w:rFonts w:hint="eastAsia" w:ascii="仿宋" w:hAnsi="仿宋" w:eastAsia="仿宋"/>
          <w:b w:val="0"/>
          <w:bCs/>
          <w:color w:val="auto"/>
          <w:kern w:val="2"/>
          <w:sz w:val="32"/>
          <w:szCs w:val="24"/>
          <w:highlight w:val="none"/>
          <w:lang w:val="en-US"/>
        </w:rPr>
        <w:t>支出决算为346</w:t>
      </w:r>
      <w:r>
        <w:rPr>
          <w:rFonts w:hint="eastAsia" w:ascii="仿宋" w:hAnsi="仿宋" w:eastAsia="仿宋"/>
          <w:b w:val="0"/>
          <w:bCs/>
          <w:color w:val="auto"/>
          <w:kern w:val="2"/>
          <w:sz w:val="32"/>
          <w:szCs w:val="24"/>
          <w:highlight w:val="none"/>
          <w:lang w:val="en-US" w:eastAsia="zh-CN"/>
        </w:rPr>
        <w:t>.</w:t>
      </w:r>
      <w:r>
        <w:rPr>
          <w:rFonts w:hint="eastAsia" w:ascii="仿宋" w:hAnsi="仿宋" w:eastAsia="仿宋"/>
          <w:b w:val="0"/>
          <w:bCs/>
          <w:color w:val="auto"/>
          <w:kern w:val="2"/>
          <w:sz w:val="32"/>
          <w:szCs w:val="24"/>
          <w:highlight w:val="none"/>
          <w:lang w:val="en-US"/>
        </w:rPr>
        <w:t>3</w:t>
      </w:r>
      <w:r>
        <w:rPr>
          <w:rFonts w:hint="eastAsia" w:ascii="仿宋" w:hAnsi="仿宋" w:eastAsia="仿宋"/>
          <w:b w:val="0"/>
          <w:bCs/>
          <w:color w:val="auto"/>
          <w:kern w:val="2"/>
          <w:sz w:val="32"/>
          <w:szCs w:val="24"/>
          <w:highlight w:val="none"/>
          <w:lang w:val="en-US" w:eastAsia="zh-CN"/>
        </w:rPr>
        <w:t>1</w:t>
      </w:r>
      <w:r>
        <w:rPr>
          <w:rFonts w:hint="eastAsia" w:ascii="仿宋" w:hAnsi="仿宋" w:eastAsia="仿宋"/>
          <w:b w:val="0"/>
          <w:bCs/>
          <w:color w:val="auto"/>
          <w:kern w:val="2"/>
          <w:sz w:val="32"/>
          <w:szCs w:val="24"/>
          <w:highlight w:val="none"/>
          <w:lang w:val="en-US"/>
        </w:rPr>
        <w:t>万元，完成预算</w:t>
      </w:r>
      <w:r>
        <w:rPr>
          <w:rFonts w:hint="eastAsia" w:ascii="仿宋" w:hAnsi="仿宋" w:eastAsia="仿宋"/>
          <w:b w:val="0"/>
          <w:bCs/>
          <w:color w:val="auto"/>
          <w:kern w:val="2"/>
          <w:sz w:val="32"/>
          <w:szCs w:val="24"/>
          <w:highlight w:val="none"/>
          <w:lang w:val="en-US" w:eastAsia="zh-CN"/>
        </w:rPr>
        <w:t>100</w:t>
      </w:r>
      <w:r>
        <w:rPr>
          <w:rFonts w:hint="eastAsia" w:ascii="仿宋" w:hAnsi="仿宋" w:eastAsia="仿宋"/>
          <w:b w:val="0"/>
          <w:bCs/>
          <w:color w:val="auto"/>
          <w:kern w:val="2"/>
          <w:sz w:val="32"/>
          <w:szCs w:val="24"/>
          <w:highlight w:val="none"/>
          <w:lang w:val="en-US"/>
        </w:rPr>
        <w:t>%</w:t>
      </w:r>
      <w:r>
        <w:rPr>
          <w:rFonts w:hint="eastAsia" w:ascii="仿宋" w:hAnsi="仿宋" w:eastAsia="仿宋"/>
          <w:b w:val="0"/>
          <w:bCs/>
          <w:color w:val="auto"/>
          <w:kern w:val="2"/>
          <w:sz w:val="32"/>
          <w:szCs w:val="24"/>
          <w:highlight w:val="none"/>
          <w:lang w:val="en-US" w:eastAsia="zh-CN"/>
        </w:rPr>
        <w:t>;</w:t>
      </w:r>
    </w:p>
    <w:p>
      <w:pPr>
        <w:pStyle w:val="2"/>
        <w:keepNext w:val="0"/>
        <w:keepLines w:val="0"/>
        <w:pageBreakBefore w:val="0"/>
        <w:widowControl w:val="0"/>
        <w:numPr>
          <w:ilvl w:val="0"/>
          <w:numId w:val="0"/>
        </w:numPr>
        <w:shd w:val="clear"/>
        <w:kinsoku/>
        <w:wordWrap/>
        <w:overflowPunct/>
        <w:topLinePunct w:val="0"/>
        <w:autoSpaceDE w:val="0"/>
        <w:autoSpaceDN w:val="0"/>
        <w:bidi w:val="0"/>
        <w:adjustRightInd w:val="0"/>
        <w:snapToGrid/>
        <w:spacing w:line="576" w:lineRule="exact"/>
        <w:ind w:firstLine="640" w:firstLineChars="200"/>
        <w:textAlignment w:val="auto"/>
        <w:rPr>
          <w:rFonts w:hint="eastAsia" w:ascii="仿宋" w:hAnsi="仿宋" w:eastAsia="仿宋"/>
          <w:b w:val="0"/>
          <w:bCs/>
          <w:color w:val="auto"/>
          <w:kern w:val="2"/>
          <w:sz w:val="32"/>
          <w:szCs w:val="24"/>
          <w:highlight w:val="none"/>
          <w:lang w:val="en-US" w:eastAsia="zh-CN"/>
        </w:rPr>
      </w:pPr>
      <w:r>
        <w:rPr>
          <w:rFonts w:hint="eastAsia" w:hAnsi="仿宋_GB2312"/>
          <w:b w:val="0"/>
          <w:bCs/>
          <w:color w:val="auto"/>
          <w:kern w:val="2"/>
          <w:sz w:val="32"/>
          <w:szCs w:val="24"/>
          <w:highlight w:val="none"/>
          <w:lang w:val="en-US" w:eastAsia="zh-CN"/>
        </w:rPr>
        <w:t>2.</w:t>
      </w:r>
      <w:r>
        <w:rPr>
          <w:rFonts w:hint="eastAsia" w:ascii="仿宋_GB2312" w:hAnsi="仿宋_GB2312" w:eastAsia="仿宋_GB2312"/>
          <w:b w:val="0"/>
          <w:bCs/>
          <w:color w:val="auto"/>
          <w:kern w:val="2"/>
          <w:sz w:val="32"/>
          <w:szCs w:val="24"/>
          <w:highlight w:val="none"/>
          <w:lang w:val="en-US"/>
        </w:rPr>
        <w:t>一般公共服务支出（类）市场监督管理事务（款）其他市场监督管理事务（项）</w:t>
      </w:r>
      <w:r>
        <w:rPr>
          <w:rFonts w:hint="eastAsia" w:hAnsi="仿宋_GB2312"/>
          <w:b w:val="0"/>
          <w:bCs/>
          <w:color w:val="auto"/>
          <w:kern w:val="2"/>
          <w:sz w:val="32"/>
          <w:szCs w:val="24"/>
          <w:highlight w:val="none"/>
          <w:lang w:val="en-US" w:eastAsia="zh-CN"/>
        </w:rPr>
        <w:t>：</w:t>
      </w:r>
      <w:r>
        <w:rPr>
          <w:rFonts w:hint="eastAsia" w:ascii="仿宋" w:hAnsi="仿宋" w:eastAsia="仿宋"/>
          <w:b w:val="0"/>
          <w:bCs/>
          <w:color w:val="auto"/>
          <w:kern w:val="2"/>
          <w:sz w:val="32"/>
          <w:szCs w:val="24"/>
          <w:highlight w:val="none"/>
          <w:lang w:val="en-US"/>
        </w:rPr>
        <w:t>支出决算为508</w:t>
      </w:r>
      <w:r>
        <w:rPr>
          <w:rFonts w:hint="eastAsia" w:ascii="仿宋" w:hAnsi="仿宋" w:eastAsia="仿宋"/>
          <w:b w:val="0"/>
          <w:bCs/>
          <w:color w:val="auto"/>
          <w:kern w:val="2"/>
          <w:sz w:val="32"/>
          <w:szCs w:val="24"/>
          <w:highlight w:val="none"/>
          <w:lang w:val="en-US" w:eastAsia="zh-CN"/>
        </w:rPr>
        <w:t>.</w:t>
      </w:r>
      <w:r>
        <w:rPr>
          <w:rFonts w:hint="eastAsia" w:ascii="仿宋" w:hAnsi="仿宋" w:eastAsia="仿宋"/>
          <w:b w:val="0"/>
          <w:bCs/>
          <w:color w:val="auto"/>
          <w:kern w:val="2"/>
          <w:sz w:val="32"/>
          <w:szCs w:val="24"/>
          <w:highlight w:val="none"/>
          <w:lang w:val="en-US"/>
        </w:rPr>
        <w:t>55万元，完成预算</w:t>
      </w:r>
      <w:r>
        <w:rPr>
          <w:rFonts w:hint="eastAsia" w:ascii="仿宋" w:hAnsi="仿宋" w:eastAsia="仿宋"/>
          <w:b w:val="0"/>
          <w:bCs/>
          <w:color w:val="auto"/>
          <w:kern w:val="2"/>
          <w:sz w:val="32"/>
          <w:szCs w:val="24"/>
          <w:highlight w:val="none"/>
          <w:lang w:val="en-US" w:eastAsia="zh-CN"/>
        </w:rPr>
        <w:t>100</w:t>
      </w:r>
      <w:r>
        <w:rPr>
          <w:rFonts w:hint="eastAsia" w:ascii="仿宋" w:hAnsi="仿宋" w:eastAsia="仿宋"/>
          <w:b w:val="0"/>
          <w:bCs/>
          <w:color w:val="auto"/>
          <w:kern w:val="2"/>
          <w:sz w:val="32"/>
          <w:szCs w:val="24"/>
          <w:highlight w:val="none"/>
          <w:lang w:val="en-US"/>
        </w:rPr>
        <w:t>%</w:t>
      </w:r>
      <w:r>
        <w:rPr>
          <w:rFonts w:hint="eastAsia" w:ascii="仿宋" w:hAnsi="仿宋" w:eastAsia="仿宋"/>
          <w:b w:val="0"/>
          <w:bCs/>
          <w:color w:val="auto"/>
          <w:kern w:val="2"/>
          <w:sz w:val="32"/>
          <w:szCs w:val="24"/>
          <w:highlight w:val="none"/>
          <w:lang w:val="en-US" w:eastAsia="zh-CN"/>
        </w:rPr>
        <w:t>。</w:t>
      </w:r>
    </w:p>
    <w:p>
      <w:pPr>
        <w:keepNext/>
        <w:keepLines/>
        <w:numPr>
          <w:ilvl w:val="0"/>
          <w:numId w:val="0"/>
        </w:numPr>
        <w:shd w:val="clear"/>
        <w:spacing w:line="576" w:lineRule="exact"/>
        <w:ind w:firstLine="640" w:firstLineChars="200"/>
        <w:jc w:val="both"/>
        <w:rPr>
          <w:rFonts w:hint="eastAsia" w:ascii="仿宋" w:hAnsi="仿宋" w:eastAsia="仿宋"/>
          <w:b w:val="0"/>
          <w:bCs/>
          <w:color w:val="auto"/>
          <w:kern w:val="2"/>
          <w:sz w:val="32"/>
          <w:szCs w:val="24"/>
          <w:highlight w:val="none"/>
          <w:lang w:val="en-US" w:eastAsia="zh-CN"/>
        </w:rPr>
      </w:pPr>
      <w:r>
        <w:rPr>
          <w:rFonts w:hint="eastAsia" w:ascii="仿宋_GB2312" w:hAnsi="仿宋_GB2312" w:eastAsia="仿宋_GB2312"/>
          <w:b w:val="0"/>
          <w:bCs/>
          <w:color w:val="auto"/>
          <w:kern w:val="2"/>
          <w:sz w:val="32"/>
          <w:szCs w:val="24"/>
          <w:highlight w:val="none"/>
          <w:lang w:val="en-US" w:eastAsia="zh-CN"/>
        </w:rPr>
        <w:t>3.</w:t>
      </w:r>
      <w:r>
        <w:rPr>
          <w:rFonts w:hint="eastAsia" w:ascii="仿宋_GB2312" w:hAnsi="仿宋_GB2312" w:eastAsia="仿宋_GB2312"/>
          <w:b w:val="0"/>
          <w:bCs/>
          <w:color w:val="auto"/>
          <w:kern w:val="2"/>
          <w:sz w:val="32"/>
          <w:szCs w:val="24"/>
          <w:highlight w:val="none"/>
          <w:lang w:val="en-US"/>
        </w:rPr>
        <w:t>社会保障和就业支出（类）行政事业单位养老支出（款）机关事业单位基本养老保险缴费支出（项）</w:t>
      </w:r>
      <w:r>
        <w:rPr>
          <w:rFonts w:hint="eastAsia" w:ascii="仿宋_GB2312" w:hAnsi="仿宋_GB2312" w:eastAsia="仿宋_GB2312"/>
          <w:b w:val="0"/>
          <w:bCs/>
          <w:color w:val="auto"/>
          <w:kern w:val="2"/>
          <w:sz w:val="32"/>
          <w:szCs w:val="24"/>
          <w:highlight w:val="none"/>
          <w:lang w:val="en-US" w:eastAsia="zh-CN"/>
        </w:rPr>
        <w:t>：</w:t>
      </w:r>
      <w:r>
        <w:rPr>
          <w:rFonts w:hint="eastAsia" w:ascii="仿宋" w:hAnsi="仿宋" w:eastAsia="仿宋"/>
          <w:b w:val="0"/>
          <w:bCs/>
          <w:color w:val="auto"/>
          <w:kern w:val="2"/>
          <w:sz w:val="32"/>
          <w:szCs w:val="24"/>
          <w:highlight w:val="none"/>
          <w:lang w:val="en-US"/>
        </w:rPr>
        <w:t>支出决算为24</w:t>
      </w:r>
      <w:r>
        <w:rPr>
          <w:rFonts w:hint="eastAsia" w:ascii="仿宋" w:hAnsi="仿宋" w:eastAsia="仿宋"/>
          <w:b w:val="0"/>
          <w:bCs/>
          <w:color w:val="auto"/>
          <w:kern w:val="2"/>
          <w:sz w:val="32"/>
          <w:szCs w:val="24"/>
          <w:highlight w:val="none"/>
          <w:lang w:val="en-US" w:eastAsia="zh-CN"/>
        </w:rPr>
        <w:t>.</w:t>
      </w:r>
      <w:r>
        <w:rPr>
          <w:rFonts w:hint="eastAsia" w:ascii="仿宋" w:hAnsi="仿宋" w:eastAsia="仿宋"/>
          <w:b w:val="0"/>
          <w:bCs/>
          <w:color w:val="auto"/>
          <w:kern w:val="2"/>
          <w:sz w:val="32"/>
          <w:szCs w:val="24"/>
          <w:highlight w:val="none"/>
          <w:lang w:val="en-US"/>
        </w:rPr>
        <w:t>02万元，完成预算</w:t>
      </w:r>
      <w:r>
        <w:rPr>
          <w:rFonts w:hint="eastAsia" w:ascii="仿宋" w:hAnsi="仿宋" w:eastAsia="仿宋"/>
          <w:b w:val="0"/>
          <w:bCs/>
          <w:color w:val="auto"/>
          <w:kern w:val="2"/>
          <w:sz w:val="32"/>
          <w:szCs w:val="24"/>
          <w:highlight w:val="none"/>
          <w:lang w:val="en-US" w:eastAsia="zh-CN"/>
        </w:rPr>
        <w:t>100</w:t>
      </w:r>
      <w:r>
        <w:rPr>
          <w:rFonts w:hint="eastAsia" w:ascii="仿宋" w:hAnsi="仿宋" w:eastAsia="仿宋"/>
          <w:b w:val="0"/>
          <w:bCs/>
          <w:color w:val="auto"/>
          <w:kern w:val="2"/>
          <w:sz w:val="32"/>
          <w:szCs w:val="24"/>
          <w:highlight w:val="none"/>
          <w:lang w:val="en-US"/>
        </w:rPr>
        <w:t>%</w:t>
      </w:r>
      <w:r>
        <w:rPr>
          <w:rFonts w:hint="eastAsia" w:ascii="仿宋" w:hAnsi="仿宋" w:eastAsia="仿宋"/>
          <w:b w:val="0"/>
          <w:bCs/>
          <w:color w:val="auto"/>
          <w:kern w:val="2"/>
          <w:sz w:val="32"/>
          <w:szCs w:val="24"/>
          <w:highlight w:val="none"/>
          <w:lang w:val="en-US" w:eastAsia="zh-CN"/>
        </w:rPr>
        <w:t>;</w:t>
      </w:r>
    </w:p>
    <w:p>
      <w:pPr>
        <w:pStyle w:val="2"/>
        <w:keepNext w:val="0"/>
        <w:keepLines w:val="0"/>
        <w:pageBreakBefore w:val="0"/>
        <w:widowControl w:val="0"/>
        <w:numPr>
          <w:ilvl w:val="0"/>
          <w:numId w:val="0"/>
        </w:numPr>
        <w:shd w:val="clear"/>
        <w:kinsoku/>
        <w:wordWrap/>
        <w:overflowPunct/>
        <w:topLinePunct w:val="0"/>
        <w:autoSpaceDE w:val="0"/>
        <w:autoSpaceDN w:val="0"/>
        <w:bidi w:val="0"/>
        <w:adjustRightInd w:val="0"/>
        <w:snapToGrid/>
        <w:spacing w:line="576" w:lineRule="exact"/>
        <w:ind w:firstLine="640" w:firstLineChars="200"/>
        <w:textAlignment w:val="auto"/>
        <w:rPr>
          <w:rFonts w:hint="eastAsia"/>
          <w:b w:val="0"/>
          <w:bCs/>
          <w:color w:val="auto"/>
          <w:highlight w:val="none"/>
          <w:lang w:val="en-US"/>
        </w:rPr>
      </w:pPr>
      <w:r>
        <w:rPr>
          <w:rFonts w:hint="eastAsia" w:hAnsi="仿宋_GB2312"/>
          <w:b w:val="0"/>
          <w:bCs/>
          <w:color w:val="auto"/>
          <w:kern w:val="2"/>
          <w:sz w:val="32"/>
          <w:szCs w:val="24"/>
          <w:highlight w:val="none"/>
          <w:lang w:val="en-US" w:eastAsia="zh-CN"/>
        </w:rPr>
        <w:t>4.</w:t>
      </w:r>
      <w:r>
        <w:rPr>
          <w:rFonts w:hint="eastAsia" w:ascii="仿宋_GB2312" w:hAnsi="仿宋_GB2312" w:eastAsia="仿宋_GB2312"/>
          <w:b w:val="0"/>
          <w:bCs/>
          <w:color w:val="auto"/>
          <w:kern w:val="2"/>
          <w:sz w:val="32"/>
          <w:szCs w:val="24"/>
          <w:highlight w:val="none"/>
          <w:lang w:val="en-US"/>
        </w:rPr>
        <w:t>社会保障和就业支出（类）行政事业单位养老支出（款）机关事业单位职业年金缴费支出（项）</w:t>
      </w:r>
      <w:r>
        <w:rPr>
          <w:rFonts w:hint="eastAsia" w:hAnsi="仿宋_GB2312"/>
          <w:b w:val="0"/>
          <w:bCs/>
          <w:color w:val="auto"/>
          <w:kern w:val="2"/>
          <w:sz w:val="32"/>
          <w:szCs w:val="24"/>
          <w:highlight w:val="none"/>
          <w:lang w:val="en-US" w:eastAsia="zh-CN"/>
        </w:rPr>
        <w:t>：</w:t>
      </w:r>
      <w:r>
        <w:rPr>
          <w:rFonts w:hint="eastAsia" w:ascii="仿宋" w:hAnsi="仿宋" w:eastAsia="仿宋"/>
          <w:b w:val="0"/>
          <w:bCs/>
          <w:color w:val="auto"/>
          <w:kern w:val="2"/>
          <w:sz w:val="32"/>
          <w:szCs w:val="24"/>
          <w:highlight w:val="none"/>
          <w:lang w:val="en-US"/>
        </w:rPr>
        <w:t>支出决算为13</w:t>
      </w:r>
      <w:r>
        <w:rPr>
          <w:rFonts w:hint="eastAsia" w:ascii="仿宋" w:hAnsi="仿宋" w:eastAsia="仿宋"/>
          <w:b w:val="0"/>
          <w:bCs/>
          <w:color w:val="auto"/>
          <w:kern w:val="2"/>
          <w:sz w:val="32"/>
          <w:szCs w:val="24"/>
          <w:highlight w:val="none"/>
          <w:lang w:val="en-US" w:eastAsia="zh-CN"/>
        </w:rPr>
        <w:t>.</w:t>
      </w:r>
      <w:r>
        <w:rPr>
          <w:rFonts w:hint="eastAsia" w:ascii="仿宋" w:hAnsi="仿宋" w:eastAsia="仿宋"/>
          <w:b w:val="0"/>
          <w:bCs/>
          <w:color w:val="auto"/>
          <w:kern w:val="2"/>
          <w:sz w:val="32"/>
          <w:szCs w:val="24"/>
          <w:highlight w:val="none"/>
          <w:lang w:val="en-US"/>
        </w:rPr>
        <w:t>9</w:t>
      </w:r>
      <w:r>
        <w:rPr>
          <w:rFonts w:hint="eastAsia" w:ascii="仿宋" w:hAnsi="仿宋" w:eastAsia="仿宋"/>
          <w:b w:val="0"/>
          <w:bCs/>
          <w:color w:val="auto"/>
          <w:kern w:val="2"/>
          <w:sz w:val="32"/>
          <w:szCs w:val="24"/>
          <w:highlight w:val="none"/>
          <w:lang w:val="en-US" w:eastAsia="zh-CN"/>
        </w:rPr>
        <w:t>9</w:t>
      </w:r>
      <w:r>
        <w:rPr>
          <w:rFonts w:hint="eastAsia" w:ascii="仿宋" w:hAnsi="仿宋" w:eastAsia="仿宋"/>
          <w:b w:val="0"/>
          <w:bCs/>
          <w:color w:val="auto"/>
          <w:kern w:val="2"/>
          <w:sz w:val="32"/>
          <w:szCs w:val="24"/>
          <w:highlight w:val="none"/>
          <w:lang w:val="en-US"/>
        </w:rPr>
        <w:t>万元，完成预算</w:t>
      </w:r>
      <w:r>
        <w:rPr>
          <w:rFonts w:hint="eastAsia" w:ascii="仿宋" w:hAnsi="仿宋" w:eastAsia="仿宋"/>
          <w:b w:val="0"/>
          <w:bCs/>
          <w:color w:val="auto"/>
          <w:kern w:val="2"/>
          <w:sz w:val="32"/>
          <w:szCs w:val="24"/>
          <w:highlight w:val="none"/>
          <w:lang w:val="en-US" w:eastAsia="zh-CN"/>
        </w:rPr>
        <w:t>100</w:t>
      </w:r>
      <w:r>
        <w:rPr>
          <w:rFonts w:hint="eastAsia" w:ascii="仿宋" w:hAnsi="仿宋" w:eastAsia="仿宋"/>
          <w:b w:val="0"/>
          <w:bCs/>
          <w:color w:val="auto"/>
          <w:kern w:val="2"/>
          <w:sz w:val="32"/>
          <w:szCs w:val="24"/>
          <w:highlight w:val="none"/>
          <w:lang w:val="en-US"/>
        </w:rPr>
        <w:t>%。</w:t>
      </w:r>
    </w:p>
    <w:p>
      <w:pPr>
        <w:keepNext/>
        <w:keepLines/>
        <w:shd w:val="clear"/>
        <w:spacing w:line="576" w:lineRule="exact"/>
        <w:ind w:firstLine="643"/>
        <w:jc w:val="both"/>
        <w:rPr>
          <w:rFonts w:hint="eastAsia" w:ascii="仿宋_GB2312" w:hAnsi="仿宋_GB2312" w:eastAsia="仿宋_GB2312"/>
          <w:b w:val="0"/>
          <w:bCs/>
          <w:color w:val="auto"/>
          <w:kern w:val="2"/>
          <w:sz w:val="32"/>
          <w:szCs w:val="24"/>
          <w:highlight w:val="none"/>
          <w:lang w:val="en-US"/>
        </w:rPr>
      </w:pPr>
      <w:r>
        <w:rPr>
          <w:rFonts w:hint="eastAsia" w:ascii="仿宋_GB2312" w:hAnsi="仿宋_GB2312" w:eastAsia="仿宋_GB2312"/>
          <w:b w:val="0"/>
          <w:bCs/>
          <w:color w:val="auto"/>
          <w:kern w:val="2"/>
          <w:sz w:val="32"/>
          <w:szCs w:val="24"/>
          <w:highlight w:val="none"/>
          <w:lang w:val="en-US" w:eastAsia="zh-CN"/>
        </w:rPr>
        <w:t>5</w:t>
      </w:r>
      <w:r>
        <w:rPr>
          <w:rFonts w:hint="eastAsia" w:ascii="仿宋_GB2312" w:hAnsi="仿宋_GB2312" w:eastAsia="仿宋_GB2312"/>
          <w:b w:val="0"/>
          <w:bCs/>
          <w:color w:val="auto"/>
          <w:kern w:val="2"/>
          <w:sz w:val="32"/>
          <w:szCs w:val="24"/>
          <w:highlight w:val="none"/>
          <w:lang w:val="en-US"/>
        </w:rPr>
        <w:t>.卫生健康支出（类）行政事业单位医疗（款）事业单位医疗（项）</w:t>
      </w:r>
      <w:r>
        <w:rPr>
          <w:rFonts w:hint="eastAsia" w:ascii="仿宋_GB2312" w:hAnsi="仿宋_GB2312" w:eastAsia="仿宋_GB2312"/>
          <w:b w:val="0"/>
          <w:bCs/>
          <w:color w:val="auto"/>
          <w:kern w:val="2"/>
          <w:sz w:val="32"/>
          <w:szCs w:val="24"/>
          <w:highlight w:val="none"/>
          <w:lang w:val="en-US" w:eastAsia="zh-CN"/>
        </w:rPr>
        <w:t>：</w:t>
      </w:r>
      <w:r>
        <w:rPr>
          <w:rFonts w:hint="eastAsia" w:ascii="仿宋" w:hAnsi="仿宋" w:eastAsia="仿宋"/>
          <w:b w:val="0"/>
          <w:bCs/>
          <w:color w:val="auto"/>
          <w:kern w:val="2"/>
          <w:sz w:val="32"/>
          <w:szCs w:val="24"/>
          <w:highlight w:val="none"/>
          <w:lang w:val="en-US"/>
        </w:rPr>
        <w:t>支出决算为12</w:t>
      </w:r>
      <w:r>
        <w:rPr>
          <w:rFonts w:hint="eastAsia" w:ascii="仿宋" w:hAnsi="仿宋" w:eastAsia="仿宋"/>
          <w:b w:val="0"/>
          <w:bCs/>
          <w:color w:val="auto"/>
          <w:kern w:val="2"/>
          <w:sz w:val="32"/>
          <w:szCs w:val="24"/>
          <w:highlight w:val="none"/>
          <w:lang w:val="en-US" w:eastAsia="zh-CN"/>
        </w:rPr>
        <w:t>.</w:t>
      </w:r>
      <w:r>
        <w:rPr>
          <w:rFonts w:hint="eastAsia" w:ascii="仿宋" w:hAnsi="仿宋" w:eastAsia="仿宋"/>
          <w:b w:val="0"/>
          <w:bCs/>
          <w:color w:val="auto"/>
          <w:kern w:val="2"/>
          <w:sz w:val="32"/>
          <w:szCs w:val="24"/>
          <w:highlight w:val="none"/>
          <w:lang w:val="en-US"/>
        </w:rPr>
        <w:t>01万元，完成预算</w:t>
      </w:r>
      <w:r>
        <w:rPr>
          <w:rFonts w:hint="eastAsia" w:ascii="仿宋" w:hAnsi="仿宋" w:eastAsia="仿宋"/>
          <w:b w:val="0"/>
          <w:bCs/>
          <w:color w:val="auto"/>
          <w:kern w:val="2"/>
          <w:sz w:val="32"/>
          <w:szCs w:val="24"/>
          <w:highlight w:val="none"/>
          <w:lang w:val="en-US" w:eastAsia="zh-CN"/>
        </w:rPr>
        <w:t>100</w:t>
      </w:r>
      <w:r>
        <w:rPr>
          <w:rFonts w:hint="eastAsia" w:ascii="仿宋" w:hAnsi="仿宋" w:eastAsia="仿宋"/>
          <w:b w:val="0"/>
          <w:bCs/>
          <w:color w:val="auto"/>
          <w:kern w:val="2"/>
          <w:sz w:val="32"/>
          <w:szCs w:val="24"/>
          <w:highlight w:val="none"/>
          <w:lang w:val="en-US"/>
        </w:rPr>
        <w:t>%。</w:t>
      </w:r>
    </w:p>
    <w:p>
      <w:pPr>
        <w:keepNext/>
        <w:keepLines/>
        <w:shd w:val="clear"/>
        <w:spacing w:line="576" w:lineRule="exact"/>
        <w:ind w:firstLine="640"/>
        <w:jc w:val="both"/>
        <w:rPr>
          <w:rFonts w:hint="eastAsia" w:ascii="仿宋" w:hAnsi="仿宋" w:eastAsia="仿宋"/>
          <w:b w:val="0"/>
          <w:bCs/>
          <w:color w:val="auto"/>
          <w:kern w:val="2"/>
          <w:sz w:val="32"/>
          <w:szCs w:val="24"/>
          <w:highlight w:val="none"/>
          <w:lang w:val="en-US"/>
        </w:rPr>
      </w:pPr>
      <w:r>
        <w:rPr>
          <w:rFonts w:hint="eastAsia" w:ascii="仿宋_GB2312" w:hAnsi="仿宋_GB2312" w:eastAsia="仿宋_GB2312"/>
          <w:b w:val="0"/>
          <w:bCs/>
          <w:color w:val="auto"/>
          <w:kern w:val="2"/>
          <w:sz w:val="32"/>
          <w:szCs w:val="24"/>
          <w:highlight w:val="none"/>
          <w:lang w:val="en-US" w:eastAsia="zh-CN"/>
        </w:rPr>
        <w:t>6</w:t>
      </w:r>
      <w:r>
        <w:rPr>
          <w:rFonts w:hint="eastAsia" w:ascii="仿宋_GB2312" w:hAnsi="仿宋_GB2312" w:eastAsia="仿宋_GB2312"/>
          <w:b w:val="0"/>
          <w:bCs/>
          <w:color w:val="auto"/>
          <w:kern w:val="2"/>
          <w:sz w:val="32"/>
          <w:szCs w:val="24"/>
          <w:highlight w:val="none"/>
          <w:lang w:val="en-US"/>
        </w:rPr>
        <w:t>.住房保障支出（类）住房改革支出（款）住房公积金（项）</w:t>
      </w:r>
      <w:r>
        <w:rPr>
          <w:rFonts w:hint="eastAsia" w:ascii="仿宋_GB2312" w:hAnsi="仿宋_GB2312" w:eastAsia="仿宋_GB2312"/>
          <w:b w:val="0"/>
          <w:bCs/>
          <w:color w:val="auto"/>
          <w:kern w:val="2"/>
          <w:sz w:val="32"/>
          <w:szCs w:val="24"/>
          <w:highlight w:val="none"/>
          <w:lang w:val="en-US" w:eastAsia="zh-CN"/>
        </w:rPr>
        <w:t>：</w:t>
      </w:r>
      <w:r>
        <w:rPr>
          <w:rFonts w:hint="eastAsia" w:ascii="仿宋" w:hAnsi="仿宋" w:eastAsia="仿宋"/>
          <w:b w:val="0"/>
          <w:bCs/>
          <w:color w:val="auto"/>
          <w:kern w:val="2"/>
          <w:sz w:val="32"/>
          <w:szCs w:val="24"/>
          <w:highlight w:val="none"/>
          <w:lang w:val="en-US"/>
        </w:rPr>
        <w:t>支出决算为26</w:t>
      </w:r>
      <w:r>
        <w:rPr>
          <w:rFonts w:hint="eastAsia" w:ascii="仿宋" w:hAnsi="仿宋" w:eastAsia="仿宋"/>
          <w:b w:val="0"/>
          <w:bCs/>
          <w:color w:val="auto"/>
          <w:kern w:val="2"/>
          <w:sz w:val="32"/>
          <w:szCs w:val="24"/>
          <w:highlight w:val="none"/>
          <w:lang w:val="en-US" w:eastAsia="zh-CN"/>
        </w:rPr>
        <w:t>.</w:t>
      </w:r>
      <w:r>
        <w:rPr>
          <w:rFonts w:hint="eastAsia" w:ascii="仿宋" w:hAnsi="仿宋" w:eastAsia="仿宋"/>
          <w:b w:val="0"/>
          <w:bCs/>
          <w:color w:val="auto"/>
          <w:kern w:val="2"/>
          <w:sz w:val="32"/>
          <w:szCs w:val="24"/>
          <w:highlight w:val="none"/>
          <w:lang w:val="en-US"/>
        </w:rPr>
        <w:t>47万元，完成预算</w:t>
      </w:r>
      <w:r>
        <w:rPr>
          <w:rFonts w:hint="eastAsia" w:ascii="仿宋" w:hAnsi="仿宋" w:eastAsia="仿宋"/>
          <w:b w:val="0"/>
          <w:bCs/>
          <w:color w:val="auto"/>
          <w:kern w:val="2"/>
          <w:sz w:val="32"/>
          <w:szCs w:val="24"/>
          <w:highlight w:val="none"/>
          <w:lang w:val="en-US" w:eastAsia="zh-CN"/>
        </w:rPr>
        <w:t>100</w:t>
      </w:r>
      <w:r>
        <w:rPr>
          <w:rFonts w:hint="eastAsia" w:ascii="仿宋" w:hAnsi="仿宋" w:eastAsia="仿宋"/>
          <w:b w:val="0"/>
          <w:bCs/>
          <w:color w:val="auto"/>
          <w:kern w:val="2"/>
          <w:sz w:val="32"/>
          <w:szCs w:val="24"/>
          <w:highlight w:val="none"/>
          <w:lang w:val="en-US"/>
        </w:rPr>
        <w:t>%。</w:t>
      </w:r>
    </w:p>
    <w:p>
      <w:pPr>
        <w:keepNext/>
        <w:keepLines/>
        <w:pageBreakBefore w:val="0"/>
        <w:widowControl w:val="0"/>
        <w:shd w:val="clear"/>
        <w:tabs>
          <w:tab w:val="right" w:pos="8306"/>
        </w:tabs>
        <w:kinsoku/>
        <w:wordWrap/>
        <w:overflowPunct/>
        <w:topLinePunct w:val="0"/>
        <w:autoSpaceDE w:val="0"/>
        <w:autoSpaceDN w:val="0"/>
        <w:bidi w:val="0"/>
        <w:adjustRightInd w:val="0"/>
        <w:snapToGrid/>
        <w:spacing w:line="576" w:lineRule="exact"/>
        <w:ind w:firstLine="640" w:firstLineChars="200"/>
        <w:jc w:val="both"/>
        <w:textAlignment w:val="auto"/>
        <w:outlineLvl w:val="1"/>
        <w:rPr>
          <w:rFonts w:hint="default" w:ascii="Cambria" w:hAnsi="Cambria" w:eastAsia="Cambria"/>
          <w:b/>
          <w:color w:val="auto"/>
          <w:kern w:val="2"/>
          <w:sz w:val="32"/>
          <w:szCs w:val="24"/>
          <w:highlight w:val="none"/>
          <w:lang w:val="zh-CN"/>
        </w:rPr>
      </w:pPr>
      <w:bookmarkStart w:id="12" w:name="_Toc21669"/>
      <w:r>
        <w:rPr>
          <w:rFonts w:hint="eastAsia" w:ascii="黑体" w:hAnsi="黑体" w:eastAsia="黑体"/>
          <w:color w:val="auto"/>
          <w:kern w:val="2"/>
          <w:sz w:val="32"/>
          <w:szCs w:val="24"/>
          <w:highlight w:val="none"/>
          <w:lang w:val="zh-CN"/>
        </w:rPr>
        <w:t>六</w:t>
      </w:r>
      <w:r>
        <w:rPr>
          <w:rFonts w:hint="eastAsia" w:ascii="黑体" w:hAnsi="黑体" w:eastAsia="黑体"/>
          <w:b/>
          <w:color w:val="auto"/>
          <w:kern w:val="2"/>
          <w:sz w:val="32"/>
          <w:szCs w:val="24"/>
          <w:highlight w:val="none"/>
          <w:lang w:val="zh-CN"/>
        </w:rPr>
        <w:t>、一</w:t>
      </w:r>
      <w:r>
        <w:rPr>
          <w:rFonts w:hint="eastAsia" w:ascii="黑体" w:hAnsi="黑体" w:eastAsia="黑体"/>
          <w:color w:val="auto"/>
          <w:kern w:val="2"/>
          <w:sz w:val="32"/>
          <w:szCs w:val="24"/>
          <w:highlight w:val="none"/>
          <w:lang w:val="zh-CN"/>
        </w:rPr>
        <w:t>般公共预算财政拨款基本支出决算情况说明</w:t>
      </w:r>
      <w:bookmarkEnd w:id="12"/>
      <w:r>
        <w:rPr>
          <w:rFonts w:hint="eastAsia" w:ascii="黑体" w:hAnsi="黑体" w:eastAsia="黑体"/>
          <w:color w:val="auto"/>
          <w:kern w:val="2"/>
          <w:sz w:val="32"/>
          <w:szCs w:val="24"/>
          <w:highlight w:val="none"/>
          <w:lang w:val="zh-CN"/>
        </w:rPr>
        <w:tab/>
      </w:r>
    </w:p>
    <w:p>
      <w:pPr>
        <w:shd w:val="clear"/>
        <w:spacing w:line="576" w:lineRule="exact"/>
        <w:ind w:firstLine="640"/>
        <w:jc w:val="both"/>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color w:val="auto"/>
          <w:kern w:val="2"/>
          <w:sz w:val="32"/>
          <w:szCs w:val="24"/>
          <w:highlight w:val="none"/>
          <w:lang w:val="zh-CN"/>
        </w:rPr>
        <w:t>2022年一般公共预算财政拨款基本支出422.79万元，其中：</w:t>
      </w:r>
    </w:p>
    <w:p>
      <w:pPr>
        <w:shd w:val="clear"/>
        <w:spacing w:line="576" w:lineRule="exact"/>
        <w:ind w:firstLine="643"/>
        <w:jc w:val="both"/>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b/>
          <w:color w:val="auto"/>
          <w:kern w:val="2"/>
          <w:sz w:val="32"/>
          <w:szCs w:val="24"/>
          <w:highlight w:val="none"/>
          <w:lang w:val="zh-CN"/>
        </w:rPr>
        <w:t>人员经费</w:t>
      </w:r>
      <w:r>
        <w:rPr>
          <w:rFonts w:hint="eastAsia" w:ascii="仿宋_GB2312" w:hAnsi="仿宋_GB2312" w:eastAsia="仿宋_GB2312"/>
          <w:color w:val="auto"/>
          <w:kern w:val="2"/>
          <w:sz w:val="32"/>
          <w:szCs w:val="24"/>
          <w:highlight w:val="none"/>
          <w:lang w:val="zh-CN"/>
        </w:rPr>
        <w:t>382.87万元，主要包括：</w:t>
      </w:r>
      <w:r>
        <w:rPr>
          <w:rFonts w:hint="eastAsia" w:ascii="仿宋" w:hAnsi="仿宋" w:eastAsia="仿宋"/>
          <w:color w:val="auto"/>
          <w:kern w:val="2"/>
          <w:sz w:val="32"/>
          <w:szCs w:val="24"/>
          <w:highlight w:val="none"/>
          <w:lang w:val="en-US"/>
        </w:rPr>
        <w:t>基本工资、津贴补贴、奖金、绩效工资、机关事业单位基本养老保险缴费、职业年金缴费、职工基本医疗保险缴费</w:t>
      </w:r>
      <w:r>
        <w:rPr>
          <w:rFonts w:hint="eastAsia" w:ascii="仿宋" w:hAnsi="仿宋" w:eastAsia="仿宋"/>
          <w:color w:val="auto"/>
          <w:kern w:val="2"/>
          <w:sz w:val="32"/>
          <w:szCs w:val="24"/>
          <w:highlight w:val="none"/>
          <w:lang w:val="en-US" w:eastAsia="zh-CN"/>
        </w:rPr>
        <w:t>、</w:t>
      </w:r>
      <w:r>
        <w:rPr>
          <w:rFonts w:hint="eastAsia" w:ascii="仿宋" w:hAnsi="仿宋" w:eastAsia="仿宋"/>
          <w:color w:val="auto"/>
          <w:kern w:val="2"/>
          <w:sz w:val="32"/>
          <w:szCs w:val="24"/>
          <w:highlight w:val="none"/>
          <w:lang w:val="en-US"/>
        </w:rPr>
        <w:t>其他社会保障缴费、住房公积金、其他工资福利支出</w:t>
      </w:r>
      <w:r>
        <w:rPr>
          <w:rFonts w:hint="eastAsia" w:ascii="仿宋" w:hAnsi="仿宋" w:eastAsia="仿宋"/>
          <w:color w:val="auto"/>
          <w:kern w:val="2"/>
          <w:sz w:val="32"/>
          <w:szCs w:val="24"/>
          <w:highlight w:val="none"/>
          <w:lang w:val="en-US" w:eastAsia="zh-CN"/>
        </w:rPr>
        <w:t>、</w:t>
      </w:r>
      <w:r>
        <w:rPr>
          <w:rFonts w:hint="eastAsia" w:ascii="仿宋" w:hAnsi="仿宋" w:eastAsia="仿宋"/>
          <w:color w:val="auto"/>
          <w:kern w:val="2"/>
          <w:sz w:val="32"/>
          <w:szCs w:val="24"/>
          <w:highlight w:val="none"/>
          <w:lang w:val="en-US"/>
        </w:rPr>
        <w:t>生活补助</w:t>
      </w:r>
      <w:r>
        <w:rPr>
          <w:rFonts w:hint="eastAsia" w:ascii="仿宋" w:hAnsi="仿宋" w:eastAsia="仿宋"/>
          <w:color w:val="auto"/>
          <w:kern w:val="2"/>
          <w:sz w:val="32"/>
          <w:szCs w:val="24"/>
          <w:highlight w:val="none"/>
          <w:lang w:val="en-US" w:eastAsia="zh-CN"/>
        </w:rPr>
        <w:t>、奖励金</w:t>
      </w:r>
      <w:r>
        <w:rPr>
          <w:rFonts w:hint="eastAsia" w:ascii="仿宋_GB2312" w:hAnsi="仿宋_GB2312" w:eastAsia="仿宋_GB2312"/>
          <w:color w:val="auto"/>
          <w:kern w:val="2"/>
          <w:sz w:val="32"/>
          <w:szCs w:val="24"/>
          <w:highlight w:val="none"/>
          <w:lang w:val="zh-CN"/>
        </w:rPr>
        <w:t>。</w:t>
      </w:r>
    </w:p>
    <w:p>
      <w:pPr>
        <w:shd w:val="clear"/>
        <w:spacing w:line="576" w:lineRule="exact"/>
        <w:ind w:firstLine="643"/>
        <w:jc w:val="both"/>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b/>
          <w:color w:val="auto"/>
          <w:kern w:val="2"/>
          <w:sz w:val="32"/>
          <w:szCs w:val="24"/>
          <w:highlight w:val="none"/>
          <w:lang w:val="zh-CN"/>
        </w:rPr>
        <w:t>公用经费</w:t>
      </w:r>
      <w:r>
        <w:rPr>
          <w:rFonts w:hint="eastAsia" w:ascii="仿宋_GB2312" w:hAnsi="仿宋_GB2312" w:eastAsia="仿宋_GB2312"/>
          <w:color w:val="auto"/>
          <w:kern w:val="2"/>
          <w:sz w:val="32"/>
          <w:szCs w:val="24"/>
          <w:highlight w:val="none"/>
          <w:lang w:val="zh-CN"/>
        </w:rPr>
        <w:t>39.92万元，主要包括：</w:t>
      </w:r>
      <w:r>
        <w:rPr>
          <w:rFonts w:hint="eastAsia" w:ascii="仿宋" w:hAnsi="仿宋" w:eastAsia="仿宋"/>
          <w:color w:val="auto"/>
          <w:kern w:val="2"/>
          <w:sz w:val="32"/>
          <w:szCs w:val="24"/>
          <w:highlight w:val="none"/>
          <w:lang w:val="en-US"/>
        </w:rPr>
        <w:t>办公费、印刷</w:t>
      </w:r>
      <w:r>
        <w:rPr>
          <w:rFonts w:hint="eastAsia" w:ascii="仿宋" w:hAnsi="仿宋" w:eastAsia="仿宋"/>
          <w:color w:val="auto"/>
          <w:kern w:val="2"/>
          <w:sz w:val="32"/>
          <w:szCs w:val="24"/>
          <w:highlight w:val="none"/>
          <w:lang w:val="en-US" w:eastAsia="zh-CN"/>
        </w:rPr>
        <w:t>费、</w:t>
      </w:r>
      <w:r>
        <w:rPr>
          <w:rFonts w:hint="eastAsia" w:ascii="仿宋" w:hAnsi="仿宋" w:eastAsia="仿宋"/>
          <w:color w:val="auto"/>
          <w:kern w:val="2"/>
          <w:sz w:val="32"/>
          <w:szCs w:val="24"/>
          <w:highlight w:val="none"/>
          <w:lang w:val="en-US"/>
        </w:rPr>
        <w:t>手续费、水费、电费、邮电费、物业管理费、差旅费、维修（护）费、培训费、公务接待费、专用材料费</w:t>
      </w:r>
      <w:r>
        <w:rPr>
          <w:rFonts w:hint="eastAsia" w:ascii="仿宋" w:hAnsi="仿宋" w:eastAsia="仿宋"/>
          <w:color w:val="auto"/>
          <w:kern w:val="2"/>
          <w:sz w:val="32"/>
          <w:szCs w:val="24"/>
          <w:highlight w:val="none"/>
          <w:lang w:val="en-US" w:eastAsia="zh-CN"/>
        </w:rPr>
        <w:t>、</w:t>
      </w:r>
      <w:r>
        <w:rPr>
          <w:rFonts w:hint="eastAsia" w:ascii="仿宋" w:hAnsi="仿宋" w:eastAsia="仿宋"/>
          <w:color w:val="auto"/>
          <w:kern w:val="2"/>
          <w:sz w:val="32"/>
          <w:szCs w:val="24"/>
          <w:highlight w:val="none"/>
          <w:lang w:val="en-US"/>
        </w:rPr>
        <w:t>劳务费、工会经费、福利费、公务用车运行维护费、其他商品和服务支出</w:t>
      </w:r>
      <w:r>
        <w:rPr>
          <w:rFonts w:hint="eastAsia" w:ascii="仿宋_GB2312" w:hAnsi="仿宋_GB2312" w:eastAsia="仿宋_GB2312"/>
          <w:color w:val="auto"/>
          <w:kern w:val="2"/>
          <w:sz w:val="32"/>
          <w:szCs w:val="24"/>
          <w:highlight w:val="none"/>
          <w:lang w:val="zh-CN"/>
        </w:rPr>
        <w:t>。</w:t>
      </w:r>
      <w:bookmarkStart w:id="13" w:name="_Toc1224"/>
    </w:p>
    <w:p>
      <w:pPr>
        <w:shd w:val="clear"/>
        <w:spacing w:line="576" w:lineRule="exact"/>
        <w:ind w:firstLine="643"/>
        <w:jc w:val="both"/>
        <w:rPr>
          <w:rFonts w:hint="eastAsia" w:ascii="黑体" w:hAnsi="黑体" w:eastAsia="黑体"/>
          <w:color w:val="auto"/>
          <w:kern w:val="2"/>
          <w:sz w:val="32"/>
          <w:szCs w:val="24"/>
          <w:highlight w:val="none"/>
          <w:lang w:val="zh-CN"/>
        </w:rPr>
      </w:pPr>
      <w:r>
        <w:rPr>
          <w:rFonts w:hint="eastAsia" w:ascii="黑体" w:hAnsi="黑体" w:eastAsia="黑体"/>
          <w:color w:val="auto"/>
          <w:kern w:val="2"/>
          <w:sz w:val="32"/>
          <w:szCs w:val="24"/>
          <w:highlight w:val="none"/>
          <w:lang w:val="zh-CN"/>
        </w:rPr>
        <w:t>七、</w:t>
      </w:r>
      <w:r>
        <w:rPr>
          <w:rFonts w:hint="eastAsia" w:ascii="黑体" w:hAnsi="黑体" w:eastAsia="黑体"/>
          <w:b/>
          <w:color w:val="auto"/>
          <w:kern w:val="2"/>
          <w:sz w:val="32"/>
          <w:szCs w:val="24"/>
          <w:highlight w:val="none"/>
          <w:lang w:val="zh-CN"/>
        </w:rPr>
        <w:t>“</w:t>
      </w:r>
      <w:r>
        <w:rPr>
          <w:rFonts w:hint="eastAsia" w:ascii="黑体" w:hAnsi="黑体" w:eastAsia="黑体"/>
          <w:color w:val="auto"/>
          <w:kern w:val="2"/>
          <w:sz w:val="32"/>
          <w:szCs w:val="24"/>
          <w:highlight w:val="none"/>
          <w:lang w:val="zh-CN"/>
        </w:rPr>
        <w:t>三公”经费财政拨款支出决算情况说明</w:t>
      </w:r>
      <w:bookmarkEnd w:id="13"/>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3" w:firstLineChars="200"/>
        <w:jc w:val="both"/>
        <w:textAlignment w:val="auto"/>
        <w:outlineLvl w:val="2"/>
        <w:rPr>
          <w:rFonts w:hint="eastAsia" w:ascii="仿宋_GB2312" w:hAnsi="仿宋_GB2312" w:eastAsia="仿宋_GB2312"/>
          <w:b/>
          <w:color w:val="auto"/>
          <w:kern w:val="2"/>
          <w:sz w:val="32"/>
          <w:szCs w:val="24"/>
          <w:highlight w:val="none"/>
          <w:lang w:val="zh-CN"/>
        </w:rPr>
      </w:pPr>
      <w:bookmarkStart w:id="14" w:name="_Toc12615"/>
      <w:r>
        <w:rPr>
          <w:rFonts w:hint="eastAsia" w:ascii="仿宋_GB2312" w:hAnsi="仿宋_GB2312" w:eastAsia="仿宋_GB2312"/>
          <w:b/>
          <w:color w:val="auto"/>
          <w:kern w:val="2"/>
          <w:sz w:val="32"/>
          <w:szCs w:val="24"/>
          <w:highlight w:val="none"/>
          <w:lang w:val="zh-CN"/>
        </w:rPr>
        <w:t>（一）“三公”经费财政拨款支出决算总体情况说明</w:t>
      </w:r>
      <w:bookmarkEnd w:id="14"/>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0"/>
        <w:jc w:val="both"/>
        <w:textAlignment w:val="auto"/>
        <w:rPr>
          <w:rFonts w:hint="eastAsia" w:ascii="仿宋" w:hAnsi="仿宋" w:eastAsia="仿宋"/>
          <w:b/>
          <w:color w:val="auto"/>
          <w:kern w:val="2"/>
          <w:sz w:val="32"/>
          <w:szCs w:val="24"/>
          <w:highlight w:val="none"/>
          <w:lang w:val="en-US"/>
        </w:rPr>
      </w:pPr>
      <w:r>
        <w:rPr>
          <w:rFonts w:hint="eastAsia" w:ascii="仿宋_GB2312" w:hAnsi="仿宋_GB2312" w:eastAsia="仿宋_GB2312"/>
          <w:color w:val="auto"/>
          <w:kern w:val="2"/>
          <w:sz w:val="32"/>
          <w:szCs w:val="24"/>
          <w:highlight w:val="none"/>
          <w:lang w:val="zh-CN"/>
        </w:rPr>
        <w:t>2022年“三公”经费财政拨款支出决算为4.55万元，完成预算97.2%；较上年增加0.01万元，增长0.2%。决算数小于预算数的主要原因是</w:t>
      </w:r>
      <w:r>
        <w:rPr>
          <w:rFonts w:hint="eastAsia" w:ascii="仿宋" w:hAnsi="仿宋" w:eastAsia="仿宋"/>
          <w:color w:val="auto"/>
          <w:sz w:val="32"/>
          <w:szCs w:val="32"/>
          <w:highlight w:val="none"/>
        </w:rPr>
        <w:t>厉行节约，压减支出</w:t>
      </w:r>
      <w:r>
        <w:rPr>
          <w:rFonts w:hint="eastAsia" w:ascii="仿宋_GB2312" w:hAnsi="仿宋_GB2312" w:eastAsia="仿宋_GB2312"/>
          <w:color w:val="auto"/>
          <w:kern w:val="2"/>
          <w:sz w:val="32"/>
          <w:szCs w:val="24"/>
          <w:highlight w:val="none"/>
          <w:lang w:val="zh-CN"/>
        </w:rPr>
        <w:t>。</w:t>
      </w:r>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3" w:firstLineChars="200"/>
        <w:jc w:val="both"/>
        <w:textAlignment w:val="auto"/>
        <w:outlineLvl w:val="2"/>
        <w:rPr>
          <w:rFonts w:hint="eastAsia" w:ascii="仿宋_GB2312" w:hAnsi="仿宋_GB2312" w:eastAsia="仿宋_GB2312"/>
          <w:b/>
          <w:color w:val="auto"/>
          <w:kern w:val="2"/>
          <w:sz w:val="32"/>
          <w:szCs w:val="24"/>
          <w:highlight w:val="none"/>
          <w:lang w:val="zh-CN"/>
        </w:rPr>
      </w:pPr>
      <w:bookmarkStart w:id="15" w:name="_Toc15427"/>
      <w:r>
        <w:rPr>
          <w:rFonts w:hint="eastAsia" w:ascii="仿宋_GB2312" w:hAnsi="仿宋_GB2312" w:eastAsia="仿宋_GB2312"/>
          <w:b/>
          <w:color w:val="auto"/>
          <w:kern w:val="2"/>
          <w:sz w:val="32"/>
          <w:szCs w:val="24"/>
          <w:highlight w:val="none"/>
          <w:lang w:val="zh-CN"/>
        </w:rPr>
        <w:t>（二）“三公”经费财政拨款支出决算具体情况说明</w:t>
      </w:r>
      <w:bookmarkEnd w:id="15"/>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0"/>
        <w:jc w:val="both"/>
        <w:textAlignment w:val="auto"/>
        <w:rPr>
          <w:rFonts w:hint="eastAsia" w:ascii="仿宋_GB2312" w:hAnsi="仿宋_GB2312" w:eastAsia="仿宋_GB2312"/>
          <w:color w:val="auto"/>
          <w:kern w:val="2"/>
          <w:sz w:val="32"/>
          <w:szCs w:val="24"/>
          <w:highlight w:val="none"/>
          <w:lang w:val="zh-CN"/>
        </w:rPr>
      </w:pPr>
      <w:r>
        <w:rPr>
          <w:rFonts w:hint="eastAsia"/>
          <w:color w:val="auto"/>
          <w:highlight w:val="none"/>
          <w:lang w:val="zh-CN"/>
        </w:rPr>
        <w:drawing>
          <wp:anchor distT="0" distB="0" distL="114300" distR="114300" simplePos="0" relativeHeight="251659264" behindDoc="1" locked="0" layoutInCell="1" allowOverlap="1">
            <wp:simplePos x="0" y="0"/>
            <wp:positionH relativeFrom="column">
              <wp:posOffset>338455</wp:posOffset>
            </wp:positionH>
            <wp:positionV relativeFrom="paragraph">
              <wp:posOffset>1614170</wp:posOffset>
            </wp:positionV>
            <wp:extent cx="5140960" cy="2947670"/>
            <wp:effectExtent l="0" t="0" r="2540" b="11430"/>
            <wp:wrapTight wrapText="bothSides">
              <wp:wrapPolygon>
                <wp:start x="0" y="0"/>
                <wp:lineTo x="0" y="21498"/>
                <wp:lineTo x="21571" y="21498"/>
                <wp:lineTo x="21571" y="0"/>
                <wp:lineTo x="0" y="0"/>
              </wp:wrapPolygon>
            </wp:wrapTight>
            <wp:docPr id="7" name="图片 7" descr="图片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片7"/>
                    <pic:cNvPicPr>
                      <a:picLocks noChangeAspect="1"/>
                    </pic:cNvPicPr>
                  </pic:nvPicPr>
                  <pic:blipFill>
                    <a:blip r:embed="rId11"/>
                    <a:stretch>
                      <a:fillRect/>
                    </a:stretch>
                  </pic:blipFill>
                  <pic:spPr>
                    <a:xfrm>
                      <a:off x="0" y="0"/>
                      <a:ext cx="5140960" cy="2947670"/>
                    </a:xfrm>
                    <a:prstGeom prst="rect">
                      <a:avLst/>
                    </a:prstGeom>
                  </pic:spPr>
                </pic:pic>
              </a:graphicData>
            </a:graphic>
          </wp:anchor>
        </w:drawing>
      </w:r>
      <w:r>
        <w:rPr>
          <w:rFonts w:hint="eastAsia" w:ascii="仿宋_GB2312" w:hAnsi="仿宋_GB2312" w:eastAsia="仿宋_GB2312"/>
          <w:color w:val="auto"/>
          <w:kern w:val="2"/>
          <w:sz w:val="32"/>
          <w:szCs w:val="24"/>
          <w:highlight w:val="none"/>
          <w:lang w:val="zh-CN"/>
        </w:rPr>
        <w:t>2022年“三公”经费财政拨款支出决算中，因公出国（境）费支出决算0万元，占0%；公务用车购置及运行维护费支出决算4.1万元，占90.1%；公务接待费支出决算0.45万元，占9.9%。具体情况如下：</w:t>
      </w:r>
    </w:p>
    <w:p>
      <w:pPr>
        <w:pStyle w:val="2"/>
        <w:keepNext w:val="0"/>
        <w:keepLines w:val="0"/>
        <w:pageBreakBefore w:val="0"/>
        <w:widowControl w:val="0"/>
        <w:shd w:val="clear"/>
        <w:kinsoku/>
        <w:wordWrap/>
        <w:overflowPunct/>
        <w:topLinePunct w:val="0"/>
        <w:autoSpaceDE w:val="0"/>
        <w:autoSpaceDN w:val="0"/>
        <w:bidi w:val="0"/>
        <w:adjustRightInd w:val="0"/>
        <w:snapToGrid/>
        <w:jc w:val="center"/>
        <w:textAlignment w:val="auto"/>
        <w:rPr>
          <w:rFonts w:hint="eastAsia"/>
          <w:color w:val="auto"/>
          <w:highlight w:val="none"/>
          <w:lang w:val="zh-CN"/>
        </w:rPr>
      </w:pPr>
    </w:p>
    <w:p>
      <w:pPr>
        <w:keepNext w:val="0"/>
        <w:keepLines w:val="0"/>
        <w:pageBreakBefore w:val="0"/>
        <w:widowControl w:val="0"/>
        <w:shd w:val="clear"/>
        <w:kinsoku/>
        <w:wordWrap/>
        <w:overflowPunct/>
        <w:topLinePunct w:val="0"/>
        <w:autoSpaceDE w:val="0"/>
        <w:autoSpaceDN w:val="0"/>
        <w:bidi w:val="0"/>
        <w:adjustRightInd w:val="0"/>
        <w:snapToGrid/>
        <w:spacing w:line="600" w:lineRule="exact"/>
        <w:ind w:firstLine="640"/>
        <w:jc w:val="both"/>
        <w:textAlignment w:val="auto"/>
        <w:rPr>
          <w:rFonts w:hint="eastAsia" w:ascii="仿宋" w:hAnsi="仿宋" w:eastAsia="仿宋"/>
          <w:color w:val="auto"/>
          <w:kern w:val="2"/>
          <w:sz w:val="32"/>
          <w:szCs w:val="24"/>
          <w:highlight w:val="none"/>
          <w:lang w:val="en-US"/>
        </w:rPr>
      </w:pPr>
      <w:r>
        <w:rPr>
          <w:rFonts w:hint="eastAsia" w:ascii="仿宋" w:hAnsi="仿宋" w:eastAsia="仿宋"/>
          <w:color w:val="auto"/>
          <w:kern w:val="2"/>
          <w:sz w:val="32"/>
          <w:szCs w:val="24"/>
          <w:highlight w:val="none"/>
          <w:lang w:val="en-US"/>
        </w:rPr>
        <w:t>（图7：“三公”经费财政拨款支出结构）（饼状图）</w:t>
      </w:r>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3"/>
        <w:jc w:val="both"/>
        <w:textAlignment w:val="auto"/>
        <w:rPr>
          <w:rFonts w:hint="eastAsia" w:ascii="仿宋_GB2312" w:hAnsi="仿宋_GB2312" w:eastAsia="仿宋_GB2312"/>
          <w:color w:val="auto"/>
          <w:kern w:val="2"/>
          <w:sz w:val="32"/>
          <w:szCs w:val="24"/>
          <w:highlight w:val="none"/>
          <w:lang w:val="en-US"/>
        </w:rPr>
      </w:pPr>
      <w:r>
        <w:rPr>
          <w:rFonts w:hint="eastAsia" w:ascii="仿宋_GB2312" w:hAnsi="仿宋_GB2312" w:eastAsia="仿宋_GB2312"/>
          <w:b/>
          <w:color w:val="auto"/>
          <w:kern w:val="2"/>
          <w:sz w:val="32"/>
          <w:szCs w:val="24"/>
          <w:highlight w:val="none"/>
          <w:lang w:val="zh-CN"/>
        </w:rPr>
        <w:t>1.因公出国（境）经费</w:t>
      </w:r>
      <w:r>
        <w:rPr>
          <w:rFonts w:hint="eastAsia" w:ascii="仿宋_GB2312" w:hAnsi="仿宋_GB2312" w:eastAsia="仿宋_GB2312"/>
          <w:color w:val="auto"/>
          <w:kern w:val="2"/>
          <w:sz w:val="32"/>
          <w:szCs w:val="24"/>
          <w:highlight w:val="none"/>
          <w:lang w:val="zh-CN"/>
        </w:rPr>
        <w:t>支出0万元，年初未安排预算。因公出国（境）支出决算较2021年度无变化。</w:t>
      </w:r>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3"/>
        <w:jc w:val="both"/>
        <w:textAlignment w:val="auto"/>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b/>
          <w:color w:val="auto"/>
          <w:kern w:val="2"/>
          <w:sz w:val="32"/>
          <w:szCs w:val="24"/>
          <w:highlight w:val="none"/>
          <w:lang w:val="zh-CN"/>
        </w:rPr>
        <w:t>2.公务用车购置及运行维护费</w:t>
      </w:r>
      <w:r>
        <w:rPr>
          <w:rFonts w:hint="eastAsia" w:ascii="仿宋_GB2312" w:hAnsi="仿宋_GB2312" w:eastAsia="仿宋_GB2312"/>
          <w:color w:val="auto"/>
          <w:kern w:val="2"/>
          <w:sz w:val="32"/>
          <w:szCs w:val="24"/>
          <w:highlight w:val="none"/>
          <w:lang w:val="zh-CN"/>
        </w:rPr>
        <w:t>支出4.1万元，完成预算97.6%。公务用车购置及运行维护费支出决算比2021年减少0.07万元，下降1.7%。主要原因是运行维护费用减少。</w:t>
      </w:r>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0"/>
        <w:jc w:val="both"/>
        <w:textAlignment w:val="auto"/>
        <w:rPr>
          <w:rFonts w:hint="default" w:ascii="仿宋_GB2312" w:hAnsi="仿宋_GB2312" w:eastAsia="仿宋_GB2312"/>
          <w:color w:val="auto"/>
          <w:kern w:val="2"/>
          <w:sz w:val="32"/>
          <w:szCs w:val="24"/>
          <w:highlight w:val="none"/>
          <w:lang w:val="en-US" w:eastAsia="zh-CN"/>
        </w:rPr>
      </w:pPr>
      <w:r>
        <w:rPr>
          <w:rFonts w:hint="eastAsia" w:ascii="仿宋_GB2312" w:hAnsi="仿宋_GB2312" w:eastAsia="仿宋_GB2312"/>
          <w:color w:val="auto"/>
          <w:kern w:val="2"/>
          <w:sz w:val="32"/>
          <w:szCs w:val="24"/>
          <w:highlight w:val="none"/>
          <w:lang w:val="zh-CN"/>
        </w:rPr>
        <w:t>其中：</w:t>
      </w:r>
      <w:r>
        <w:rPr>
          <w:rFonts w:hint="eastAsia" w:ascii="仿宋_GB2312" w:hAnsi="仿宋_GB2312" w:eastAsia="仿宋_GB2312"/>
          <w:b/>
          <w:color w:val="auto"/>
          <w:kern w:val="2"/>
          <w:sz w:val="32"/>
          <w:szCs w:val="24"/>
          <w:highlight w:val="none"/>
          <w:lang w:val="zh-CN"/>
        </w:rPr>
        <w:t>公务用车购置费</w:t>
      </w:r>
      <w:r>
        <w:rPr>
          <w:rFonts w:hint="eastAsia" w:ascii="仿宋_GB2312" w:hAnsi="仿宋_GB2312" w:eastAsia="仿宋_GB2312"/>
          <w:color w:val="auto"/>
          <w:kern w:val="2"/>
          <w:sz w:val="32"/>
          <w:szCs w:val="24"/>
          <w:highlight w:val="none"/>
          <w:lang w:val="zh-CN"/>
        </w:rPr>
        <w:t>支出0万元。截至2022年12月底，单位共有公务用车</w:t>
      </w:r>
      <w:r>
        <w:rPr>
          <w:rFonts w:hint="eastAsia" w:ascii="仿宋_GB2312" w:hAnsi="仿宋_GB2312" w:eastAsia="仿宋_GB2312"/>
          <w:color w:val="auto"/>
          <w:kern w:val="2"/>
          <w:sz w:val="32"/>
          <w:szCs w:val="24"/>
          <w:highlight w:val="none"/>
          <w:lang w:val="en-US" w:eastAsia="zh-CN"/>
        </w:rPr>
        <w:t>2</w:t>
      </w:r>
      <w:r>
        <w:rPr>
          <w:rFonts w:hint="eastAsia" w:ascii="仿宋_GB2312" w:hAnsi="仿宋_GB2312" w:eastAsia="仿宋_GB2312"/>
          <w:color w:val="auto"/>
          <w:kern w:val="2"/>
          <w:sz w:val="32"/>
          <w:szCs w:val="24"/>
          <w:highlight w:val="none"/>
          <w:lang w:val="zh-CN"/>
        </w:rPr>
        <w:t>辆，其中：轿车</w:t>
      </w:r>
      <w:r>
        <w:rPr>
          <w:rFonts w:hint="eastAsia" w:ascii="仿宋_GB2312" w:hAnsi="仿宋_GB2312" w:eastAsia="仿宋_GB2312"/>
          <w:color w:val="auto"/>
          <w:kern w:val="2"/>
          <w:sz w:val="32"/>
          <w:szCs w:val="24"/>
          <w:highlight w:val="none"/>
          <w:lang w:val="en-US" w:eastAsia="zh-CN"/>
        </w:rPr>
        <w:t>1</w:t>
      </w:r>
      <w:r>
        <w:rPr>
          <w:rFonts w:hint="eastAsia" w:ascii="仿宋_GB2312" w:hAnsi="仿宋_GB2312" w:eastAsia="仿宋_GB2312"/>
          <w:color w:val="auto"/>
          <w:kern w:val="2"/>
          <w:sz w:val="32"/>
          <w:szCs w:val="24"/>
          <w:highlight w:val="none"/>
          <w:lang w:val="zh-CN"/>
        </w:rPr>
        <w:t>辆、越野车</w:t>
      </w:r>
      <w:r>
        <w:rPr>
          <w:rFonts w:hint="eastAsia" w:ascii="仿宋_GB2312" w:hAnsi="仿宋_GB2312" w:eastAsia="仿宋_GB2312"/>
          <w:color w:val="auto"/>
          <w:kern w:val="2"/>
          <w:sz w:val="32"/>
          <w:szCs w:val="24"/>
          <w:highlight w:val="none"/>
          <w:lang w:val="en-US" w:eastAsia="zh-CN"/>
        </w:rPr>
        <w:t>1</w:t>
      </w:r>
      <w:r>
        <w:rPr>
          <w:rFonts w:hint="eastAsia" w:ascii="仿宋_GB2312" w:hAnsi="仿宋_GB2312" w:eastAsia="仿宋_GB2312"/>
          <w:color w:val="auto"/>
          <w:kern w:val="2"/>
          <w:sz w:val="32"/>
          <w:szCs w:val="24"/>
          <w:highlight w:val="none"/>
          <w:lang w:val="zh-CN"/>
        </w:rPr>
        <w:t>辆。</w:t>
      </w:r>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3"/>
        <w:jc w:val="both"/>
        <w:textAlignment w:val="auto"/>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b/>
          <w:color w:val="auto"/>
          <w:kern w:val="2"/>
          <w:sz w:val="32"/>
          <w:szCs w:val="24"/>
          <w:highlight w:val="none"/>
          <w:lang w:val="zh-CN"/>
        </w:rPr>
        <w:t>公务用车运行维护费</w:t>
      </w:r>
      <w:r>
        <w:rPr>
          <w:rFonts w:hint="eastAsia" w:ascii="仿宋_GB2312" w:hAnsi="仿宋_GB2312" w:eastAsia="仿宋_GB2312"/>
          <w:color w:val="auto"/>
          <w:kern w:val="2"/>
          <w:sz w:val="32"/>
          <w:szCs w:val="24"/>
          <w:highlight w:val="none"/>
          <w:lang w:val="zh-CN"/>
        </w:rPr>
        <w:t>支出4.1万元。主要用于</w:t>
      </w:r>
      <w:r>
        <w:rPr>
          <w:rFonts w:hint="eastAsia" w:ascii="仿宋_GB2312" w:hAnsi="仿宋_GB2312" w:eastAsia="仿宋_GB2312"/>
          <w:color w:val="auto"/>
          <w:kern w:val="2"/>
          <w:sz w:val="32"/>
          <w:szCs w:val="24"/>
          <w:highlight w:val="none"/>
          <w:lang w:val="zh-CN"/>
        </w:rPr>
        <w:t>特种设备检验检测</w:t>
      </w:r>
      <w:r>
        <w:rPr>
          <w:rFonts w:hint="eastAsia" w:ascii="仿宋_GB2312" w:hAnsi="仿宋_GB2312" w:eastAsia="仿宋_GB2312"/>
          <w:color w:val="auto"/>
          <w:kern w:val="2"/>
          <w:sz w:val="32"/>
          <w:szCs w:val="24"/>
          <w:highlight w:val="none"/>
          <w:lang w:val="zh-CN"/>
        </w:rPr>
        <w:t>等所需的公务用车燃料费、维修费、过路过桥费、保险费等支出。</w:t>
      </w:r>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3"/>
        <w:jc w:val="both"/>
        <w:textAlignment w:val="auto"/>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b/>
          <w:color w:val="auto"/>
          <w:kern w:val="2"/>
          <w:sz w:val="32"/>
          <w:szCs w:val="24"/>
          <w:highlight w:val="none"/>
          <w:lang w:val="zh-CN"/>
        </w:rPr>
        <w:t>3.公务接待费</w:t>
      </w:r>
      <w:r>
        <w:rPr>
          <w:rFonts w:hint="eastAsia" w:ascii="仿宋_GB2312" w:hAnsi="仿宋_GB2312" w:eastAsia="仿宋_GB2312"/>
          <w:color w:val="auto"/>
          <w:kern w:val="2"/>
          <w:sz w:val="32"/>
          <w:szCs w:val="24"/>
          <w:highlight w:val="none"/>
          <w:lang w:val="zh-CN"/>
        </w:rPr>
        <w:t>支出0.45万元，完成预算93.8%。公务接待费支出决算比2021年增加0.08万元，增长21.6%。主要原因是接待人数增加。其中：</w:t>
      </w:r>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3"/>
        <w:jc w:val="both"/>
        <w:textAlignment w:val="auto"/>
        <w:rPr>
          <w:rFonts w:hint="eastAsia" w:ascii="仿宋_GB2312" w:hAnsi="仿宋_GB2312" w:eastAsia="仿宋_GB2312"/>
          <w:color w:val="auto"/>
          <w:kern w:val="2"/>
          <w:sz w:val="32"/>
          <w:szCs w:val="24"/>
          <w:highlight w:val="none"/>
          <w:lang w:val="en-US"/>
        </w:rPr>
      </w:pPr>
      <w:r>
        <w:rPr>
          <w:rFonts w:hint="eastAsia" w:ascii="仿宋_GB2312" w:hAnsi="仿宋_GB2312" w:eastAsia="仿宋_GB2312"/>
          <w:b/>
          <w:color w:val="auto"/>
          <w:kern w:val="2"/>
          <w:sz w:val="32"/>
          <w:szCs w:val="24"/>
          <w:highlight w:val="none"/>
          <w:lang w:val="zh-CN"/>
        </w:rPr>
        <w:t>国内公务接待</w:t>
      </w:r>
      <w:r>
        <w:rPr>
          <w:rFonts w:hint="eastAsia" w:ascii="仿宋_GB2312" w:hAnsi="仿宋_GB2312" w:eastAsia="仿宋_GB2312"/>
          <w:color w:val="auto"/>
          <w:kern w:val="2"/>
          <w:sz w:val="32"/>
          <w:szCs w:val="24"/>
          <w:highlight w:val="none"/>
          <w:lang w:val="zh-CN"/>
        </w:rPr>
        <w:t>支出0.45万元。主要用于</w:t>
      </w:r>
      <w:r>
        <w:rPr>
          <w:rFonts w:hint="eastAsia" w:ascii="仿宋_GB2312" w:hAnsi="仿宋_GB2312" w:eastAsia="仿宋_GB2312"/>
          <w:color w:val="auto"/>
          <w:kern w:val="2"/>
          <w:sz w:val="32"/>
          <w:szCs w:val="24"/>
          <w:highlight w:val="none"/>
          <w:lang w:val="en-US"/>
        </w:rPr>
        <w:t>开展业务活动开支用餐费</w:t>
      </w:r>
      <w:r>
        <w:rPr>
          <w:rFonts w:hint="eastAsia" w:ascii="仿宋_GB2312" w:hAnsi="仿宋_GB2312" w:eastAsia="仿宋_GB2312"/>
          <w:color w:val="auto"/>
          <w:kern w:val="2"/>
          <w:sz w:val="32"/>
          <w:szCs w:val="24"/>
          <w:highlight w:val="none"/>
          <w:lang w:val="en-US"/>
        </w:rPr>
        <w:t>。</w:t>
      </w:r>
      <w:r>
        <w:rPr>
          <w:rFonts w:hint="eastAsia" w:ascii="仿宋_GB2312" w:hAnsi="仿宋_GB2312" w:eastAsia="仿宋_GB2312"/>
          <w:color w:val="auto"/>
          <w:kern w:val="2"/>
          <w:sz w:val="32"/>
          <w:szCs w:val="24"/>
          <w:highlight w:val="none"/>
          <w:lang w:val="zh-CN"/>
        </w:rPr>
        <w:t>国内公务接待4批次，37人次，共计支出0.45万元，具体内容包括</w:t>
      </w:r>
      <w:r>
        <w:rPr>
          <w:rFonts w:hint="eastAsia" w:ascii="仿宋_GB2312" w:hAnsi="仿宋_GB2312" w:eastAsia="仿宋_GB2312"/>
          <w:color w:val="auto"/>
          <w:kern w:val="2"/>
          <w:sz w:val="32"/>
          <w:szCs w:val="24"/>
          <w:highlight w:val="none"/>
          <w:lang w:val="en-US"/>
        </w:rPr>
        <w:t>上级部门对我所检验检测工作进行检查及市州特检所来我所交流学习。</w:t>
      </w:r>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3"/>
        <w:jc w:val="both"/>
        <w:textAlignment w:val="auto"/>
        <w:rPr>
          <w:rFonts w:hint="eastAsia" w:ascii="仿宋_GB2312" w:hAnsi="仿宋_GB2312" w:eastAsia="仿宋_GB2312"/>
          <w:color w:val="auto"/>
          <w:kern w:val="2"/>
          <w:sz w:val="32"/>
          <w:szCs w:val="24"/>
          <w:highlight w:val="none"/>
          <w:lang w:val="en-US"/>
        </w:rPr>
      </w:pPr>
      <w:r>
        <w:rPr>
          <w:rFonts w:hint="eastAsia" w:ascii="仿宋_GB2312" w:hAnsi="仿宋_GB2312" w:eastAsia="仿宋_GB2312"/>
          <w:b/>
          <w:color w:val="auto"/>
          <w:kern w:val="2"/>
          <w:sz w:val="32"/>
          <w:szCs w:val="24"/>
          <w:highlight w:val="none"/>
          <w:lang w:val="zh-CN"/>
        </w:rPr>
        <w:t>外事接待</w:t>
      </w:r>
      <w:r>
        <w:rPr>
          <w:rFonts w:hint="eastAsia" w:ascii="仿宋_GB2312" w:hAnsi="仿宋_GB2312" w:eastAsia="仿宋_GB2312"/>
          <w:color w:val="auto"/>
          <w:kern w:val="2"/>
          <w:sz w:val="32"/>
          <w:szCs w:val="24"/>
          <w:highlight w:val="none"/>
          <w:lang w:val="zh-CN"/>
        </w:rPr>
        <w:t>支出0万元。</w:t>
      </w:r>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0" w:firstLineChars="200"/>
        <w:jc w:val="both"/>
        <w:textAlignment w:val="auto"/>
        <w:outlineLvl w:val="1"/>
        <w:rPr>
          <w:rFonts w:hint="eastAsia" w:ascii="黑体" w:hAnsi="黑体" w:eastAsia="黑体"/>
          <w:b/>
          <w:color w:val="auto"/>
          <w:kern w:val="2"/>
          <w:sz w:val="32"/>
          <w:szCs w:val="24"/>
          <w:highlight w:val="none"/>
          <w:lang w:val="zh-CN"/>
        </w:rPr>
      </w:pPr>
      <w:bookmarkStart w:id="16" w:name="_Toc21591"/>
      <w:r>
        <w:rPr>
          <w:rFonts w:hint="eastAsia" w:ascii="黑体" w:hAnsi="黑体" w:eastAsia="黑体"/>
          <w:color w:val="auto"/>
          <w:kern w:val="2"/>
          <w:sz w:val="32"/>
          <w:szCs w:val="24"/>
          <w:highlight w:val="none"/>
          <w:lang w:val="zh-CN"/>
        </w:rPr>
        <w:t>八、</w:t>
      </w:r>
      <w:r>
        <w:rPr>
          <w:rFonts w:hint="eastAsia" w:ascii="黑体" w:hAnsi="黑体" w:eastAsia="黑体"/>
          <w:color w:val="auto"/>
          <w:kern w:val="2"/>
          <w:sz w:val="32"/>
          <w:szCs w:val="24"/>
          <w:highlight w:val="none"/>
          <w:lang w:val="zh-CN"/>
        </w:rPr>
        <w:t>政府性基金预算支出决算情况说明</w:t>
      </w:r>
      <w:bookmarkEnd w:id="16"/>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0"/>
        <w:jc w:val="both"/>
        <w:textAlignment w:val="auto"/>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color w:val="auto"/>
          <w:kern w:val="2"/>
          <w:sz w:val="32"/>
          <w:szCs w:val="24"/>
          <w:highlight w:val="none"/>
          <w:lang w:val="zh-CN"/>
        </w:rPr>
        <w:t>2022年政府性基金预算拨款支出0万元。</w:t>
      </w:r>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0" w:firstLineChars="200"/>
        <w:jc w:val="both"/>
        <w:textAlignment w:val="auto"/>
        <w:outlineLvl w:val="1"/>
        <w:rPr>
          <w:rFonts w:hint="eastAsia" w:ascii="黑体" w:hAnsi="黑体" w:eastAsia="黑体"/>
          <w:color w:val="auto"/>
          <w:kern w:val="2"/>
          <w:sz w:val="32"/>
          <w:szCs w:val="24"/>
          <w:highlight w:val="none"/>
          <w:lang w:val="zh-CN"/>
        </w:rPr>
      </w:pPr>
      <w:bookmarkStart w:id="17" w:name="_Toc25008"/>
      <w:r>
        <w:rPr>
          <w:rFonts w:hint="eastAsia" w:ascii="黑体" w:hAnsi="黑体" w:eastAsia="黑体"/>
          <w:color w:val="auto"/>
          <w:kern w:val="2"/>
          <w:sz w:val="32"/>
          <w:szCs w:val="24"/>
          <w:highlight w:val="none"/>
          <w:lang w:val="zh-CN"/>
        </w:rPr>
        <w:t>九、国有资本经营预算支出决算情况说明</w:t>
      </w:r>
      <w:bookmarkEnd w:id="17"/>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0"/>
        <w:jc w:val="both"/>
        <w:textAlignment w:val="auto"/>
        <w:rPr>
          <w:rFonts w:hint="eastAsia" w:ascii="仿宋_GB2312" w:hAnsi="仿宋_GB2312" w:eastAsia="仿宋_GB2312"/>
          <w:color w:val="auto"/>
          <w:kern w:val="2"/>
          <w:sz w:val="32"/>
          <w:szCs w:val="24"/>
          <w:highlight w:val="none"/>
          <w:lang w:val="zh-CN"/>
        </w:rPr>
      </w:pPr>
      <w:r>
        <w:rPr>
          <w:rFonts w:hint="eastAsia" w:ascii="仿宋_GB2312" w:hAnsi="仿宋_GB2312" w:eastAsia="仿宋_GB2312"/>
          <w:color w:val="auto"/>
          <w:kern w:val="2"/>
          <w:sz w:val="32"/>
          <w:szCs w:val="24"/>
          <w:highlight w:val="none"/>
          <w:lang w:val="zh-CN"/>
        </w:rPr>
        <w:t>2022年国有资本经营预算拨款支出0万元。</w:t>
      </w:r>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0" w:firstLineChars="200"/>
        <w:jc w:val="both"/>
        <w:textAlignment w:val="auto"/>
        <w:outlineLvl w:val="1"/>
        <w:rPr>
          <w:rFonts w:hint="eastAsia" w:ascii="黑体" w:hAnsi="黑体" w:eastAsia="黑体"/>
          <w:b/>
          <w:color w:val="auto"/>
          <w:kern w:val="2"/>
          <w:sz w:val="32"/>
          <w:szCs w:val="24"/>
          <w:highlight w:val="none"/>
          <w:lang w:val="zh-CN"/>
        </w:rPr>
      </w:pPr>
      <w:bookmarkStart w:id="18" w:name="_Toc30418"/>
      <w:r>
        <w:rPr>
          <w:rFonts w:hint="eastAsia" w:ascii="黑体" w:hAnsi="黑体" w:eastAsia="黑体"/>
          <w:color w:val="auto"/>
          <w:kern w:val="2"/>
          <w:sz w:val="32"/>
          <w:szCs w:val="24"/>
          <w:highlight w:val="none"/>
          <w:lang w:val="zh-CN"/>
        </w:rPr>
        <w:t>十</w:t>
      </w:r>
      <w:r>
        <w:rPr>
          <w:rFonts w:hint="eastAsia" w:ascii="黑体" w:hAnsi="黑体" w:eastAsia="黑体"/>
          <w:b/>
          <w:color w:val="auto"/>
          <w:kern w:val="2"/>
          <w:sz w:val="32"/>
          <w:szCs w:val="24"/>
          <w:highlight w:val="none"/>
          <w:lang w:val="zh-CN"/>
        </w:rPr>
        <w:t>、</w:t>
      </w:r>
      <w:r>
        <w:rPr>
          <w:rFonts w:hint="eastAsia" w:ascii="黑体" w:hAnsi="黑体" w:eastAsia="黑体"/>
          <w:color w:val="auto"/>
          <w:kern w:val="2"/>
          <w:sz w:val="32"/>
          <w:szCs w:val="24"/>
          <w:highlight w:val="none"/>
          <w:lang w:val="zh-CN"/>
        </w:rPr>
        <w:t>其他重要事项的情况说明</w:t>
      </w:r>
      <w:bookmarkEnd w:id="18"/>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3" w:firstLineChars="200"/>
        <w:jc w:val="both"/>
        <w:textAlignment w:val="auto"/>
        <w:outlineLvl w:val="2"/>
        <w:rPr>
          <w:rFonts w:hint="eastAsia" w:ascii="仿宋_GB2312" w:hAnsi="仿宋_GB2312" w:eastAsia="仿宋_GB2312"/>
          <w:color w:val="auto"/>
          <w:kern w:val="2"/>
          <w:sz w:val="32"/>
          <w:szCs w:val="24"/>
          <w:highlight w:val="none"/>
          <w:lang w:val="zh-CN"/>
        </w:rPr>
      </w:pPr>
      <w:bookmarkStart w:id="19" w:name="_Toc1563"/>
      <w:r>
        <w:rPr>
          <w:rFonts w:hint="eastAsia" w:ascii="仿宋_GB2312" w:hAnsi="仿宋_GB2312" w:eastAsia="仿宋_GB2312"/>
          <w:b/>
          <w:color w:val="auto"/>
          <w:kern w:val="2"/>
          <w:sz w:val="32"/>
          <w:szCs w:val="24"/>
          <w:highlight w:val="none"/>
          <w:lang w:val="zh-CN"/>
        </w:rPr>
        <w:t>（一）机关运行经费支出情况</w:t>
      </w:r>
      <w:bookmarkEnd w:id="19"/>
    </w:p>
    <w:p>
      <w:pPr>
        <w:keepNext w:val="0"/>
        <w:keepLines w:val="0"/>
        <w:pageBreakBefore w:val="0"/>
        <w:widowControl w:val="0"/>
        <w:shd w:val="clear"/>
        <w:kinsoku/>
        <w:wordWrap/>
        <w:overflowPunct/>
        <w:topLinePunct w:val="0"/>
        <w:autoSpaceDE w:val="0"/>
        <w:autoSpaceDN w:val="0"/>
        <w:bidi w:val="0"/>
        <w:adjustRightInd w:val="0"/>
        <w:snapToGrid/>
        <w:spacing w:line="600" w:lineRule="exact"/>
        <w:ind w:firstLine="643"/>
        <w:jc w:val="both"/>
        <w:textAlignment w:val="auto"/>
        <w:rPr>
          <w:rFonts w:hint="eastAsia" w:ascii="仿宋" w:hAnsi="仿宋" w:eastAsia="仿宋"/>
          <w:b/>
          <w:color w:val="auto"/>
          <w:kern w:val="2"/>
          <w:sz w:val="32"/>
          <w:szCs w:val="24"/>
          <w:highlight w:val="none"/>
          <w:lang w:val="en-US"/>
        </w:rPr>
      </w:pPr>
      <w:r>
        <w:rPr>
          <w:rFonts w:hint="eastAsia" w:ascii="仿宋_GB2312" w:hAnsi="仿宋_GB2312" w:eastAsia="仿宋_GB2312"/>
          <w:color w:val="auto"/>
          <w:kern w:val="2"/>
          <w:sz w:val="32"/>
          <w:szCs w:val="24"/>
          <w:highlight w:val="none"/>
          <w:lang w:val="zh-CN"/>
        </w:rPr>
        <w:t>202</w:t>
      </w:r>
      <w:r>
        <w:rPr>
          <w:rFonts w:hint="eastAsia" w:ascii="仿宋_GB2312" w:hAnsi="仿宋_GB2312" w:eastAsia="仿宋_GB2312"/>
          <w:color w:val="auto"/>
          <w:kern w:val="2"/>
          <w:sz w:val="32"/>
          <w:szCs w:val="24"/>
          <w:highlight w:val="none"/>
          <w:lang w:val="en-US" w:eastAsia="zh-CN"/>
        </w:rPr>
        <w:t>2</w:t>
      </w:r>
      <w:r>
        <w:rPr>
          <w:rFonts w:hint="eastAsia" w:ascii="仿宋_GB2312" w:hAnsi="仿宋_GB2312" w:eastAsia="仿宋_GB2312"/>
          <w:color w:val="auto"/>
          <w:kern w:val="2"/>
          <w:sz w:val="32"/>
          <w:szCs w:val="24"/>
          <w:highlight w:val="none"/>
          <w:lang w:val="zh-CN"/>
        </w:rPr>
        <w:t>年未发生机关运行经费支出，与202</w:t>
      </w:r>
      <w:r>
        <w:rPr>
          <w:rFonts w:hint="eastAsia" w:ascii="仿宋_GB2312" w:hAnsi="仿宋_GB2312" w:eastAsia="仿宋_GB2312"/>
          <w:color w:val="auto"/>
          <w:kern w:val="2"/>
          <w:sz w:val="32"/>
          <w:szCs w:val="24"/>
          <w:highlight w:val="none"/>
          <w:lang w:val="en-US" w:eastAsia="zh-CN"/>
        </w:rPr>
        <w:t>1</w:t>
      </w:r>
      <w:r>
        <w:rPr>
          <w:rFonts w:hint="eastAsia" w:ascii="仿宋_GB2312" w:hAnsi="仿宋_GB2312" w:eastAsia="仿宋_GB2312"/>
          <w:color w:val="auto"/>
          <w:kern w:val="2"/>
          <w:sz w:val="32"/>
          <w:szCs w:val="24"/>
          <w:highlight w:val="none"/>
          <w:lang w:val="zh-CN"/>
        </w:rPr>
        <w:t>年决算数持平。</w:t>
      </w:r>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3" w:firstLineChars="200"/>
        <w:jc w:val="both"/>
        <w:textAlignment w:val="auto"/>
        <w:outlineLvl w:val="2"/>
        <w:rPr>
          <w:rFonts w:hint="eastAsia" w:ascii="仿宋_GB2312" w:hAnsi="仿宋_GB2312" w:eastAsia="仿宋_GB2312"/>
          <w:b/>
          <w:color w:val="auto"/>
          <w:kern w:val="2"/>
          <w:sz w:val="32"/>
          <w:szCs w:val="24"/>
          <w:highlight w:val="none"/>
          <w:lang w:val="zh-CN"/>
        </w:rPr>
      </w:pPr>
      <w:bookmarkStart w:id="20" w:name="_Toc6569"/>
      <w:r>
        <w:rPr>
          <w:rFonts w:hint="eastAsia" w:ascii="仿宋_GB2312" w:hAnsi="仿宋_GB2312" w:eastAsia="仿宋_GB2312"/>
          <w:b/>
          <w:color w:val="auto"/>
          <w:kern w:val="2"/>
          <w:sz w:val="32"/>
          <w:szCs w:val="24"/>
          <w:highlight w:val="none"/>
          <w:lang w:val="zh-CN"/>
        </w:rPr>
        <w:t>（二）政府采购支出情况</w:t>
      </w:r>
      <w:bookmarkEnd w:id="20"/>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0"/>
        <w:jc w:val="both"/>
        <w:textAlignment w:val="auto"/>
        <w:rPr>
          <w:rFonts w:hint="eastAsia" w:ascii="仿宋" w:hAnsi="仿宋" w:eastAsia="仿宋"/>
          <w:b/>
          <w:color w:val="auto"/>
          <w:kern w:val="2"/>
          <w:sz w:val="32"/>
          <w:szCs w:val="24"/>
          <w:highlight w:val="none"/>
          <w:lang w:val="en-US"/>
        </w:rPr>
      </w:pPr>
      <w:r>
        <w:rPr>
          <w:rFonts w:hint="eastAsia" w:ascii="仿宋_GB2312" w:hAnsi="仿宋_GB2312" w:eastAsia="仿宋_GB2312"/>
          <w:color w:val="auto"/>
          <w:kern w:val="2"/>
          <w:sz w:val="32"/>
          <w:szCs w:val="24"/>
          <w:highlight w:val="none"/>
          <w:lang w:val="zh-CN"/>
        </w:rPr>
        <w:t>2022年，广元市特种设备监督检验所政府采购支出总额157.11万元，其中：政府采购货物支出76.94万元、政府采购服务支出80.17万元。主要用于</w:t>
      </w:r>
      <w:r>
        <w:rPr>
          <w:rFonts w:hint="eastAsia" w:ascii="仿宋_GB2312" w:hAnsi="仿宋_GB2312" w:eastAsia="仿宋_GB2312"/>
          <w:color w:val="auto"/>
          <w:kern w:val="2"/>
          <w:sz w:val="32"/>
          <w:szCs w:val="24"/>
          <w:highlight w:val="none"/>
          <w:lang w:val="zh-CN"/>
        </w:rPr>
        <w:t>设备购置、无损检测服务费用。</w:t>
      </w:r>
      <w:r>
        <w:rPr>
          <w:rFonts w:hint="eastAsia" w:ascii="仿宋_GB2312" w:hAnsi="仿宋_GB2312" w:eastAsia="仿宋_GB2312"/>
          <w:color w:val="auto"/>
          <w:kern w:val="2"/>
          <w:sz w:val="32"/>
          <w:szCs w:val="24"/>
          <w:highlight w:val="none"/>
          <w:lang w:val="zh-CN"/>
        </w:rPr>
        <w:t>授予中小企业合同金额0万元，占政府采购支出总额的0%，其中：授予小微企业合同金额0万元，</w:t>
      </w:r>
      <w:r>
        <w:rPr>
          <w:rFonts w:hint="eastAsia" w:ascii="仿宋_GB2312" w:hAnsi="仿宋_GB2312" w:eastAsia="仿宋_GB2312"/>
          <w:color w:val="auto"/>
          <w:kern w:val="2"/>
          <w:sz w:val="32"/>
          <w:szCs w:val="24"/>
          <w:highlight w:val="none"/>
          <w:lang w:val="en-US"/>
        </w:rPr>
        <w:t>占政府采购支出总额的</w:t>
      </w:r>
      <w:r>
        <w:rPr>
          <w:rFonts w:hint="eastAsia" w:ascii="仿宋_GB2312" w:hAnsi="仿宋_GB2312" w:eastAsia="仿宋_GB2312"/>
          <w:color w:val="auto"/>
          <w:kern w:val="2"/>
          <w:sz w:val="32"/>
          <w:szCs w:val="24"/>
          <w:highlight w:val="none"/>
          <w:lang w:val="zh-CN"/>
        </w:rPr>
        <w:t>0%。</w:t>
      </w:r>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3" w:firstLineChars="200"/>
        <w:jc w:val="both"/>
        <w:textAlignment w:val="auto"/>
        <w:outlineLvl w:val="2"/>
        <w:rPr>
          <w:rFonts w:hint="eastAsia" w:ascii="仿宋_GB2312" w:hAnsi="仿宋_GB2312" w:eastAsia="仿宋_GB2312"/>
          <w:b/>
          <w:color w:val="auto"/>
          <w:kern w:val="2"/>
          <w:sz w:val="32"/>
          <w:szCs w:val="24"/>
          <w:highlight w:val="none"/>
          <w:lang w:val="zh-CN"/>
        </w:rPr>
      </w:pPr>
      <w:bookmarkStart w:id="21" w:name="_Toc21102"/>
      <w:r>
        <w:rPr>
          <w:rFonts w:hint="eastAsia" w:ascii="仿宋_GB2312" w:hAnsi="仿宋_GB2312" w:eastAsia="仿宋_GB2312"/>
          <w:b/>
          <w:color w:val="auto"/>
          <w:kern w:val="2"/>
          <w:sz w:val="32"/>
          <w:szCs w:val="24"/>
          <w:highlight w:val="none"/>
          <w:lang w:val="zh-CN"/>
        </w:rPr>
        <w:t>（三）国有资产占有使用情况</w:t>
      </w:r>
      <w:bookmarkEnd w:id="21"/>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0"/>
        <w:textAlignment w:val="auto"/>
        <w:rPr>
          <w:rFonts w:hint="eastAsia" w:ascii="仿宋" w:hAnsi="仿宋" w:eastAsia="仿宋"/>
          <w:b/>
          <w:color w:val="auto"/>
          <w:kern w:val="2"/>
          <w:sz w:val="32"/>
          <w:szCs w:val="24"/>
          <w:highlight w:val="none"/>
          <w:lang w:val="en-US"/>
        </w:rPr>
      </w:pPr>
      <w:r>
        <w:rPr>
          <w:rFonts w:hint="eastAsia" w:ascii="仿宋_GB2312" w:hAnsi="仿宋_GB2312" w:eastAsia="仿宋_GB2312"/>
          <w:color w:val="auto"/>
          <w:kern w:val="2"/>
          <w:sz w:val="32"/>
          <w:szCs w:val="24"/>
          <w:highlight w:val="none"/>
          <w:lang w:val="zh-CN"/>
        </w:rPr>
        <w:t>截至2022年12月31日，广元市特种设备监督检验所共有车辆2辆，其中：应急保障用车1辆、其他用车1辆。其中：其他用车主要是用于检验业务需要。单价100万元（含）以上设备1台（套）。</w:t>
      </w:r>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3" w:firstLineChars="200"/>
        <w:jc w:val="both"/>
        <w:textAlignment w:val="auto"/>
        <w:outlineLvl w:val="2"/>
        <w:rPr>
          <w:rFonts w:hint="eastAsia" w:ascii="仿宋_GB2312" w:hAnsi="仿宋_GB2312" w:eastAsia="仿宋_GB2312"/>
          <w:b/>
          <w:color w:val="auto"/>
          <w:kern w:val="2"/>
          <w:sz w:val="32"/>
          <w:szCs w:val="24"/>
          <w:highlight w:val="none"/>
          <w:lang w:val="zh-CN"/>
        </w:rPr>
      </w:pPr>
      <w:bookmarkStart w:id="22" w:name="_Toc26299"/>
      <w:r>
        <w:rPr>
          <w:rFonts w:hint="eastAsia" w:ascii="仿宋_GB2312" w:hAnsi="仿宋_GB2312" w:eastAsia="仿宋_GB2312"/>
          <w:b/>
          <w:color w:val="auto"/>
          <w:kern w:val="2"/>
          <w:sz w:val="32"/>
          <w:szCs w:val="24"/>
          <w:highlight w:val="none"/>
          <w:lang w:val="zh-CN"/>
        </w:rPr>
        <w:t>（四）预算绩效管理情况。</w:t>
      </w:r>
      <w:bookmarkEnd w:id="22"/>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3"/>
        <w:jc w:val="both"/>
        <w:textAlignment w:val="auto"/>
        <w:rPr>
          <w:rFonts w:hint="eastAsia" w:ascii="仿宋_GB2312" w:hAnsi="仿宋_GB2312" w:eastAsia="仿宋_GB2312"/>
          <w:color w:val="auto"/>
          <w:kern w:val="2"/>
          <w:sz w:val="32"/>
          <w:szCs w:val="24"/>
          <w:highlight w:val="none"/>
          <w:lang w:val="en-US"/>
        </w:rPr>
      </w:pPr>
      <w:r>
        <w:rPr>
          <w:rFonts w:hint="eastAsia" w:ascii="仿宋_GB2312" w:hAnsi="仿宋_GB2312" w:eastAsia="仿宋_GB2312"/>
          <w:color w:val="auto"/>
          <w:kern w:val="2"/>
          <w:sz w:val="32"/>
          <w:szCs w:val="24"/>
          <w:highlight w:val="none"/>
          <w:lang w:val="en-US"/>
        </w:rPr>
        <w:t>根据预算绩效管理要求，本单位在20</w:t>
      </w:r>
      <w:r>
        <w:rPr>
          <w:rFonts w:hint="eastAsia" w:ascii="仿宋_GB2312" w:hAnsi="仿宋_GB2312" w:eastAsia="仿宋_GB2312"/>
          <w:color w:val="auto"/>
          <w:kern w:val="2"/>
          <w:sz w:val="32"/>
          <w:szCs w:val="24"/>
          <w:highlight w:val="none"/>
          <w:lang w:val="en-US" w:eastAsia="zh-CN"/>
        </w:rPr>
        <w:t>22</w:t>
      </w:r>
      <w:r>
        <w:rPr>
          <w:rFonts w:hint="eastAsia" w:ascii="仿宋_GB2312" w:hAnsi="仿宋_GB2312" w:eastAsia="仿宋_GB2312"/>
          <w:color w:val="auto"/>
          <w:kern w:val="2"/>
          <w:sz w:val="32"/>
          <w:szCs w:val="24"/>
          <w:highlight w:val="none"/>
          <w:lang w:val="en-US"/>
        </w:rPr>
        <w:t>年度预算编制阶段，组织对工资性支出、离退休费支出、无损检测服务费、办公设备购置、非税征收成本、其他公用经费（福利、工会、公车补贴、党建、退休活动）、工资性支出（事业）、办公用房改造、定额公用经费（事业）、规范后市级基础绩效奖及生活补助等</w:t>
      </w:r>
      <w:r>
        <w:rPr>
          <w:rFonts w:hint="eastAsia" w:ascii="仿宋_GB2312" w:hAnsi="仿宋_GB2312" w:eastAsia="仿宋_GB2312"/>
          <w:color w:val="auto"/>
          <w:kern w:val="2"/>
          <w:sz w:val="32"/>
          <w:szCs w:val="24"/>
          <w:highlight w:val="none"/>
          <w:lang w:val="en-US" w:eastAsia="zh-CN"/>
        </w:rPr>
        <w:t>10</w:t>
      </w:r>
      <w:r>
        <w:rPr>
          <w:rFonts w:hint="eastAsia" w:ascii="仿宋_GB2312" w:hAnsi="仿宋_GB2312" w:eastAsia="仿宋_GB2312"/>
          <w:color w:val="auto"/>
          <w:kern w:val="2"/>
          <w:sz w:val="32"/>
          <w:szCs w:val="24"/>
          <w:highlight w:val="none"/>
          <w:lang w:val="en-US"/>
        </w:rPr>
        <w:t>个项目开展了预算事前绩效评估，对</w:t>
      </w:r>
      <w:r>
        <w:rPr>
          <w:rFonts w:hint="eastAsia" w:ascii="仿宋_GB2312" w:hAnsi="仿宋_GB2312" w:eastAsia="仿宋_GB2312"/>
          <w:color w:val="auto"/>
          <w:kern w:val="2"/>
          <w:sz w:val="32"/>
          <w:szCs w:val="24"/>
          <w:highlight w:val="none"/>
          <w:lang w:val="en-US" w:eastAsia="zh-CN"/>
        </w:rPr>
        <w:t>10</w:t>
      </w:r>
      <w:r>
        <w:rPr>
          <w:rFonts w:hint="eastAsia" w:ascii="仿宋_GB2312" w:hAnsi="仿宋_GB2312" w:eastAsia="仿宋_GB2312"/>
          <w:color w:val="auto"/>
          <w:kern w:val="2"/>
          <w:sz w:val="32"/>
          <w:szCs w:val="24"/>
          <w:highlight w:val="none"/>
          <w:lang w:val="en-US"/>
        </w:rPr>
        <w:t>个项目编制了绩效目标，预算执行过程中，选取</w:t>
      </w:r>
      <w:r>
        <w:rPr>
          <w:rFonts w:hint="eastAsia" w:ascii="仿宋_GB2312" w:hAnsi="仿宋_GB2312" w:eastAsia="仿宋_GB2312"/>
          <w:color w:val="auto"/>
          <w:kern w:val="2"/>
          <w:sz w:val="32"/>
          <w:szCs w:val="24"/>
          <w:highlight w:val="none"/>
          <w:lang w:val="en-US" w:eastAsia="zh-CN"/>
        </w:rPr>
        <w:t>10</w:t>
      </w:r>
      <w:r>
        <w:rPr>
          <w:rFonts w:hint="eastAsia" w:ascii="仿宋_GB2312" w:hAnsi="仿宋_GB2312" w:eastAsia="仿宋_GB2312"/>
          <w:color w:val="auto"/>
          <w:kern w:val="2"/>
          <w:sz w:val="32"/>
          <w:szCs w:val="24"/>
          <w:highlight w:val="none"/>
          <w:lang w:val="en-US"/>
        </w:rPr>
        <w:t>个项目开展绩效监控，组织对</w:t>
      </w:r>
      <w:r>
        <w:rPr>
          <w:rFonts w:hint="eastAsia" w:ascii="仿宋_GB2312" w:hAnsi="仿宋_GB2312" w:eastAsia="仿宋_GB2312"/>
          <w:color w:val="auto"/>
          <w:kern w:val="2"/>
          <w:sz w:val="32"/>
          <w:szCs w:val="24"/>
          <w:highlight w:val="none"/>
          <w:lang w:val="en-US" w:eastAsia="zh-CN"/>
        </w:rPr>
        <w:t>10</w:t>
      </w:r>
      <w:r>
        <w:rPr>
          <w:rFonts w:hint="eastAsia" w:ascii="仿宋_GB2312" w:hAnsi="仿宋_GB2312" w:eastAsia="仿宋_GB2312"/>
          <w:color w:val="auto"/>
          <w:kern w:val="2"/>
          <w:sz w:val="32"/>
          <w:szCs w:val="24"/>
          <w:highlight w:val="none"/>
          <w:lang w:val="en-US"/>
        </w:rPr>
        <w:t>个项目开展绩效自评，绩效自评表详见第四部分附件。</w:t>
      </w:r>
    </w:p>
    <w:p>
      <w:pPr>
        <w:keepNext w:val="0"/>
        <w:keepLines w:val="0"/>
        <w:pageBreakBefore w:val="0"/>
        <w:widowControl w:val="0"/>
        <w:shd w:val="clear"/>
        <w:kinsoku/>
        <w:wordWrap/>
        <w:overflowPunct/>
        <w:topLinePunct w:val="0"/>
        <w:autoSpaceDE w:val="0"/>
        <w:autoSpaceDN w:val="0"/>
        <w:bidi w:val="0"/>
        <w:adjustRightInd w:val="0"/>
        <w:snapToGrid/>
        <w:spacing w:line="576" w:lineRule="exact"/>
        <w:ind w:firstLine="643"/>
        <w:jc w:val="both"/>
        <w:textAlignment w:val="auto"/>
        <w:rPr>
          <w:rFonts w:hint="eastAsia" w:ascii="仿宋_GB2312" w:hAnsi="仿宋_GB2312" w:eastAsia="仿宋_GB2312"/>
          <w:b/>
          <w:color w:val="auto"/>
          <w:kern w:val="2"/>
          <w:sz w:val="32"/>
          <w:szCs w:val="24"/>
          <w:highlight w:val="none"/>
          <w:lang w:val="zh-CN"/>
        </w:rPr>
      </w:pPr>
    </w:p>
    <w:p>
      <w:pPr>
        <w:rPr>
          <w:rFonts w:hint="eastAsia" w:ascii="黑体" w:hAnsi="黑体" w:eastAsia="黑体"/>
          <w:color w:val="auto"/>
          <w:kern w:val="2"/>
          <w:sz w:val="44"/>
          <w:szCs w:val="24"/>
          <w:highlight w:val="none"/>
          <w:lang w:val="zh-CN"/>
        </w:rPr>
      </w:pPr>
      <w:bookmarkStart w:id="23" w:name="_Toc25395"/>
      <w:r>
        <w:rPr>
          <w:rFonts w:hint="eastAsia" w:ascii="黑体" w:hAnsi="黑体" w:eastAsia="黑体"/>
          <w:color w:val="auto"/>
          <w:kern w:val="2"/>
          <w:sz w:val="44"/>
          <w:szCs w:val="24"/>
          <w:highlight w:val="none"/>
          <w:lang w:val="zh-CN"/>
        </w:rPr>
        <w:br w:type="page"/>
      </w:r>
    </w:p>
    <w:p>
      <w:pPr>
        <w:keepNext w:val="0"/>
        <w:keepLines w:val="0"/>
        <w:pageBreakBefore w:val="0"/>
        <w:widowControl w:val="0"/>
        <w:shd w:val="clear"/>
        <w:kinsoku/>
        <w:wordWrap/>
        <w:overflowPunct/>
        <w:topLinePunct w:val="0"/>
        <w:autoSpaceDE w:val="0"/>
        <w:autoSpaceDN w:val="0"/>
        <w:bidi w:val="0"/>
        <w:adjustRightInd w:val="0"/>
        <w:snapToGrid/>
        <w:spacing w:line="576" w:lineRule="exact"/>
        <w:jc w:val="center"/>
        <w:textAlignment w:val="auto"/>
        <w:outlineLvl w:val="0"/>
        <w:rPr>
          <w:rFonts w:hint="eastAsia" w:ascii="黑体" w:hAnsi="黑体" w:eastAsia="黑体"/>
          <w:color w:val="auto"/>
          <w:kern w:val="44"/>
          <w:sz w:val="44"/>
          <w:szCs w:val="24"/>
          <w:highlight w:val="none"/>
          <w:lang w:val="zh-CN"/>
        </w:rPr>
      </w:pPr>
      <w:r>
        <w:rPr>
          <w:rFonts w:hint="eastAsia" w:ascii="黑体" w:hAnsi="黑体" w:eastAsia="黑体"/>
          <w:color w:val="auto"/>
          <w:kern w:val="2"/>
          <w:sz w:val="44"/>
          <w:szCs w:val="24"/>
          <w:highlight w:val="none"/>
          <w:lang w:val="zh-CN"/>
        </w:rPr>
        <w:t>第三部分 名</w:t>
      </w:r>
      <w:r>
        <w:rPr>
          <w:rFonts w:hint="eastAsia" w:ascii="黑体" w:hAnsi="黑体" w:eastAsia="黑体"/>
          <w:color w:val="auto"/>
          <w:kern w:val="44"/>
          <w:sz w:val="44"/>
          <w:szCs w:val="24"/>
          <w:highlight w:val="none"/>
          <w:lang w:val="zh-CN"/>
        </w:rPr>
        <w:t>词解释</w:t>
      </w:r>
      <w:bookmarkEnd w:id="23"/>
    </w:p>
    <w:p>
      <w:pPr>
        <w:keepNext w:val="0"/>
        <w:keepLines w:val="0"/>
        <w:pageBreakBefore w:val="0"/>
        <w:widowControl w:val="0"/>
        <w:numPr>
          <w:ilvl w:val="0"/>
          <w:numId w:val="2"/>
        </w:numPr>
        <w:shd w:val="clear"/>
        <w:kinsoku/>
        <w:wordWrap/>
        <w:overflowPunct/>
        <w:topLinePunct w:val="0"/>
        <w:autoSpaceDE w:val="0"/>
        <w:autoSpaceDN w:val="0"/>
        <w:bidi w:val="0"/>
        <w:adjustRightInd w:val="0"/>
        <w:snapToGrid/>
        <w:spacing w:line="360" w:lineRule="auto"/>
        <w:ind w:left="0" w:leftChars="0" w:firstLine="400" w:firstLineChars="0"/>
        <w:textAlignment w:val="auto"/>
        <w:rPr>
          <w:rFonts w:hint="eastAsia" w:ascii="仿宋_GB2312" w:hAnsi="仿宋_GB2312" w:eastAsia="仿宋_GB2312"/>
          <w:color w:val="auto"/>
          <w:sz w:val="32"/>
          <w:szCs w:val="24"/>
          <w:highlight w:val="none"/>
          <w:lang w:val="en-US"/>
        </w:rPr>
      </w:pPr>
      <w:r>
        <w:rPr>
          <w:rFonts w:hint="eastAsia" w:ascii="仿宋_GB2312" w:hAnsi="仿宋_GB2312" w:eastAsia="仿宋_GB2312"/>
          <w:color w:val="auto"/>
          <w:sz w:val="32"/>
          <w:szCs w:val="24"/>
          <w:highlight w:val="none"/>
          <w:lang w:val="en-US"/>
        </w:rPr>
        <w:t>财政拨款收入：指单位从同级财政部门取得的财政预算资金。</w:t>
      </w:r>
    </w:p>
    <w:p>
      <w:pPr>
        <w:keepNext w:val="0"/>
        <w:keepLines w:val="0"/>
        <w:pageBreakBefore w:val="0"/>
        <w:widowControl w:val="0"/>
        <w:numPr>
          <w:ilvl w:val="0"/>
          <w:numId w:val="2"/>
        </w:numPr>
        <w:shd w:val="clear"/>
        <w:kinsoku/>
        <w:wordWrap/>
        <w:overflowPunct/>
        <w:topLinePunct w:val="0"/>
        <w:autoSpaceDE w:val="0"/>
        <w:autoSpaceDN w:val="0"/>
        <w:bidi w:val="0"/>
        <w:adjustRightInd w:val="0"/>
        <w:snapToGrid/>
        <w:spacing w:line="360" w:lineRule="auto"/>
        <w:ind w:left="0" w:leftChars="0" w:firstLine="400" w:firstLineChars="0"/>
        <w:textAlignment w:val="auto"/>
        <w:rPr>
          <w:rFonts w:hint="eastAsia" w:ascii="仿宋_GB2312" w:hAnsi="仿宋_GB2312" w:eastAsia="仿宋_GB2312"/>
          <w:color w:val="auto"/>
          <w:sz w:val="32"/>
          <w:szCs w:val="24"/>
          <w:highlight w:val="none"/>
          <w:lang w:val="en-US"/>
        </w:rPr>
      </w:pPr>
      <w:r>
        <w:rPr>
          <w:rFonts w:hint="eastAsia" w:ascii="仿宋_GB2312" w:hAnsi="仿宋_GB2312" w:eastAsia="仿宋_GB2312"/>
          <w:color w:val="auto"/>
          <w:sz w:val="32"/>
          <w:szCs w:val="24"/>
          <w:highlight w:val="none"/>
          <w:lang w:val="en-US"/>
        </w:rPr>
        <w:t>其他收入：指单位取得的除上述收入以外的各项收入。主要是</w:t>
      </w:r>
      <w:r>
        <w:rPr>
          <w:rFonts w:hint="eastAsia" w:ascii="仿宋_GB2312" w:hAnsi="仿宋_GB2312" w:eastAsia="仿宋_GB2312"/>
          <w:color w:val="auto"/>
          <w:kern w:val="2"/>
          <w:sz w:val="32"/>
          <w:szCs w:val="24"/>
          <w:highlight w:val="none"/>
          <w:lang w:val="en-US"/>
        </w:rPr>
        <w:t>利息收入</w:t>
      </w:r>
      <w:r>
        <w:rPr>
          <w:rFonts w:hint="eastAsia" w:ascii="仿宋_GB2312" w:hAnsi="仿宋_GB2312" w:eastAsia="仿宋_GB2312"/>
          <w:color w:val="auto"/>
          <w:sz w:val="32"/>
          <w:szCs w:val="24"/>
          <w:highlight w:val="none"/>
          <w:lang w:val="en-US"/>
        </w:rPr>
        <w:t>等。</w:t>
      </w:r>
    </w:p>
    <w:p>
      <w:pPr>
        <w:pStyle w:val="2"/>
        <w:numPr>
          <w:ilvl w:val="0"/>
          <w:numId w:val="2"/>
        </w:numPr>
        <w:spacing w:line="360" w:lineRule="auto"/>
        <w:ind w:left="0" w:leftChars="0" w:firstLine="400" w:firstLineChars="0"/>
        <w:rPr>
          <w:rFonts w:hint="eastAsia" w:ascii="仿宋_GB2312" w:hAnsi="仿宋_GB2312" w:eastAsia="仿宋_GB2312" w:cs="Times New Roman"/>
          <w:color w:val="auto"/>
          <w:sz w:val="32"/>
          <w:szCs w:val="24"/>
          <w:highlight w:val="none"/>
          <w:lang w:val="en-US"/>
        </w:rPr>
      </w:pPr>
      <w:r>
        <w:rPr>
          <w:rFonts w:hint="eastAsia" w:ascii="仿宋_GB2312" w:hAnsi="仿宋_GB2312" w:eastAsia="仿宋_GB2312" w:cs="Times New Roman"/>
          <w:color w:val="auto"/>
          <w:sz w:val="32"/>
          <w:szCs w:val="24"/>
          <w:highlight w:val="none"/>
          <w:lang w:val="en-US"/>
        </w:rPr>
        <w:t>使用非财政拨款结余：指事业单位使用以前年度积累的非</w:t>
      </w:r>
      <w:r>
        <w:rPr>
          <w:rFonts w:hint="eastAsia" w:hAnsi="仿宋_GB2312" w:cs="Times New Roman"/>
          <w:color w:val="auto"/>
          <w:sz w:val="32"/>
          <w:szCs w:val="24"/>
          <w:highlight w:val="none"/>
          <w:lang w:val="en-US" w:eastAsia="zh-CN"/>
        </w:rPr>
        <w:t>财政拨款</w:t>
      </w:r>
      <w:r>
        <w:rPr>
          <w:rFonts w:hint="eastAsia" w:ascii="仿宋_GB2312" w:hAnsi="仿宋_GB2312" w:eastAsia="仿宋_GB2312" w:cs="Times New Roman"/>
          <w:color w:val="auto"/>
          <w:sz w:val="32"/>
          <w:szCs w:val="24"/>
          <w:highlight w:val="none"/>
          <w:lang w:val="en-US"/>
        </w:rPr>
        <w:t>结余弥补当年收支差额的金额 。</w:t>
      </w:r>
    </w:p>
    <w:p>
      <w:pPr>
        <w:keepNext w:val="0"/>
        <w:keepLines w:val="0"/>
        <w:pageBreakBefore w:val="0"/>
        <w:widowControl w:val="0"/>
        <w:numPr>
          <w:ilvl w:val="0"/>
          <w:numId w:val="2"/>
        </w:numPr>
        <w:shd w:val="clear"/>
        <w:kinsoku/>
        <w:wordWrap/>
        <w:overflowPunct/>
        <w:topLinePunct w:val="0"/>
        <w:autoSpaceDE w:val="0"/>
        <w:autoSpaceDN w:val="0"/>
        <w:bidi w:val="0"/>
        <w:adjustRightInd w:val="0"/>
        <w:snapToGrid/>
        <w:spacing w:line="360" w:lineRule="auto"/>
        <w:ind w:left="0" w:leftChars="0" w:firstLine="400" w:firstLineChars="0"/>
        <w:textAlignment w:val="auto"/>
        <w:rPr>
          <w:rFonts w:hint="eastAsia" w:ascii="仿宋_GB2312" w:hAnsi="仿宋_GB2312" w:eastAsia="仿宋_GB2312"/>
          <w:color w:val="auto"/>
          <w:sz w:val="32"/>
          <w:szCs w:val="24"/>
          <w:highlight w:val="none"/>
          <w:lang w:val="en-US"/>
        </w:rPr>
      </w:pPr>
      <w:r>
        <w:rPr>
          <w:rFonts w:hint="eastAsia" w:ascii="仿宋_GB2312" w:hAnsi="仿宋_GB2312" w:eastAsia="仿宋_GB2312"/>
          <w:color w:val="auto"/>
          <w:sz w:val="32"/>
          <w:szCs w:val="24"/>
          <w:highlight w:val="none"/>
          <w:lang w:val="en-US"/>
        </w:rPr>
        <w:t>年初结转和结余：指以前年度尚未完成、结转到本年按有关规定继续使用的资金。</w:t>
      </w:r>
    </w:p>
    <w:p>
      <w:pPr>
        <w:keepNext w:val="0"/>
        <w:keepLines w:val="0"/>
        <w:pageBreakBefore w:val="0"/>
        <w:widowControl w:val="0"/>
        <w:numPr>
          <w:ilvl w:val="0"/>
          <w:numId w:val="2"/>
        </w:numPr>
        <w:shd w:val="clear"/>
        <w:kinsoku/>
        <w:wordWrap/>
        <w:overflowPunct/>
        <w:topLinePunct w:val="0"/>
        <w:autoSpaceDE w:val="0"/>
        <w:autoSpaceDN w:val="0"/>
        <w:bidi w:val="0"/>
        <w:adjustRightInd w:val="0"/>
        <w:snapToGrid/>
        <w:spacing w:line="360" w:lineRule="auto"/>
        <w:ind w:left="0" w:leftChars="0" w:firstLine="400" w:firstLineChars="0"/>
        <w:jc w:val="both"/>
        <w:textAlignment w:val="auto"/>
        <w:rPr>
          <w:rFonts w:hint="eastAsia" w:ascii="仿宋_GB2312" w:hAnsi="仿宋_GB2312" w:eastAsia="仿宋_GB2312"/>
          <w:color w:val="auto"/>
          <w:kern w:val="2"/>
          <w:sz w:val="32"/>
          <w:szCs w:val="24"/>
          <w:highlight w:val="none"/>
          <w:lang w:val="en-US"/>
        </w:rPr>
      </w:pPr>
      <w:r>
        <w:rPr>
          <w:rFonts w:hint="eastAsia" w:ascii="仿宋_GB2312" w:hAnsi="仿宋_GB2312" w:eastAsia="仿宋_GB2312"/>
          <w:color w:val="auto"/>
          <w:kern w:val="2"/>
          <w:sz w:val="32"/>
          <w:szCs w:val="24"/>
          <w:highlight w:val="none"/>
          <w:lang w:val="en-US"/>
        </w:rPr>
        <w:t>一般公共服务支出（类）市场监督管理事务（款）事业运行（项）：反映事业单位的基本支出，不包括行政单位</w:t>
      </w:r>
      <w:r>
        <w:rPr>
          <w:rFonts w:hint="eastAsia" w:ascii="仿宋_GB2312" w:hAnsi="仿宋_GB2312" w:eastAsia="仿宋_GB2312"/>
          <w:color w:val="auto"/>
          <w:kern w:val="2"/>
          <w:sz w:val="32"/>
          <w:szCs w:val="24"/>
          <w:highlight w:val="none"/>
          <w:lang w:val="en-US" w:eastAsia="zh-CN"/>
        </w:rPr>
        <w:t>（</w:t>
      </w:r>
      <w:r>
        <w:rPr>
          <w:rFonts w:hint="eastAsia" w:ascii="仿宋_GB2312" w:hAnsi="仿宋_GB2312" w:eastAsia="仿宋_GB2312"/>
          <w:color w:val="auto"/>
          <w:kern w:val="2"/>
          <w:sz w:val="32"/>
          <w:szCs w:val="24"/>
          <w:highlight w:val="none"/>
          <w:lang w:val="en-US"/>
        </w:rPr>
        <w:t>包括实行公务员管理的事业单位</w:t>
      </w:r>
      <w:r>
        <w:rPr>
          <w:rFonts w:hint="eastAsia" w:ascii="仿宋_GB2312" w:hAnsi="仿宋_GB2312" w:eastAsia="仿宋_GB2312"/>
          <w:color w:val="auto"/>
          <w:kern w:val="2"/>
          <w:sz w:val="32"/>
          <w:szCs w:val="24"/>
          <w:highlight w:val="none"/>
          <w:lang w:val="en-US" w:eastAsia="zh-CN"/>
        </w:rPr>
        <w:t>）</w:t>
      </w:r>
      <w:r>
        <w:rPr>
          <w:rFonts w:hint="eastAsia" w:ascii="仿宋_GB2312" w:hAnsi="仿宋_GB2312" w:eastAsia="仿宋_GB2312"/>
          <w:color w:val="auto"/>
          <w:kern w:val="2"/>
          <w:sz w:val="32"/>
          <w:szCs w:val="24"/>
          <w:highlight w:val="none"/>
          <w:lang w:val="en-US"/>
        </w:rPr>
        <w:t>后勤服务中心、医务室等附属事业单位。</w:t>
      </w:r>
    </w:p>
    <w:p>
      <w:pPr>
        <w:keepNext w:val="0"/>
        <w:keepLines w:val="0"/>
        <w:pageBreakBefore w:val="0"/>
        <w:widowControl w:val="0"/>
        <w:numPr>
          <w:ilvl w:val="0"/>
          <w:numId w:val="2"/>
        </w:numPr>
        <w:shd w:val="clear"/>
        <w:kinsoku/>
        <w:wordWrap/>
        <w:overflowPunct/>
        <w:topLinePunct w:val="0"/>
        <w:autoSpaceDE w:val="0"/>
        <w:autoSpaceDN w:val="0"/>
        <w:bidi w:val="0"/>
        <w:adjustRightInd w:val="0"/>
        <w:snapToGrid/>
        <w:spacing w:line="360" w:lineRule="auto"/>
        <w:ind w:left="0" w:leftChars="0" w:firstLine="400" w:firstLineChars="0"/>
        <w:jc w:val="both"/>
        <w:textAlignment w:val="auto"/>
        <w:rPr>
          <w:rFonts w:hint="eastAsia" w:ascii="仿宋_GB2312" w:hAnsi="仿宋_GB2312" w:eastAsia="仿宋_GB2312"/>
          <w:color w:val="auto"/>
          <w:kern w:val="2"/>
          <w:sz w:val="32"/>
          <w:szCs w:val="24"/>
          <w:highlight w:val="none"/>
          <w:lang w:val="en-US"/>
        </w:rPr>
      </w:pPr>
      <w:r>
        <w:rPr>
          <w:rFonts w:hint="eastAsia" w:ascii="仿宋_GB2312" w:hAnsi="仿宋_GB2312" w:eastAsia="仿宋_GB2312"/>
          <w:color w:val="auto"/>
          <w:kern w:val="2"/>
          <w:sz w:val="32"/>
          <w:szCs w:val="24"/>
          <w:highlight w:val="none"/>
          <w:lang w:val="en-US"/>
        </w:rPr>
        <w:t>一般公共服务支出（类）市场监督管理事务（款）其他市场监督管理事务（项）：反映用于除上述项目以外其他市场监督管理事务方面的支出。</w:t>
      </w:r>
    </w:p>
    <w:p>
      <w:pPr>
        <w:keepNext w:val="0"/>
        <w:keepLines w:val="0"/>
        <w:pageBreakBefore w:val="0"/>
        <w:widowControl w:val="0"/>
        <w:numPr>
          <w:ilvl w:val="0"/>
          <w:numId w:val="2"/>
        </w:numPr>
        <w:shd w:val="clear"/>
        <w:kinsoku/>
        <w:wordWrap/>
        <w:overflowPunct/>
        <w:topLinePunct w:val="0"/>
        <w:autoSpaceDE w:val="0"/>
        <w:autoSpaceDN w:val="0"/>
        <w:bidi w:val="0"/>
        <w:adjustRightInd w:val="0"/>
        <w:snapToGrid/>
        <w:spacing w:line="360" w:lineRule="auto"/>
        <w:ind w:left="0" w:leftChars="0" w:firstLine="400" w:firstLineChars="0"/>
        <w:jc w:val="both"/>
        <w:textAlignment w:val="auto"/>
        <w:rPr>
          <w:rFonts w:hint="eastAsia" w:ascii="仿宋_GB2312" w:hAnsi="仿宋_GB2312" w:eastAsia="仿宋_GB2312"/>
          <w:color w:val="auto"/>
          <w:kern w:val="2"/>
          <w:sz w:val="32"/>
          <w:szCs w:val="24"/>
          <w:highlight w:val="none"/>
          <w:lang w:val="en-US"/>
        </w:rPr>
      </w:pPr>
      <w:r>
        <w:rPr>
          <w:rFonts w:hint="eastAsia" w:ascii="仿宋_GB2312" w:hAnsi="仿宋_GB2312" w:eastAsia="仿宋_GB2312"/>
          <w:color w:val="auto"/>
          <w:kern w:val="2"/>
          <w:sz w:val="32"/>
          <w:szCs w:val="24"/>
          <w:highlight w:val="none"/>
          <w:lang w:val="en-US"/>
        </w:rPr>
        <w:t>社会保障和就业支出（类）行政事业单位养老支出（款）机关事业单位基本养老保险缴费支出（项）</w:t>
      </w:r>
      <w:r>
        <w:rPr>
          <w:rFonts w:hint="eastAsia" w:ascii="仿宋_GB2312" w:hAnsi="仿宋_GB2312" w:eastAsia="仿宋_GB2312"/>
          <w:color w:val="auto"/>
          <w:kern w:val="2"/>
          <w:sz w:val="32"/>
          <w:szCs w:val="24"/>
          <w:highlight w:val="none"/>
          <w:lang w:val="en-US" w:eastAsia="zh-CN"/>
        </w:rPr>
        <w:t>：</w:t>
      </w:r>
      <w:r>
        <w:rPr>
          <w:rFonts w:hint="eastAsia" w:ascii="仿宋_GB2312" w:hAnsi="仿宋_GB2312" w:eastAsia="仿宋_GB2312"/>
          <w:color w:val="auto"/>
          <w:kern w:val="2"/>
          <w:sz w:val="32"/>
          <w:szCs w:val="24"/>
          <w:highlight w:val="none"/>
          <w:lang w:val="en-US"/>
        </w:rPr>
        <w:t>反映机关事业单位实施养老保险制度由单位缴纳的基本养老保险费支出。</w:t>
      </w:r>
    </w:p>
    <w:p>
      <w:pPr>
        <w:keepNext w:val="0"/>
        <w:keepLines w:val="0"/>
        <w:pageBreakBefore w:val="0"/>
        <w:widowControl w:val="0"/>
        <w:numPr>
          <w:ilvl w:val="0"/>
          <w:numId w:val="2"/>
        </w:numPr>
        <w:shd w:val="clear"/>
        <w:kinsoku/>
        <w:wordWrap/>
        <w:overflowPunct/>
        <w:topLinePunct w:val="0"/>
        <w:autoSpaceDE w:val="0"/>
        <w:autoSpaceDN w:val="0"/>
        <w:bidi w:val="0"/>
        <w:adjustRightInd w:val="0"/>
        <w:snapToGrid/>
        <w:spacing w:line="360" w:lineRule="auto"/>
        <w:ind w:left="0" w:leftChars="0" w:firstLine="400" w:firstLineChars="0"/>
        <w:jc w:val="both"/>
        <w:textAlignment w:val="auto"/>
        <w:rPr>
          <w:rFonts w:hint="eastAsia" w:ascii="仿宋_GB2312" w:hAnsi="仿宋_GB2312" w:eastAsia="仿宋_GB2312"/>
          <w:color w:val="auto"/>
          <w:kern w:val="2"/>
          <w:sz w:val="32"/>
          <w:szCs w:val="24"/>
          <w:highlight w:val="none"/>
          <w:lang w:val="en-US"/>
        </w:rPr>
      </w:pPr>
      <w:r>
        <w:rPr>
          <w:rFonts w:hint="eastAsia" w:ascii="仿宋_GB2312" w:hAnsi="仿宋_GB2312" w:eastAsia="仿宋_GB2312"/>
          <w:color w:val="auto"/>
          <w:kern w:val="2"/>
          <w:sz w:val="32"/>
          <w:szCs w:val="24"/>
          <w:highlight w:val="none"/>
          <w:lang w:val="en-US"/>
        </w:rPr>
        <w:t>社会保障和就业支出（类）行政事业单位养老支出（款）机关事业单位职业年金缴费支出（项）：</w:t>
      </w:r>
      <w:r>
        <w:rPr>
          <w:rFonts w:hint="eastAsia" w:ascii="仿宋_GB2312" w:hAnsi="仿宋_GB2312" w:eastAsia="仿宋_GB2312"/>
          <w:color w:val="auto"/>
          <w:kern w:val="2"/>
          <w:sz w:val="32"/>
          <w:szCs w:val="24"/>
          <w:highlight w:val="none"/>
          <w:lang w:val="en-US"/>
        </w:rPr>
        <w:t>反映机关事业单位实施养老保险制度由单位实际缴纳的职业年金支出。</w:t>
      </w:r>
    </w:p>
    <w:p>
      <w:pPr>
        <w:keepNext w:val="0"/>
        <w:keepLines w:val="0"/>
        <w:pageBreakBefore w:val="0"/>
        <w:widowControl w:val="0"/>
        <w:numPr>
          <w:ilvl w:val="0"/>
          <w:numId w:val="2"/>
        </w:numPr>
        <w:shd w:val="clear"/>
        <w:kinsoku/>
        <w:wordWrap/>
        <w:overflowPunct/>
        <w:topLinePunct w:val="0"/>
        <w:autoSpaceDE w:val="0"/>
        <w:autoSpaceDN w:val="0"/>
        <w:bidi w:val="0"/>
        <w:adjustRightInd w:val="0"/>
        <w:snapToGrid/>
        <w:spacing w:line="360" w:lineRule="auto"/>
        <w:ind w:left="0" w:leftChars="0" w:firstLine="400" w:firstLineChars="0"/>
        <w:jc w:val="both"/>
        <w:textAlignment w:val="auto"/>
        <w:rPr>
          <w:rFonts w:hint="eastAsia" w:ascii="仿宋_GB2312" w:hAnsi="仿宋_GB2312" w:eastAsia="仿宋_GB2312"/>
          <w:color w:val="auto"/>
          <w:kern w:val="2"/>
          <w:sz w:val="32"/>
          <w:szCs w:val="24"/>
          <w:highlight w:val="none"/>
          <w:lang w:val="en-US"/>
        </w:rPr>
      </w:pPr>
      <w:r>
        <w:rPr>
          <w:rFonts w:hint="eastAsia" w:ascii="仿宋_GB2312" w:hAnsi="仿宋_GB2312" w:eastAsia="仿宋_GB2312"/>
          <w:color w:val="auto"/>
          <w:kern w:val="2"/>
          <w:sz w:val="32"/>
          <w:szCs w:val="24"/>
          <w:highlight w:val="none"/>
          <w:lang w:val="en-US"/>
        </w:rPr>
        <w:t>卫生健康支出（类）行政事业单位医疗（款）事业单位医疗（项）：反映财政部门安排的事业单位基本医疗保险缴费经费，未参加医疗保险的事业单位的公费医疗经费，按国家规定享受离休人员待遇的医疗经费。</w:t>
      </w:r>
    </w:p>
    <w:p>
      <w:pPr>
        <w:keepNext w:val="0"/>
        <w:keepLines w:val="0"/>
        <w:pageBreakBefore w:val="0"/>
        <w:widowControl w:val="0"/>
        <w:numPr>
          <w:ilvl w:val="0"/>
          <w:numId w:val="2"/>
        </w:numPr>
        <w:shd w:val="clear"/>
        <w:kinsoku/>
        <w:wordWrap/>
        <w:overflowPunct/>
        <w:topLinePunct w:val="0"/>
        <w:autoSpaceDE w:val="0"/>
        <w:autoSpaceDN w:val="0"/>
        <w:bidi w:val="0"/>
        <w:adjustRightInd w:val="0"/>
        <w:snapToGrid/>
        <w:spacing w:line="360" w:lineRule="auto"/>
        <w:ind w:left="0" w:leftChars="0" w:firstLine="400" w:firstLineChars="0"/>
        <w:jc w:val="both"/>
        <w:textAlignment w:val="auto"/>
        <w:rPr>
          <w:rFonts w:hint="eastAsia" w:ascii="仿宋" w:hAnsi="仿宋" w:eastAsia="仿宋"/>
          <w:b/>
          <w:color w:val="auto"/>
          <w:kern w:val="2"/>
          <w:sz w:val="32"/>
          <w:szCs w:val="24"/>
          <w:highlight w:val="none"/>
          <w:lang w:val="en-US"/>
        </w:rPr>
      </w:pPr>
      <w:r>
        <w:rPr>
          <w:rFonts w:hint="eastAsia" w:ascii="仿宋_GB2312" w:hAnsi="仿宋_GB2312" w:eastAsia="仿宋_GB2312"/>
          <w:color w:val="auto"/>
          <w:kern w:val="2"/>
          <w:sz w:val="32"/>
          <w:szCs w:val="24"/>
          <w:highlight w:val="none"/>
          <w:lang w:val="en-US"/>
        </w:rPr>
        <w:t>住房保障支出（类）住房改革支出（款）住房公积金（项）：反映行政事业单位按人力资源和社会保障部、财政部规定的基本工资和津贴补贴以及规定比例为职工缴纳的住房公积金。</w:t>
      </w:r>
    </w:p>
    <w:p>
      <w:pPr>
        <w:keepNext w:val="0"/>
        <w:keepLines w:val="0"/>
        <w:pageBreakBefore w:val="0"/>
        <w:widowControl w:val="0"/>
        <w:numPr>
          <w:ilvl w:val="0"/>
          <w:numId w:val="2"/>
        </w:numPr>
        <w:shd w:val="clear"/>
        <w:kinsoku/>
        <w:wordWrap/>
        <w:overflowPunct/>
        <w:topLinePunct w:val="0"/>
        <w:autoSpaceDE w:val="0"/>
        <w:autoSpaceDN w:val="0"/>
        <w:bidi w:val="0"/>
        <w:adjustRightInd w:val="0"/>
        <w:snapToGrid/>
        <w:spacing w:line="360" w:lineRule="auto"/>
        <w:ind w:left="0" w:leftChars="0" w:firstLine="400" w:firstLineChars="0"/>
        <w:jc w:val="both"/>
        <w:textAlignment w:val="auto"/>
        <w:rPr>
          <w:rFonts w:hint="eastAsia" w:ascii="仿宋_GB2312" w:hAnsi="仿宋_GB2312" w:eastAsia="仿宋_GB2312"/>
          <w:color w:val="auto"/>
          <w:kern w:val="2"/>
          <w:sz w:val="32"/>
          <w:szCs w:val="24"/>
          <w:highlight w:val="none"/>
          <w:lang w:val="en-US"/>
        </w:rPr>
      </w:pPr>
      <w:r>
        <w:rPr>
          <w:rFonts w:hint="eastAsia" w:ascii="仿宋_GB2312" w:hAnsi="仿宋_GB2312" w:eastAsia="仿宋_GB2312"/>
          <w:color w:val="auto"/>
          <w:kern w:val="2"/>
          <w:sz w:val="32"/>
          <w:szCs w:val="24"/>
          <w:highlight w:val="none"/>
          <w:lang w:val="en-US"/>
        </w:rPr>
        <w:t>基本支出：指为保障机构正常运转、完成日常工作任务而发生的人员支出和公用支出。</w:t>
      </w:r>
    </w:p>
    <w:p>
      <w:pPr>
        <w:keepNext w:val="0"/>
        <w:keepLines w:val="0"/>
        <w:pageBreakBefore w:val="0"/>
        <w:widowControl w:val="0"/>
        <w:numPr>
          <w:ilvl w:val="0"/>
          <w:numId w:val="2"/>
        </w:numPr>
        <w:shd w:val="clear"/>
        <w:kinsoku/>
        <w:wordWrap/>
        <w:overflowPunct/>
        <w:topLinePunct w:val="0"/>
        <w:autoSpaceDE w:val="0"/>
        <w:autoSpaceDN w:val="0"/>
        <w:bidi w:val="0"/>
        <w:adjustRightInd w:val="0"/>
        <w:snapToGrid/>
        <w:spacing w:line="360" w:lineRule="auto"/>
        <w:ind w:left="0" w:leftChars="0" w:firstLine="400" w:firstLineChars="0"/>
        <w:jc w:val="both"/>
        <w:textAlignment w:val="auto"/>
        <w:rPr>
          <w:rFonts w:hint="eastAsia" w:ascii="仿宋_GB2312" w:hAnsi="仿宋_GB2312" w:eastAsia="仿宋_GB2312"/>
          <w:color w:val="auto"/>
          <w:kern w:val="2"/>
          <w:sz w:val="32"/>
          <w:szCs w:val="24"/>
          <w:highlight w:val="none"/>
          <w:lang w:val="en-US"/>
        </w:rPr>
      </w:pPr>
      <w:r>
        <w:rPr>
          <w:rFonts w:hint="eastAsia" w:ascii="仿宋_GB2312" w:hAnsi="仿宋_GB2312" w:eastAsia="仿宋_GB2312"/>
          <w:color w:val="auto"/>
          <w:kern w:val="2"/>
          <w:sz w:val="32"/>
          <w:szCs w:val="24"/>
          <w:highlight w:val="none"/>
          <w:lang w:val="en-US"/>
        </w:rPr>
        <w:t>项目支出：指在基本支出之外为完成特定行政任务和事业发展目标所发生的支出。</w:t>
      </w:r>
    </w:p>
    <w:p>
      <w:pPr>
        <w:keepNext w:val="0"/>
        <w:keepLines w:val="0"/>
        <w:pageBreakBefore w:val="0"/>
        <w:widowControl w:val="0"/>
        <w:numPr>
          <w:ilvl w:val="0"/>
          <w:numId w:val="2"/>
        </w:numPr>
        <w:shd w:val="clear"/>
        <w:kinsoku/>
        <w:wordWrap/>
        <w:overflowPunct/>
        <w:topLinePunct w:val="0"/>
        <w:autoSpaceDE w:val="0"/>
        <w:autoSpaceDN w:val="0"/>
        <w:bidi w:val="0"/>
        <w:adjustRightInd w:val="0"/>
        <w:snapToGrid/>
        <w:spacing w:line="360" w:lineRule="auto"/>
        <w:ind w:left="0" w:leftChars="0" w:firstLine="400" w:firstLineChars="0"/>
        <w:textAlignment w:val="auto"/>
        <w:rPr>
          <w:rFonts w:hint="eastAsia" w:ascii="仿宋_GB2312" w:hAnsi="仿宋_GB2312" w:eastAsia="仿宋_GB2312"/>
          <w:color w:val="auto"/>
          <w:sz w:val="32"/>
          <w:szCs w:val="24"/>
          <w:highlight w:val="none"/>
          <w:lang w:val="en-US"/>
        </w:rPr>
      </w:pPr>
      <w:r>
        <w:rPr>
          <w:rFonts w:hint="eastAsia" w:ascii="仿宋_GB2312" w:hAnsi="仿宋_GB2312" w:eastAsia="仿宋_GB2312"/>
          <w:color w:val="auto"/>
          <w:sz w:val="32"/>
          <w:szCs w:val="24"/>
          <w:highlight w:val="none"/>
          <w:lang w:val="en-US"/>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hd w:val="clear"/>
        <w:jc w:val="both"/>
        <w:rPr>
          <w:rFonts w:hint="eastAsia" w:ascii="仿宋" w:hAnsi="仿宋" w:eastAsia="仿宋"/>
          <w:b/>
          <w:color w:val="auto"/>
          <w:kern w:val="2"/>
          <w:sz w:val="32"/>
          <w:szCs w:val="24"/>
          <w:highlight w:val="none"/>
          <w:lang w:val="en-US"/>
        </w:rPr>
      </w:pPr>
    </w:p>
    <w:p>
      <w:pPr>
        <w:keepNext/>
        <w:keepLines/>
        <w:shd w:val="clear"/>
        <w:spacing w:line="576" w:lineRule="exact"/>
        <w:jc w:val="center"/>
        <w:rPr>
          <w:rFonts w:hint="eastAsia" w:ascii="黑体" w:hAnsi="黑体" w:eastAsia="黑体"/>
          <w:color w:val="auto"/>
          <w:kern w:val="44"/>
          <w:sz w:val="44"/>
          <w:szCs w:val="24"/>
          <w:highlight w:val="none"/>
          <w:lang w:val="zh-CN"/>
        </w:rPr>
      </w:pPr>
    </w:p>
    <w:p>
      <w:pPr>
        <w:shd w:val="clear"/>
        <w:rPr>
          <w:rFonts w:hint="eastAsia" w:ascii="黑体" w:hAnsi="黑体" w:eastAsia="黑体"/>
          <w:color w:val="auto"/>
          <w:kern w:val="2"/>
          <w:sz w:val="44"/>
          <w:szCs w:val="24"/>
          <w:highlight w:val="none"/>
          <w:lang w:val="en-US"/>
        </w:rPr>
      </w:pPr>
      <w:r>
        <w:rPr>
          <w:rFonts w:hint="eastAsia" w:ascii="黑体" w:hAnsi="黑体" w:eastAsia="黑体"/>
          <w:color w:val="auto"/>
          <w:kern w:val="2"/>
          <w:sz w:val="44"/>
          <w:szCs w:val="24"/>
          <w:highlight w:val="none"/>
          <w:lang w:val="en-US"/>
        </w:rPr>
        <w:br w:type="page"/>
      </w:r>
    </w:p>
    <w:p>
      <w:pPr>
        <w:keepNext w:val="0"/>
        <w:keepLines w:val="0"/>
        <w:pageBreakBefore w:val="0"/>
        <w:widowControl w:val="0"/>
        <w:shd w:val="clear"/>
        <w:kinsoku/>
        <w:wordWrap/>
        <w:overflowPunct/>
        <w:topLinePunct w:val="0"/>
        <w:autoSpaceDE w:val="0"/>
        <w:autoSpaceDN w:val="0"/>
        <w:bidi w:val="0"/>
        <w:adjustRightInd w:val="0"/>
        <w:snapToGrid/>
        <w:spacing w:line="600" w:lineRule="exact"/>
        <w:jc w:val="center"/>
        <w:textAlignment w:val="auto"/>
        <w:outlineLvl w:val="0"/>
        <w:rPr>
          <w:rFonts w:hint="eastAsia" w:ascii="黑体" w:hAnsi="黑体" w:eastAsia="黑体"/>
          <w:color w:val="auto"/>
          <w:kern w:val="44"/>
          <w:sz w:val="44"/>
          <w:szCs w:val="24"/>
          <w:highlight w:val="none"/>
          <w:lang w:val="en-US"/>
        </w:rPr>
      </w:pPr>
      <w:bookmarkStart w:id="24" w:name="_Toc8740"/>
      <w:r>
        <w:rPr>
          <w:rFonts w:hint="eastAsia" w:ascii="黑体" w:hAnsi="黑体" w:eastAsia="黑体"/>
          <w:color w:val="auto"/>
          <w:kern w:val="2"/>
          <w:sz w:val="44"/>
          <w:szCs w:val="24"/>
          <w:highlight w:val="none"/>
          <w:lang w:val="en-US"/>
        </w:rPr>
        <w:t>第</w:t>
      </w:r>
      <w:r>
        <w:rPr>
          <w:rFonts w:hint="eastAsia" w:ascii="黑体" w:hAnsi="黑体" w:eastAsia="黑体"/>
          <w:color w:val="auto"/>
          <w:kern w:val="44"/>
          <w:sz w:val="44"/>
          <w:szCs w:val="24"/>
          <w:highlight w:val="none"/>
          <w:lang w:val="en-US"/>
        </w:rPr>
        <w:t>四部分 附件</w:t>
      </w:r>
      <w:bookmarkEnd w:id="24"/>
    </w:p>
    <w:p>
      <w:pPr>
        <w:keepNext/>
        <w:keepLines/>
        <w:shd w:val="clear"/>
        <w:spacing w:line="572" w:lineRule="exact"/>
        <w:rPr>
          <w:rFonts w:hint="eastAsia" w:ascii="仿宋_GB2312" w:hAnsi="仿宋_GB2312" w:eastAsia="仿宋_GB2312"/>
          <w:color w:val="auto"/>
          <w:kern w:val="2"/>
          <w:sz w:val="32"/>
          <w:szCs w:val="24"/>
          <w:highlight w:val="none"/>
          <w:lang w:val="en-US"/>
        </w:rPr>
      </w:pPr>
    </w:p>
    <w:p>
      <w:pPr>
        <w:shd w:val="clear"/>
        <w:spacing w:line="600" w:lineRule="exact"/>
        <w:jc w:val="center"/>
        <w:rPr>
          <w:rFonts w:hint="eastAsia" w:ascii="宋体" w:hAnsi="宋体" w:eastAsia="宋体"/>
          <w:color w:val="auto"/>
          <w:sz w:val="32"/>
          <w:szCs w:val="24"/>
          <w:highlight w:val="none"/>
          <w:lang w:val="en-US"/>
        </w:rPr>
      </w:pPr>
      <w:r>
        <w:rPr>
          <w:rFonts w:hint="eastAsia" w:ascii="宋体" w:hAnsi="宋体" w:eastAsia="宋体"/>
          <w:color w:val="auto"/>
          <w:sz w:val="32"/>
          <w:szCs w:val="24"/>
          <w:highlight w:val="none"/>
          <w:lang w:val="en-US"/>
        </w:rPr>
        <w:t>部门预算项目支出绩效自评表（2022年度）</w:t>
      </w:r>
    </w:p>
    <w:tbl>
      <w:tblPr>
        <w:tblStyle w:val="12"/>
        <w:tblW w:w="1137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3"/>
        <w:gridCol w:w="1740"/>
        <w:gridCol w:w="1080"/>
        <w:gridCol w:w="1330"/>
        <w:gridCol w:w="980"/>
        <w:gridCol w:w="950"/>
        <w:gridCol w:w="960"/>
        <w:gridCol w:w="1210"/>
        <w:gridCol w:w="790"/>
        <w:gridCol w:w="748"/>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1137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2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项目名称</w:t>
            </w:r>
          </w:p>
        </w:tc>
        <w:tc>
          <w:tcPr>
            <w:tcW w:w="900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主管部门</w:t>
            </w: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广元市市场监督管理局部门</w:t>
            </w:r>
          </w:p>
        </w:tc>
        <w:tc>
          <w:tcPr>
            <w:tcW w:w="1210"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2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广元市特种设备监督检验所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项目基本情况</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1.项目年度目标完成情况</w:t>
            </w: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项目年度目标</w:t>
            </w:r>
          </w:p>
        </w:tc>
        <w:tc>
          <w:tcPr>
            <w:tcW w:w="3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严格执行相关政策，保障工资及时发放、足额发放，预算编制科学合理，减少结余资金。</w:t>
            </w:r>
          </w:p>
        </w:tc>
        <w:tc>
          <w:tcPr>
            <w:tcW w:w="3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严格执行相关政策，完成工资及时发放、足额发放，预算编制科学合理，减少结余资金。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2.项目实施内容及过程概述</w:t>
            </w:r>
          </w:p>
        </w:tc>
        <w:tc>
          <w:tcPr>
            <w:tcW w:w="900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预算执行情况（10分）</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年度预算数（万元）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年初预算</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调整后预算数</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预算执行数</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预算执行率</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权重</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得分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109.34</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123.74</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112.86</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91.20%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9.1</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2022年终财政拨款补缴部分养老保险金额，造成预算结余。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其中：财政资金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109.34</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123.74</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112.86</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91.20%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财政专户管理资金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单位资金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绩效指标（90分）</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一级指标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二级指标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三级指标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指标性质</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指标值</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度量单位</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完成值</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权重</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得分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数量指标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足额保障率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科目调整次数</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次</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时效指标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按时发放率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经济效益指标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结余率（计算方法为：结余数/预算数）</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8.8</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auto"/>
                <w:sz w:val="16"/>
                <w:szCs w:val="16"/>
                <w:highlight w:val="none"/>
                <w:u w:val="none"/>
              </w:rPr>
            </w:pPr>
            <w:r>
              <w:rPr>
                <w:rFonts w:hint="eastAsia" w:ascii="微软雅黑" w:hAnsi="微软雅黑" w:eastAsia="微软雅黑" w:cs="微软雅黑"/>
                <w:i w:val="0"/>
                <w:iCs w:val="0"/>
                <w:color w:val="auto"/>
                <w:kern w:val="0"/>
                <w:sz w:val="16"/>
                <w:szCs w:val="16"/>
                <w:highlight w:val="none"/>
                <w:u w:val="none"/>
                <w:lang w:val="en-US" w:eastAsia="zh-CN" w:bidi="ar"/>
              </w:rPr>
              <w:t>2022年终财政拨款补缴部分养老保险金额，造成预算结余。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87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合计</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76.6</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评价结论</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auto"/>
                <w:sz w:val="16"/>
                <w:szCs w:val="16"/>
                <w:highlight w:val="none"/>
                <w:u w:val="none"/>
              </w:rPr>
            </w:pPr>
            <w:r>
              <w:rPr>
                <w:rFonts w:hint="eastAsia" w:ascii="微软雅黑" w:hAnsi="微软雅黑" w:eastAsia="微软雅黑" w:cs="微软雅黑"/>
                <w:i w:val="0"/>
                <w:iCs w:val="0"/>
                <w:color w:val="auto"/>
                <w:kern w:val="0"/>
                <w:sz w:val="16"/>
                <w:szCs w:val="16"/>
                <w:highlight w:val="none"/>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存在问题</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改进措施</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w:t>
            </w:r>
          </w:p>
        </w:tc>
        <w:tc>
          <w:tcPr>
            <w:tcW w:w="56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2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33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5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6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1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9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48"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6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137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项目名称</w:t>
            </w:r>
          </w:p>
        </w:tc>
        <w:tc>
          <w:tcPr>
            <w:tcW w:w="900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主管部门</w:t>
            </w: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广元市市场监督管理局部门</w:t>
            </w:r>
          </w:p>
        </w:tc>
        <w:tc>
          <w:tcPr>
            <w:tcW w:w="1210"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2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广元市特种设备监督检验所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项目基本情况</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1.项目年度目标完成情况</w:t>
            </w: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项目年度目标</w:t>
            </w:r>
          </w:p>
        </w:tc>
        <w:tc>
          <w:tcPr>
            <w:tcW w:w="3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严格执行相关政策，保障工资及时发放、足额发放，预算编制科学合理，减少结余资金。</w:t>
            </w:r>
          </w:p>
        </w:tc>
        <w:tc>
          <w:tcPr>
            <w:tcW w:w="3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严格执行相关政策，完成工资及时发放、足额发放，预算编制科学合理，减少结余资金。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2.项目实施内容及过程概述</w:t>
            </w:r>
          </w:p>
        </w:tc>
        <w:tc>
          <w:tcPr>
            <w:tcW w:w="900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预算执行情况（10分）</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年度预算数（万元）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年初预算</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调整后预算数</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预算执行数</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预算执行率</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权重</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得分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7.00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7.00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7.00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其中：财政资金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7.00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7.00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7.00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财政专户管理资金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单位资金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绩效指标（90分）</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一级指标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二级指标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三级指标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指标性质</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指标值</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度量单位</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完成值</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权重</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得分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数量指标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科目调整次数</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次</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足额保障率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时效指标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按时发放率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经济效益指标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结余率（计算方法为：结余数/预算数）</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87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合计</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评价结论</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auto"/>
                <w:sz w:val="16"/>
                <w:szCs w:val="16"/>
                <w:highlight w:val="none"/>
                <w:u w:val="none"/>
              </w:rPr>
            </w:pPr>
            <w:r>
              <w:rPr>
                <w:rFonts w:hint="eastAsia" w:ascii="微软雅黑" w:hAnsi="微软雅黑" w:eastAsia="微软雅黑" w:cs="微软雅黑"/>
                <w:i w:val="0"/>
                <w:iCs w:val="0"/>
                <w:color w:val="auto"/>
                <w:kern w:val="0"/>
                <w:sz w:val="16"/>
                <w:szCs w:val="16"/>
                <w:highlight w:val="none"/>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存在问题</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改进措施</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w:t>
            </w:r>
          </w:p>
        </w:tc>
        <w:tc>
          <w:tcPr>
            <w:tcW w:w="56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2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33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5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6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1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9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48"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6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137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项目名称</w:t>
            </w:r>
          </w:p>
        </w:tc>
        <w:tc>
          <w:tcPr>
            <w:tcW w:w="900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51080021T000000056801-无损检测服务费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主管部门</w:t>
            </w: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广元市市场监督管理局部门</w:t>
            </w:r>
          </w:p>
        </w:tc>
        <w:tc>
          <w:tcPr>
            <w:tcW w:w="1210"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2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广元市特种设备监督检验所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项目基本情况</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1.项目年度目标完成情况</w:t>
            </w: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项目年度目标</w:t>
            </w:r>
          </w:p>
        </w:tc>
        <w:tc>
          <w:tcPr>
            <w:tcW w:w="3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排除检验的压力容器、锅炉、压力管道安全隐患，出具法定检测报告，保障辖区内承压内特种设备安全运行。</w:t>
            </w:r>
          </w:p>
        </w:tc>
        <w:tc>
          <w:tcPr>
            <w:tcW w:w="3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确保中石化净化厂、中石油西南油气分公司等大型化工企业使用的各类特种设备安全运行，更好地服务广元经济社会高质量和安全发展。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2.项目实施内容及过程概述</w:t>
            </w:r>
          </w:p>
        </w:tc>
        <w:tc>
          <w:tcPr>
            <w:tcW w:w="900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针对广元市辖区内的特种设备用户，为高质、保量、高效完成承压类特种设备检验工作，需要将无损检测外包委托给专业无损检测机构完成。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预算执行情况（10分）</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年度预算数（万元）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年初预算</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调整后预算数</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预算执行数</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预算执行率</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权重</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得分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107.80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107.80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76.94</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71.38%</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7.1</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其中：财政资金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107.80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107.80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76.94</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71.38%</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财政专户管理资金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单位资金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绩效指标（90分）</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一级指标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二级指标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三级指标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指标性质</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指标值</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度量单位</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完成值</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权重</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得分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数量指标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委托完成辖区内承压特种设备检测</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100.86</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万元</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76.94</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both"/>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2021年结转30.86万元只用了6.94万元，由于疫情原因没有及时使用完毕。2023年已经申请支付。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质量指标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检验检测质量</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99</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时效指标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完成时间</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年</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成本指标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检验费成本</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107.8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万元</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76.94</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both"/>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2021年结转30.86万元只用了6.94万元，由于疫情原因没有及时使用完毕。2023年已经申请支付。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社会效益指标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特种设备环保节能率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95</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可持续影响指标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保障检测设备安全运行率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服务对象满意度指标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服务对象满意度</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95</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87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合计</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94.1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评价结论</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无损检测完成项目：中石油九龙山净化厂5.94万元、中石化西南油气分公司采气厂30.5万元、华油天然气光源有限公司0.85万元、广元天然气净化有限公司39.65万元。上缴财政200万左右非税收入。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存在问题</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人机比矛盾突出。按照《四川省乙类特种设备检验机构核准细则（试行）》的规定：“申请单位全职持有检验检测人员证的人员应当不少于60名，其中检验人员不少于48名，检验人员中检验师不少于20名。”市特检所现有30人，在编22人，加之近3年要退休6人，检验师将减少4人/项，Ⅲ级无损检测减少1人/项，Ⅱ级无损检测减少3人/项，检验员减少13人/项，即将面临人/证严重不足的问题，通过计算需增补38人才能满足核准细则的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改进措施</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由于特检工作专业性极强、涉及人民群众生命财产安全，为更好的服务经济社会稳定和高质量发展，进一步抓实质量安全工作，加大专业技术人员的配备，保证检验检测工作有序进行。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w:t>
            </w:r>
          </w:p>
        </w:tc>
        <w:tc>
          <w:tcPr>
            <w:tcW w:w="56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w:t>
            </w:r>
          </w:p>
        </w:tc>
      </w:tr>
    </w:tbl>
    <w:p>
      <w:pPr>
        <w:shd w:val="clea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br w:type="page"/>
      </w:r>
    </w:p>
    <w:tbl>
      <w:tblPr>
        <w:tblStyle w:val="12"/>
        <w:tblW w:w="1137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3"/>
        <w:gridCol w:w="1740"/>
        <w:gridCol w:w="1080"/>
        <w:gridCol w:w="1330"/>
        <w:gridCol w:w="980"/>
        <w:gridCol w:w="950"/>
        <w:gridCol w:w="960"/>
        <w:gridCol w:w="1210"/>
        <w:gridCol w:w="790"/>
        <w:gridCol w:w="748"/>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2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33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5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6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1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9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48"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6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1137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项目名称</w:t>
            </w:r>
          </w:p>
        </w:tc>
        <w:tc>
          <w:tcPr>
            <w:tcW w:w="900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51080021T000000056808-办公设备购置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主管部门</w:t>
            </w: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广元市市场监督管理局部门</w:t>
            </w:r>
          </w:p>
        </w:tc>
        <w:tc>
          <w:tcPr>
            <w:tcW w:w="1210"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2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广元市特种设备监督检验所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项目基本情况</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1.项目年度目标完成情况</w:t>
            </w: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项目年度目标</w:t>
            </w:r>
          </w:p>
        </w:tc>
        <w:tc>
          <w:tcPr>
            <w:tcW w:w="3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提高工作效率，一定程度上缓解我单位人机比矛盾，降低安全风险；保障2022年办公及检验业务基础设备。</w:t>
            </w:r>
          </w:p>
        </w:tc>
        <w:tc>
          <w:tcPr>
            <w:tcW w:w="3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 xml:space="preserve">设备采购成功，一定程度提高了工作效率。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2.项目实施内容及过程概述</w:t>
            </w:r>
          </w:p>
        </w:tc>
        <w:tc>
          <w:tcPr>
            <w:tcW w:w="900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提高工作效率，一定程度上缓解我单位人机比矛盾，降低安全风险。购买便携式里式硬度计 2台、超小型X射线机探伤机1台、彩色数码复印机1台、多功能超声波测厚仪2台、智能化黑白光充电式旋转探伤仪4台、全数字智能超声波探伤仪2台、便携式金相仪 1台、印刷装订机1台。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预算执行情况（10分）</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年度预算数（万元）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年初预算</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调整后预算数</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预算执行数</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预算执行率</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权重</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得分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81.34</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81.34</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80.17</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98.56%</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9.86</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其中：财政资金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81.34</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81.34</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80.17</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98.56%</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财政专户管理资金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单位资金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绩效指标（90分）</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一级指标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二级指标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三级指标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指标性质</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指标值</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度量单位</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完成值</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权重</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得分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数量指标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 xml:space="preserve">便携式里式硬度计 </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台</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超小型X射线机探伤机</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台</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彩色数码复印机</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台</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 xml:space="preserve">多功能超声波测厚仪 </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台</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 xml:space="preserve">便携式金相仪 </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台</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 xml:space="preserve"> 全数字智能超声波探伤仪</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台</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智能化黑白光充电式旋转探伤仪</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台</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4</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 xml:space="preserve"> 印刷装订机 </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台</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质量指标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资产验收</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时效指标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完成时间</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2022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年</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2022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成本指标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购置成本</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813401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元</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801650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社会效益指标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保障特种设备安全经济运行</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99</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可持续影响指标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对单位人机比缓解矛盾、协助行业发展</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年</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服务对象满意度指标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服务对象满意度</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95</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87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合计</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95.86</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评价结论</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通过设备采购项目的实施，使我所特种设备检验检测能力大大提升，为我市社会经济发展提供有力的技术保障。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存在问题</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部分设备陈旧、老化严重，已经不能满足特种设备检验检测工作需求。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改进措施</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加大财政保障技术装备投入。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w:t>
            </w:r>
          </w:p>
        </w:tc>
        <w:tc>
          <w:tcPr>
            <w:tcW w:w="56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w:t>
            </w:r>
          </w:p>
        </w:tc>
      </w:tr>
    </w:tbl>
    <w:p>
      <w:pPr>
        <w:shd w:val="clea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br w:type="page"/>
      </w:r>
    </w:p>
    <w:tbl>
      <w:tblPr>
        <w:tblStyle w:val="12"/>
        <w:tblW w:w="1137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3"/>
        <w:gridCol w:w="1740"/>
        <w:gridCol w:w="1080"/>
        <w:gridCol w:w="1330"/>
        <w:gridCol w:w="980"/>
        <w:gridCol w:w="950"/>
        <w:gridCol w:w="960"/>
        <w:gridCol w:w="1210"/>
        <w:gridCol w:w="790"/>
        <w:gridCol w:w="748"/>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2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33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5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6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1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9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48"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6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137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项目名称</w:t>
            </w:r>
          </w:p>
        </w:tc>
        <w:tc>
          <w:tcPr>
            <w:tcW w:w="900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51080021T000000056832-非税征收成本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主管部门</w:t>
            </w: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广元市市场监督管理局部门</w:t>
            </w:r>
          </w:p>
        </w:tc>
        <w:tc>
          <w:tcPr>
            <w:tcW w:w="1210"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2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广元市特种设备监督检验所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项目基本情况</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1.项目年度目标完成情况</w:t>
            </w: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项目年度目标</w:t>
            </w:r>
          </w:p>
        </w:tc>
        <w:tc>
          <w:tcPr>
            <w:tcW w:w="3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确保2022年广元市特种设备安全以及企业安全稳定有效率的发展。</w:t>
            </w:r>
          </w:p>
        </w:tc>
        <w:tc>
          <w:tcPr>
            <w:tcW w:w="3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保证了2022年广元市特种设备安全以及企业安全稳定有效率的发展。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2.项目实施内容及过程概述</w:t>
            </w:r>
          </w:p>
        </w:tc>
        <w:tc>
          <w:tcPr>
            <w:tcW w:w="900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全年检验各类特种设备12037台，消除安全隐患1342项，出具不合格报告286份，不合格率2.4%。其中：（1）检验电梯7317台，发现并监督整改C类隐患457项、B类不合格隐患338项。（2）检验锅炉215台、压力容器1856台，消除一般隐患239项，监督整改锅炉泄漏、精脱硫罐泄漏、溶剂再生塔腐蚀减薄、脱硫塔裂纹与一、二级冷凝器管板泄露等重大安全隐患7项。（3）检验压力管道1093余公里，消除一般隐患85项，监督整改重大隐患5项。（4）CNG气瓶安装监督检验1594支。（5）检验起重机械560台、叉车410台、观光车85辆，消除一般安全隐患210项，监督整改重大安全隐患1项。（6）校验安全阀2050支，不合格37支。（7）全年上缴财政非税收入1200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预算执行情况（10分）</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年度预算数（万元）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年初预算</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调整后预算数</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预算执行数</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预算执行率</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权重</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得分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351.48</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351.48</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351.44</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99.99%</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其中：财政资金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351.48</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351.48</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351.44</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99.99%</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财政专户管理资金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单位资金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绩效指标（90分）</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一级指标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二级指标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三级指标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指标性质</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指标值</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度量单位</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完成值</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权重</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得分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数量指标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完成委托检验台件</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1150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台</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2545</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完成法定检验周期台件</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9475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台</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11542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质量指标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完成检定率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97</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97</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时效指标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完成时间</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2022</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年</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2022</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成本指标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办公费</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30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万元</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30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印刷费</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11.48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万元</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11.48</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手续费</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万元</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水费</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万元</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电费</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万元</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2.5</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邮电费</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万元</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8</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差旅费</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65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万元</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65</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维修费</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万元</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23</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培训费</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万元</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公务接待费</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万元</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3</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专用材料费</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7</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万元</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7</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劳务费</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万元</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94.96</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聘用人员工资结余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租车费</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75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万元</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75</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其他商品和服务</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万元</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经济效益指标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预计产生收益</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万元</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1200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4</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社会效益指标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特种设备检定率提升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95</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4</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生态效益指标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企业特种意识提升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95</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4</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特种设备环保节能</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95</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4</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可持续影响指标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保证全市特种设备安全经济运行</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95</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4</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服务对象满意度指标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服务对象满意度</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95</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87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合计</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95.5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评价结论</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Style w:val="14"/>
                <w:color w:val="auto"/>
                <w:highlight w:val="none"/>
                <w:lang w:val="en-US" w:eastAsia="zh-CN" w:bidi="ar"/>
              </w:rPr>
              <w:t>全年检验各类特种设备</w:t>
            </w:r>
            <w:r>
              <w:rPr>
                <w:rStyle w:val="15"/>
                <w:color w:val="auto"/>
                <w:highlight w:val="none"/>
                <w:lang w:val="en-US" w:eastAsia="zh-CN" w:bidi="ar"/>
              </w:rPr>
              <w:t>12037</w:t>
            </w:r>
            <w:r>
              <w:rPr>
                <w:rStyle w:val="14"/>
                <w:color w:val="auto"/>
                <w:highlight w:val="none"/>
                <w:lang w:val="en-US" w:eastAsia="zh-CN" w:bidi="ar"/>
              </w:rPr>
              <w:t>台，消除安全隐患</w:t>
            </w:r>
            <w:r>
              <w:rPr>
                <w:rStyle w:val="15"/>
                <w:color w:val="auto"/>
                <w:highlight w:val="none"/>
                <w:lang w:val="en-US" w:eastAsia="zh-CN" w:bidi="ar"/>
              </w:rPr>
              <w:t>1342</w:t>
            </w:r>
            <w:r>
              <w:rPr>
                <w:rStyle w:val="14"/>
                <w:color w:val="auto"/>
                <w:highlight w:val="none"/>
                <w:lang w:val="en-US" w:eastAsia="zh-CN" w:bidi="ar"/>
              </w:rPr>
              <w:t>项，出具不合格报告</w:t>
            </w:r>
            <w:r>
              <w:rPr>
                <w:rStyle w:val="15"/>
                <w:color w:val="auto"/>
                <w:highlight w:val="none"/>
                <w:lang w:val="en-US" w:eastAsia="zh-CN" w:bidi="ar"/>
              </w:rPr>
              <w:t>286</w:t>
            </w:r>
            <w:r>
              <w:rPr>
                <w:rStyle w:val="14"/>
                <w:color w:val="auto"/>
                <w:highlight w:val="none"/>
                <w:lang w:val="en-US" w:eastAsia="zh-CN" w:bidi="ar"/>
              </w:rPr>
              <w:t>份，不合格率</w:t>
            </w:r>
            <w:r>
              <w:rPr>
                <w:rStyle w:val="15"/>
                <w:color w:val="auto"/>
                <w:highlight w:val="none"/>
                <w:lang w:val="en-US" w:eastAsia="zh-CN" w:bidi="ar"/>
              </w:rPr>
              <w:t>2.4%</w:t>
            </w:r>
            <w:r>
              <w:rPr>
                <w:rStyle w:val="14"/>
                <w:color w:val="auto"/>
                <w:highlight w:val="none"/>
                <w:lang w:val="en-US" w:eastAsia="zh-CN" w:bidi="ar"/>
              </w:rPr>
              <w:t>。上缴财政非税收入</w:t>
            </w:r>
            <w:r>
              <w:rPr>
                <w:rStyle w:val="15"/>
                <w:color w:val="auto"/>
                <w:highlight w:val="none"/>
                <w:lang w:val="en-US" w:eastAsia="zh-CN" w:bidi="ar"/>
              </w:rPr>
              <w:t>1200</w:t>
            </w:r>
            <w:r>
              <w:rPr>
                <w:rStyle w:val="14"/>
                <w:color w:val="auto"/>
                <w:highlight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存在问题</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1.人员结构比例不合理，缺乏检验技术人才。特种设备专业人才严重匮乏，不能满足机构发展的需求。</w:t>
            </w:r>
            <w:r>
              <w:rPr>
                <w:rFonts w:hint="eastAsia" w:ascii="宋体" w:hAnsi="宋体" w:eastAsia="宋体" w:cs="宋体"/>
                <w:i w:val="0"/>
                <w:iCs w:val="0"/>
                <w:color w:val="auto"/>
                <w:kern w:val="0"/>
                <w:sz w:val="18"/>
                <w:szCs w:val="18"/>
                <w:highlight w:val="none"/>
                <w:u w:val="none"/>
                <w:lang w:val="en-US" w:eastAsia="zh-CN" w:bidi="ar"/>
              </w:rPr>
              <w:br w:type="textWrapping"/>
            </w:r>
            <w:r>
              <w:rPr>
                <w:rFonts w:hint="eastAsia" w:ascii="宋体" w:hAnsi="宋体" w:eastAsia="宋体" w:cs="宋体"/>
                <w:i w:val="0"/>
                <w:iCs w:val="0"/>
                <w:color w:val="auto"/>
                <w:kern w:val="0"/>
                <w:sz w:val="18"/>
                <w:szCs w:val="18"/>
                <w:highlight w:val="none"/>
                <w:u w:val="none"/>
                <w:lang w:val="en-US" w:eastAsia="zh-CN" w:bidi="ar"/>
              </w:rPr>
              <w:t>2.检验装备投入不足，机构发展缓慢。部分设备陈旧、老化严重，一定程度阻碍了我所检验检测水平的提升。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改进措施</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加大对项目机构能力提升的财政保障。适当增加非税收入成本支出费用和配增检验人员，强化履职担当，以更好地服务企业，保障广元市人民生命财产安全。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w:t>
            </w:r>
          </w:p>
        </w:tc>
        <w:tc>
          <w:tcPr>
            <w:tcW w:w="56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w:t>
            </w:r>
          </w:p>
        </w:tc>
      </w:tr>
    </w:tbl>
    <w:p>
      <w:pPr>
        <w:shd w:val="clea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br w:type="page"/>
      </w:r>
    </w:p>
    <w:tbl>
      <w:tblPr>
        <w:tblStyle w:val="12"/>
        <w:tblW w:w="1137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3"/>
        <w:gridCol w:w="1740"/>
        <w:gridCol w:w="1080"/>
        <w:gridCol w:w="1330"/>
        <w:gridCol w:w="980"/>
        <w:gridCol w:w="950"/>
        <w:gridCol w:w="960"/>
        <w:gridCol w:w="1210"/>
        <w:gridCol w:w="790"/>
        <w:gridCol w:w="748"/>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2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33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5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6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1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9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48"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6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137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项目名称</w:t>
            </w:r>
          </w:p>
        </w:tc>
        <w:tc>
          <w:tcPr>
            <w:tcW w:w="900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主管部门</w:t>
            </w: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广元市市场监督管理局部门</w:t>
            </w:r>
          </w:p>
        </w:tc>
        <w:tc>
          <w:tcPr>
            <w:tcW w:w="1210"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2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广元市特种设备监督检验所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项目基本情况</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1.项目年度目标完成情况</w:t>
            </w: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项目年度目标</w:t>
            </w:r>
          </w:p>
        </w:tc>
        <w:tc>
          <w:tcPr>
            <w:tcW w:w="3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保障单位日常运转，提高预算编制质量，严格执行预算。</w:t>
            </w:r>
          </w:p>
        </w:tc>
        <w:tc>
          <w:tcPr>
            <w:tcW w:w="3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2.项目实施内容及过程概述</w:t>
            </w:r>
          </w:p>
        </w:tc>
        <w:tc>
          <w:tcPr>
            <w:tcW w:w="900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预算执行情况（10分）</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年度预算数（万元）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年初预算</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调整后预算数</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预算执行数</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预算执行率</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权重</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得分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7.44</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7.44</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7.44</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其中：财政资金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7.44</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7.44</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7.44</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财政专户管理资金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单位资金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绩效指标（90分）</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一级指标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二级指标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三级指标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指标性质</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指标值</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度量单位</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完成值</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权重</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得分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数量指标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科目调整次数</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次</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auto"/>
                <w:sz w:val="16"/>
                <w:szCs w:val="16"/>
                <w:highlight w:val="none"/>
                <w:u w:val="none"/>
              </w:rPr>
            </w:pPr>
            <w:r>
              <w:rPr>
                <w:rFonts w:hint="eastAsia" w:ascii="微软雅黑" w:hAnsi="微软雅黑" w:eastAsia="微软雅黑" w:cs="微软雅黑"/>
                <w:i w:val="0"/>
                <w:iCs w:val="0"/>
                <w:color w:val="auto"/>
                <w:kern w:val="0"/>
                <w:sz w:val="16"/>
                <w:szCs w:val="16"/>
                <w:highlight w:val="none"/>
                <w:u w:val="none"/>
                <w:lang w:val="en-US" w:eastAsia="zh-CN" w:bidi="ar"/>
              </w:rPr>
              <w:t>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质量指标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预算编制准确率（计算方法为：∣（执行数-预算数）/预算数∣）</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auto"/>
                <w:sz w:val="16"/>
                <w:szCs w:val="16"/>
                <w:highlight w:val="none"/>
                <w:u w:val="none"/>
              </w:rPr>
            </w:pPr>
            <w:r>
              <w:rPr>
                <w:rFonts w:hint="eastAsia" w:ascii="微软雅黑" w:hAnsi="微软雅黑" w:eastAsia="微软雅黑" w:cs="微软雅黑"/>
                <w:i w:val="0"/>
                <w:iCs w:val="0"/>
                <w:color w:val="auto"/>
                <w:kern w:val="0"/>
                <w:sz w:val="16"/>
                <w:szCs w:val="16"/>
                <w:highlight w:val="none"/>
                <w:u w:val="none"/>
                <w:lang w:val="en-US" w:eastAsia="zh-CN" w:bidi="ar"/>
              </w:rPr>
              <w:t>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经济效益指标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“三公经费”控制率[计算方法为：（三公经费实际支出数/预算安排数]×100%）</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auto"/>
                <w:sz w:val="16"/>
                <w:szCs w:val="16"/>
                <w:highlight w:val="none"/>
                <w:u w:val="none"/>
              </w:rPr>
            </w:pPr>
            <w:r>
              <w:rPr>
                <w:rFonts w:hint="eastAsia" w:ascii="微软雅黑" w:hAnsi="微软雅黑" w:eastAsia="微软雅黑" w:cs="微软雅黑"/>
                <w:i w:val="0"/>
                <w:iCs w:val="0"/>
                <w:color w:val="auto"/>
                <w:kern w:val="0"/>
                <w:sz w:val="16"/>
                <w:szCs w:val="16"/>
                <w:highlight w:val="none"/>
                <w:u w:val="none"/>
                <w:lang w:val="en-US" w:eastAsia="zh-CN" w:bidi="ar"/>
              </w:rPr>
              <w:t>100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运转保障率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auto"/>
                <w:sz w:val="16"/>
                <w:szCs w:val="16"/>
                <w:highlight w:val="none"/>
                <w:u w:val="none"/>
              </w:rPr>
            </w:pPr>
            <w:r>
              <w:rPr>
                <w:rFonts w:hint="eastAsia" w:ascii="微软雅黑" w:hAnsi="微软雅黑" w:eastAsia="微软雅黑" w:cs="微软雅黑"/>
                <w:i w:val="0"/>
                <w:iCs w:val="0"/>
                <w:color w:val="auto"/>
                <w:kern w:val="0"/>
                <w:sz w:val="16"/>
                <w:szCs w:val="16"/>
                <w:highlight w:val="none"/>
                <w:u w:val="none"/>
                <w:lang w:val="en-US" w:eastAsia="zh-CN" w:bidi="ar"/>
              </w:rPr>
              <w:t>100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87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合计</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评价结论</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auto"/>
                <w:sz w:val="16"/>
                <w:szCs w:val="16"/>
                <w:highlight w:val="none"/>
                <w:u w:val="none"/>
              </w:rPr>
            </w:pPr>
            <w:r>
              <w:rPr>
                <w:rFonts w:hint="eastAsia" w:ascii="微软雅黑" w:hAnsi="微软雅黑" w:eastAsia="微软雅黑" w:cs="微软雅黑"/>
                <w:i w:val="0"/>
                <w:iCs w:val="0"/>
                <w:color w:val="auto"/>
                <w:kern w:val="0"/>
                <w:sz w:val="16"/>
                <w:szCs w:val="16"/>
                <w:highlight w:val="none"/>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存在问题</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改进措施</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w:t>
            </w:r>
          </w:p>
        </w:tc>
        <w:tc>
          <w:tcPr>
            <w:tcW w:w="56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2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33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5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6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1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9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48"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6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137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项目名称</w:t>
            </w:r>
          </w:p>
        </w:tc>
        <w:tc>
          <w:tcPr>
            <w:tcW w:w="900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主管部门</w:t>
            </w: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广元市市场监督管理局部门</w:t>
            </w:r>
          </w:p>
        </w:tc>
        <w:tc>
          <w:tcPr>
            <w:tcW w:w="1210"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2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广元市特种设备监督检验所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项目基本情况</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1.项目年度目标完成情况</w:t>
            </w: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项目年度目标</w:t>
            </w:r>
          </w:p>
        </w:tc>
        <w:tc>
          <w:tcPr>
            <w:tcW w:w="3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严格执行相关政策，保障工资及时发放、足额发放，预算编制科学合理，减少结余资金。</w:t>
            </w:r>
          </w:p>
        </w:tc>
        <w:tc>
          <w:tcPr>
            <w:tcW w:w="3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2.项目实施内容及过程概述</w:t>
            </w:r>
          </w:p>
        </w:tc>
        <w:tc>
          <w:tcPr>
            <w:tcW w:w="900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预算执行情况（10分）</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年度预算数（万元）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年初预算</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调整后预算数</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预算执行数</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预算执行率</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权重</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得分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162.18</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207.20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207.20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其中：财政资金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162.18</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207.20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207.20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7"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财政专户管理资金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单位资金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绩效指标（90分）</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一级指标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二级指标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三级指标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指标性质</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指标值</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度量单位</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完成值</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权重</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得分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数量指标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足额保障率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auto"/>
                <w:sz w:val="16"/>
                <w:szCs w:val="16"/>
                <w:highlight w:val="none"/>
                <w:u w:val="none"/>
              </w:rPr>
            </w:pPr>
            <w:r>
              <w:rPr>
                <w:rFonts w:hint="eastAsia" w:ascii="微软雅黑" w:hAnsi="微软雅黑" w:eastAsia="微软雅黑" w:cs="微软雅黑"/>
                <w:i w:val="0"/>
                <w:iCs w:val="0"/>
                <w:color w:val="auto"/>
                <w:kern w:val="0"/>
                <w:sz w:val="16"/>
                <w:szCs w:val="16"/>
                <w:highlight w:val="none"/>
                <w:u w:val="none"/>
                <w:lang w:val="en-US" w:eastAsia="zh-CN" w:bidi="ar"/>
              </w:rPr>
              <w:t>100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科目调整次数</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次</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auto"/>
                <w:sz w:val="16"/>
                <w:szCs w:val="16"/>
                <w:highlight w:val="none"/>
                <w:u w:val="none"/>
              </w:rPr>
            </w:pPr>
            <w:r>
              <w:rPr>
                <w:rFonts w:hint="eastAsia" w:ascii="微软雅黑" w:hAnsi="微软雅黑" w:eastAsia="微软雅黑" w:cs="微软雅黑"/>
                <w:i w:val="0"/>
                <w:iCs w:val="0"/>
                <w:color w:val="auto"/>
                <w:kern w:val="0"/>
                <w:sz w:val="16"/>
                <w:szCs w:val="16"/>
                <w:highlight w:val="none"/>
                <w:u w:val="none"/>
                <w:lang w:val="en-US" w:eastAsia="zh-CN" w:bidi="ar"/>
              </w:rPr>
              <w:t>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时效指标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按时发放率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auto"/>
                <w:sz w:val="16"/>
                <w:szCs w:val="16"/>
                <w:highlight w:val="none"/>
                <w:u w:val="none"/>
              </w:rPr>
            </w:pPr>
            <w:r>
              <w:rPr>
                <w:rFonts w:hint="eastAsia" w:ascii="微软雅黑" w:hAnsi="微软雅黑" w:eastAsia="微软雅黑" w:cs="微软雅黑"/>
                <w:i w:val="0"/>
                <w:iCs w:val="0"/>
                <w:color w:val="auto"/>
                <w:kern w:val="0"/>
                <w:sz w:val="16"/>
                <w:szCs w:val="16"/>
                <w:highlight w:val="none"/>
                <w:u w:val="none"/>
                <w:lang w:val="en-US" w:eastAsia="zh-CN" w:bidi="ar"/>
              </w:rPr>
              <w:t>100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经济效益指标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结余率（计算方法为：结余数/预算数）</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auto"/>
                <w:sz w:val="16"/>
                <w:szCs w:val="16"/>
                <w:highlight w:val="none"/>
                <w:u w:val="none"/>
              </w:rPr>
            </w:pPr>
            <w:r>
              <w:rPr>
                <w:rFonts w:hint="eastAsia" w:ascii="微软雅黑" w:hAnsi="微软雅黑" w:eastAsia="微软雅黑" w:cs="微软雅黑"/>
                <w:i w:val="0"/>
                <w:iCs w:val="0"/>
                <w:color w:val="auto"/>
                <w:kern w:val="0"/>
                <w:sz w:val="16"/>
                <w:szCs w:val="16"/>
                <w:highlight w:val="none"/>
                <w:u w:val="none"/>
                <w:lang w:val="en-US" w:eastAsia="zh-CN" w:bidi="ar"/>
              </w:rPr>
              <w:t>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87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合计</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评价结论</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auto"/>
                <w:sz w:val="16"/>
                <w:szCs w:val="16"/>
                <w:highlight w:val="none"/>
                <w:u w:val="none"/>
              </w:rPr>
            </w:pPr>
            <w:r>
              <w:rPr>
                <w:rFonts w:hint="eastAsia" w:ascii="微软雅黑" w:hAnsi="微软雅黑" w:eastAsia="微软雅黑" w:cs="微软雅黑"/>
                <w:i w:val="0"/>
                <w:iCs w:val="0"/>
                <w:color w:val="auto"/>
                <w:kern w:val="0"/>
                <w:sz w:val="16"/>
                <w:szCs w:val="16"/>
                <w:highlight w:val="none"/>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存在问题</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改进措施</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w:t>
            </w:r>
          </w:p>
        </w:tc>
        <w:tc>
          <w:tcPr>
            <w:tcW w:w="56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w:t>
            </w:r>
          </w:p>
        </w:tc>
      </w:tr>
    </w:tbl>
    <w:p>
      <w:pPr>
        <w:shd w:val="clea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br w:type="page"/>
      </w:r>
    </w:p>
    <w:tbl>
      <w:tblPr>
        <w:tblStyle w:val="12"/>
        <w:tblW w:w="1137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3"/>
        <w:gridCol w:w="1740"/>
        <w:gridCol w:w="1080"/>
        <w:gridCol w:w="1330"/>
        <w:gridCol w:w="980"/>
        <w:gridCol w:w="950"/>
        <w:gridCol w:w="960"/>
        <w:gridCol w:w="1210"/>
        <w:gridCol w:w="790"/>
        <w:gridCol w:w="748"/>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2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33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5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6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1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9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48"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6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137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项目名称</w:t>
            </w:r>
          </w:p>
        </w:tc>
        <w:tc>
          <w:tcPr>
            <w:tcW w:w="900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51080022T000007084227-办公用房改造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主管部门</w:t>
            </w: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广元市市场监督管理局部门</w:t>
            </w:r>
          </w:p>
        </w:tc>
        <w:tc>
          <w:tcPr>
            <w:tcW w:w="1210"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2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广元市特种设备监督检验所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项目基本情况</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1.项目年度目标完成情况</w:t>
            </w: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项目年度目标</w:t>
            </w:r>
          </w:p>
        </w:tc>
        <w:tc>
          <w:tcPr>
            <w:tcW w:w="3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符合工程施工质量验收相关要求，按时投入使用。确保特种设备日常检验检测工作顺利开展。</w:t>
            </w:r>
          </w:p>
        </w:tc>
        <w:tc>
          <w:tcPr>
            <w:tcW w:w="3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符合工程施工质量验收相关要求，按时投入使用。保证特种设备日常检验检测工作顺利开展。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3"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2.项目实施内容及过程概述</w:t>
            </w:r>
          </w:p>
        </w:tc>
        <w:tc>
          <w:tcPr>
            <w:tcW w:w="900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符合工程施工质量验收相关要求，按时投入使用。确保特种设备日常检验检测工作顺利开展。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预算执行情况（10分）</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年度预算数（万元）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年初预算</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调整后预算数</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预算执行数</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预算执行率</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权重</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得分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20.00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20.00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非年初预算事项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其中：财政资金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20.00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20.00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财政专户管理资金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单位资金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绩效指标（90分）</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一级指标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二级指标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三级指标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指标性质</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指标值</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度量单位</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完成值</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权重</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得分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数量指标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办公用房（实验室）改造面积</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1163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平方米</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1163</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质量指标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市场监管局办公楼四层实验室、电路、设施升级改造符合质量要求</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1163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平方米</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1163</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时效指标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完成时间</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月</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社会效益指标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实现检验检测工作所必须的环境和技术条件</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定性</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良好</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良好</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可持续发展指标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为广元经济社会发展提供强有力的特种设备技术支撑和保障</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定性</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良好</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良好</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8</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满意度指标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上级主管部门满意度</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87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合计</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96</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评价结论</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auto"/>
                <w:sz w:val="16"/>
                <w:szCs w:val="16"/>
                <w:highlight w:val="none"/>
                <w:u w:val="none"/>
              </w:rPr>
            </w:pPr>
            <w:r>
              <w:rPr>
                <w:rFonts w:hint="eastAsia" w:ascii="微软雅黑" w:hAnsi="微软雅黑" w:eastAsia="微软雅黑" w:cs="微软雅黑"/>
                <w:i w:val="0"/>
                <w:iCs w:val="0"/>
                <w:color w:val="auto"/>
                <w:kern w:val="0"/>
                <w:sz w:val="16"/>
                <w:szCs w:val="16"/>
                <w:highlight w:val="none"/>
                <w:u w:val="none"/>
                <w:lang w:val="en-US" w:eastAsia="zh-CN" w:bidi="ar"/>
              </w:rPr>
              <w:t>符合工程施工质量验收相关要求，按时投入使用。保障了特种设备日常检验检测工作顺利开展。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存在问题</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改进措施</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w:t>
            </w:r>
          </w:p>
        </w:tc>
        <w:tc>
          <w:tcPr>
            <w:tcW w:w="56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w:t>
            </w:r>
          </w:p>
        </w:tc>
      </w:tr>
    </w:tbl>
    <w:p>
      <w:pPr>
        <w:shd w:val="clea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br w:type="page"/>
      </w:r>
    </w:p>
    <w:tbl>
      <w:tblPr>
        <w:tblStyle w:val="12"/>
        <w:tblW w:w="1137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3"/>
        <w:gridCol w:w="1740"/>
        <w:gridCol w:w="1080"/>
        <w:gridCol w:w="1330"/>
        <w:gridCol w:w="980"/>
        <w:gridCol w:w="950"/>
        <w:gridCol w:w="960"/>
        <w:gridCol w:w="1210"/>
        <w:gridCol w:w="790"/>
        <w:gridCol w:w="748"/>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62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33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5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6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1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9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48"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6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137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项目名称</w:t>
            </w:r>
          </w:p>
        </w:tc>
        <w:tc>
          <w:tcPr>
            <w:tcW w:w="900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主管部门</w:t>
            </w: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广元市市场监督管理局部门</w:t>
            </w:r>
          </w:p>
        </w:tc>
        <w:tc>
          <w:tcPr>
            <w:tcW w:w="1210"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2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广元市特种设备监督检验所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项目基本情况</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1.项目年度目标完成情况</w:t>
            </w: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项目年度目标</w:t>
            </w:r>
          </w:p>
        </w:tc>
        <w:tc>
          <w:tcPr>
            <w:tcW w:w="3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保障单位日常运转，提高预算编制质量，严格执行预算。</w:t>
            </w:r>
          </w:p>
        </w:tc>
        <w:tc>
          <w:tcPr>
            <w:tcW w:w="3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2.项目实施内容及过程概述</w:t>
            </w:r>
          </w:p>
        </w:tc>
        <w:tc>
          <w:tcPr>
            <w:tcW w:w="900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预算执行情况（10分）</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年度预算数（万元）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年初预算</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调整后预算数</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预算执行数</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预算执行率</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权重</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得分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33.00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32.51</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32.48</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99.91%</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9.9</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其中：财政资金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33.00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32.51</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32.48</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99.91%</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财政专户管理资金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单位资金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黑体" w:hAnsi="黑体" w:eastAsia="黑体" w:cs="黑体"/>
                <w:i/>
                <w:iCs/>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绩效指标（90分）</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一级指标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二级指标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三级指标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指标性质</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指标值</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度量单位</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完成值</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权重</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得分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数量指标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科目调整次数</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次</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auto"/>
                <w:sz w:val="16"/>
                <w:szCs w:val="16"/>
                <w:highlight w:val="none"/>
                <w:u w:val="none"/>
              </w:rPr>
            </w:pPr>
            <w:r>
              <w:rPr>
                <w:rFonts w:hint="eastAsia" w:ascii="微软雅黑" w:hAnsi="微软雅黑" w:eastAsia="微软雅黑" w:cs="微软雅黑"/>
                <w:i w:val="0"/>
                <w:iCs w:val="0"/>
                <w:color w:val="auto"/>
                <w:kern w:val="0"/>
                <w:sz w:val="16"/>
                <w:szCs w:val="16"/>
                <w:highlight w:val="none"/>
                <w:u w:val="none"/>
                <w:lang w:val="en-US" w:eastAsia="zh-CN" w:bidi="ar"/>
              </w:rPr>
              <w:t>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质量指标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预算编制准确率（计算方法为：∣（执行数-预算数）/预算数∣）</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auto"/>
                <w:sz w:val="16"/>
                <w:szCs w:val="16"/>
                <w:highlight w:val="none"/>
                <w:u w:val="none"/>
              </w:rPr>
            </w:pPr>
            <w:r>
              <w:rPr>
                <w:rFonts w:hint="eastAsia" w:ascii="微软雅黑" w:hAnsi="微软雅黑" w:eastAsia="微软雅黑" w:cs="微软雅黑"/>
                <w:i w:val="0"/>
                <w:iCs w:val="0"/>
                <w:color w:val="auto"/>
                <w:kern w:val="0"/>
                <w:sz w:val="16"/>
                <w:szCs w:val="16"/>
                <w:highlight w:val="none"/>
                <w:u w:val="none"/>
                <w:lang w:val="en-US" w:eastAsia="zh-CN" w:bidi="ar"/>
              </w:rPr>
              <w:t>0.09</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经济效益指标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运转保障率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auto"/>
                <w:sz w:val="16"/>
                <w:szCs w:val="16"/>
                <w:highlight w:val="none"/>
                <w:u w:val="none"/>
              </w:rPr>
            </w:pPr>
            <w:r>
              <w:rPr>
                <w:rFonts w:hint="eastAsia" w:ascii="微软雅黑" w:hAnsi="微软雅黑" w:eastAsia="微软雅黑" w:cs="微软雅黑"/>
                <w:i w:val="0"/>
                <w:iCs w:val="0"/>
                <w:color w:val="auto"/>
                <w:kern w:val="0"/>
                <w:sz w:val="16"/>
                <w:szCs w:val="16"/>
                <w:highlight w:val="none"/>
                <w:u w:val="none"/>
                <w:lang w:val="en-US" w:eastAsia="zh-CN" w:bidi="ar"/>
              </w:rPr>
              <w:t>100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“三公经费”控制率[计算方法为：（三公经费实际支出数/预算安排数]×100%）</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微软雅黑" w:hAnsi="微软雅黑" w:eastAsia="微软雅黑" w:cs="微软雅黑"/>
                <w:i w:val="0"/>
                <w:iCs w:val="0"/>
                <w:color w:val="auto"/>
                <w:sz w:val="16"/>
                <w:szCs w:val="16"/>
                <w:highlight w:val="none"/>
                <w:u w:val="none"/>
              </w:rPr>
            </w:pPr>
            <w:r>
              <w:rPr>
                <w:rFonts w:hint="eastAsia" w:ascii="微软雅黑" w:hAnsi="微软雅黑" w:eastAsia="微软雅黑" w:cs="微软雅黑"/>
                <w:i w:val="0"/>
                <w:iCs w:val="0"/>
                <w:color w:val="auto"/>
                <w:kern w:val="0"/>
                <w:sz w:val="16"/>
                <w:szCs w:val="16"/>
                <w:highlight w:val="none"/>
                <w:u w:val="none"/>
                <w:lang w:val="en-US" w:eastAsia="zh-CN" w:bidi="ar"/>
              </w:rPr>
              <w:t>100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87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合计</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righ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99.9</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评价结论</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auto"/>
                <w:sz w:val="16"/>
                <w:szCs w:val="16"/>
                <w:highlight w:val="none"/>
                <w:u w:val="none"/>
              </w:rPr>
            </w:pPr>
            <w:r>
              <w:rPr>
                <w:rFonts w:hint="eastAsia" w:ascii="微软雅黑" w:hAnsi="微软雅黑" w:eastAsia="微软雅黑" w:cs="微软雅黑"/>
                <w:i w:val="0"/>
                <w:iCs w:val="0"/>
                <w:color w:val="auto"/>
                <w:kern w:val="0"/>
                <w:sz w:val="16"/>
                <w:szCs w:val="16"/>
                <w:highlight w:val="none"/>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存在问题</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改进措施</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57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w:t>
            </w:r>
          </w:p>
        </w:tc>
        <w:tc>
          <w:tcPr>
            <w:tcW w:w="56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23"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0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33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8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5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6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21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9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748"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960" w:type="dxa"/>
            <w:tcBorders>
              <w:top w:val="nil"/>
              <w:left w:val="nil"/>
              <w:bottom w:val="nil"/>
              <w:right w:val="nil"/>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137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宋体" w:eastAsia="黑体" w:cs="黑体"/>
                <w:b/>
                <w:bCs/>
                <w:i w:val="0"/>
                <w:iCs w:val="0"/>
                <w:color w:val="auto"/>
                <w:sz w:val="30"/>
                <w:szCs w:val="30"/>
                <w:highlight w:val="none"/>
                <w:u w:val="none"/>
              </w:rPr>
            </w:pPr>
            <w:r>
              <w:rPr>
                <w:rFonts w:hint="eastAsia" w:ascii="黑体" w:hAnsi="宋体" w:eastAsia="黑体" w:cs="黑体"/>
                <w:b/>
                <w:bCs/>
                <w:i w:val="0"/>
                <w:iCs w:val="0"/>
                <w:color w:val="auto"/>
                <w:kern w:val="0"/>
                <w:sz w:val="30"/>
                <w:szCs w:val="30"/>
                <w:highlight w:val="none"/>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2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项目名称</w:t>
            </w:r>
          </w:p>
        </w:tc>
        <w:tc>
          <w:tcPr>
            <w:tcW w:w="900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jc w:val="center"/>
        </w:trPr>
        <w:tc>
          <w:tcPr>
            <w:tcW w:w="23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主管部门</w:t>
            </w: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广元市市场监督管理局部门</w:t>
            </w:r>
          </w:p>
        </w:tc>
        <w:tc>
          <w:tcPr>
            <w:tcW w:w="1210" w:type="dxa"/>
            <w:tcBorders>
              <w:top w:val="nil"/>
              <w:left w:val="nil"/>
              <w:bottom w:val="nil"/>
              <w:right w:val="nil"/>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实施单位 （盖章）</w:t>
            </w:r>
          </w:p>
        </w:tc>
        <w:tc>
          <w:tcPr>
            <w:tcW w:w="2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广元市特种设备监督检验所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项目基本情况</w:t>
            </w: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1.项目年度目标完成情况</w:t>
            </w: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项目年度目标</w:t>
            </w:r>
          </w:p>
        </w:tc>
        <w:tc>
          <w:tcPr>
            <w:tcW w:w="3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53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严格执行相关政策，保障工资及时发放、足额发放，预算编制科学合理，减少结余资金。</w:t>
            </w:r>
          </w:p>
        </w:tc>
        <w:tc>
          <w:tcPr>
            <w:tcW w:w="370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2.项目实施内容及过程概述</w:t>
            </w:r>
          </w:p>
        </w:tc>
        <w:tc>
          <w:tcPr>
            <w:tcW w:w="900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预算执行情况（10分）</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年度预算数（万元）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年初预算</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调整后预算数</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预算执行数</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预算执行率</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权重</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得分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30.63</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30.63</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非年初预算事项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其中：财政资金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30.63</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30.63</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财政专户管理资金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单位资金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2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w:t>
            </w: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绩效指标（90分）</w:t>
            </w: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一级指标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二级指标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三级指标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指标性质</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指标值</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度量单位</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完成值</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权重</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得分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Style w:val="16"/>
                <w:color w:val="auto"/>
                <w:highlight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Style w:val="16"/>
                <w:color w:val="auto"/>
                <w:highlight w:val="none"/>
                <w:lang w:val="en-US" w:eastAsia="zh-CN" w:bidi="ar"/>
              </w:rPr>
              <w:t>数量指标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Style w:val="16"/>
                <w:color w:val="auto"/>
                <w:highlight w:val="none"/>
                <w:lang w:val="en-US" w:eastAsia="zh-CN" w:bidi="ar"/>
              </w:rPr>
              <w:t>科目调整次数</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Style w:val="16"/>
                <w:color w:val="auto"/>
                <w:highlight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Style w:val="16"/>
                <w:color w:val="auto"/>
                <w:highlight w:val="none"/>
                <w:lang w:val="en-US" w:eastAsia="zh-CN" w:bidi="ar"/>
              </w:rPr>
              <w:t>次</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微软雅黑" w:hAnsi="微软雅黑" w:eastAsia="微软雅黑" w:cs="微软雅黑"/>
                <w:i/>
                <w:iCs/>
                <w:color w:val="auto"/>
                <w:sz w:val="16"/>
                <w:szCs w:val="1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Style w:val="16"/>
                <w:color w:val="auto"/>
                <w:highlight w:val="none"/>
                <w:lang w:val="en-US" w:eastAsia="zh-CN" w:bidi="ar"/>
              </w:rPr>
              <w:t>足额保障率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Style w:val="16"/>
                <w:color w:val="auto"/>
                <w:highlight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Style w:val="16"/>
                <w:color w:val="auto"/>
                <w:highlight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Style w:val="16"/>
                <w:color w:val="auto"/>
                <w:highlight w:val="none"/>
                <w:lang w:val="en-US" w:eastAsia="zh-CN" w:bidi="ar"/>
              </w:rPr>
              <w:t>时效指标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Style w:val="16"/>
                <w:color w:val="auto"/>
                <w:highlight w:val="none"/>
                <w:lang w:val="en-US" w:eastAsia="zh-CN" w:bidi="ar"/>
              </w:rPr>
              <w:t>按时发放率</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Style w:val="16"/>
                <w:color w:val="auto"/>
                <w:highlight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Style w:val="16"/>
                <w:color w:val="auto"/>
                <w:highlight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jc w:val="center"/>
              <w:rPr>
                <w:rFonts w:hint="eastAsia" w:ascii="宋体" w:hAnsi="宋体" w:eastAsia="宋体" w:cs="宋体"/>
                <w:i w:val="0"/>
                <w:iCs w:val="0"/>
                <w:color w:val="auto"/>
                <w:sz w:val="18"/>
                <w:szCs w:val="18"/>
                <w:highlight w:val="none"/>
                <w:u w:val="none"/>
              </w:rPr>
            </w:pPr>
          </w:p>
        </w:tc>
        <w:tc>
          <w:tcPr>
            <w:tcW w:w="17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Style w:val="16"/>
                <w:color w:val="auto"/>
                <w:highlight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Style w:val="16"/>
                <w:color w:val="auto"/>
                <w:highlight w:val="none"/>
                <w:lang w:val="en-US" w:eastAsia="zh-CN" w:bidi="ar"/>
              </w:rPr>
              <w:t>经济效益指标</w:t>
            </w:r>
          </w:p>
        </w:tc>
        <w:tc>
          <w:tcPr>
            <w:tcW w:w="13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Style w:val="16"/>
                <w:color w:val="auto"/>
                <w:highlight w:val="none"/>
                <w:lang w:val="en-US" w:eastAsia="zh-CN" w:bidi="ar"/>
              </w:rPr>
              <w:t>结余率（计算方法为：结余数/预算数）</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Style w:val="16"/>
                <w:color w:val="auto"/>
                <w:highlight w:val="none"/>
                <w:lang w:val="en-US" w:eastAsia="zh-CN" w:bidi="ar"/>
              </w:rPr>
              <w:t>≤</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Style w:val="16"/>
                <w:color w:val="auto"/>
                <w:highlight w:val="none"/>
                <w:lang w:val="en-US" w:eastAsia="zh-CN" w:bidi="ar"/>
              </w:rPr>
              <w:t>%</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0</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22.5</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jc w:val="center"/>
        </w:trPr>
        <w:tc>
          <w:tcPr>
            <w:tcW w:w="887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合计</w:t>
            </w:r>
          </w:p>
        </w:tc>
        <w:tc>
          <w:tcPr>
            <w:tcW w:w="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100</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shd w:val="clear"/>
              <w:rPr>
                <w:rFonts w:hint="eastAsia"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3"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评价结论</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val="0"/>
                <w:iCs w:val="0"/>
                <w:color w:val="auto"/>
                <w:sz w:val="16"/>
                <w:szCs w:val="16"/>
                <w:highlight w:val="none"/>
                <w:u w:val="none"/>
              </w:rPr>
            </w:pPr>
            <w:r>
              <w:rPr>
                <w:rFonts w:hint="eastAsia" w:ascii="微软雅黑" w:hAnsi="微软雅黑" w:eastAsia="微软雅黑" w:cs="微软雅黑"/>
                <w:i w:val="0"/>
                <w:iCs w:val="0"/>
                <w:color w:val="auto"/>
                <w:kern w:val="0"/>
                <w:sz w:val="16"/>
                <w:szCs w:val="16"/>
                <w:highlight w:val="none"/>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存在问题</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jc w:val="center"/>
        </w:trPr>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center"/>
              <w:textAlignment w:val="center"/>
              <w:rPr>
                <w:rFonts w:ascii="宋体" w:hAnsi="宋体" w:eastAsia="宋体" w:cs="宋体"/>
                <w:i w:val="0"/>
                <w:iCs w:val="0"/>
                <w:color w:val="auto"/>
                <w:sz w:val="18"/>
                <w:szCs w:val="18"/>
                <w:highlight w:val="none"/>
                <w:u w:val="none"/>
              </w:rPr>
            </w:pPr>
            <w:r>
              <w:rPr>
                <w:rFonts w:hint="default" w:ascii="宋体" w:hAnsi="宋体" w:eastAsia="宋体" w:cs="宋体"/>
                <w:i w:val="0"/>
                <w:iCs w:val="0"/>
                <w:color w:val="auto"/>
                <w:kern w:val="0"/>
                <w:sz w:val="18"/>
                <w:szCs w:val="18"/>
                <w:highlight w:val="none"/>
                <w:u w:val="none"/>
                <w:lang w:val="en-US" w:eastAsia="zh-CN" w:bidi="ar"/>
              </w:rPr>
              <w:t>改进措施</w:t>
            </w:r>
          </w:p>
        </w:tc>
        <w:tc>
          <w:tcPr>
            <w:tcW w:w="1074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微软雅黑" w:hAnsi="微软雅黑" w:eastAsia="微软雅黑" w:cs="微软雅黑"/>
                <w:i/>
                <w:iCs/>
                <w:color w:val="auto"/>
                <w:sz w:val="16"/>
                <w:szCs w:val="16"/>
                <w:highlight w:val="none"/>
                <w:u w:val="none"/>
              </w:rPr>
            </w:pPr>
            <w:r>
              <w:rPr>
                <w:rFonts w:hint="eastAsia" w:ascii="微软雅黑" w:hAnsi="微软雅黑" w:eastAsia="微软雅黑" w:cs="微软雅黑"/>
                <w:i/>
                <w:iCs/>
                <w:color w:val="auto"/>
                <w:kern w:val="0"/>
                <w:sz w:val="16"/>
                <w:szCs w:val="16"/>
                <w:highlight w:val="none"/>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jc w:val="center"/>
        </w:trPr>
        <w:tc>
          <w:tcPr>
            <w:tcW w:w="575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项目负责人：</w:t>
            </w:r>
          </w:p>
        </w:tc>
        <w:tc>
          <w:tcPr>
            <w:tcW w:w="56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hd w:val="clear"/>
              <w:jc w:val="left"/>
              <w:textAlignment w:val="center"/>
              <w:rPr>
                <w:rFonts w:hint="eastAsia" w:ascii="黑体" w:hAnsi="黑体" w:eastAsia="黑体" w:cs="黑体"/>
                <w:i w:val="0"/>
                <w:iCs w:val="0"/>
                <w:color w:val="auto"/>
                <w:sz w:val="18"/>
                <w:szCs w:val="18"/>
                <w:highlight w:val="none"/>
                <w:u w:val="none"/>
              </w:rPr>
            </w:pPr>
            <w:r>
              <w:rPr>
                <w:rFonts w:hint="eastAsia" w:ascii="黑体" w:hAnsi="黑体" w:eastAsia="黑体" w:cs="黑体"/>
                <w:i w:val="0"/>
                <w:iCs w:val="0"/>
                <w:color w:val="auto"/>
                <w:kern w:val="0"/>
                <w:sz w:val="18"/>
                <w:szCs w:val="18"/>
                <w:highlight w:val="none"/>
                <w:u w:val="none"/>
                <w:lang w:val="en-US" w:eastAsia="zh-CN" w:bidi="ar"/>
              </w:rPr>
              <w:t>财务负责人：</w:t>
            </w:r>
          </w:p>
        </w:tc>
      </w:tr>
    </w:tbl>
    <w:p>
      <w:pPr>
        <w:shd w:val="clear"/>
        <w:spacing w:line="600" w:lineRule="exact"/>
        <w:rPr>
          <w:rFonts w:hint="eastAsia" w:ascii="仿宋_GB2312" w:hAnsi="仿宋_GB2312" w:eastAsia="仿宋_GB2312"/>
          <w:color w:val="auto"/>
          <w:sz w:val="32"/>
          <w:szCs w:val="24"/>
          <w:highlight w:val="none"/>
          <w:lang w:val="en-US"/>
        </w:rPr>
      </w:pPr>
    </w:p>
    <w:p>
      <w:pPr>
        <w:shd w:val="clear"/>
        <w:jc w:val="both"/>
        <w:rPr>
          <w:rFonts w:hint="eastAsia" w:ascii="仿宋_GB2312" w:hAnsi="仿宋_GB2312" w:eastAsia="仿宋_GB2312"/>
          <w:color w:val="auto"/>
          <w:sz w:val="32"/>
          <w:szCs w:val="24"/>
          <w:highlight w:val="none"/>
          <w:lang w:val="en-US"/>
        </w:rPr>
      </w:pPr>
    </w:p>
    <w:p>
      <w:pPr>
        <w:shd w:val="clear"/>
        <w:rPr>
          <w:rFonts w:hint="eastAsia" w:ascii="黑体" w:hAnsi="黑体" w:eastAsia="黑体"/>
          <w:color w:val="auto"/>
          <w:kern w:val="2"/>
          <w:sz w:val="44"/>
          <w:szCs w:val="24"/>
          <w:highlight w:val="none"/>
          <w:lang w:val="en-US"/>
        </w:rPr>
      </w:pPr>
      <w:r>
        <w:rPr>
          <w:rFonts w:hint="eastAsia" w:ascii="黑体" w:hAnsi="黑体" w:eastAsia="黑体"/>
          <w:color w:val="auto"/>
          <w:kern w:val="2"/>
          <w:sz w:val="44"/>
          <w:szCs w:val="24"/>
          <w:highlight w:val="none"/>
          <w:lang w:val="en-US"/>
        </w:rPr>
        <w:br w:type="page"/>
      </w:r>
    </w:p>
    <w:p>
      <w:pPr>
        <w:keepNext w:val="0"/>
        <w:keepLines w:val="0"/>
        <w:pageBreakBefore w:val="0"/>
        <w:widowControl w:val="0"/>
        <w:numPr>
          <w:ilvl w:val="0"/>
          <w:numId w:val="3"/>
        </w:numPr>
        <w:shd w:val="clear"/>
        <w:kinsoku/>
        <w:wordWrap/>
        <w:overflowPunct/>
        <w:topLinePunct w:val="0"/>
        <w:autoSpaceDE w:val="0"/>
        <w:autoSpaceDN w:val="0"/>
        <w:bidi w:val="0"/>
        <w:adjustRightInd w:val="0"/>
        <w:snapToGrid/>
        <w:spacing w:line="600" w:lineRule="exact"/>
        <w:jc w:val="center"/>
        <w:textAlignment w:val="auto"/>
        <w:outlineLvl w:val="0"/>
        <w:rPr>
          <w:rFonts w:hint="eastAsia" w:ascii="黑体" w:hAnsi="黑体" w:eastAsia="黑体"/>
          <w:color w:val="auto"/>
          <w:kern w:val="44"/>
          <w:sz w:val="44"/>
          <w:szCs w:val="24"/>
          <w:highlight w:val="none"/>
          <w:lang w:val="en-US"/>
        </w:rPr>
      </w:pPr>
      <w:bookmarkStart w:id="25" w:name="_Toc26360"/>
      <w:r>
        <w:rPr>
          <w:rFonts w:hint="eastAsia" w:ascii="黑体" w:hAnsi="黑体" w:eastAsia="黑体"/>
          <w:color w:val="auto"/>
          <w:kern w:val="44"/>
          <w:sz w:val="44"/>
          <w:szCs w:val="24"/>
          <w:highlight w:val="none"/>
          <w:lang w:val="en-US"/>
        </w:rPr>
        <w:t>附表</w:t>
      </w:r>
      <w:bookmarkEnd w:id="25"/>
    </w:p>
    <w:p>
      <w:pPr>
        <w:pStyle w:val="4"/>
        <w:keepNext/>
        <w:keepLines/>
        <w:shd w:val="clear"/>
        <w:spacing w:before="260" w:after="260" w:line="408" w:lineRule="auto"/>
        <w:jc w:val="both"/>
        <w:rPr>
          <w:rFonts w:hint="eastAsia" w:ascii="仿宋" w:hAnsi="仿宋" w:eastAsia="仿宋"/>
          <w:b/>
          <w:color w:val="auto"/>
          <w:kern w:val="2"/>
          <w:sz w:val="32"/>
          <w:szCs w:val="24"/>
          <w:highlight w:val="none"/>
          <w:lang w:val="en-US"/>
        </w:rPr>
      </w:pPr>
      <w:bookmarkStart w:id="26" w:name="_Toc30580"/>
      <w:r>
        <w:rPr>
          <w:rFonts w:hint="eastAsia" w:ascii="仿宋" w:hAnsi="仿宋" w:eastAsia="仿宋"/>
          <w:color w:val="auto"/>
          <w:kern w:val="2"/>
          <w:sz w:val="32"/>
          <w:szCs w:val="24"/>
          <w:highlight w:val="none"/>
          <w:lang w:val="en-US"/>
        </w:rPr>
        <w:t>一、收入支出决算总表</w:t>
      </w:r>
      <w:bookmarkEnd w:id="26"/>
    </w:p>
    <w:p>
      <w:pPr>
        <w:pStyle w:val="4"/>
        <w:keepNext/>
        <w:keepLines/>
        <w:shd w:val="clear"/>
        <w:spacing w:before="260" w:after="260" w:line="408" w:lineRule="auto"/>
        <w:jc w:val="both"/>
        <w:rPr>
          <w:rFonts w:hint="eastAsia" w:ascii="仿宋" w:hAnsi="仿宋" w:eastAsia="仿宋"/>
          <w:b/>
          <w:color w:val="auto"/>
          <w:kern w:val="2"/>
          <w:sz w:val="32"/>
          <w:szCs w:val="24"/>
          <w:highlight w:val="none"/>
          <w:lang w:val="en-US"/>
        </w:rPr>
      </w:pPr>
      <w:bookmarkStart w:id="27" w:name="_Toc15691"/>
      <w:r>
        <w:rPr>
          <w:rFonts w:hint="eastAsia" w:ascii="仿宋" w:hAnsi="仿宋" w:eastAsia="仿宋"/>
          <w:color w:val="auto"/>
          <w:kern w:val="2"/>
          <w:sz w:val="32"/>
          <w:szCs w:val="24"/>
          <w:highlight w:val="none"/>
          <w:lang w:val="en-US"/>
        </w:rPr>
        <w:t>二、收入决算表</w:t>
      </w:r>
      <w:bookmarkEnd w:id="27"/>
    </w:p>
    <w:p>
      <w:pPr>
        <w:pStyle w:val="4"/>
        <w:keepNext/>
        <w:keepLines/>
        <w:shd w:val="clear"/>
        <w:spacing w:before="260" w:after="260" w:line="408" w:lineRule="auto"/>
        <w:jc w:val="both"/>
        <w:rPr>
          <w:rFonts w:hint="eastAsia" w:ascii="仿宋" w:hAnsi="仿宋" w:eastAsia="仿宋"/>
          <w:b/>
          <w:color w:val="auto"/>
          <w:kern w:val="2"/>
          <w:sz w:val="32"/>
          <w:szCs w:val="24"/>
          <w:highlight w:val="none"/>
          <w:lang w:val="en-US"/>
        </w:rPr>
      </w:pPr>
      <w:bookmarkStart w:id="28" w:name="_Toc2391"/>
      <w:r>
        <w:rPr>
          <w:rFonts w:hint="eastAsia" w:ascii="仿宋" w:hAnsi="仿宋" w:eastAsia="仿宋"/>
          <w:color w:val="auto"/>
          <w:kern w:val="2"/>
          <w:sz w:val="32"/>
          <w:szCs w:val="24"/>
          <w:highlight w:val="none"/>
          <w:lang w:val="en-US"/>
        </w:rPr>
        <w:t>三、支出决算表</w:t>
      </w:r>
      <w:bookmarkEnd w:id="28"/>
    </w:p>
    <w:p>
      <w:pPr>
        <w:pStyle w:val="4"/>
        <w:keepNext/>
        <w:keepLines/>
        <w:shd w:val="clear"/>
        <w:spacing w:before="260" w:after="260" w:line="408" w:lineRule="auto"/>
        <w:jc w:val="both"/>
        <w:rPr>
          <w:rFonts w:hint="eastAsia" w:ascii="仿宋" w:hAnsi="仿宋" w:eastAsia="仿宋"/>
          <w:color w:val="auto"/>
          <w:kern w:val="2"/>
          <w:sz w:val="32"/>
          <w:szCs w:val="24"/>
          <w:highlight w:val="none"/>
          <w:lang w:val="en-US"/>
        </w:rPr>
      </w:pPr>
      <w:bookmarkStart w:id="29" w:name="_Toc556"/>
      <w:r>
        <w:rPr>
          <w:rFonts w:hint="eastAsia" w:ascii="仿宋" w:hAnsi="仿宋" w:eastAsia="仿宋"/>
          <w:color w:val="auto"/>
          <w:kern w:val="2"/>
          <w:sz w:val="32"/>
          <w:szCs w:val="24"/>
          <w:highlight w:val="none"/>
          <w:lang w:val="en-US"/>
        </w:rPr>
        <w:t>四、财政拨款收入支出决算总表</w:t>
      </w:r>
      <w:bookmarkEnd w:id="29"/>
    </w:p>
    <w:p>
      <w:pPr>
        <w:pStyle w:val="4"/>
        <w:keepNext/>
        <w:keepLines/>
        <w:shd w:val="clear"/>
        <w:spacing w:before="260" w:after="260" w:line="408" w:lineRule="auto"/>
        <w:jc w:val="both"/>
        <w:rPr>
          <w:rFonts w:hint="eastAsia" w:ascii="仿宋" w:hAnsi="仿宋" w:eastAsia="仿宋"/>
          <w:color w:val="auto"/>
          <w:kern w:val="2"/>
          <w:sz w:val="32"/>
          <w:szCs w:val="24"/>
          <w:highlight w:val="none"/>
          <w:lang w:val="en-US"/>
        </w:rPr>
      </w:pPr>
      <w:bookmarkStart w:id="30" w:name="_Toc8108"/>
      <w:r>
        <w:rPr>
          <w:rFonts w:hint="eastAsia" w:ascii="仿宋" w:hAnsi="仿宋" w:eastAsia="仿宋"/>
          <w:color w:val="auto"/>
          <w:kern w:val="2"/>
          <w:sz w:val="32"/>
          <w:szCs w:val="24"/>
          <w:highlight w:val="none"/>
          <w:lang w:val="en-US"/>
        </w:rPr>
        <w:t>五、财政拨款支出决算明细表</w:t>
      </w:r>
      <w:bookmarkEnd w:id="30"/>
    </w:p>
    <w:p>
      <w:pPr>
        <w:pStyle w:val="4"/>
        <w:keepNext/>
        <w:keepLines/>
        <w:shd w:val="clear"/>
        <w:spacing w:before="260" w:after="260" w:line="408" w:lineRule="auto"/>
        <w:jc w:val="both"/>
        <w:rPr>
          <w:rFonts w:hint="eastAsia" w:ascii="仿宋" w:hAnsi="仿宋" w:eastAsia="仿宋"/>
          <w:b/>
          <w:color w:val="auto"/>
          <w:kern w:val="2"/>
          <w:sz w:val="32"/>
          <w:szCs w:val="24"/>
          <w:highlight w:val="none"/>
          <w:lang w:val="en-US"/>
        </w:rPr>
      </w:pPr>
      <w:bookmarkStart w:id="31" w:name="_Toc4703"/>
      <w:r>
        <w:rPr>
          <w:rFonts w:hint="eastAsia" w:ascii="仿宋" w:hAnsi="仿宋" w:eastAsia="仿宋"/>
          <w:color w:val="auto"/>
          <w:kern w:val="2"/>
          <w:sz w:val="32"/>
          <w:szCs w:val="24"/>
          <w:highlight w:val="none"/>
          <w:lang w:val="en-US"/>
        </w:rPr>
        <w:t>六、一般公共预算财政拨款支出决算表</w:t>
      </w:r>
      <w:bookmarkEnd w:id="31"/>
    </w:p>
    <w:p>
      <w:pPr>
        <w:pStyle w:val="4"/>
        <w:keepNext/>
        <w:keepLines/>
        <w:shd w:val="clear"/>
        <w:spacing w:before="260" w:after="260" w:line="408" w:lineRule="auto"/>
        <w:jc w:val="both"/>
        <w:rPr>
          <w:rFonts w:hint="eastAsia" w:ascii="仿宋" w:hAnsi="仿宋" w:eastAsia="仿宋"/>
          <w:b/>
          <w:color w:val="auto"/>
          <w:kern w:val="2"/>
          <w:sz w:val="32"/>
          <w:szCs w:val="24"/>
          <w:highlight w:val="none"/>
          <w:lang w:val="en-US"/>
        </w:rPr>
      </w:pPr>
      <w:bookmarkStart w:id="32" w:name="_Toc28447"/>
      <w:r>
        <w:rPr>
          <w:rFonts w:hint="eastAsia" w:ascii="仿宋" w:hAnsi="仿宋" w:eastAsia="仿宋"/>
          <w:color w:val="auto"/>
          <w:kern w:val="2"/>
          <w:sz w:val="32"/>
          <w:szCs w:val="24"/>
          <w:highlight w:val="none"/>
          <w:lang w:val="en-US"/>
        </w:rPr>
        <w:t>七、一般公共预算财政拨款支出决算明细表</w:t>
      </w:r>
      <w:bookmarkEnd w:id="32"/>
    </w:p>
    <w:p>
      <w:pPr>
        <w:pStyle w:val="4"/>
        <w:keepNext/>
        <w:keepLines/>
        <w:shd w:val="clear"/>
        <w:spacing w:before="260" w:after="260" w:line="408" w:lineRule="auto"/>
        <w:jc w:val="both"/>
        <w:rPr>
          <w:rFonts w:hint="eastAsia" w:ascii="仿宋" w:hAnsi="仿宋" w:eastAsia="仿宋"/>
          <w:b/>
          <w:color w:val="auto"/>
          <w:kern w:val="2"/>
          <w:sz w:val="32"/>
          <w:szCs w:val="24"/>
          <w:highlight w:val="none"/>
          <w:lang w:val="en-US"/>
        </w:rPr>
      </w:pPr>
      <w:bookmarkStart w:id="33" w:name="_Toc14089"/>
      <w:r>
        <w:rPr>
          <w:rFonts w:hint="eastAsia" w:ascii="仿宋" w:hAnsi="仿宋" w:eastAsia="仿宋"/>
          <w:color w:val="auto"/>
          <w:kern w:val="2"/>
          <w:sz w:val="32"/>
          <w:szCs w:val="24"/>
          <w:highlight w:val="none"/>
          <w:lang w:val="en-US"/>
        </w:rPr>
        <w:t>八、一般公共预算财政拨款基本支出决算表</w:t>
      </w:r>
      <w:bookmarkEnd w:id="33"/>
    </w:p>
    <w:p>
      <w:pPr>
        <w:pStyle w:val="4"/>
        <w:keepNext/>
        <w:keepLines/>
        <w:shd w:val="clear"/>
        <w:spacing w:before="260" w:after="260" w:line="408" w:lineRule="auto"/>
        <w:jc w:val="both"/>
        <w:rPr>
          <w:rFonts w:hint="eastAsia" w:ascii="仿宋" w:hAnsi="仿宋" w:eastAsia="仿宋"/>
          <w:b/>
          <w:color w:val="auto"/>
          <w:kern w:val="2"/>
          <w:sz w:val="32"/>
          <w:szCs w:val="24"/>
          <w:highlight w:val="none"/>
          <w:lang w:val="en-US"/>
        </w:rPr>
      </w:pPr>
      <w:bookmarkStart w:id="34" w:name="_Toc3772"/>
      <w:r>
        <w:rPr>
          <w:rFonts w:hint="eastAsia" w:ascii="仿宋" w:hAnsi="仿宋" w:eastAsia="仿宋"/>
          <w:color w:val="auto"/>
          <w:kern w:val="2"/>
          <w:sz w:val="32"/>
          <w:szCs w:val="24"/>
          <w:highlight w:val="none"/>
          <w:lang w:val="en-US"/>
        </w:rPr>
        <w:t>九、一般公共预算财政拨款项目支出决算表</w:t>
      </w:r>
      <w:bookmarkEnd w:id="34"/>
    </w:p>
    <w:p>
      <w:pPr>
        <w:pStyle w:val="4"/>
        <w:keepNext/>
        <w:keepLines/>
        <w:shd w:val="clear"/>
        <w:spacing w:before="260" w:after="260" w:line="408" w:lineRule="auto"/>
        <w:jc w:val="both"/>
        <w:rPr>
          <w:rFonts w:hint="eastAsia" w:ascii="仿宋" w:hAnsi="仿宋" w:eastAsia="仿宋"/>
          <w:b/>
          <w:color w:val="auto"/>
          <w:kern w:val="2"/>
          <w:sz w:val="32"/>
          <w:szCs w:val="24"/>
          <w:highlight w:val="none"/>
          <w:lang w:val="en-US"/>
        </w:rPr>
      </w:pPr>
      <w:bookmarkStart w:id="35" w:name="_Toc23420"/>
      <w:r>
        <w:rPr>
          <w:rFonts w:hint="eastAsia" w:ascii="仿宋" w:hAnsi="仿宋" w:eastAsia="仿宋"/>
          <w:color w:val="auto"/>
          <w:kern w:val="2"/>
          <w:sz w:val="32"/>
          <w:szCs w:val="24"/>
          <w:highlight w:val="none"/>
          <w:lang w:val="en-US"/>
        </w:rPr>
        <w:t>十、政府性基金预算财政拨款收入支出决算表</w:t>
      </w:r>
      <w:bookmarkEnd w:id="35"/>
    </w:p>
    <w:p>
      <w:pPr>
        <w:pStyle w:val="4"/>
        <w:keepNext/>
        <w:keepLines/>
        <w:shd w:val="clear"/>
        <w:spacing w:before="260" w:after="260" w:line="408" w:lineRule="auto"/>
        <w:jc w:val="both"/>
        <w:rPr>
          <w:rFonts w:hint="eastAsia" w:ascii="仿宋" w:hAnsi="仿宋" w:eastAsia="仿宋"/>
          <w:b/>
          <w:color w:val="auto"/>
          <w:kern w:val="2"/>
          <w:sz w:val="32"/>
          <w:szCs w:val="24"/>
          <w:highlight w:val="none"/>
          <w:lang w:val="en-US"/>
        </w:rPr>
      </w:pPr>
      <w:bookmarkStart w:id="36" w:name="_Toc4901"/>
      <w:r>
        <w:rPr>
          <w:rFonts w:hint="eastAsia" w:ascii="仿宋" w:hAnsi="仿宋" w:eastAsia="仿宋"/>
          <w:color w:val="auto"/>
          <w:kern w:val="2"/>
          <w:sz w:val="32"/>
          <w:szCs w:val="24"/>
          <w:highlight w:val="none"/>
          <w:lang w:val="en-US"/>
        </w:rPr>
        <w:t>十一、国有资本经营预算财政拨款收入支出决算表</w:t>
      </w:r>
      <w:bookmarkEnd w:id="36"/>
    </w:p>
    <w:p>
      <w:pPr>
        <w:pStyle w:val="4"/>
        <w:keepNext/>
        <w:keepLines/>
        <w:shd w:val="clear"/>
        <w:spacing w:before="260" w:after="260" w:line="408" w:lineRule="auto"/>
        <w:jc w:val="both"/>
        <w:rPr>
          <w:rFonts w:hint="eastAsia" w:ascii="仿宋" w:hAnsi="仿宋" w:eastAsia="仿宋"/>
          <w:b/>
          <w:color w:val="auto"/>
          <w:kern w:val="2"/>
          <w:sz w:val="32"/>
          <w:szCs w:val="24"/>
          <w:highlight w:val="none"/>
          <w:lang w:val="en-US"/>
        </w:rPr>
      </w:pPr>
      <w:bookmarkStart w:id="37" w:name="_Toc1567"/>
      <w:r>
        <w:rPr>
          <w:rFonts w:hint="eastAsia" w:ascii="仿宋" w:hAnsi="仿宋" w:eastAsia="仿宋"/>
          <w:color w:val="auto"/>
          <w:kern w:val="2"/>
          <w:sz w:val="32"/>
          <w:szCs w:val="24"/>
          <w:highlight w:val="none"/>
          <w:lang w:val="en-US"/>
        </w:rPr>
        <w:t>十二、国有资本经营预算财政拨款支出决算表</w:t>
      </w:r>
      <w:bookmarkEnd w:id="37"/>
    </w:p>
    <w:p>
      <w:pPr>
        <w:pStyle w:val="4"/>
        <w:keepNext/>
        <w:keepLines/>
        <w:shd w:val="clear"/>
        <w:spacing w:before="260" w:after="260" w:line="408" w:lineRule="auto"/>
        <w:jc w:val="both"/>
        <w:rPr>
          <w:rFonts w:hint="eastAsia" w:ascii="华文中宋" w:hAnsi="华文中宋" w:eastAsia="华文中宋"/>
          <w:color w:val="auto"/>
          <w:kern w:val="2"/>
          <w:sz w:val="36"/>
          <w:szCs w:val="24"/>
          <w:highlight w:val="none"/>
          <w:lang w:val="en-US"/>
        </w:rPr>
      </w:pPr>
      <w:bookmarkStart w:id="38" w:name="_Toc17474"/>
      <w:r>
        <w:rPr>
          <w:rFonts w:hint="eastAsia" w:ascii="仿宋" w:hAnsi="仿宋" w:eastAsia="仿宋"/>
          <w:color w:val="auto"/>
          <w:kern w:val="2"/>
          <w:sz w:val="32"/>
          <w:szCs w:val="24"/>
          <w:highlight w:val="none"/>
          <w:lang w:val="en-US"/>
        </w:rPr>
        <w:t>十三、财政拨款“三公”经费支出决算表</w:t>
      </w:r>
      <w:bookmarkEnd w:id="38"/>
    </w:p>
    <w:sectPr>
      <w:footerReference r:id="rId3" w:type="default"/>
      <w:pgSz w:w="12240" w:h="15840"/>
      <w:pgMar w:top="1440" w:right="1800" w:bottom="1440" w:left="1800" w:header="720" w:footer="720" w:gutter="0"/>
      <w:lnNumType w:countBy="0" w:distance="360"/>
      <w:pgNumType w:fmt="decimal"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5186B18-17E1-401A-8DAE-6BBE429AEC8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embedRegular r:id="rId2" w:fontKey="{DD6E6A30-F608-416C-AF5E-782F4E6333F7}"/>
  </w:font>
  <w:font w:name="SimSun-ExtB">
    <w:panose1 w:val="02010609060101010101"/>
    <w:charset w:val="86"/>
    <w:family w:val="auto"/>
    <w:pitch w:val="default"/>
    <w:sig w:usb0="00000001" w:usb1="02000000" w:usb2="00000000" w:usb3="00000000" w:csb0="00040001" w:csb1="00000000"/>
    <w:embedRegular r:id="rId3" w:fontKey="{E1195600-2F1B-4AA5-9CE0-0F1752E76581}"/>
  </w:font>
  <w:font w:name="方正小标宋简体">
    <w:panose1 w:val="02000000000000000000"/>
    <w:charset w:val="86"/>
    <w:family w:val="script"/>
    <w:pitch w:val="default"/>
    <w:sig w:usb0="00000001" w:usb1="08000000" w:usb2="00000000" w:usb3="00000000" w:csb0="00040000" w:csb1="00000000"/>
    <w:embedRegular r:id="rId4" w:fontKey="{AF6F3B13-721F-4232-8C02-F27F977EFD7A}"/>
  </w:font>
  <w:font w:name="仿宋">
    <w:panose1 w:val="02010609060101010101"/>
    <w:charset w:val="86"/>
    <w:family w:val="auto"/>
    <w:pitch w:val="default"/>
    <w:sig w:usb0="800002BF" w:usb1="38CF7CFA" w:usb2="00000016" w:usb3="00000000" w:csb0="00040001" w:csb1="00000000"/>
    <w:embedRegular r:id="rId5" w:fontKey="{9C9A6F78-B8E0-40D4-B8F4-16E86EF824F1}"/>
  </w:font>
  <w:font w:name="Cambria">
    <w:panose1 w:val="02040503050406030204"/>
    <w:charset w:val="00"/>
    <w:family w:val="roman"/>
    <w:pitch w:val="default"/>
    <w:sig w:usb0="E00006FF" w:usb1="420024FF" w:usb2="02000000" w:usb3="00000000" w:csb0="2000019F" w:csb1="00000000"/>
    <w:embedRegular r:id="rId6" w:fontKey="{3D3E2BD5-BD51-44A6-9885-CFF798859A99}"/>
  </w:font>
  <w:font w:name="微软雅黑">
    <w:panose1 w:val="020B0503020204020204"/>
    <w:charset w:val="86"/>
    <w:family w:val="auto"/>
    <w:pitch w:val="default"/>
    <w:sig w:usb0="80000287" w:usb1="2ACF3C50" w:usb2="00000016" w:usb3="00000000" w:csb0="0004001F" w:csb1="00000000"/>
    <w:embedRegular r:id="rId7" w:fontKey="{D234C9E9-ADE0-47AC-88C3-613907B6322A}"/>
  </w:font>
  <w:font w:name="华文中宋">
    <w:panose1 w:val="02010600040101010101"/>
    <w:charset w:val="86"/>
    <w:family w:val="auto"/>
    <w:pitch w:val="default"/>
    <w:sig w:usb0="00000287" w:usb1="080F0000" w:usb2="00000000" w:usb3="00000000" w:csb0="0004009F" w:csb1="DFD70000"/>
    <w:embedRegular r:id="rId8" w:fontKey="{EAB383F3-2386-459B-9C23-16EA7590FA11}"/>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B94E6"/>
    <w:multiLevelType w:val="singleLevel"/>
    <w:tmpl w:val="87AB94E6"/>
    <w:lvl w:ilvl="0" w:tentative="0">
      <w:start w:val="1"/>
      <w:numFmt w:val="decimal"/>
      <w:suff w:val="nothing"/>
      <w:lvlText w:val="%1．"/>
      <w:lvlJc w:val="left"/>
      <w:pPr>
        <w:ind w:left="0" w:firstLine="400"/>
      </w:pPr>
      <w:rPr>
        <w:rFonts w:hint="default"/>
      </w:rPr>
    </w:lvl>
  </w:abstractNum>
  <w:abstractNum w:abstractNumId="1">
    <w:nsid w:val="E51B62F0"/>
    <w:multiLevelType w:val="singleLevel"/>
    <w:tmpl w:val="E51B62F0"/>
    <w:lvl w:ilvl="0" w:tentative="0">
      <w:start w:val="5"/>
      <w:numFmt w:val="chineseCounting"/>
      <w:suff w:val="space"/>
      <w:lvlText w:val="第%1部分"/>
      <w:lvlJc w:val="left"/>
      <w:rPr>
        <w:rFonts w:hint="eastAsia"/>
      </w:rPr>
    </w:lvl>
  </w:abstractNum>
  <w:abstractNum w:abstractNumId="2">
    <w:nsid w:val="76CE8F80"/>
    <w:multiLevelType w:val="singleLevel"/>
    <w:tmpl w:val="76CE8F80"/>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7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172A27"/>
    <w:rsid w:val="000273CC"/>
    <w:rsid w:val="0058469E"/>
    <w:rsid w:val="016F7E96"/>
    <w:rsid w:val="019625A8"/>
    <w:rsid w:val="02567F10"/>
    <w:rsid w:val="035B6E9D"/>
    <w:rsid w:val="037E6D6A"/>
    <w:rsid w:val="03FA23A1"/>
    <w:rsid w:val="050D2A9B"/>
    <w:rsid w:val="050F6813"/>
    <w:rsid w:val="0548762F"/>
    <w:rsid w:val="05F47A5F"/>
    <w:rsid w:val="05F86E6F"/>
    <w:rsid w:val="07F67816"/>
    <w:rsid w:val="08DD2784"/>
    <w:rsid w:val="09E244F6"/>
    <w:rsid w:val="0A1A250B"/>
    <w:rsid w:val="0A590531"/>
    <w:rsid w:val="0ACF3A80"/>
    <w:rsid w:val="0B0F2966"/>
    <w:rsid w:val="0B6B4077"/>
    <w:rsid w:val="0B736FA5"/>
    <w:rsid w:val="0C5F6134"/>
    <w:rsid w:val="0C675B8E"/>
    <w:rsid w:val="0C863F12"/>
    <w:rsid w:val="0CD619C5"/>
    <w:rsid w:val="0CE718B1"/>
    <w:rsid w:val="0CFB767D"/>
    <w:rsid w:val="0D5B6275"/>
    <w:rsid w:val="0EB977F0"/>
    <w:rsid w:val="0F712676"/>
    <w:rsid w:val="0FCD17DE"/>
    <w:rsid w:val="0FD52407"/>
    <w:rsid w:val="0FD61CDB"/>
    <w:rsid w:val="0FE10DAC"/>
    <w:rsid w:val="103709CC"/>
    <w:rsid w:val="109B71AD"/>
    <w:rsid w:val="10DA37F4"/>
    <w:rsid w:val="11665A0D"/>
    <w:rsid w:val="120C00D0"/>
    <w:rsid w:val="12B46304"/>
    <w:rsid w:val="12CB416E"/>
    <w:rsid w:val="12E60488"/>
    <w:rsid w:val="130A686C"/>
    <w:rsid w:val="130C4392"/>
    <w:rsid w:val="13160D6D"/>
    <w:rsid w:val="131B45D5"/>
    <w:rsid w:val="13411E47"/>
    <w:rsid w:val="143040B0"/>
    <w:rsid w:val="14E2520A"/>
    <w:rsid w:val="15A308B2"/>
    <w:rsid w:val="16473933"/>
    <w:rsid w:val="17431B20"/>
    <w:rsid w:val="17A70B2D"/>
    <w:rsid w:val="1BA138F9"/>
    <w:rsid w:val="1C146371"/>
    <w:rsid w:val="1C4A6047"/>
    <w:rsid w:val="1C907DE2"/>
    <w:rsid w:val="1D0169D4"/>
    <w:rsid w:val="1D1959A6"/>
    <w:rsid w:val="1E324D9F"/>
    <w:rsid w:val="1F413615"/>
    <w:rsid w:val="1F8C3FD1"/>
    <w:rsid w:val="1FB43DE7"/>
    <w:rsid w:val="1FB75686"/>
    <w:rsid w:val="200307FA"/>
    <w:rsid w:val="20315438"/>
    <w:rsid w:val="20FF1092"/>
    <w:rsid w:val="21933ED0"/>
    <w:rsid w:val="228757E3"/>
    <w:rsid w:val="23023F9E"/>
    <w:rsid w:val="2318643B"/>
    <w:rsid w:val="234D2500"/>
    <w:rsid w:val="23503E27"/>
    <w:rsid w:val="237F295E"/>
    <w:rsid w:val="23CD5478"/>
    <w:rsid w:val="24084702"/>
    <w:rsid w:val="24A54BEC"/>
    <w:rsid w:val="26457AB8"/>
    <w:rsid w:val="26B02E2F"/>
    <w:rsid w:val="27296AE6"/>
    <w:rsid w:val="275A646F"/>
    <w:rsid w:val="27AC5CEC"/>
    <w:rsid w:val="27DD762A"/>
    <w:rsid w:val="27F645D9"/>
    <w:rsid w:val="28041684"/>
    <w:rsid w:val="28447CD2"/>
    <w:rsid w:val="28482794"/>
    <w:rsid w:val="295D729E"/>
    <w:rsid w:val="29F319B0"/>
    <w:rsid w:val="2A224043"/>
    <w:rsid w:val="2A380555"/>
    <w:rsid w:val="2A6553D3"/>
    <w:rsid w:val="2A666797"/>
    <w:rsid w:val="2A783C63"/>
    <w:rsid w:val="2AAC7C57"/>
    <w:rsid w:val="2ACA0963"/>
    <w:rsid w:val="2AE412F9"/>
    <w:rsid w:val="2BD24103"/>
    <w:rsid w:val="2C180F2B"/>
    <w:rsid w:val="2CBF5B79"/>
    <w:rsid w:val="2D1F0559"/>
    <w:rsid w:val="2D367146"/>
    <w:rsid w:val="2D746964"/>
    <w:rsid w:val="2DCD42C6"/>
    <w:rsid w:val="2DFA635E"/>
    <w:rsid w:val="2EE43FBD"/>
    <w:rsid w:val="2FA769C6"/>
    <w:rsid w:val="304E77FB"/>
    <w:rsid w:val="30777503"/>
    <w:rsid w:val="30913C98"/>
    <w:rsid w:val="30B67B04"/>
    <w:rsid w:val="30CB71E3"/>
    <w:rsid w:val="31A17801"/>
    <w:rsid w:val="31EB11BF"/>
    <w:rsid w:val="31ED3189"/>
    <w:rsid w:val="32167961"/>
    <w:rsid w:val="321F61DB"/>
    <w:rsid w:val="33CF2B46"/>
    <w:rsid w:val="34190265"/>
    <w:rsid w:val="3432054C"/>
    <w:rsid w:val="35C6441D"/>
    <w:rsid w:val="36AE1139"/>
    <w:rsid w:val="36B129D7"/>
    <w:rsid w:val="36F748BD"/>
    <w:rsid w:val="38731C98"/>
    <w:rsid w:val="38EF77E6"/>
    <w:rsid w:val="38F022F8"/>
    <w:rsid w:val="396401D4"/>
    <w:rsid w:val="3ACA04E6"/>
    <w:rsid w:val="3AEC11B5"/>
    <w:rsid w:val="3C395BEF"/>
    <w:rsid w:val="3C3A6FCB"/>
    <w:rsid w:val="3C491519"/>
    <w:rsid w:val="3D98044D"/>
    <w:rsid w:val="3DEB10C0"/>
    <w:rsid w:val="3E270777"/>
    <w:rsid w:val="3E294112"/>
    <w:rsid w:val="3E640B6F"/>
    <w:rsid w:val="3E854F24"/>
    <w:rsid w:val="3E9055C8"/>
    <w:rsid w:val="43096148"/>
    <w:rsid w:val="430B16C1"/>
    <w:rsid w:val="430F6B34"/>
    <w:rsid w:val="43C04259"/>
    <w:rsid w:val="44B12482"/>
    <w:rsid w:val="44EE3048"/>
    <w:rsid w:val="4577303D"/>
    <w:rsid w:val="45895DB5"/>
    <w:rsid w:val="45FD1795"/>
    <w:rsid w:val="468839D7"/>
    <w:rsid w:val="46A61E2C"/>
    <w:rsid w:val="476B4E24"/>
    <w:rsid w:val="47BE31A6"/>
    <w:rsid w:val="47F72214"/>
    <w:rsid w:val="48180B08"/>
    <w:rsid w:val="486A6E89"/>
    <w:rsid w:val="490177EE"/>
    <w:rsid w:val="494B26E8"/>
    <w:rsid w:val="495A09E9"/>
    <w:rsid w:val="4AAD305D"/>
    <w:rsid w:val="4AE0426F"/>
    <w:rsid w:val="4AF81276"/>
    <w:rsid w:val="4B46598C"/>
    <w:rsid w:val="4B6A5607"/>
    <w:rsid w:val="4B6F13A9"/>
    <w:rsid w:val="4B950DF6"/>
    <w:rsid w:val="4C2E1616"/>
    <w:rsid w:val="4C485734"/>
    <w:rsid w:val="4D0413E0"/>
    <w:rsid w:val="4D243AAB"/>
    <w:rsid w:val="4E600B13"/>
    <w:rsid w:val="4EBB043F"/>
    <w:rsid w:val="4FCD667C"/>
    <w:rsid w:val="4FEE65F2"/>
    <w:rsid w:val="511011B8"/>
    <w:rsid w:val="51373825"/>
    <w:rsid w:val="51C55131"/>
    <w:rsid w:val="52990A97"/>
    <w:rsid w:val="5311687F"/>
    <w:rsid w:val="53BA3890"/>
    <w:rsid w:val="54176117"/>
    <w:rsid w:val="54F45EC1"/>
    <w:rsid w:val="55284354"/>
    <w:rsid w:val="5569376F"/>
    <w:rsid w:val="55BB0D24"/>
    <w:rsid w:val="571D2E2C"/>
    <w:rsid w:val="57EB4D9C"/>
    <w:rsid w:val="59573050"/>
    <w:rsid w:val="5B301722"/>
    <w:rsid w:val="5B4C2E26"/>
    <w:rsid w:val="5B6F3EF7"/>
    <w:rsid w:val="5B7E6A7C"/>
    <w:rsid w:val="5B804F69"/>
    <w:rsid w:val="5C2515ED"/>
    <w:rsid w:val="5CC91F79"/>
    <w:rsid w:val="5DDC7A8A"/>
    <w:rsid w:val="5E022833"/>
    <w:rsid w:val="5E9F5687"/>
    <w:rsid w:val="5F507BE6"/>
    <w:rsid w:val="60536017"/>
    <w:rsid w:val="605D1356"/>
    <w:rsid w:val="606721D5"/>
    <w:rsid w:val="60786190"/>
    <w:rsid w:val="60D62EB6"/>
    <w:rsid w:val="618B3CA1"/>
    <w:rsid w:val="61BC3E5A"/>
    <w:rsid w:val="61C14BD4"/>
    <w:rsid w:val="62BE1E54"/>
    <w:rsid w:val="63750765"/>
    <w:rsid w:val="6386067D"/>
    <w:rsid w:val="63E91153"/>
    <w:rsid w:val="64462101"/>
    <w:rsid w:val="6472739A"/>
    <w:rsid w:val="65E240AB"/>
    <w:rsid w:val="661B4993"/>
    <w:rsid w:val="666920D7"/>
    <w:rsid w:val="66E321C6"/>
    <w:rsid w:val="68701E42"/>
    <w:rsid w:val="689B282D"/>
    <w:rsid w:val="6A187A22"/>
    <w:rsid w:val="6A8B6AC0"/>
    <w:rsid w:val="6B166CD1"/>
    <w:rsid w:val="6B413622"/>
    <w:rsid w:val="6BA75B7B"/>
    <w:rsid w:val="6BCA14EB"/>
    <w:rsid w:val="6BFD1C3F"/>
    <w:rsid w:val="6C40252E"/>
    <w:rsid w:val="6DF800C1"/>
    <w:rsid w:val="6E843F52"/>
    <w:rsid w:val="6E8B7A8C"/>
    <w:rsid w:val="6EBD1212"/>
    <w:rsid w:val="6EFB3F03"/>
    <w:rsid w:val="6FAC7C04"/>
    <w:rsid w:val="72A9042B"/>
    <w:rsid w:val="735B6C20"/>
    <w:rsid w:val="73966C01"/>
    <w:rsid w:val="73E8600F"/>
    <w:rsid w:val="73F52043"/>
    <w:rsid w:val="74E160F8"/>
    <w:rsid w:val="74E20FCC"/>
    <w:rsid w:val="7544268D"/>
    <w:rsid w:val="7608190C"/>
    <w:rsid w:val="77286DE9"/>
    <w:rsid w:val="7771703D"/>
    <w:rsid w:val="77CE623E"/>
    <w:rsid w:val="78054355"/>
    <w:rsid w:val="789E0306"/>
    <w:rsid w:val="78E57CE3"/>
    <w:rsid w:val="79BC4EE7"/>
    <w:rsid w:val="79E02567"/>
    <w:rsid w:val="7A807CC3"/>
    <w:rsid w:val="7B30793B"/>
    <w:rsid w:val="7B3E36DA"/>
    <w:rsid w:val="7B3F6149"/>
    <w:rsid w:val="7C082C3E"/>
    <w:rsid w:val="7C0D1A2A"/>
    <w:rsid w:val="7CB66A99"/>
    <w:rsid w:val="7D0F532E"/>
    <w:rsid w:val="7D8D2F23"/>
    <w:rsid w:val="7E590F57"/>
    <w:rsid w:val="7E5E2B88"/>
    <w:rsid w:val="7EC302A9"/>
    <w:rsid w:val="7F3B13C0"/>
    <w:rsid w:val="7FE02F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99" w:semiHidden="0" w:name="Normal"/>
    <w:lsdException w:qFormat="1" w:uiPriority="99" w:semiHidden="0" w:name="heading 1"/>
    <w:lsdException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99"/>
    <w:pPr>
      <w:widowControl w:val="0"/>
      <w:autoSpaceDE w:val="0"/>
      <w:autoSpaceDN w:val="0"/>
      <w:adjustRightInd w:val="0"/>
    </w:pPr>
    <w:rPr>
      <w:rFonts w:hint="default" w:ascii="Times New Roman" w:hAnsi="Times New Roman" w:eastAsia="宋体" w:cs="Times New Roman"/>
      <w:sz w:val="24"/>
      <w:szCs w:val="24"/>
    </w:rPr>
  </w:style>
  <w:style w:type="paragraph" w:styleId="3">
    <w:name w:val="heading 1"/>
    <w:next w:val="1"/>
    <w:unhideWhenUsed/>
    <w:qFormat/>
    <w:uiPriority w:val="99"/>
    <w:pPr>
      <w:widowControl w:val="0"/>
      <w:autoSpaceDE w:val="0"/>
      <w:autoSpaceDN w:val="0"/>
      <w:adjustRightInd w:val="0"/>
    </w:pPr>
    <w:rPr>
      <w:rFonts w:hint="default" w:ascii="Times New Roman" w:hAnsi="Times New Roman" w:eastAsia="宋体" w:cs="Times New Roman"/>
      <w:sz w:val="24"/>
      <w:szCs w:val="24"/>
    </w:rPr>
  </w:style>
  <w:style w:type="paragraph" w:styleId="4">
    <w:name w:val="heading 2"/>
    <w:next w:val="1"/>
    <w:unhideWhenUsed/>
    <w:uiPriority w:val="99"/>
    <w:pPr>
      <w:widowControl w:val="0"/>
      <w:autoSpaceDE w:val="0"/>
      <w:autoSpaceDN w:val="0"/>
      <w:adjustRightInd w:val="0"/>
    </w:pPr>
    <w:rPr>
      <w:rFonts w:hint="default" w:ascii="Times New Roman" w:hAnsi="Times New Roman" w:eastAsia="宋体" w:cs="Times New Roman"/>
      <w:sz w:val="24"/>
      <w:szCs w:val="24"/>
    </w:rPr>
  </w:style>
  <w:style w:type="paragraph" w:styleId="5">
    <w:name w:val="heading 3"/>
    <w:basedOn w:val="1"/>
    <w:next w:val="1"/>
    <w:qFormat/>
    <w:uiPriority w:val="99"/>
    <w:pPr>
      <w:keepNext/>
      <w:keepLines/>
      <w:spacing w:beforeLines="0" w:beforeAutospacing="0" w:afterLines="0" w:afterAutospacing="0" w:line="360" w:lineRule="auto"/>
      <w:ind w:firstLine="0" w:firstLineChars="0"/>
      <w:jc w:val="left"/>
      <w:outlineLvl w:val="2"/>
    </w:pPr>
    <w:rPr>
      <w:b/>
      <w:kern w:val="0"/>
      <w:sz w:val="32"/>
      <w:szCs w:val="20"/>
    </w:rPr>
  </w:style>
  <w:style w:type="paragraph" w:styleId="6">
    <w:name w:val="heading 4"/>
    <w:basedOn w:val="1"/>
    <w:next w:val="1"/>
    <w:qFormat/>
    <w:uiPriority w:val="99"/>
    <w:pPr>
      <w:keepNext/>
      <w:keepLines/>
      <w:spacing w:beforeLines="0" w:beforeAutospacing="0" w:afterLines="0" w:afterAutospacing="0" w:line="360" w:lineRule="auto"/>
      <w:ind w:firstLine="883" w:firstLineChars="200"/>
      <w:jc w:val="left"/>
      <w:outlineLvl w:val="3"/>
    </w:pPr>
    <w:rPr>
      <w:rFonts w:ascii="Arial" w:hAnsi="Arial" w:eastAsia="黑体"/>
      <w:b/>
      <w:sz w:val="30"/>
    </w:rPr>
  </w:style>
  <w:style w:type="character" w:default="1" w:styleId="13">
    <w:name w:val="Default Paragraph Font"/>
    <w:unhideWhenUsed/>
    <w:qFormat/>
    <w:uiPriority w:val="99"/>
    <w:rPr>
      <w:rFonts w:hint="default"/>
      <w:sz w:val="24"/>
      <w:szCs w:val="24"/>
    </w:rPr>
  </w:style>
  <w:style w:type="table" w:default="1" w:styleId="12">
    <w:name w:val="Normal Table"/>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beforeLines="30"/>
    </w:pPr>
    <w:rPr>
      <w:rFonts w:hint="eastAsia" w:ascii="仿宋_GB2312" w:hAnsi="Times New Roman" w:eastAsia="仿宋_GB2312"/>
      <w:sz w:val="30"/>
      <w:szCs w:val="24"/>
    </w:rPr>
  </w:style>
  <w:style w:type="paragraph" w:styleId="7">
    <w:name w:val="toc 3"/>
    <w:basedOn w:val="1"/>
    <w:next w:val="1"/>
    <w:qFormat/>
    <w:uiPriority w:val="99"/>
    <w:pPr>
      <w:ind w:left="840" w:leftChars="400"/>
    </w:pPr>
  </w:style>
  <w:style w:type="paragraph" w:styleId="8">
    <w:name w:val="footer"/>
    <w:basedOn w:val="1"/>
    <w:qFormat/>
    <w:uiPriority w:val="99"/>
    <w:pPr>
      <w:tabs>
        <w:tab w:val="center" w:pos="4153"/>
        <w:tab w:val="right" w:pos="8306"/>
      </w:tabs>
      <w:snapToGrid w:val="0"/>
      <w:jc w:val="left"/>
    </w:pPr>
    <w:rPr>
      <w:sz w:val="18"/>
    </w:rPr>
  </w:style>
  <w:style w:type="paragraph" w:styleId="9">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99"/>
  </w:style>
  <w:style w:type="paragraph" w:styleId="11">
    <w:name w:val="toc 2"/>
    <w:basedOn w:val="1"/>
    <w:next w:val="1"/>
    <w:qFormat/>
    <w:uiPriority w:val="99"/>
    <w:pPr>
      <w:ind w:left="420" w:leftChars="200"/>
    </w:pPr>
  </w:style>
  <w:style w:type="character" w:customStyle="1" w:styleId="14">
    <w:name w:val="font41"/>
    <w:basedOn w:val="13"/>
    <w:uiPriority w:val="0"/>
    <w:rPr>
      <w:rFonts w:hint="eastAsia" w:ascii="宋体" w:hAnsi="宋体" w:eastAsia="宋体" w:cs="宋体"/>
      <w:color w:val="000000"/>
      <w:sz w:val="18"/>
      <w:szCs w:val="18"/>
      <w:u w:val="none"/>
    </w:rPr>
  </w:style>
  <w:style w:type="character" w:customStyle="1" w:styleId="15">
    <w:name w:val="font91"/>
    <w:basedOn w:val="13"/>
    <w:uiPriority w:val="0"/>
    <w:rPr>
      <w:rFonts w:ascii="SimSun-ExtB" w:hAnsi="SimSun-ExtB" w:eastAsia="SimSun-ExtB" w:cs="SimSun-ExtB"/>
      <w:color w:val="000000"/>
      <w:sz w:val="18"/>
      <w:szCs w:val="18"/>
      <w:u w:val="none"/>
    </w:rPr>
  </w:style>
  <w:style w:type="character" w:customStyle="1" w:styleId="16">
    <w:name w:val="font101"/>
    <w:basedOn w:val="13"/>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10</TotalTime>
  <ScaleCrop>false</ScaleCrop>
  <LinksUpToDate>false</LinksUpToDate>
  <Application>WPS Office_12.1.0.15404_F1E327BC-269C-435d-A152-05C5408002CA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2023-09-13T14:15:00Z</dcterms:created>
  <dc:creator>Administrator</dc:creator>
  <cp:lastModifiedBy>玖千余为春秋</cp:lastModifiedBy>
  <dcterms:modified xsi:type="dcterms:W3CDTF">2023-10-12T06:43:14Z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7FEB79CD3309414E8EEA164C49E128AD</vt:lpwstr>
  </property>
</Properties>
</file>