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left"/>
        <w:outlineLvl w:val="9"/>
        <w:rPr>
          <w:rFonts w:ascii="方正小标宋简体" w:hAnsi="宋体" w:eastAsia="方正小标宋简体"/>
          <w:color w:val="auto"/>
          <w:sz w:val="21"/>
          <w:szCs w:val="21"/>
          <w:highlight w:val="none"/>
        </w:rPr>
      </w:pPr>
      <w:bookmarkStart w:id="0"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1738"/>
      <w:bookmarkStart w:id="3" w:name="_Toc8362"/>
      <w:bookmarkStart w:id="4" w:name="_Toc15378441"/>
      <w:bookmarkStart w:id="5" w:name="_Toc15377425"/>
      <w:bookmarkStart w:id="6" w:name="_Toc15396597"/>
      <w:bookmarkStart w:id="7"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96598"/>
      <w:bookmarkStart w:id="9" w:name="_Toc15378442"/>
      <w:bookmarkStart w:id="10" w:name="_Toc15377194"/>
      <w:bookmarkStart w:id="11" w:name="_Toc3411"/>
      <w:bookmarkStart w:id="12" w:name="_Toc15396476"/>
      <w:bookmarkStart w:id="13" w:name="_Toc15377426"/>
      <w:bookmarkStart w:id="14" w:name="_Toc17987"/>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5" w:name="_Toc15306268"/>
      <w:r>
        <w:rPr>
          <w:rFonts w:hint="eastAsia" w:ascii="方正小标宋简体" w:hAnsi="方正小标宋简体" w:eastAsia="方正小标宋简体" w:cs="方正小标宋简体"/>
          <w:color w:val="auto"/>
          <w:sz w:val="72"/>
          <w:szCs w:val="72"/>
          <w:highlight w:val="none"/>
          <w:lang w:eastAsia="zh-CN"/>
        </w:rPr>
        <w:t>交通运输局（本级）</w:t>
      </w:r>
      <w:r>
        <w:rPr>
          <w:rFonts w:hint="eastAsia" w:ascii="方正小标宋简体" w:hAnsi="方正小标宋简体" w:eastAsia="方正小标宋简体" w:cs="方正小标宋简体"/>
          <w:color w:val="auto"/>
          <w:sz w:val="72"/>
          <w:szCs w:val="72"/>
          <w:highlight w:val="none"/>
          <w:lang w:val="en-US"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shd w:val="clear"/>
        <w:rPr>
          <w:rFonts w:hint="eastAsia" w:ascii="黑体" w:hAnsi="黑体" w:eastAsia="黑体"/>
          <w:b w:val="0"/>
          <w:color w:val="auto"/>
          <w:highlight w:val="none"/>
        </w:rPr>
      </w:pPr>
      <w:r>
        <w:rPr>
          <w:rFonts w:hint="eastAsia" w:ascii="黑体" w:hAnsi="黑体" w:eastAsia="黑体"/>
          <w:b w:val="0"/>
          <w:color w:val="auto"/>
          <w:highlight w:val="none"/>
        </w:rPr>
        <w:br w:type="page"/>
      </w:r>
    </w:p>
    <w:p>
      <w:pPr>
        <w:pStyle w:val="3"/>
        <w:pageBreakBefore w:val="0"/>
        <w:shd w:val="clear"/>
        <w:kinsoku/>
        <w:wordWrap/>
        <w:overflowPunct/>
        <w:topLinePunct w:val="0"/>
        <w:autoSpaceDE/>
        <w:autoSpaceDN/>
        <w:bidi w:val="0"/>
        <w:adjustRightInd/>
        <w:snapToGrid/>
        <w:spacing w:line="560" w:lineRule="exact"/>
        <w:ind w:firstLine="880" w:firstLineChars="200"/>
        <w:jc w:val="center"/>
        <w:textAlignment w:val="auto"/>
        <w:rPr>
          <w:rFonts w:hint="eastAsia" w:ascii="黑体" w:hAnsi="黑体" w:eastAsia="黑体"/>
          <w:b w:val="0"/>
          <w:color w:val="auto"/>
          <w:highlight w:val="none"/>
        </w:rPr>
      </w:pPr>
      <w:bookmarkStart w:id="16" w:name="_Toc7244"/>
      <w:bookmarkStart w:id="17" w:name="_Toc1453"/>
      <w:r>
        <w:rPr>
          <w:rFonts w:hint="eastAsia" w:ascii="黑体" w:hAnsi="黑体" w:eastAsia="黑体"/>
          <w:b w:val="0"/>
          <w:color w:val="auto"/>
          <w:highlight w:val="none"/>
        </w:rPr>
        <w:t>目录</w:t>
      </w:r>
      <w:bookmarkEnd w:id="16"/>
      <w:bookmarkEnd w:id="17"/>
    </w:p>
    <w:p>
      <w:pPr>
        <w:pStyle w:val="3"/>
        <w:pageBreakBefore w:val="0"/>
        <w:shd w:val="clear"/>
        <w:kinsoku/>
        <w:wordWrap/>
        <w:overflowPunct/>
        <w:topLinePunct w:val="0"/>
        <w:autoSpaceDE/>
        <w:autoSpaceDN/>
        <w:bidi w:val="0"/>
        <w:adjustRightInd/>
        <w:snapToGrid/>
        <w:spacing w:line="560" w:lineRule="exact"/>
        <w:ind w:firstLine="560" w:firstLineChars="200"/>
        <w:jc w:val="center"/>
        <w:textAlignment w:val="auto"/>
        <w:rPr>
          <w:rFonts w:hint="eastAsia" w:ascii="黑体" w:hAnsi="黑体" w:eastAsia="黑体"/>
          <w:b w:val="0"/>
          <w:color w:val="auto"/>
          <w:sz w:val="28"/>
          <w:szCs w:val="28"/>
          <w:highlight w:val="none"/>
        </w:rPr>
      </w:pPr>
      <w:bookmarkStart w:id="18" w:name="_Toc19618"/>
      <w:bookmarkStart w:id="19" w:name="_Toc30077"/>
      <w:r>
        <w:rPr>
          <w:rFonts w:hint="eastAsia" w:ascii="黑体" w:hAnsi="黑体" w:eastAsia="黑体"/>
          <w:b w:val="0"/>
          <w:color w:val="auto"/>
          <w:sz w:val="28"/>
          <w:szCs w:val="28"/>
          <w:highlight w:val="none"/>
        </w:rPr>
        <w:t>公示日期：2023年10月</w:t>
      </w:r>
      <w:r>
        <w:rPr>
          <w:rFonts w:hint="eastAsia" w:ascii="黑体" w:hAnsi="黑体" w:eastAsia="黑体"/>
          <w:b w:val="0"/>
          <w:color w:val="auto"/>
          <w:sz w:val="28"/>
          <w:szCs w:val="28"/>
          <w:highlight w:val="none"/>
          <w:lang w:val="en-US" w:eastAsia="zh-CN"/>
        </w:rPr>
        <w:t>1</w:t>
      </w:r>
      <w:r>
        <w:rPr>
          <w:rFonts w:hint="default" w:ascii="黑体" w:hAnsi="黑体" w:eastAsia="黑体"/>
          <w:b w:val="0"/>
          <w:color w:val="auto"/>
          <w:sz w:val="28"/>
          <w:szCs w:val="28"/>
          <w:highlight w:val="none"/>
          <w:lang w:val="en" w:eastAsia="zh-CN"/>
        </w:rPr>
        <w:t>5</w:t>
      </w:r>
      <w:r>
        <w:rPr>
          <w:rFonts w:hint="eastAsia" w:ascii="黑体" w:hAnsi="黑体" w:eastAsia="黑体"/>
          <w:b w:val="0"/>
          <w:color w:val="auto"/>
          <w:sz w:val="28"/>
          <w:szCs w:val="28"/>
          <w:highlight w:val="none"/>
        </w:rPr>
        <w:t>日</w:t>
      </w:r>
      <w:bookmarkEnd w:id="18"/>
      <w:bookmarkEnd w:id="19"/>
      <w:bookmarkStart w:id="136" w:name="_GoBack"/>
      <w:bookmarkEnd w:id="136"/>
    </w:p>
    <w:sdt>
      <w:sdtPr>
        <w:rPr>
          <w:rFonts w:ascii="宋体" w:hAnsi="宋体" w:eastAsia="宋体" w:cs="Times New Roman"/>
          <w:kern w:val="2"/>
          <w:sz w:val="21"/>
          <w:szCs w:val="24"/>
          <w:highlight w:val="none"/>
          <w:lang w:val="en-US" w:eastAsia="zh-CN" w:bidi="ar-SA"/>
        </w:rPr>
        <w:id w:val="147480445"/>
        <w15:color w:val="DBDBDB"/>
        <w:docPartObj>
          <w:docPartGallery w:val="Table of Contents"/>
          <w:docPartUnique/>
        </w:docPartObj>
      </w:sdtPr>
      <w:sdtEndPr>
        <w:rPr>
          <w:rFonts w:hint="eastAsia" w:ascii="Calibri" w:hAnsi="Calibri" w:eastAsia="宋体" w:cs="Times New Roman"/>
          <w:b/>
          <w:kern w:val="2"/>
          <w:sz w:val="21"/>
          <w:szCs w:val="24"/>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highlight w:val="none"/>
            </w:rPr>
          </w:pP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TOC \o "1-2" \h \u </w:instrText>
          </w:r>
          <w:r>
            <w:rPr>
              <w:rFonts w:hint="eastAsia"/>
              <w:highlight w:val="none"/>
            </w:rPr>
            <w:fldChar w:fldCharType="separate"/>
          </w:r>
          <w:r>
            <w:rPr>
              <w:rFonts w:hint="eastAsia"/>
              <w:highlight w:val="none"/>
            </w:rPr>
            <w:fldChar w:fldCharType="begin"/>
          </w:r>
          <w:r>
            <w:rPr>
              <w:rFonts w:hint="eastAsia"/>
              <w:highlight w:val="none"/>
            </w:rPr>
            <w:instrText xml:space="preserve"> HYPERLINK \l _Toc992 </w:instrText>
          </w:r>
          <w:r>
            <w:rPr>
              <w:rFonts w:hint="eastAsia"/>
              <w:highlight w:val="none"/>
            </w:rP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_Toc992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_Toc17905 </w:instrText>
          </w:r>
          <w:r>
            <w:rPr>
              <w:rFonts w:hint="eastAsia"/>
              <w:highlight w:val="none"/>
            </w:rPr>
            <w:fldChar w:fldCharType="separate"/>
          </w:r>
          <w:r>
            <w:rPr>
              <w:rFonts w:hint="eastAsia" w:ascii="方正小标宋_GBK" w:hAnsi="方正小标宋_GBK" w:eastAsia="方正小标宋_GBK" w:cs="方正小标宋_GBK"/>
              <w:bCs w:val="0"/>
              <w:szCs w:val="32"/>
              <w:lang w:eastAsia="zh-CN"/>
            </w:rPr>
            <w:t xml:space="preserve">一、 </w:t>
          </w:r>
          <w:r>
            <w:rPr>
              <w:rFonts w:hint="eastAsia" w:ascii="方正小标宋_GBK" w:hAnsi="方正小标宋_GBK" w:eastAsia="方正小标宋_GBK" w:cs="方正小标宋_GBK"/>
              <w:bCs w:val="0"/>
              <w:szCs w:val="32"/>
              <w:highlight w:val="none"/>
              <w:lang w:eastAsia="zh-CN"/>
            </w:rPr>
            <w:t>主要职责</w:t>
          </w:r>
          <w:r>
            <w:tab/>
          </w:r>
          <w:r>
            <w:fldChar w:fldCharType="begin"/>
          </w:r>
          <w:r>
            <w:instrText xml:space="preserve"> PAGEREF _Toc17905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_Toc25600 </w:instrText>
          </w:r>
          <w:r>
            <w:rPr>
              <w:rFonts w:hint="eastAsia"/>
              <w:highlight w:val="none"/>
            </w:rPr>
            <w:fldChar w:fldCharType="separate"/>
          </w:r>
          <w:r>
            <w:rPr>
              <w:rFonts w:hint="eastAsia" w:ascii="方正小标宋_GBK" w:hAnsi="方正小标宋_GBK" w:eastAsia="方正小标宋_GBK" w:cs="方正小标宋_GBK"/>
              <w:bCs w:val="0"/>
              <w:szCs w:val="32"/>
              <w:lang w:val="en-US" w:eastAsia="zh-CN"/>
            </w:rPr>
            <w:t xml:space="preserve">二、 </w:t>
          </w:r>
          <w:r>
            <w:rPr>
              <w:rFonts w:hint="eastAsia" w:ascii="方正小标宋_GBK" w:hAnsi="方正小标宋_GBK" w:eastAsia="方正小标宋_GBK" w:cs="方正小标宋_GBK"/>
              <w:bCs w:val="0"/>
              <w:szCs w:val="32"/>
              <w:highlight w:val="none"/>
              <w:lang w:val="en-US" w:eastAsia="zh-CN"/>
            </w:rPr>
            <w:t>机构设置</w:t>
          </w:r>
          <w:r>
            <w:tab/>
          </w:r>
          <w:r>
            <w:fldChar w:fldCharType="begin"/>
          </w:r>
          <w:r>
            <w:instrText xml:space="preserve"> PAGEREF _Toc25600 \h </w:instrText>
          </w:r>
          <w:r>
            <w:fldChar w:fldCharType="separate"/>
          </w:r>
          <w:r>
            <w:t>2</w:t>
          </w:r>
          <w:r>
            <w:fldChar w:fldCharType="end"/>
          </w:r>
          <w:r>
            <w:rPr>
              <w:rFonts w:hint="eastAsia"/>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_Toc6462 </w:instrText>
          </w:r>
          <w:r>
            <w:rPr>
              <w:rFonts w:hint="eastAsia"/>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_Toc6462 \h </w:instrText>
          </w:r>
          <w:r>
            <w:fldChar w:fldCharType="separate"/>
          </w:r>
          <w:r>
            <w:t>3</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_Toc22192 </w:instrText>
          </w:r>
          <w:r>
            <w:rPr>
              <w:rFonts w:hint="eastAsia"/>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_Toc22192 \h </w:instrText>
          </w:r>
          <w:r>
            <w:fldChar w:fldCharType="separate"/>
          </w:r>
          <w:r>
            <w:t>3</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_Toc9353 </w:instrText>
          </w:r>
          <w:r>
            <w:rPr>
              <w:rFonts w:hint="eastAsia"/>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_Toc9353 \h </w:instrText>
          </w:r>
          <w:r>
            <w:fldChar w:fldCharType="separate"/>
          </w:r>
          <w:r>
            <w:t>3</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_Toc23746 </w:instrText>
          </w:r>
          <w:r>
            <w:rPr>
              <w:rFonts w:hint="eastAsia"/>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_Toc23746 \h </w:instrText>
          </w:r>
          <w:r>
            <w:fldChar w:fldCharType="separate"/>
          </w:r>
          <w:r>
            <w:t>4</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_Toc19134 </w:instrText>
          </w:r>
          <w:r>
            <w:rPr>
              <w:rFonts w:hint="eastAsia"/>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_Toc19134 \h </w:instrText>
          </w:r>
          <w:r>
            <w:fldChar w:fldCharType="separate"/>
          </w:r>
          <w:r>
            <w:t>4</w:t>
          </w:r>
          <w:r>
            <w:fldChar w:fldCharType="end"/>
          </w:r>
          <w:r>
            <w:rPr>
              <w:rFonts w:hint="eastAsia"/>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rPr>
              <w:rFonts w:hint="eastAsia" w:ascii="黑体" w:hAnsi="Times New Roman" w:eastAsia="黑体" w:cs="Times New Roman"/>
              <w:kern w:val="2"/>
              <w:sz w:val="21"/>
              <w:szCs w:val="32"/>
              <w:highlight w:val="none"/>
              <w:lang w:val="en-US" w:eastAsia="zh-CN" w:bidi="ar-SA"/>
            </w:rPr>
          </w:pPr>
          <w:r>
            <w:rPr>
              <w:rFonts w:hint="eastAsia"/>
              <w:highlight w:val="none"/>
              <w:lang w:val="en-US" w:eastAsia="zh-CN"/>
            </w:rPr>
            <w:t xml:space="preserve">   </w:t>
          </w:r>
          <w:r>
            <w:rPr>
              <w:rFonts w:hint="eastAsia" w:ascii="黑体" w:hAnsi="Times New Roman" w:eastAsia="黑体" w:cs="Times New Roman"/>
              <w:kern w:val="2"/>
              <w:sz w:val="21"/>
              <w:szCs w:val="32"/>
              <w:highlight w:val="none"/>
              <w:lang w:val="en-US" w:eastAsia="zh-CN" w:bidi="ar-SA"/>
            </w:rPr>
            <w:fldChar w:fldCharType="begin"/>
          </w:r>
          <w:r>
            <w:rPr>
              <w:rFonts w:hint="eastAsia" w:ascii="黑体" w:hAnsi="Times New Roman" w:eastAsia="黑体" w:cs="Times New Roman"/>
              <w:kern w:val="2"/>
              <w:sz w:val="21"/>
              <w:szCs w:val="32"/>
              <w:highlight w:val="none"/>
              <w:lang w:val="en-US" w:eastAsia="zh-CN" w:bidi="ar-SA"/>
            </w:rPr>
            <w:instrText xml:space="preserve"> HYPERLINK \l _Toc9029 </w:instrText>
          </w:r>
          <w:r>
            <w:rPr>
              <w:rFonts w:hint="eastAsia" w:ascii="黑体" w:hAnsi="Times New Roman" w:eastAsia="黑体" w:cs="Times New Roman"/>
              <w:kern w:val="2"/>
              <w:sz w:val="21"/>
              <w:szCs w:val="32"/>
              <w:highlight w:val="none"/>
              <w:lang w:val="en-US" w:eastAsia="zh-CN" w:bidi="ar-SA"/>
            </w:rPr>
            <w:fldChar w:fldCharType="separate"/>
          </w:r>
          <w:r>
            <w:rPr>
              <w:rFonts w:hint="eastAsia" w:ascii="黑体" w:hAnsi="Times New Roman" w:eastAsia="黑体" w:cs="Times New Roman"/>
              <w:kern w:val="2"/>
              <w:sz w:val="21"/>
              <w:szCs w:val="32"/>
              <w:highlight w:val="none"/>
              <w:lang w:val="en-US" w:eastAsia="zh-CN" w:bidi="ar-SA"/>
            </w:rPr>
            <w:t>五、一般公共预算财政拨款支出决算情况说明</w:t>
          </w:r>
          <w:r>
            <w:rPr>
              <w:rFonts w:hint="eastAsia" w:ascii="黑体" w:hAnsi="Times New Roman" w:eastAsia="黑体" w:cs="Times New Roman"/>
              <w:kern w:val="2"/>
              <w:sz w:val="21"/>
              <w:szCs w:val="32"/>
              <w:highlight w:val="none"/>
              <w:lang w:val="en-US" w:eastAsia="zh-CN" w:bidi="ar-SA"/>
            </w:rPr>
            <w:tab/>
          </w:r>
          <w:r>
            <w:rPr>
              <w:rFonts w:hint="eastAsia" w:ascii="黑体" w:hAnsi="Times New Roman" w:eastAsia="黑体" w:cs="Times New Roman"/>
              <w:kern w:val="2"/>
              <w:sz w:val="21"/>
              <w:szCs w:val="32"/>
              <w:highlight w:val="none"/>
              <w:lang w:val="en-US" w:eastAsia="zh-CN" w:bidi="ar-SA"/>
            </w:rPr>
            <w:fldChar w:fldCharType="begin"/>
          </w:r>
          <w:r>
            <w:rPr>
              <w:rFonts w:hint="eastAsia" w:ascii="黑体" w:hAnsi="Times New Roman" w:eastAsia="黑体" w:cs="Times New Roman"/>
              <w:kern w:val="2"/>
              <w:sz w:val="21"/>
              <w:szCs w:val="32"/>
              <w:highlight w:val="none"/>
              <w:lang w:val="en-US" w:eastAsia="zh-CN" w:bidi="ar-SA"/>
            </w:rPr>
            <w:instrText xml:space="preserve"> PAGEREF _Toc9029 \h </w:instrText>
          </w:r>
          <w:r>
            <w:rPr>
              <w:rFonts w:hint="eastAsia" w:ascii="黑体" w:hAnsi="Times New Roman" w:eastAsia="黑体" w:cs="Times New Roman"/>
              <w:kern w:val="2"/>
              <w:sz w:val="21"/>
              <w:szCs w:val="32"/>
              <w:highlight w:val="none"/>
              <w:lang w:val="en-US" w:eastAsia="zh-CN" w:bidi="ar-SA"/>
            </w:rPr>
            <w:fldChar w:fldCharType="separate"/>
          </w:r>
          <w:r>
            <w:rPr>
              <w:rFonts w:hint="eastAsia" w:ascii="黑体" w:hAnsi="Times New Roman" w:eastAsia="黑体" w:cs="Times New Roman"/>
              <w:kern w:val="2"/>
              <w:sz w:val="21"/>
              <w:szCs w:val="32"/>
              <w:highlight w:val="none"/>
              <w:lang w:val="en-US" w:eastAsia="zh-CN" w:bidi="ar-SA"/>
            </w:rPr>
            <w:t>5</w:t>
          </w:r>
          <w:r>
            <w:rPr>
              <w:rFonts w:hint="eastAsia" w:ascii="黑体" w:hAnsi="Times New Roman" w:eastAsia="黑体" w:cs="Times New Roman"/>
              <w:kern w:val="2"/>
              <w:sz w:val="21"/>
              <w:szCs w:val="32"/>
              <w:highlight w:val="none"/>
              <w:lang w:val="en-US" w:eastAsia="zh-CN" w:bidi="ar-SA"/>
            </w:rPr>
            <w:fldChar w:fldCharType="end"/>
          </w:r>
          <w:r>
            <w:rPr>
              <w:rFonts w:hint="eastAsia" w:ascii="黑体" w:hAnsi="Times New Roman" w:eastAsia="黑体" w:cs="Times New Roman"/>
              <w:kern w:val="2"/>
              <w:sz w:val="21"/>
              <w:szCs w:val="32"/>
              <w:highlight w:val="none"/>
              <w:lang w:val="en-US" w:eastAsia="zh-CN" w:bidi="ar-SA"/>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_Toc11498 </w:instrText>
          </w:r>
          <w:r>
            <w:rPr>
              <w:rFonts w:hint="eastAsia"/>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_Toc11498 \h </w:instrText>
          </w:r>
          <w:r>
            <w:fldChar w:fldCharType="separate"/>
          </w:r>
          <w:r>
            <w:t>8</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_Toc30654 </w:instrText>
          </w:r>
          <w:r>
            <w:rPr>
              <w:rFonts w:hint="eastAsia"/>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_Toc30654 \h </w:instrText>
          </w:r>
          <w:r>
            <w:fldChar w:fldCharType="separate"/>
          </w:r>
          <w:r>
            <w:t>8</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_Toc15271 </w:instrText>
          </w:r>
          <w:r>
            <w:rPr>
              <w:rFonts w:hint="eastAsia"/>
              <w:highlight w:val="none"/>
            </w:rPr>
            <w:fldChar w:fldCharType="separate"/>
          </w:r>
          <w:r>
            <w:rPr>
              <w:rFonts w:hint="eastAsia" w:ascii="黑体" w:hAnsi="黑体" w:eastAsia="黑体"/>
              <w:kern w:val="2"/>
              <w:szCs w:val="24"/>
              <w:highlight w:val="none"/>
              <w:lang w:val="zh-CN"/>
            </w:rPr>
            <w:t>八、政府性基金预算支出决算情况说明</w:t>
          </w:r>
          <w:r>
            <w:tab/>
          </w:r>
          <w:r>
            <w:fldChar w:fldCharType="begin"/>
          </w:r>
          <w:r>
            <w:instrText xml:space="preserve"> PAGEREF _Toc15271 \h </w:instrText>
          </w:r>
          <w:r>
            <w:fldChar w:fldCharType="separate"/>
          </w:r>
          <w:r>
            <w:t>10</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_Toc12201 </w:instrText>
          </w:r>
          <w:r>
            <w:rPr>
              <w:rFonts w:hint="eastAsia"/>
              <w:highlight w:val="none"/>
            </w:rPr>
            <w:fldChar w:fldCharType="separate"/>
          </w:r>
          <w:r>
            <w:rPr>
              <w:rFonts w:hint="eastAsia" w:ascii="黑体" w:hAnsi="黑体" w:eastAsia="黑体"/>
              <w:kern w:val="2"/>
              <w:szCs w:val="24"/>
              <w:highlight w:val="none"/>
              <w:lang w:val="zh-CN"/>
            </w:rPr>
            <w:t>九、国有资本经营预算支出决算情况说明</w:t>
          </w:r>
          <w:r>
            <w:tab/>
          </w:r>
          <w:r>
            <w:fldChar w:fldCharType="begin"/>
          </w:r>
          <w:r>
            <w:instrText xml:space="preserve"> PAGEREF _Toc12201 \h </w:instrText>
          </w:r>
          <w:r>
            <w:fldChar w:fldCharType="separate"/>
          </w:r>
          <w:r>
            <w:t>10</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_Toc19869 </w:instrText>
          </w:r>
          <w:r>
            <w:rPr>
              <w:rFonts w:hint="eastAsia"/>
              <w:highlight w:val="none"/>
            </w:rPr>
            <w:fldChar w:fldCharType="separate"/>
          </w:r>
          <w:r>
            <w:rPr>
              <w:rFonts w:hint="eastAsia" w:ascii="黑体" w:hAnsi="黑体" w:eastAsia="黑体"/>
              <w:kern w:val="2"/>
              <w:szCs w:val="24"/>
              <w:highlight w:val="none"/>
              <w:lang w:val="zh-CN"/>
            </w:rPr>
            <w:t>十、其他重要事项的情况说明</w:t>
          </w:r>
          <w:r>
            <w:tab/>
          </w:r>
          <w:r>
            <w:fldChar w:fldCharType="begin"/>
          </w:r>
          <w:r>
            <w:instrText xml:space="preserve"> PAGEREF _Toc19869 \h </w:instrText>
          </w:r>
          <w:r>
            <w:fldChar w:fldCharType="separate"/>
          </w:r>
          <w:r>
            <w:t>10</w:t>
          </w:r>
          <w:r>
            <w:fldChar w:fldCharType="end"/>
          </w:r>
          <w:r>
            <w:rPr>
              <w:rFonts w:hint="eastAsia"/>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_Toc6722 </w:instrText>
          </w:r>
          <w:r>
            <w:rPr>
              <w:rFonts w:hint="eastAsia"/>
              <w:highlight w:val="none"/>
            </w:rP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_Toc6722 \h </w:instrText>
          </w:r>
          <w:r>
            <w:fldChar w:fldCharType="separate"/>
          </w:r>
          <w:r>
            <w:t>12</w:t>
          </w:r>
          <w:r>
            <w:fldChar w:fldCharType="end"/>
          </w:r>
          <w:r>
            <w:rPr>
              <w:rFonts w:hint="eastAsia"/>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_Toc17280 </w:instrText>
          </w:r>
          <w:r>
            <w:rPr>
              <w:rFonts w:hint="eastAsia"/>
              <w:highlight w:val="none"/>
            </w:rP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_Toc17280 \h </w:instrText>
          </w:r>
          <w:r>
            <w:fldChar w:fldCharType="separate"/>
          </w:r>
          <w:r>
            <w:t>15</w:t>
          </w:r>
          <w:r>
            <w:fldChar w:fldCharType="end"/>
          </w:r>
          <w:r>
            <w:rPr>
              <w:rFonts w:hint="eastAsia"/>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_Toc7963 </w:instrText>
          </w:r>
          <w:r>
            <w:rPr>
              <w:rFonts w:hint="eastAsia"/>
              <w:highlight w:val="none"/>
            </w:rP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_Toc7963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_Toc17633 </w:instrText>
          </w:r>
          <w:r>
            <w:rPr>
              <w:rFonts w:hint="eastAsia"/>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_Toc17633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_Toc1952 </w:instrText>
          </w:r>
          <w:r>
            <w:rPr>
              <w:rFonts w:hint="eastAsia"/>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_Toc1952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_Toc22049 </w:instrText>
          </w:r>
          <w:r>
            <w:rPr>
              <w:rFonts w:hint="eastAsia"/>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_Toc22049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_Toc19854 </w:instrText>
          </w:r>
          <w:r>
            <w:rPr>
              <w:rFonts w:hint="eastAsia"/>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_Toc19854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_Toc2279 </w:instrText>
          </w:r>
          <w:r>
            <w:rPr>
              <w:rFonts w:hint="eastAsia"/>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_Toc2279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_Toc21163 </w:instrText>
          </w:r>
          <w:r>
            <w:rPr>
              <w:rFonts w:hint="eastAsia"/>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_Toc21163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_Toc8162 </w:instrText>
          </w:r>
          <w:r>
            <w:rPr>
              <w:rFonts w:hint="eastAsia"/>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_Toc8162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_Toc7907 </w:instrText>
          </w:r>
          <w:r>
            <w:rPr>
              <w:rFonts w:hint="eastAsia"/>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_Toc7907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_Toc31588 </w:instrText>
          </w:r>
          <w:r>
            <w:rPr>
              <w:rFonts w:hint="eastAsia"/>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_Toc31588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_Toc28937 </w:instrText>
          </w:r>
          <w:r>
            <w:rPr>
              <w:rFonts w:hint="eastAsia"/>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_Toc28937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_Toc26509 </w:instrText>
          </w:r>
          <w:r>
            <w:rPr>
              <w:rFonts w:hint="eastAsia"/>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_Toc26509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_Toc21207 </w:instrText>
          </w:r>
          <w:r>
            <w:rPr>
              <w:rFonts w:hint="eastAsia"/>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_Toc21207 \h </w:instrText>
          </w:r>
          <w:r>
            <w:fldChar w:fldCharType="separate"/>
          </w:r>
          <w:r>
            <w:t>1</w:t>
          </w:r>
          <w:r>
            <w:fldChar w:fldCharType="end"/>
          </w:r>
          <w:r>
            <w:rPr>
              <w:rFonts w:hint="eastAsia"/>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40" w:lineRule="exact"/>
            <w:textAlignment w:val="auto"/>
          </w:pPr>
          <w:r>
            <w:rPr>
              <w:rFonts w:hint="eastAsia"/>
              <w:highlight w:val="none"/>
            </w:rPr>
            <w:fldChar w:fldCharType="begin"/>
          </w:r>
          <w:r>
            <w:rPr>
              <w:rFonts w:hint="eastAsia"/>
              <w:highlight w:val="none"/>
            </w:rPr>
            <w:instrText xml:space="preserve"> HYPERLINK \l _Toc25832 </w:instrText>
          </w:r>
          <w:r>
            <w:rPr>
              <w:rFonts w:hint="eastAsia"/>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_Toc25832 \h </w:instrText>
          </w:r>
          <w:r>
            <w:fldChar w:fldCharType="separate"/>
          </w:r>
          <w:r>
            <w:t>1</w:t>
          </w:r>
          <w:r>
            <w:fldChar w:fldCharType="end"/>
          </w:r>
          <w:r>
            <w:rPr>
              <w:rFonts w:hint="eastAsia"/>
              <w:highlight w:val="none"/>
            </w:rPr>
            <w:fldChar w:fldCharType="end"/>
          </w:r>
        </w:p>
        <w:p>
          <w:pPr>
            <w:pStyle w:val="2"/>
            <w:shd w:val="clear"/>
            <w:rPr>
              <w:rFonts w:hint="eastAsia"/>
              <w:highlight w:val="none"/>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highlight w:val="none"/>
            </w:rPr>
            <w:fldChar w:fldCharType="end"/>
          </w:r>
        </w:p>
      </w:sdtContent>
    </w:sdt>
    <w:p>
      <w:pPr>
        <w:pStyle w:val="3"/>
        <w:pageBreakBefore w:val="0"/>
        <w:shd w:val="clear"/>
        <w:kinsoku/>
        <w:wordWrap/>
        <w:overflowPunct/>
        <w:topLinePunct w:val="0"/>
        <w:autoSpaceDE/>
        <w:autoSpaceDN/>
        <w:bidi w:val="0"/>
        <w:adjustRightInd/>
        <w:snapToGrid/>
        <w:spacing w:line="560" w:lineRule="exact"/>
        <w:ind w:firstLine="880" w:firstLineChars="200"/>
        <w:jc w:val="center"/>
        <w:textAlignment w:val="auto"/>
        <w:rPr>
          <w:rStyle w:val="17"/>
          <w:rFonts w:ascii="黑体" w:hAnsi="黑体" w:eastAsia="黑体"/>
          <w:b/>
          <w:bCs w:val="0"/>
          <w:color w:val="auto"/>
          <w:highlight w:val="none"/>
        </w:rPr>
      </w:pPr>
      <w:bookmarkStart w:id="20" w:name="_Toc992"/>
      <w:bookmarkStart w:id="21" w:name="_Toc698346174_WPSOffice_Level1"/>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20"/>
      <w:bookmarkEnd w:id="21"/>
    </w:p>
    <w:p>
      <w:pPr>
        <w:pStyle w:val="4"/>
        <w:pageBreakBefore w:val="0"/>
        <w:numPr>
          <w:ilvl w:val="0"/>
          <w:numId w:val="1"/>
        </w:numPr>
        <w:shd w:val="clear"/>
        <w:kinsoku/>
        <w:wordWrap/>
        <w:overflowPunct/>
        <w:topLinePunct w:val="0"/>
        <w:autoSpaceDE/>
        <w:autoSpaceDN/>
        <w:bidi w:val="0"/>
        <w:adjustRightInd/>
        <w:snapToGrid/>
        <w:spacing w:before="0" w:after="0" w:line="560" w:lineRule="exact"/>
        <w:ind w:firstLine="640" w:firstLineChars="200"/>
        <w:textAlignment w:val="auto"/>
        <w:rPr>
          <w:rStyle w:val="18"/>
          <w:rFonts w:hint="eastAsia" w:ascii="方正小标宋_GBK" w:hAnsi="方正小标宋_GBK" w:eastAsia="方正小标宋_GBK" w:cs="方正小标宋_GBK"/>
          <w:b w:val="0"/>
          <w:bCs w:val="0"/>
          <w:color w:val="auto"/>
          <w:sz w:val="32"/>
          <w:szCs w:val="32"/>
          <w:highlight w:val="none"/>
          <w:lang w:eastAsia="zh-CN"/>
        </w:rPr>
      </w:pPr>
      <w:bookmarkStart w:id="22" w:name="_Toc1105666732_WPSOffice_Level2"/>
      <w:bookmarkStart w:id="23" w:name="_Toc17905"/>
      <w:bookmarkStart w:id="24" w:name="_Toc15377197"/>
      <w:bookmarkStart w:id="25" w:name="_Toc15396600"/>
      <w:r>
        <w:rPr>
          <w:rStyle w:val="18"/>
          <w:rFonts w:hint="eastAsia" w:ascii="方正小标宋_GBK" w:hAnsi="方正小标宋_GBK" w:eastAsia="方正小标宋_GBK" w:cs="方正小标宋_GBK"/>
          <w:b w:val="0"/>
          <w:bCs w:val="0"/>
          <w:color w:val="auto"/>
          <w:sz w:val="32"/>
          <w:szCs w:val="32"/>
          <w:highlight w:val="none"/>
          <w:lang w:eastAsia="zh-CN"/>
        </w:rPr>
        <w:t>主要职责</w:t>
      </w:r>
      <w:bookmarkEnd w:id="22"/>
      <w:bookmarkEnd w:id="23"/>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1．负责贯彻执行国家有关交通运输行业的方针、政策和法律、法规。组织拟订并监督实施公路、水路等行业规划、政策和标准，会同相关部门组织编制综合运输体系规划，参与拟订物流业发展战略和规划。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2．拟订全市交通运输政策规定，负责本系统、本部门依法行政工作，落实行政执法责任制。指导公路、水路行业有关体制改革工作。承担地方高速公路管理的有关工作。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3．承担道路、水路交通运输市场监管责任，组织制订道路、水路运输有关政策并监督实施。指导城乡客运管理工作，指导出租汽车行业管理工作，会同相关部门制定运输价格。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4．承担水上交通安全监管责任。负责水上交通管制、运输船舶及相关水上设施检验、登记和防止污染、救助打捞、通讯导航、危险品运输的监督管理工作，负责船员管理相关工作；指导水上交通安全事故、船舶及相关水上设施污染事故的应急处置，依法组织或参与事故调查处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5．负责提出公路、水路固定资产投资规模和方向、市财政性资金安排建议，按照规定权限审批、核准国家、省、市规划内和年度计划规模内固定资产投资项目；会同相关部门拟订公路、水路有关规费政策并监督实施，提出有关财政、土地、价格等政策建议；指导交通运输行业审计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6．承担公路、水路建设市场监管责任。拟订公路、水路工程建设相关政策、制度、技术标准并监督实施，组织实施公路、水路有关重点工程建设和工程质量、安全生产监督管理工作；负责对交通行业和产业项目的招标投标活动的监督执法；指导交通运输基础设施管理和维护，承担有关重要设施的管理和维护；按规定负责港口规划和港口岸线使用管理工作；负责公路、桥梁、隧道收取通行费及站卡设置的协调和归口管理，指导交通运输行业特许经营管理；会同相关部门组织实施交通运输行业职业资格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7．指导公路、水路行业安全生产和应急管理工作。按规定组织协调国家及省市重点物资和紧急客货运输，负责重点干线路网运行监测和协调；组织协调地方交通战备工作，承担国防动员有关工作。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8．贯彻实施交通运输科技政策，组织重大科技开发；指导交通运输信息化建设，监测分析运行情况，开展相关统计工作，发布有关信息。指导公路、水路行业环境保护和节能减排工作。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9．负责公路、水路有关涉外工作，开展对外经济技术交流与合作，指导全市交通运输行业招商引资和利用外资工作。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10．承担市政府公布的有关行政审批事项。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11．承办市政府交办的其他事项。</w:t>
      </w:r>
    </w:p>
    <w:p>
      <w:pPr>
        <w:pStyle w:val="4"/>
        <w:pageBreakBefore w:val="0"/>
        <w:numPr>
          <w:ilvl w:val="0"/>
          <w:numId w:val="1"/>
        </w:numPr>
        <w:shd w:val="clear"/>
        <w:kinsoku/>
        <w:wordWrap/>
        <w:overflowPunct/>
        <w:topLinePunct w:val="0"/>
        <w:autoSpaceDE/>
        <w:autoSpaceDN/>
        <w:bidi w:val="0"/>
        <w:adjustRightInd/>
        <w:snapToGrid/>
        <w:spacing w:before="0" w:after="0" w:line="560" w:lineRule="exact"/>
        <w:ind w:firstLine="640" w:firstLineChars="200"/>
        <w:textAlignment w:val="auto"/>
        <w:rPr>
          <w:rStyle w:val="18"/>
          <w:rFonts w:hint="eastAsia" w:ascii="方正小标宋_GBK" w:hAnsi="方正小标宋_GBK" w:eastAsia="方正小标宋_GBK" w:cs="方正小标宋_GBK"/>
          <w:b w:val="0"/>
          <w:bCs w:val="0"/>
          <w:color w:val="auto"/>
          <w:sz w:val="32"/>
          <w:szCs w:val="32"/>
          <w:highlight w:val="none"/>
          <w:lang w:val="en-US" w:eastAsia="zh-CN"/>
        </w:rPr>
      </w:pPr>
      <w:bookmarkStart w:id="26" w:name="_Toc782425135_WPSOffice_Level2"/>
      <w:bookmarkStart w:id="27" w:name="_Toc25600"/>
      <w:r>
        <w:rPr>
          <w:rStyle w:val="18"/>
          <w:rFonts w:hint="eastAsia" w:ascii="方正小标宋_GBK" w:hAnsi="方正小标宋_GBK" w:eastAsia="方正小标宋_GBK" w:cs="方正小标宋_GBK"/>
          <w:b w:val="0"/>
          <w:bCs w:val="0"/>
          <w:color w:val="auto"/>
          <w:sz w:val="32"/>
          <w:szCs w:val="32"/>
          <w:highlight w:val="none"/>
          <w:lang w:val="en-US" w:eastAsia="zh-CN"/>
        </w:rPr>
        <w:t>机构设置</w:t>
      </w:r>
      <w:bookmarkEnd w:id="26"/>
      <w:bookmarkEnd w:id="27"/>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1" w:after="0" w:afterAutospacing="1" w:line="560" w:lineRule="exact"/>
        <w:ind w:left="0" w:right="0" w:firstLine="640" w:firstLineChars="200"/>
        <w:jc w:val="left"/>
        <w:textAlignment w:val="auto"/>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市交通运输局机关为</w:t>
      </w:r>
      <w:r>
        <w:rPr>
          <w:rFonts w:hint="default" w:ascii="仿宋_GB2312" w:hAnsi="仿宋_GB2312" w:eastAsia="仿宋_GB2312" w:cs="仿宋_GB2312"/>
          <w:i w:val="0"/>
          <w:caps w:val="0"/>
          <w:color w:val="auto"/>
          <w:spacing w:val="0"/>
          <w:kern w:val="0"/>
          <w:sz w:val="32"/>
          <w:szCs w:val="32"/>
          <w:highlight w:val="none"/>
          <w:shd w:val="clear" w:color="auto" w:fill="FFFFFF"/>
          <w:lang w:eastAsia="zh-CN" w:bidi="ar"/>
        </w:rPr>
        <w:t>市交通局部门</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二级预算单位。</w:t>
      </w:r>
      <w:r>
        <w:rPr>
          <w:rFonts w:ascii="仿宋" w:hAnsi="仿宋" w:eastAsia="仿宋" w:cs="仿宋"/>
          <w:kern w:val="2"/>
          <w:sz w:val="32"/>
          <w:szCs w:val="32"/>
          <w:lang w:val="en-US" w:eastAsia="zh-CN" w:bidi="ar"/>
        </w:rPr>
        <w:t>下设独立编制机构</w:t>
      </w:r>
      <w:r>
        <w:rPr>
          <w:rFonts w:hint="default" w:ascii="仿宋" w:hAnsi="仿宋" w:eastAsia="仿宋" w:cs="仿宋"/>
          <w:kern w:val="2"/>
          <w:sz w:val="32"/>
          <w:szCs w:val="32"/>
          <w:lang w:val="en-US" w:eastAsia="zh-CN" w:bidi="ar"/>
        </w:rPr>
        <w:t>1个，其中行政机关</w:t>
      </w:r>
      <w:r>
        <w:rPr>
          <w:rFonts w:hint="default" w:ascii="仿宋" w:hAnsi="仿宋" w:eastAsia="仿宋" w:cs="仿宋"/>
          <w:kern w:val="2"/>
          <w:sz w:val="32"/>
          <w:szCs w:val="32"/>
          <w:lang w:eastAsia="zh-CN" w:bidi="ar"/>
        </w:rPr>
        <w:t>1</w:t>
      </w:r>
      <w:r>
        <w:rPr>
          <w:rFonts w:hint="default" w:ascii="仿宋" w:hAnsi="仿宋" w:eastAsia="仿宋" w:cs="仿宋"/>
          <w:kern w:val="2"/>
          <w:sz w:val="32"/>
          <w:szCs w:val="32"/>
          <w:lang w:val="en-US" w:eastAsia="zh-CN" w:bidi="ar"/>
        </w:rPr>
        <w:t>个，参照公务员法管理的事业机构0个，其他事业机构</w:t>
      </w:r>
      <w:r>
        <w:rPr>
          <w:rFonts w:hint="default" w:ascii="仿宋" w:hAnsi="仿宋" w:eastAsia="仿宋" w:cs="仿宋"/>
          <w:kern w:val="2"/>
          <w:sz w:val="32"/>
          <w:szCs w:val="32"/>
          <w:lang w:eastAsia="zh-CN" w:bidi="ar"/>
        </w:rPr>
        <w:t>0</w:t>
      </w:r>
      <w:r>
        <w:rPr>
          <w:rFonts w:hint="default" w:ascii="仿宋" w:hAnsi="仿宋" w:eastAsia="仿宋" w:cs="仿宋"/>
          <w:kern w:val="2"/>
          <w:sz w:val="32"/>
          <w:szCs w:val="32"/>
          <w:lang w:val="en-US" w:eastAsia="zh-CN" w:bidi="ar"/>
        </w:rPr>
        <w:t>个。</w:t>
      </w:r>
    </w:p>
    <w:p>
      <w:pPr>
        <w:shd w:val="clea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br w:type="page"/>
      </w:r>
    </w:p>
    <w:bookmarkEnd w:id="24"/>
    <w:bookmarkEnd w:id="25"/>
    <w:p>
      <w:pPr>
        <w:pStyle w:val="3"/>
        <w:pageBreakBefore w:val="0"/>
        <w:widowControl w:val="0"/>
        <w:shd w:val="clear"/>
        <w:kinsoku/>
        <w:wordWrap/>
        <w:overflowPunct/>
        <w:topLinePunct w:val="0"/>
        <w:bidi w:val="0"/>
        <w:snapToGrid/>
        <w:spacing w:before="0" w:after="0" w:line="560" w:lineRule="exact"/>
        <w:ind w:left="0" w:right="0" w:firstLine="880" w:firstLineChars="200"/>
        <w:jc w:val="center"/>
        <w:textAlignment w:val="auto"/>
        <w:rPr>
          <w:rStyle w:val="17"/>
          <w:rFonts w:ascii="黑体" w:hAnsi="黑体" w:eastAsia="黑体"/>
          <w:b w:val="0"/>
          <w:bCs/>
          <w:color w:val="auto"/>
          <w:highlight w:val="none"/>
        </w:rPr>
      </w:pPr>
      <w:bookmarkStart w:id="28" w:name="_Toc15377204"/>
      <w:bookmarkStart w:id="29" w:name="_Toc6462"/>
      <w:bookmarkStart w:id="30" w:name="_Toc15396602"/>
      <w:bookmarkStart w:id="31" w:name="_Toc1105666732_WPSOffice_Level1"/>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8"/>
      <w:bookmarkEnd w:id="29"/>
      <w:bookmarkEnd w:id="30"/>
      <w:bookmarkEnd w:id="31"/>
    </w:p>
    <w:p>
      <w:pPr>
        <w:pageBreakBefore w:val="0"/>
        <w:widowControl w:val="0"/>
        <w:shd w:val="clear"/>
        <w:kinsoku/>
        <w:wordWrap/>
        <w:overflowPunct/>
        <w:topLinePunct w:val="0"/>
        <w:bidi w:val="0"/>
        <w:snapToGrid/>
        <w:spacing w:line="560" w:lineRule="exact"/>
        <w:ind w:left="0" w:right="0" w:firstLine="420" w:firstLineChars="200"/>
        <w:textAlignment w:val="auto"/>
        <w:rPr>
          <w:color w:val="auto"/>
          <w:highlight w:val="none"/>
        </w:rPr>
      </w:pPr>
    </w:p>
    <w:p>
      <w:pPr>
        <w:pStyle w:val="27"/>
        <w:pageBreakBefore w:val="0"/>
        <w:widowControl w:val="0"/>
        <w:numPr>
          <w:ilvl w:val="0"/>
          <w:numId w:val="2"/>
        </w:numPr>
        <w:shd w:val="clear"/>
        <w:kinsoku/>
        <w:wordWrap/>
        <w:overflowPunct/>
        <w:topLinePunct w:val="0"/>
        <w:bidi w:val="0"/>
        <w:snapToGrid/>
        <w:spacing w:line="560" w:lineRule="exact"/>
        <w:ind w:left="0" w:right="0" w:firstLine="640" w:firstLineChars="200"/>
        <w:textAlignment w:val="auto"/>
        <w:outlineLvl w:val="1"/>
        <w:rPr>
          <w:rStyle w:val="18"/>
          <w:rFonts w:ascii="黑体" w:hAnsi="黑体" w:eastAsia="黑体"/>
          <w:b w:val="0"/>
          <w:color w:val="auto"/>
          <w:highlight w:val="none"/>
        </w:rPr>
      </w:pPr>
      <w:bookmarkStart w:id="32" w:name="_Toc15396603"/>
      <w:bookmarkStart w:id="33" w:name="_Toc219166499_WPSOffice_Level2"/>
      <w:bookmarkStart w:id="34" w:name="_Toc15377205"/>
      <w:bookmarkStart w:id="35" w:name="_Toc22192"/>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32"/>
      <w:bookmarkEnd w:id="33"/>
      <w:bookmarkEnd w:id="34"/>
      <w:bookmarkEnd w:id="35"/>
    </w:p>
    <w:p>
      <w:pPr>
        <w:keepNext/>
        <w:keepLines/>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2022年度收、支总计17,310.61万元。与2021年相比，收、支总计各减少17,167.47万元，下降49.8%。主要变动原因是政府性基金预算财政拨款收入减少。</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_GB2312" w:eastAsia="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137795</wp:posOffset>
            </wp:positionH>
            <wp:positionV relativeFrom="paragraph">
              <wp:posOffset>592455</wp:posOffset>
            </wp:positionV>
            <wp:extent cx="5080000" cy="2781300"/>
            <wp:effectExtent l="4445" t="4445" r="2095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ageBreakBefore w:val="0"/>
        <w:widowControl w:val="0"/>
        <w:shd w:val="clear"/>
        <w:kinsoku/>
        <w:wordWrap/>
        <w:overflowPunct/>
        <w:topLinePunct w:val="0"/>
        <w:bidi w:val="0"/>
        <w:snapToGrid/>
        <w:spacing w:line="560" w:lineRule="exact"/>
        <w:ind w:left="0" w:right="0" w:firstLine="640" w:firstLineChars="200"/>
        <w:jc w:val="left"/>
        <w:textAlignment w:val="auto"/>
        <w:rPr>
          <w:rFonts w:ascii="仿宋_GB2312" w:eastAsia="仿宋_GB2312"/>
          <w:color w:val="auto"/>
          <w:sz w:val="32"/>
          <w:szCs w:val="32"/>
          <w:highlight w:val="none"/>
        </w:rPr>
      </w:pPr>
    </w:p>
    <w:p>
      <w:pPr>
        <w:pStyle w:val="27"/>
        <w:pageBreakBefore w:val="0"/>
        <w:widowControl w:val="0"/>
        <w:numPr>
          <w:ilvl w:val="0"/>
          <w:numId w:val="2"/>
        </w:numPr>
        <w:shd w:val="clear"/>
        <w:kinsoku/>
        <w:wordWrap/>
        <w:overflowPunct/>
        <w:topLinePunct w:val="0"/>
        <w:bidi w:val="0"/>
        <w:snapToGrid/>
        <w:spacing w:line="560" w:lineRule="exact"/>
        <w:ind w:left="0" w:right="0" w:firstLine="640" w:firstLineChars="200"/>
        <w:textAlignment w:val="auto"/>
        <w:outlineLvl w:val="1"/>
        <w:rPr>
          <w:rStyle w:val="18"/>
          <w:rFonts w:ascii="黑体" w:hAnsi="黑体" w:eastAsia="黑体"/>
          <w:b w:val="0"/>
          <w:color w:val="auto"/>
          <w:highlight w:val="none"/>
        </w:rPr>
      </w:pPr>
      <w:bookmarkStart w:id="36" w:name="_Toc15377206"/>
      <w:bookmarkStart w:id="37" w:name="_Toc1771135377_WPSOffice_Level2"/>
      <w:bookmarkStart w:id="38" w:name="_Toc9353"/>
      <w:bookmarkStart w:id="39" w:name="_Toc1539660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6"/>
      <w:bookmarkEnd w:id="37"/>
      <w:bookmarkEnd w:id="38"/>
      <w:bookmarkEnd w:id="39"/>
    </w:p>
    <w:p>
      <w:pPr>
        <w:pageBreakBefore w:val="0"/>
        <w:widowControl w:val="0"/>
        <w:shd w:val="clear"/>
        <w:kinsoku/>
        <w:wordWrap/>
        <w:overflowPunct/>
        <w:topLinePunct w:val="0"/>
        <w:bidi w:val="0"/>
        <w:snapToGrid/>
        <w:spacing w:line="560" w:lineRule="exact"/>
        <w:ind w:left="0" w:right="0" w:firstLine="640" w:firstLineChars="200"/>
        <w:textAlignment w:val="auto"/>
        <w:outlineLvl w:val="1"/>
        <w:rPr>
          <w:rFonts w:ascii="仿宋" w:hAnsi="仿宋" w:eastAsia="仿宋"/>
          <w:color w:val="auto"/>
          <w:sz w:val="32"/>
          <w:szCs w:val="32"/>
          <w:highlight w:val="none"/>
        </w:rPr>
      </w:pPr>
      <w:bookmarkStart w:id="40" w:name="_Toc7370"/>
      <w:bookmarkStart w:id="41" w:name="_Toc3943"/>
      <w:r>
        <w:rPr>
          <w:rFonts w:hint="eastAsia" w:ascii="仿宋_GB2312" w:hAnsi="仿宋_GB2312" w:eastAsia="仿宋_GB2312"/>
          <w:color w:val="000000"/>
          <w:kern w:val="2"/>
          <w:sz w:val="32"/>
          <w:szCs w:val="24"/>
          <w:highlight w:val="none"/>
          <w:lang w:val="zh-CN"/>
        </w:rPr>
        <w:t>2022年本年收入合计15,359.51万元，其中：一般公共预算财政拨款收入4,183.56万元，占27.2%；政府性基金预算财政拨款收入11,175.96万元，占72.8%</w:t>
      </w:r>
      <w:r>
        <w:rPr>
          <w:rFonts w:hint="eastAsia" w:ascii="仿宋" w:hAnsi="仿宋" w:eastAsia="仿宋"/>
          <w:color w:val="auto"/>
          <w:sz w:val="32"/>
          <w:szCs w:val="32"/>
          <w:highlight w:val="none"/>
        </w:rPr>
        <w:t>。</w:t>
      </w:r>
      <w:bookmarkEnd w:id="40"/>
      <w:bookmarkEnd w:id="41"/>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-43180</wp:posOffset>
            </wp:positionH>
            <wp:positionV relativeFrom="paragraph">
              <wp:posOffset>459105</wp:posOffset>
            </wp:positionV>
            <wp:extent cx="5080000" cy="2134870"/>
            <wp:effectExtent l="4445" t="4445" r="20955" b="1333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olor w:val="auto"/>
          <w:sz w:val="32"/>
          <w:szCs w:val="32"/>
          <w:highlight w:val="none"/>
        </w:rPr>
        <w:t>（图2：收入决算结构图）（饼状图）</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_GB2312" w:eastAsia="仿宋_GB2312"/>
          <w:color w:val="auto"/>
          <w:sz w:val="32"/>
          <w:szCs w:val="32"/>
          <w:highlight w:val="none"/>
        </w:rPr>
      </w:pPr>
    </w:p>
    <w:p>
      <w:pPr>
        <w:pStyle w:val="27"/>
        <w:pageBreakBefore w:val="0"/>
        <w:widowControl w:val="0"/>
        <w:numPr>
          <w:ilvl w:val="0"/>
          <w:numId w:val="2"/>
        </w:numPr>
        <w:shd w:val="clear"/>
        <w:kinsoku/>
        <w:wordWrap/>
        <w:overflowPunct/>
        <w:topLinePunct w:val="0"/>
        <w:bidi w:val="0"/>
        <w:snapToGrid/>
        <w:spacing w:line="560" w:lineRule="exact"/>
        <w:ind w:left="0" w:right="0" w:firstLine="640" w:firstLineChars="200"/>
        <w:textAlignment w:val="auto"/>
        <w:outlineLvl w:val="1"/>
        <w:rPr>
          <w:rStyle w:val="18"/>
          <w:rFonts w:ascii="黑体" w:hAnsi="黑体" w:eastAsia="黑体"/>
          <w:b w:val="0"/>
          <w:color w:val="auto"/>
          <w:highlight w:val="none"/>
        </w:rPr>
      </w:pPr>
      <w:bookmarkStart w:id="42" w:name="_Toc15377207"/>
      <w:bookmarkStart w:id="43" w:name="_Toc15396605"/>
      <w:bookmarkStart w:id="44" w:name="_Toc1988610263_WPSOffice_Level2"/>
      <w:bookmarkStart w:id="45" w:name="_Toc23746"/>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42"/>
      <w:bookmarkEnd w:id="43"/>
      <w:bookmarkEnd w:id="44"/>
      <w:bookmarkEnd w:id="45"/>
    </w:p>
    <w:p>
      <w:pPr>
        <w:pageBreakBefore w:val="0"/>
        <w:widowControl w:val="0"/>
        <w:shd w:val="clear"/>
        <w:kinsoku/>
        <w:wordWrap/>
        <w:overflowPunct/>
        <w:topLinePunct w:val="0"/>
        <w:bidi w:val="0"/>
        <w:snapToGrid/>
        <w:spacing w:line="560" w:lineRule="exact"/>
        <w:ind w:left="0" w:right="0" w:firstLine="640" w:firstLineChars="200"/>
        <w:textAlignment w:val="auto"/>
        <w:outlineLvl w:val="1"/>
        <w:rPr>
          <w:rFonts w:ascii="仿宋" w:hAnsi="仿宋" w:eastAsia="仿宋"/>
          <w:color w:val="auto"/>
          <w:sz w:val="32"/>
          <w:szCs w:val="32"/>
          <w:highlight w:val="none"/>
        </w:rPr>
      </w:pPr>
      <w:bookmarkStart w:id="46" w:name="_Toc26945"/>
      <w:bookmarkStart w:id="47" w:name="_Toc31283"/>
      <w:r>
        <w:rPr>
          <w:rFonts w:hint="eastAsia" w:ascii="仿宋_GB2312" w:hAnsi="仿宋_GB2312" w:eastAsia="仿宋_GB2312"/>
          <w:color w:val="000000"/>
          <w:kern w:val="2"/>
          <w:sz w:val="32"/>
          <w:szCs w:val="24"/>
          <w:highlight w:val="none"/>
          <w:lang w:val="zh-CN"/>
        </w:rPr>
        <w:t>2022年本年支出合计17,310.61万元，其中：基本支出914.24万元，占5.3%；项目支出16,396.37万元，占94.7%</w:t>
      </w:r>
      <w:r>
        <w:rPr>
          <w:rFonts w:hint="eastAsia" w:ascii="仿宋" w:hAnsi="仿宋" w:eastAsia="仿宋"/>
          <w:color w:val="auto"/>
          <w:sz w:val="32"/>
          <w:szCs w:val="32"/>
          <w:highlight w:val="none"/>
        </w:rPr>
        <w:t>。</w:t>
      </w:r>
      <w:bookmarkEnd w:id="46"/>
      <w:bookmarkEnd w:id="47"/>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_GB2312" w:eastAsia="仿宋_GB2312"/>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185420</wp:posOffset>
            </wp:positionH>
            <wp:positionV relativeFrom="paragraph">
              <wp:posOffset>133350</wp:posOffset>
            </wp:positionV>
            <wp:extent cx="5080000" cy="2286000"/>
            <wp:effectExtent l="4445" t="4445" r="20955" b="1460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widowControl w:val="0"/>
        <w:shd w:val="clear"/>
        <w:kinsoku/>
        <w:wordWrap/>
        <w:overflowPunct/>
        <w:topLinePunct w:val="0"/>
        <w:bidi w:val="0"/>
        <w:snapToGrid/>
        <w:spacing w:line="560" w:lineRule="exact"/>
        <w:ind w:left="0" w:right="0" w:firstLine="640" w:firstLineChars="200"/>
        <w:textAlignment w:val="auto"/>
        <w:outlineLvl w:val="1"/>
        <w:rPr>
          <w:rStyle w:val="18"/>
          <w:rFonts w:ascii="黑体" w:hAnsi="黑体" w:eastAsia="黑体"/>
          <w:b w:val="0"/>
          <w:color w:val="auto"/>
          <w:highlight w:val="none"/>
        </w:rPr>
      </w:pPr>
      <w:bookmarkStart w:id="48" w:name="_Toc15396606"/>
      <w:bookmarkStart w:id="49" w:name="_Toc19134"/>
      <w:bookmarkStart w:id="50" w:name="_Toc92513227_WPSOffice_Level2"/>
      <w:bookmarkStart w:id="51" w:name="_Toc15377208"/>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48"/>
      <w:bookmarkEnd w:id="49"/>
      <w:bookmarkEnd w:id="50"/>
      <w:bookmarkEnd w:id="51"/>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_GB2312" w:hAnsi="仿宋_GB2312" w:eastAsia="仿宋_GB2312"/>
          <w:color w:val="000000"/>
          <w:kern w:val="2"/>
          <w:sz w:val="32"/>
          <w:szCs w:val="24"/>
          <w:highlight w:val="none"/>
          <w:lang w:val="zh-CN"/>
        </w:rPr>
        <w:t>2022年财政拨款收、支总计15,704.98万元。与2021年相比，财政拨款收、支总计各减少5,782.92万元，下降26.9%。</w:t>
      </w:r>
      <w:r>
        <w:rPr>
          <w:rFonts w:hint="eastAsia" w:ascii="仿宋" w:hAnsi="仿宋" w:eastAsia="仿宋"/>
          <w:color w:val="auto"/>
          <w:sz w:val="32"/>
          <w:szCs w:val="32"/>
          <w:highlight w:val="none"/>
        </w:rPr>
        <w:t>主要变动原因是</w:t>
      </w:r>
      <w:r>
        <w:rPr>
          <w:rFonts w:hint="eastAsia" w:ascii="仿宋_GB2312" w:hAnsi="仿宋_GB2312" w:eastAsia="仿宋_GB2312"/>
          <w:color w:val="000000"/>
          <w:kern w:val="2"/>
          <w:sz w:val="32"/>
          <w:szCs w:val="24"/>
          <w:highlight w:val="none"/>
          <w:lang w:val="zh-CN"/>
        </w:rPr>
        <w:t>政府性基金预算财政拨款减少和一般公共预算财政拨款减少。</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3"/>
        <w:bidi w:val="0"/>
        <w:ind w:firstLine="642" w:firstLineChars="200"/>
        <w:rPr>
          <w:rFonts w:hint="eastAsia" w:ascii="黑体" w:hAnsi="Times New Roman" w:eastAsia="黑体" w:cs="Times New Roman"/>
          <w:b/>
          <w:bCs w:val="0"/>
          <w:color w:val="auto"/>
          <w:kern w:val="2"/>
          <w:sz w:val="32"/>
          <w:szCs w:val="32"/>
          <w:highlight w:val="none"/>
          <w:lang w:val="en-US" w:eastAsia="zh-CN" w:bidi="ar-SA"/>
        </w:rPr>
      </w:pPr>
      <w:bookmarkStart w:id="52" w:name="_Toc9029"/>
      <w:r>
        <w:rPr>
          <w:rFonts w:hint="eastAsia" w:ascii="黑体" w:hAnsi="Times New Roman" w:eastAsia="黑体" w:cs="Times New Roman"/>
          <w:b/>
          <w:bCs w:val="0"/>
          <w:color w:val="auto"/>
          <w:kern w:val="2"/>
          <w:sz w:val="32"/>
          <w:szCs w:val="32"/>
          <w:highlight w:val="none"/>
          <w:lang w:val="en-US" w:eastAsia="zh-CN" w:bidi="ar-SA"/>
        </w:rPr>
        <w:drawing>
          <wp:anchor distT="0" distB="0" distL="114300" distR="114300" simplePos="0" relativeHeight="251662336" behindDoc="0" locked="0" layoutInCell="1" allowOverlap="1">
            <wp:simplePos x="0" y="0"/>
            <wp:positionH relativeFrom="column">
              <wp:posOffset>442595</wp:posOffset>
            </wp:positionH>
            <wp:positionV relativeFrom="paragraph">
              <wp:posOffset>245745</wp:posOffset>
            </wp:positionV>
            <wp:extent cx="5080000" cy="2371725"/>
            <wp:effectExtent l="4445" t="4445" r="20955" b="508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Start w:id="53" w:name="_Toc15377209"/>
      <w:bookmarkStart w:id="54" w:name="_Toc15396607"/>
      <w:r>
        <w:rPr>
          <w:rFonts w:hint="eastAsia" w:ascii="黑体" w:hAnsi="Times New Roman" w:eastAsia="黑体" w:cs="Times New Roman"/>
          <w:b/>
          <w:bCs w:val="0"/>
          <w:color w:val="auto"/>
          <w:kern w:val="2"/>
          <w:sz w:val="32"/>
          <w:szCs w:val="32"/>
          <w:highlight w:val="none"/>
          <w:lang w:val="en-US" w:eastAsia="zh-CN" w:bidi="ar-SA"/>
        </w:rPr>
        <w:t>五、一般公共预算财政拨款支出决算情况说明</w:t>
      </w:r>
      <w:bookmarkEnd w:id="52"/>
      <w:bookmarkEnd w:id="53"/>
      <w:bookmarkEnd w:id="54"/>
    </w:p>
    <w:p>
      <w:pPr>
        <w:pageBreakBefore w:val="0"/>
        <w:widowControl w:val="0"/>
        <w:shd w:val="clear"/>
        <w:kinsoku/>
        <w:wordWrap/>
        <w:overflowPunct/>
        <w:topLinePunct w:val="0"/>
        <w:bidi w:val="0"/>
        <w:snapToGrid/>
        <w:spacing w:line="560" w:lineRule="exact"/>
        <w:ind w:left="0" w:right="0" w:firstLine="642" w:firstLineChars="200"/>
        <w:textAlignment w:val="auto"/>
        <w:outlineLvl w:val="2"/>
        <w:rPr>
          <w:rFonts w:ascii="仿宋" w:hAnsi="仿宋" w:eastAsia="仿宋"/>
          <w:b/>
          <w:color w:val="auto"/>
          <w:sz w:val="32"/>
          <w:szCs w:val="32"/>
          <w:highlight w:val="none"/>
        </w:rPr>
      </w:pPr>
      <w:bookmarkStart w:id="55" w:name="_Toc15377210"/>
      <w:r>
        <w:rPr>
          <w:rFonts w:hint="eastAsia" w:ascii="仿宋" w:hAnsi="仿宋" w:eastAsia="仿宋"/>
          <w:b/>
          <w:color w:val="auto"/>
          <w:sz w:val="32"/>
          <w:szCs w:val="32"/>
          <w:highlight w:val="none"/>
        </w:rPr>
        <w:t>（一）一般公共预算财政拨款支出决算总体情况</w:t>
      </w:r>
      <w:bookmarkEnd w:id="55"/>
    </w:p>
    <w:p>
      <w:pPr>
        <w:keepNext/>
        <w:keepLines/>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2022年一般公共预算财政拨款支出4,529.03万元，占本年支出合计的26.2%。与2021年相比，一般公共预算财政拨款支出减少1,294.6万元，下降22.2%。主要变动原因是一般公共预算财政拨款减少。</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318770</wp:posOffset>
            </wp:positionH>
            <wp:positionV relativeFrom="paragraph">
              <wp:posOffset>842010</wp:posOffset>
            </wp:positionV>
            <wp:extent cx="5080000" cy="2342515"/>
            <wp:effectExtent l="4445" t="4445" r="20955" b="15240"/>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rPr>
        <w:t>（图5：一般公共预算财政拨款支出决算变动情况）（柱状图）</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p>
    <w:p>
      <w:pPr>
        <w:pageBreakBefore w:val="0"/>
        <w:widowControl w:val="0"/>
        <w:shd w:val="clear"/>
        <w:kinsoku/>
        <w:wordWrap/>
        <w:overflowPunct/>
        <w:topLinePunct w:val="0"/>
        <w:bidi w:val="0"/>
        <w:snapToGrid/>
        <w:spacing w:line="560" w:lineRule="exact"/>
        <w:ind w:left="0" w:right="0" w:firstLine="642" w:firstLineChars="200"/>
        <w:textAlignment w:val="auto"/>
        <w:outlineLvl w:val="2"/>
        <w:rPr>
          <w:rFonts w:ascii="仿宋" w:hAnsi="仿宋" w:eastAsia="仿宋"/>
          <w:b/>
          <w:color w:val="auto"/>
          <w:sz w:val="32"/>
          <w:szCs w:val="32"/>
          <w:highlight w:val="none"/>
        </w:rPr>
      </w:pPr>
      <w:bookmarkStart w:id="56" w:name="_Toc15377211"/>
      <w:r>
        <w:rPr>
          <w:rFonts w:hint="eastAsia" w:ascii="仿宋" w:hAnsi="仿宋" w:eastAsia="仿宋"/>
          <w:b/>
          <w:color w:val="auto"/>
          <w:sz w:val="32"/>
          <w:szCs w:val="32"/>
          <w:highlight w:val="none"/>
        </w:rPr>
        <w:t>（二）一般公共预算财政拨款支出决算结构情况</w:t>
      </w:r>
      <w:bookmarkEnd w:id="56"/>
    </w:p>
    <w:p>
      <w:pPr>
        <w:keepNext/>
        <w:keepLines/>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2022年一般公共预算财政拨款支出4,529.0</w:t>
      </w:r>
      <w:r>
        <w:rPr>
          <w:rFonts w:hint="eastAsia" w:ascii="仿宋_GB2312" w:hAnsi="仿宋_GB2312" w:eastAsia="仿宋_GB2312"/>
          <w:color w:val="000000"/>
          <w:kern w:val="2"/>
          <w:sz w:val="32"/>
          <w:szCs w:val="24"/>
          <w:highlight w:val="none"/>
          <w:lang w:val="en-US" w:eastAsia="zh-CN"/>
        </w:rPr>
        <w:t>3</w:t>
      </w:r>
      <w:r>
        <w:rPr>
          <w:rFonts w:hint="eastAsia" w:ascii="仿宋_GB2312" w:hAnsi="仿宋_GB2312" w:eastAsia="仿宋_GB2312"/>
          <w:color w:val="000000"/>
          <w:kern w:val="2"/>
          <w:sz w:val="32"/>
          <w:szCs w:val="24"/>
          <w:highlight w:val="none"/>
          <w:lang w:val="zh-CN"/>
        </w:rPr>
        <w:t>万元，主要用于以下方面： 文化体育与传媒支出5万元，占0.1%；社会保障和就业支出119.58万元，占2.6%；卫生健康支出24.59万元，占0.5%；交通运输支出3,915.9</w:t>
      </w:r>
      <w:r>
        <w:rPr>
          <w:rFonts w:hint="eastAsia" w:ascii="仿宋_GB2312" w:hAnsi="仿宋_GB2312" w:eastAsia="仿宋_GB2312"/>
          <w:color w:val="000000"/>
          <w:kern w:val="2"/>
          <w:sz w:val="32"/>
          <w:szCs w:val="24"/>
          <w:highlight w:val="none"/>
          <w:lang w:val="en-US" w:eastAsia="zh-CN"/>
        </w:rPr>
        <w:t>8</w:t>
      </w:r>
      <w:r>
        <w:rPr>
          <w:rFonts w:hint="eastAsia" w:ascii="仿宋_GB2312" w:hAnsi="仿宋_GB2312" w:eastAsia="仿宋_GB2312"/>
          <w:color w:val="000000"/>
          <w:kern w:val="2"/>
          <w:sz w:val="32"/>
          <w:szCs w:val="24"/>
          <w:highlight w:val="none"/>
          <w:lang w:val="zh-CN"/>
        </w:rPr>
        <w:t>万元，占86.5%；住房保障支出63.88万元，占1.4%；其他支出400万元，占8.8%。</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ageBreakBefore w:val="0"/>
        <w:widowControl w:val="0"/>
        <w:shd w:val="clear"/>
        <w:kinsoku/>
        <w:wordWrap/>
        <w:overflowPunct/>
        <w:topLinePunct w:val="0"/>
        <w:bidi w:val="0"/>
        <w:snapToGrid/>
        <w:spacing w:line="560" w:lineRule="exact"/>
        <w:ind w:left="0" w:right="0" w:firstLine="640" w:firstLineChars="200"/>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328295</wp:posOffset>
            </wp:positionH>
            <wp:positionV relativeFrom="paragraph">
              <wp:posOffset>228600</wp:posOffset>
            </wp:positionV>
            <wp:extent cx="5080000" cy="2629535"/>
            <wp:effectExtent l="4445" t="4445" r="20955" b="1397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widowControl w:val="0"/>
        <w:shd w:val="clear"/>
        <w:kinsoku/>
        <w:wordWrap/>
        <w:overflowPunct/>
        <w:topLinePunct w:val="0"/>
        <w:bidi w:val="0"/>
        <w:snapToGrid/>
        <w:spacing w:line="560" w:lineRule="exact"/>
        <w:ind w:left="0" w:right="0" w:firstLine="642" w:firstLineChars="200"/>
        <w:textAlignment w:val="auto"/>
        <w:outlineLvl w:val="2"/>
        <w:rPr>
          <w:rFonts w:ascii="仿宋" w:hAnsi="仿宋" w:eastAsia="仿宋"/>
          <w:b/>
          <w:color w:val="auto"/>
          <w:sz w:val="32"/>
          <w:szCs w:val="32"/>
          <w:highlight w:val="none"/>
        </w:rPr>
      </w:pPr>
      <w:bookmarkStart w:id="57" w:name="_Toc15377212"/>
      <w:r>
        <w:rPr>
          <w:rFonts w:hint="eastAsia" w:ascii="仿宋" w:hAnsi="仿宋" w:eastAsia="仿宋"/>
          <w:b/>
          <w:color w:val="auto"/>
          <w:sz w:val="32"/>
          <w:szCs w:val="32"/>
          <w:highlight w:val="none"/>
        </w:rPr>
        <w:t>（三）一般公共预算财政拨款支出决算具体情况</w:t>
      </w:r>
      <w:bookmarkEnd w:id="57"/>
    </w:p>
    <w:p>
      <w:pPr>
        <w:keepNext/>
        <w:keepLines/>
        <w:shd w:val="clear"/>
        <w:spacing w:beforeLines="0" w:afterLines="0" w:line="576" w:lineRule="exact"/>
        <w:ind w:firstLine="643"/>
        <w:jc w:val="both"/>
        <w:rPr>
          <w:rFonts w:hint="eastAsia" w:ascii="仿宋_GB2312" w:hAnsi="仿宋_GB2312" w:eastAsia="仿宋_GB2312"/>
          <w:b/>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2022年一般公共预算支出决算数为4,529.03万元</w:t>
      </w:r>
      <w:r>
        <w:rPr>
          <w:rFonts w:hint="eastAsia" w:ascii="仿宋_GB2312" w:hAnsi="仿宋_GB2312" w:eastAsia="仿宋_GB2312"/>
          <w:color w:val="000000"/>
          <w:kern w:val="2"/>
          <w:sz w:val="32"/>
          <w:szCs w:val="24"/>
          <w:highlight w:val="none"/>
          <w:lang w:val="zh-CN"/>
        </w:rPr>
        <w:t>，</w:t>
      </w:r>
      <w:r>
        <w:rPr>
          <w:rFonts w:hint="eastAsia" w:ascii="仿宋_GB2312" w:hAnsi="仿宋_GB2312" w:eastAsia="仿宋_GB2312"/>
          <w:b/>
          <w:color w:val="000000"/>
          <w:kern w:val="2"/>
          <w:sz w:val="32"/>
          <w:szCs w:val="24"/>
          <w:highlight w:val="none"/>
          <w:lang w:val="zh-CN"/>
        </w:rPr>
        <w:t>完成预算100%。其中：</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文化旅游体育与传媒（类）</w:t>
      </w:r>
      <w:r>
        <w:rPr>
          <w:rStyle w:val="15"/>
          <w:rFonts w:hint="eastAsia" w:ascii="仿宋_GB2312" w:hAnsi="仿宋_GB2312" w:eastAsia="仿宋_GB2312" w:cs="仿宋_GB2312"/>
          <w:b w:val="0"/>
          <w:bCs/>
          <w:color w:val="auto"/>
          <w:sz w:val="32"/>
          <w:szCs w:val="32"/>
          <w:highlight w:val="none"/>
          <w:lang w:eastAsia="zh-CN"/>
        </w:rPr>
        <w:t>文化和旅游</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文化活动</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5</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人力资源和社会保障管理事务</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引进人才费用</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8.3</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人力资源和社会保障管理事务</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其他人力资源和社会保障管理事务支出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行政事业单位养老支出</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行政单位离退休</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14.80</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行政事业单位养老支出</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机关事业单位基本养老保险缴费支出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46.28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行政事业单位养老支出</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机关事业单位职业年金缴费支出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22.63</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rPr>
        <w:t>社会保障和就业（类）</w:t>
      </w:r>
      <w:r>
        <w:rPr>
          <w:rStyle w:val="15"/>
          <w:rFonts w:hint="eastAsia" w:ascii="仿宋_GB2312" w:hAnsi="仿宋_GB2312" w:eastAsia="仿宋_GB2312" w:cs="仿宋_GB2312"/>
          <w:b w:val="0"/>
          <w:bCs/>
          <w:color w:val="auto"/>
          <w:sz w:val="32"/>
          <w:szCs w:val="32"/>
          <w:highlight w:val="none"/>
          <w:lang w:eastAsia="zh-CN"/>
        </w:rPr>
        <w:t>抚恤</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死亡抚恤</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23.58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卫生健康</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行政事业单位医疗</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行政单位医疗</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24.59</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交通运输支出</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公路水路运输</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行政运行</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718.49</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交通运输支出</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公路水路运输</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一般行政管理事务</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408.46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交通运输支出</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公路水里运输</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其他公路水路运输支出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1676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val="en-US" w:eastAsia="zh-CN"/>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交通运输支出</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其他交通运输支出</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其他交通运输支出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1113.02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lang w:eastAsia="zh-CN"/>
        </w:rPr>
        <w:t>住房保障支出</w:t>
      </w:r>
      <w:r>
        <w:rPr>
          <w:rStyle w:val="15"/>
          <w:rFonts w:hint="eastAsia" w:ascii="仿宋_GB2312" w:hAnsi="仿宋_GB2312" w:eastAsia="仿宋_GB2312" w:cs="仿宋_GB2312"/>
          <w:b w:val="0"/>
          <w:bCs/>
          <w:color w:val="auto"/>
          <w:sz w:val="32"/>
          <w:szCs w:val="32"/>
          <w:highlight w:val="none"/>
        </w:rPr>
        <w:t>（类）</w:t>
      </w:r>
      <w:r>
        <w:rPr>
          <w:rStyle w:val="15"/>
          <w:rFonts w:hint="eastAsia" w:ascii="仿宋_GB2312" w:hAnsi="仿宋_GB2312" w:eastAsia="仿宋_GB2312" w:cs="仿宋_GB2312"/>
          <w:b w:val="0"/>
          <w:bCs/>
          <w:color w:val="auto"/>
          <w:sz w:val="32"/>
          <w:szCs w:val="32"/>
          <w:highlight w:val="none"/>
          <w:lang w:eastAsia="zh-CN"/>
        </w:rPr>
        <w:t>住房保障支出</w:t>
      </w:r>
      <w:r>
        <w:rPr>
          <w:rStyle w:val="15"/>
          <w:rFonts w:hint="eastAsia" w:ascii="仿宋_GB2312" w:hAnsi="仿宋_GB2312" w:eastAsia="仿宋_GB2312" w:cs="仿宋_GB2312"/>
          <w:b w:val="0"/>
          <w:bCs/>
          <w:color w:val="auto"/>
          <w:sz w:val="32"/>
          <w:szCs w:val="32"/>
          <w:highlight w:val="none"/>
        </w:rPr>
        <w:t>（款）</w:t>
      </w:r>
      <w:r>
        <w:rPr>
          <w:rStyle w:val="15"/>
          <w:rFonts w:hint="eastAsia" w:ascii="仿宋_GB2312" w:hAnsi="仿宋_GB2312" w:eastAsia="仿宋_GB2312" w:cs="仿宋_GB2312"/>
          <w:b w:val="0"/>
          <w:bCs/>
          <w:color w:val="auto"/>
          <w:sz w:val="32"/>
          <w:szCs w:val="32"/>
          <w:highlight w:val="none"/>
          <w:lang w:eastAsia="zh-CN"/>
        </w:rPr>
        <w:t>住房公积金</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63.88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numPr>
          <w:ilvl w:val="0"/>
          <w:numId w:val="3"/>
        </w:numPr>
        <w:shd w:val="clear"/>
        <w:kinsoku/>
        <w:wordWrap/>
        <w:overflowPunct/>
        <w:topLinePunct w:val="0"/>
        <w:autoSpaceDE/>
        <w:autoSpaceDN/>
        <w:bidi w:val="0"/>
        <w:adjustRightInd/>
        <w:snapToGrid/>
        <w:spacing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其他支出</w:t>
      </w:r>
      <w:r>
        <w:rPr>
          <w:rStyle w:val="15"/>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其他支出</w:t>
      </w:r>
      <w:r>
        <w:rPr>
          <w:rStyle w:val="15"/>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其他支出</w:t>
      </w:r>
      <w:r>
        <w:rPr>
          <w:rStyle w:val="15"/>
          <w:rFonts w:hint="eastAsia" w:ascii="仿宋_GB2312" w:hAnsi="仿宋_GB2312" w:eastAsia="仿宋_GB2312" w:cs="仿宋_GB2312"/>
          <w:b w:val="0"/>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400</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ageBreakBefore w:val="0"/>
        <w:widowControl w:val="0"/>
        <w:shd w:val="clear"/>
        <w:tabs>
          <w:tab w:val="right" w:pos="8306"/>
        </w:tabs>
        <w:kinsoku/>
        <w:wordWrap/>
        <w:overflowPunct/>
        <w:topLinePunct w:val="0"/>
        <w:bidi w:val="0"/>
        <w:snapToGrid/>
        <w:spacing w:line="560" w:lineRule="exact"/>
        <w:ind w:left="0" w:right="0" w:firstLine="640" w:firstLineChars="200"/>
        <w:textAlignment w:val="auto"/>
        <w:outlineLvl w:val="1"/>
        <w:rPr>
          <w:rStyle w:val="18"/>
          <w:color w:val="auto"/>
          <w:highlight w:val="none"/>
        </w:rPr>
      </w:pPr>
      <w:bookmarkStart w:id="58" w:name="_Toc15396608"/>
      <w:bookmarkStart w:id="59" w:name="_Toc11498"/>
      <w:bookmarkStart w:id="60" w:name="_Toc15377214"/>
      <w:bookmarkStart w:id="61" w:name="_Toc1791556294_WPSOffice_Level2"/>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58"/>
      <w:bookmarkEnd w:id="59"/>
      <w:bookmarkEnd w:id="60"/>
      <w:bookmarkEnd w:id="61"/>
      <w:r>
        <w:rPr>
          <w:rStyle w:val="18"/>
          <w:rFonts w:ascii="黑体" w:hAnsi="黑体" w:eastAsia="黑体"/>
          <w:b w:val="0"/>
          <w:color w:val="auto"/>
          <w:highlight w:val="none"/>
        </w:rPr>
        <w:tab/>
      </w:r>
    </w:p>
    <w:p>
      <w:pPr>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2022年一般公共预算财政拨款基本支出914.24万元，其中：</w:t>
      </w:r>
    </w:p>
    <w:p>
      <w:pPr>
        <w:shd w:val="clear"/>
        <w:spacing w:beforeLines="0" w:afterLines="0" w:line="576" w:lineRule="exact"/>
        <w:ind w:firstLine="643"/>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人员经费</w:t>
      </w:r>
      <w:r>
        <w:rPr>
          <w:rFonts w:hint="eastAsia" w:ascii="仿宋_GB2312" w:hAnsi="仿宋_GB2312" w:eastAsia="仿宋_GB2312"/>
          <w:color w:val="000000"/>
          <w:kern w:val="2"/>
          <w:sz w:val="32"/>
          <w:szCs w:val="24"/>
          <w:highlight w:val="none"/>
          <w:lang w:val="zh-CN"/>
        </w:rPr>
        <w:t>807.75万元，主要包括：</w:t>
      </w:r>
      <w:r>
        <w:rPr>
          <w:rFonts w:hint="eastAsia" w:ascii="仿宋" w:hAnsi="仿宋" w:eastAsia="仿宋"/>
          <w:color w:val="auto"/>
          <w:kern w:val="2"/>
          <w:sz w:val="32"/>
          <w:szCs w:val="24"/>
          <w:highlight w:val="none"/>
          <w:lang w:val="en-US"/>
        </w:rPr>
        <w:t>基本工资、津贴补贴、奖金、机关事业单位基本养老保险缴费、职业年金缴费、</w:t>
      </w:r>
      <w:r>
        <w:rPr>
          <w:rFonts w:hint="eastAsia" w:ascii="仿宋" w:hAnsi="仿宋" w:eastAsia="仿宋"/>
          <w:color w:val="auto"/>
          <w:kern w:val="2"/>
          <w:sz w:val="32"/>
          <w:szCs w:val="24"/>
          <w:highlight w:val="none"/>
          <w:lang w:val="en-US" w:eastAsia="zh-CN"/>
        </w:rPr>
        <w:t>职工基本医疗保险缴费、</w:t>
      </w:r>
      <w:r>
        <w:rPr>
          <w:rFonts w:hint="eastAsia" w:ascii="仿宋" w:hAnsi="仿宋" w:eastAsia="仿宋"/>
          <w:color w:val="auto"/>
          <w:kern w:val="2"/>
          <w:sz w:val="32"/>
          <w:szCs w:val="24"/>
          <w:highlight w:val="none"/>
          <w:lang w:val="en-US"/>
        </w:rPr>
        <w:t>其他社会保障缴费、住房公积金、其他工资福利支出、离休费、抚恤金、生活补助、奖励金、其他对个人和家庭的补助支出</w:t>
      </w:r>
      <w:r>
        <w:rPr>
          <w:rFonts w:hint="eastAsia" w:ascii="仿宋_GB2312" w:hAnsi="仿宋_GB2312" w:eastAsia="仿宋_GB2312"/>
          <w:color w:val="000000"/>
          <w:kern w:val="2"/>
          <w:sz w:val="32"/>
          <w:szCs w:val="24"/>
          <w:highlight w:val="none"/>
          <w:lang w:val="zh-CN"/>
        </w:rPr>
        <w:t>。</w:t>
      </w:r>
    </w:p>
    <w:p>
      <w:pPr>
        <w:shd w:val="clear"/>
        <w:spacing w:beforeLines="0" w:afterLines="0" w:line="576" w:lineRule="exact"/>
        <w:ind w:firstLine="643"/>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公用经费</w:t>
      </w:r>
      <w:r>
        <w:rPr>
          <w:rFonts w:hint="eastAsia" w:ascii="仿宋_GB2312" w:hAnsi="仿宋_GB2312" w:eastAsia="仿宋_GB2312"/>
          <w:color w:val="000000"/>
          <w:kern w:val="2"/>
          <w:sz w:val="32"/>
          <w:szCs w:val="24"/>
          <w:highlight w:val="none"/>
          <w:lang w:val="zh-CN"/>
        </w:rPr>
        <w:t>106.49万元，主要包括：</w:t>
      </w:r>
      <w:r>
        <w:rPr>
          <w:rFonts w:hint="eastAsia" w:ascii="仿宋" w:hAnsi="仿宋" w:eastAsia="仿宋"/>
          <w:color w:val="auto"/>
          <w:kern w:val="2"/>
          <w:sz w:val="32"/>
          <w:szCs w:val="24"/>
          <w:highlight w:val="none"/>
          <w:lang w:val="en-US"/>
        </w:rPr>
        <w:t>办公费、印刷费、水费、电费、物业管理费、维修（护）费、公务接待费、劳务费、工会经费、福利费、其他交通费</w:t>
      </w:r>
      <w:r>
        <w:rPr>
          <w:rFonts w:hint="eastAsia" w:ascii="仿宋" w:hAnsi="仿宋" w:eastAsia="仿宋"/>
          <w:color w:val="auto"/>
          <w:kern w:val="2"/>
          <w:sz w:val="32"/>
          <w:szCs w:val="24"/>
          <w:highlight w:val="none"/>
          <w:lang w:val="en-US" w:eastAsia="zh-CN"/>
        </w:rPr>
        <w:t>用</w:t>
      </w:r>
      <w:r>
        <w:rPr>
          <w:rFonts w:hint="eastAsia" w:ascii="仿宋" w:hAnsi="仿宋" w:eastAsia="仿宋"/>
          <w:color w:val="auto"/>
          <w:kern w:val="2"/>
          <w:sz w:val="32"/>
          <w:szCs w:val="24"/>
          <w:highlight w:val="none"/>
          <w:lang w:val="en-US"/>
        </w:rPr>
        <w:t>、其他商品和服务支出</w:t>
      </w:r>
      <w:r>
        <w:rPr>
          <w:rFonts w:hint="eastAsia" w:ascii="仿宋_GB2312" w:hAnsi="仿宋_GB2312" w:eastAsia="仿宋_GB2312"/>
          <w:color w:val="000000"/>
          <w:kern w:val="2"/>
          <w:sz w:val="32"/>
          <w:szCs w:val="24"/>
          <w:highlight w:val="none"/>
          <w:lang w:val="zh-CN"/>
        </w:rPr>
        <w:t>。</w:t>
      </w:r>
    </w:p>
    <w:p>
      <w:pPr>
        <w:pageBreakBefore w:val="0"/>
        <w:widowControl w:val="0"/>
        <w:shd w:val="clear"/>
        <w:kinsoku/>
        <w:wordWrap/>
        <w:overflowPunct/>
        <w:topLinePunct w:val="0"/>
        <w:bidi w:val="0"/>
        <w:snapToGrid/>
        <w:spacing w:line="560" w:lineRule="exact"/>
        <w:ind w:left="0" w:right="0" w:firstLine="640" w:firstLineChars="200"/>
        <w:textAlignment w:val="auto"/>
        <w:outlineLvl w:val="1"/>
        <w:rPr>
          <w:rStyle w:val="18"/>
          <w:rFonts w:ascii="黑体" w:hAnsi="黑体" w:eastAsia="黑体"/>
          <w:b w:val="0"/>
          <w:color w:val="auto"/>
          <w:highlight w:val="none"/>
        </w:rPr>
      </w:pPr>
      <w:bookmarkStart w:id="62" w:name="_Toc30654"/>
      <w:bookmarkStart w:id="63" w:name="_Toc15396609"/>
      <w:bookmarkStart w:id="64" w:name="_Toc15377215"/>
      <w:bookmarkStart w:id="65" w:name="_Toc497602947_WPSOffice_Level2"/>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62"/>
      <w:bookmarkEnd w:id="63"/>
      <w:bookmarkEnd w:id="64"/>
      <w:bookmarkEnd w:id="65"/>
    </w:p>
    <w:p>
      <w:pPr>
        <w:pageBreakBefore w:val="0"/>
        <w:widowControl w:val="0"/>
        <w:shd w:val="clear"/>
        <w:kinsoku/>
        <w:wordWrap/>
        <w:overflowPunct/>
        <w:topLinePunct w:val="0"/>
        <w:bidi w:val="0"/>
        <w:snapToGrid/>
        <w:spacing w:line="560" w:lineRule="exact"/>
        <w:ind w:left="0" w:right="0" w:firstLine="642" w:firstLineChars="200"/>
        <w:textAlignment w:val="auto"/>
        <w:outlineLvl w:val="2"/>
        <w:rPr>
          <w:rFonts w:ascii="仿宋" w:hAnsi="仿宋" w:eastAsia="仿宋"/>
          <w:b/>
          <w:color w:val="auto"/>
          <w:sz w:val="32"/>
          <w:szCs w:val="32"/>
          <w:highlight w:val="none"/>
        </w:rPr>
      </w:pPr>
      <w:bookmarkStart w:id="66" w:name="_Toc15377216"/>
      <w:r>
        <w:rPr>
          <w:rFonts w:hint="eastAsia" w:ascii="仿宋" w:hAnsi="仿宋" w:eastAsia="仿宋"/>
          <w:b/>
          <w:color w:val="auto"/>
          <w:sz w:val="32"/>
          <w:szCs w:val="32"/>
          <w:highlight w:val="none"/>
        </w:rPr>
        <w:t>（一）“三公”经费财政拨款支出决算总体情况说明</w:t>
      </w:r>
      <w:bookmarkEnd w:id="66"/>
    </w:p>
    <w:p>
      <w:pPr>
        <w:keepNext/>
        <w:keepLines/>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三公</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经费财政拨款支出决算为56.24万元，完成预算100%；较上年增加47.09万元，增长514.6%，原因是</w:t>
      </w:r>
      <w:r>
        <w:rPr>
          <w:rFonts w:hint="eastAsia" w:ascii="仿宋_GB2312" w:hAnsi="仿宋_GB2312" w:eastAsia="仿宋_GB2312"/>
          <w:color w:val="000000"/>
          <w:kern w:val="2"/>
          <w:sz w:val="32"/>
          <w:szCs w:val="24"/>
          <w:highlight w:val="none"/>
          <w:lang w:val="en-US" w:eastAsia="zh-CN"/>
        </w:rPr>
        <w:t>2022年更新购置公务用车一辆</w:t>
      </w:r>
      <w:r>
        <w:rPr>
          <w:rFonts w:hint="eastAsia" w:ascii="仿宋_GB2312" w:hAnsi="仿宋_GB2312" w:eastAsia="仿宋_GB2312"/>
          <w:color w:val="000000"/>
          <w:kern w:val="2"/>
          <w:sz w:val="32"/>
          <w:szCs w:val="24"/>
          <w:highlight w:val="none"/>
          <w:lang w:val="zh-CN"/>
        </w:rPr>
        <w:t>。</w:t>
      </w:r>
    </w:p>
    <w:p>
      <w:pPr>
        <w:pageBreakBefore w:val="0"/>
        <w:widowControl w:val="0"/>
        <w:shd w:val="clear"/>
        <w:kinsoku/>
        <w:wordWrap/>
        <w:overflowPunct/>
        <w:topLinePunct w:val="0"/>
        <w:bidi w:val="0"/>
        <w:snapToGrid/>
        <w:spacing w:line="560" w:lineRule="exact"/>
        <w:ind w:left="0" w:right="0" w:firstLine="642" w:firstLineChars="200"/>
        <w:textAlignment w:val="auto"/>
        <w:outlineLvl w:val="2"/>
        <w:rPr>
          <w:rFonts w:ascii="仿宋" w:hAnsi="仿宋" w:eastAsia="仿宋"/>
          <w:b/>
          <w:color w:val="auto"/>
          <w:sz w:val="32"/>
          <w:szCs w:val="32"/>
          <w:highlight w:val="none"/>
        </w:rPr>
      </w:pPr>
      <w:bookmarkStart w:id="67" w:name="_Toc15377217"/>
      <w:r>
        <w:rPr>
          <w:rFonts w:hint="eastAsia" w:ascii="仿宋" w:hAnsi="仿宋" w:eastAsia="仿宋"/>
          <w:b/>
          <w:color w:val="auto"/>
          <w:sz w:val="32"/>
          <w:szCs w:val="32"/>
          <w:highlight w:val="none"/>
        </w:rPr>
        <w:t>（二）“三公”经费财政拨款支出决算具体情况说明</w:t>
      </w:r>
      <w:bookmarkEnd w:id="67"/>
    </w:p>
    <w:p>
      <w:pPr>
        <w:keepNext/>
        <w:keepLines/>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三公</w:t>
      </w:r>
      <w:r>
        <w:rPr>
          <w:rFonts w:hint="default" w:ascii="仿宋_GB2312" w:hAnsi="仿宋_GB2312" w:eastAsia="仿宋_GB2312"/>
          <w:color w:val="000000"/>
          <w:kern w:val="2"/>
          <w:sz w:val="32"/>
          <w:szCs w:val="24"/>
          <w:highlight w:val="none"/>
          <w:lang w:val="zh-CN"/>
        </w:rPr>
        <w:t>”</w:t>
      </w:r>
      <w:r>
        <w:rPr>
          <w:rFonts w:hint="eastAsia" w:ascii="仿宋_GB2312" w:hAnsi="仿宋_GB2312" w:eastAsia="仿宋_GB2312"/>
          <w:color w:val="000000"/>
          <w:kern w:val="2"/>
          <w:sz w:val="32"/>
          <w:szCs w:val="24"/>
          <w:highlight w:val="none"/>
          <w:lang w:val="zh-CN"/>
        </w:rPr>
        <w:t>经费财政拨款支出决算中，因公出国（境）费支出决算0万元，占0%；公务用车购置及运行维护费支出决算55.9万元，占99.4%；公务接待费支出决算0.34万元，占0.6%。具体情况如下：</w:t>
      </w:r>
    </w:p>
    <w:p>
      <w:pPr>
        <w:pageBreakBefore w:val="0"/>
        <w:widowControl w:val="0"/>
        <w:shd w:val="clear"/>
        <w:kinsoku/>
        <w:wordWrap/>
        <w:overflowPunct/>
        <w:topLinePunct w:val="0"/>
        <w:bidi w:val="0"/>
        <w:snapToGrid/>
        <w:spacing w:line="560" w:lineRule="exact"/>
        <w:ind w:left="0" w:right="0"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6"/>
        <w:shd w:val="clear"/>
        <w:rPr>
          <w:highlight w:val="none"/>
        </w:rPr>
      </w:pPr>
      <w:r>
        <w:rPr>
          <w:rFonts w:hint="eastAsia" w:ascii="仿宋_GB2312" w:eastAsia="仿宋_GB2312"/>
          <w:b/>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194945</wp:posOffset>
            </wp:positionH>
            <wp:positionV relativeFrom="paragraph">
              <wp:posOffset>90805</wp:posOffset>
            </wp:positionV>
            <wp:extent cx="5080000" cy="2419350"/>
            <wp:effectExtent l="4445" t="4445" r="20955" b="1460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ageBreakBefore w:val="0"/>
        <w:numPr>
          <w:ilvl w:val="0"/>
          <w:numId w:val="4"/>
        </w:numPr>
        <w:shd w:val="clear"/>
        <w:kinsoku/>
        <w:wordWrap/>
        <w:topLinePunct w:val="0"/>
        <w:bidi w:val="0"/>
        <w:spacing w:line="560" w:lineRule="exact"/>
        <w:ind w:firstLine="640"/>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年初未安排预算。</w:t>
      </w:r>
      <w:r>
        <w:rPr>
          <w:rFonts w:hint="eastAsia" w:ascii="仿宋_GB2312" w:eastAsia="仿宋_GB2312"/>
          <w:color w:val="auto"/>
          <w:sz w:val="32"/>
          <w:szCs w:val="32"/>
          <w:highlight w:val="none"/>
        </w:rPr>
        <w:t>因公出国（境）支出决算较202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年无变化。</w:t>
      </w:r>
    </w:p>
    <w:p>
      <w:pPr>
        <w:pageBreakBefore w:val="0"/>
        <w:numPr>
          <w:ilvl w:val="0"/>
          <w:numId w:val="4"/>
        </w:numPr>
        <w:shd w:val="clear"/>
        <w:kinsoku/>
        <w:wordWrap/>
        <w:topLinePunct w:val="0"/>
        <w:bidi w:val="0"/>
        <w:spacing w:line="560" w:lineRule="exact"/>
        <w:ind w:firstLine="640"/>
        <w:textAlignment w:val="auto"/>
        <w:rPr>
          <w:rFonts w:hint="eastAsia" w:ascii="仿宋_GB2312" w:hAnsi="仿宋_GB2312" w:eastAsia="仿宋_GB2312"/>
          <w:color w:val="000000"/>
          <w:kern w:val="2"/>
          <w:sz w:val="32"/>
          <w:szCs w:val="24"/>
          <w:highlight w:val="none"/>
          <w:lang w:val="zh-CN"/>
        </w:rPr>
      </w:pPr>
      <w:r>
        <w:rPr>
          <w:rFonts w:hint="eastAsia" w:ascii="仿宋_GB2312" w:eastAsia="仿宋_GB2312"/>
          <w:b/>
          <w:color w:val="auto"/>
          <w:sz w:val="32"/>
          <w:szCs w:val="32"/>
          <w:highlight w:val="none"/>
        </w:rPr>
        <w:t>公务用车购置及运行维护费支出</w:t>
      </w:r>
      <w:r>
        <w:rPr>
          <w:rFonts w:hint="eastAsia" w:ascii="仿宋_GB2312" w:hAnsi="仿宋_GB2312" w:eastAsia="仿宋_GB2312"/>
          <w:color w:val="000000"/>
          <w:kern w:val="2"/>
          <w:sz w:val="32"/>
          <w:szCs w:val="24"/>
          <w:highlight w:val="none"/>
          <w:lang w:val="zh-CN"/>
        </w:rPr>
        <w:t>55.9万元，完成预算100%。公务用车购置及运行维护费支出决算比2021年增加47.5万元，增长565.5%。主要原因是</w:t>
      </w:r>
      <w:r>
        <w:rPr>
          <w:rFonts w:hint="eastAsia" w:ascii="仿宋_GB2312" w:hAnsi="仿宋_GB2312" w:eastAsia="仿宋_GB2312"/>
          <w:color w:val="000000"/>
          <w:kern w:val="2"/>
          <w:sz w:val="32"/>
          <w:szCs w:val="24"/>
          <w:highlight w:val="none"/>
          <w:lang w:val="en-US" w:eastAsia="zh-CN"/>
        </w:rPr>
        <w:t>2022年更新购置公务用车一辆</w:t>
      </w:r>
      <w:r>
        <w:rPr>
          <w:rFonts w:hint="eastAsia" w:ascii="仿宋_GB2312" w:hAnsi="仿宋_GB2312" w:eastAsia="仿宋_GB2312"/>
          <w:color w:val="000000"/>
          <w:kern w:val="2"/>
          <w:sz w:val="32"/>
          <w:szCs w:val="24"/>
          <w:highlight w:val="none"/>
          <w:lang w:val="zh-CN"/>
        </w:rPr>
        <w:t>。其中：</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公务用车购置费</w:t>
      </w:r>
      <w:r>
        <w:rPr>
          <w:rFonts w:hint="eastAsia" w:ascii="仿宋_GB2312" w:hAnsi="仿宋_GB2312" w:eastAsia="仿宋_GB2312"/>
          <w:color w:val="000000"/>
          <w:kern w:val="2"/>
          <w:sz w:val="32"/>
          <w:szCs w:val="24"/>
          <w:highlight w:val="none"/>
          <w:lang w:val="zh-CN"/>
        </w:rPr>
        <w:t>支出50.32万元。全年按规定更新购置公务用车1辆，其中：越野车</w:t>
      </w:r>
      <w:r>
        <w:rPr>
          <w:rFonts w:hint="eastAsia" w:ascii="仿宋_GB2312" w:hAnsi="仿宋_GB2312" w:eastAsia="仿宋_GB2312"/>
          <w:color w:val="000000"/>
          <w:kern w:val="2"/>
          <w:sz w:val="32"/>
          <w:szCs w:val="24"/>
          <w:highlight w:val="none"/>
          <w:lang w:val="en-US" w:eastAsia="zh-CN"/>
        </w:rPr>
        <w:t>1</w:t>
      </w:r>
      <w:r>
        <w:rPr>
          <w:rFonts w:hint="eastAsia" w:ascii="仿宋_GB2312" w:hAnsi="仿宋_GB2312" w:eastAsia="仿宋_GB2312"/>
          <w:color w:val="000000"/>
          <w:kern w:val="2"/>
          <w:sz w:val="32"/>
          <w:szCs w:val="24"/>
          <w:highlight w:val="none"/>
          <w:lang w:val="zh-CN"/>
        </w:rPr>
        <w:t>辆、金额</w:t>
      </w:r>
      <w:r>
        <w:rPr>
          <w:rFonts w:hint="eastAsia" w:ascii="仿宋_GB2312" w:hAnsi="仿宋_GB2312" w:eastAsia="仿宋_GB2312"/>
          <w:color w:val="000000"/>
          <w:kern w:val="2"/>
          <w:sz w:val="32"/>
          <w:szCs w:val="24"/>
          <w:highlight w:val="none"/>
          <w:lang w:val="en-US" w:eastAsia="zh-CN"/>
        </w:rPr>
        <w:t>50.32</w:t>
      </w:r>
      <w:r>
        <w:rPr>
          <w:rFonts w:hint="eastAsia" w:ascii="仿宋_GB2312" w:hAnsi="仿宋_GB2312" w:eastAsia="仿宋_GB2312"/>
          <w:color w:val="000000"/>
          <w:kern w:val="2"/>
          <w:sz w:val="32"/>
          <w:szCs w:val="24"/>
          <w:highlight w:val="none"/>
          <w:lang w:val="zh-CN"/>
        </w:rPr>
        <w:t>万元，主要用于局机关应急保障用车。截至2022年12月底，本单位共有公务用车1辆，车型为越野车。</w:t>
      </w:r>
    </w:p>
    <w:p>
      <w:pPr>
        <w:keepNext/>
        <w:keepLines/>
        <w:shd w:val="clear"/>
        <w:spacing w:beforeLines="0" w:afterLines="0" w:line="576" w:lineRule="exact"/>
        <w:ind w:firstLine="643"/>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公务用车运行维护费</w:t>
      </w:r>
      <w:r>
        <w:rPr>
          <w:rFonts w:hint="eastAsia" w:ascii="仿宋_GB2312" w:hAnsi="仿宋_GB2312" w:eastAsia="仿宋_GB2312"/>
          <w:color w:val="000000"/>
          <w:kern w:val="2"/>
          <w:sz w:val="32"/>
          <w:szCs w:val="24"/>
          <w:highlight w:val="none"/>
          <w:lang w:val="zh-CN"/>
        </w:rPr>
        <w:t>支出5.58万元。主要用于</w:t>
      </w:r>
      <w:r>
        <w:rPr>
          <w:rFonts w:hint="eastAsia" w:ascii="仿宋_GB2312" w:hAnsi="Times New Roman" w:eastAsia="仿宋_GB2312" w:cs="Times New Roman"/>
          <w:sz w:val="32"/>
          <w:szCs w:val="20"/>
          <w:highlight w:val="none"/>
          <w:lang w:eastAsia="zh-CN"/>
        </w:rPr>
        <w:t>交通项目建设、应急保障</w:t>
      </w:r>
      <w:r>
        <w:rPr>
          <w:rFonts w:hint="eastAsia" w:ascii="仿宋_GB2312" w:eastAsia="仿宋_GB2312" w:cs="Times New Roman"/>
          <w:sz w:val="32"/>
          <w:szCs w:val="20"/>
          <w:highlight w:val="none"/>
          <w:lang w:eastAsia="zh-CN"/>
        </w:rPr>
        <w:t>出行</w:t>
      </w:r>
      <w:r>
        <w:rPr>
          <w:rFonts w:hint="eastAsia" w:ascii="仿宋_GB2312" w:hAnsi="仿宋_GB2312" w:eastAsia="仿宋_GB2312"/>
          <w:color w:val="000000"/>
          <w:kern w:val="2"/>
          <w:sz w:val="32"/>
          <w:szCs w:val="24"/>
          <w:highlight w:val="none"/>
          <w:lang w:val="zh-CN"/>
        </w:rPr>
        <w:t>等所需的公务用车燃料费、维修费、过路过桥费、保险费等支出。</w:t>
      </w:r>
    </w:p>
    <w:p>
      <w:pPr>
        <w:keepNext/>
        <w:keepLines/>
        <w:shd w:val="clear"/>
        <w:spacing w:beforeLines="0" w:afterLines="0" w:line="576" w:lineRule="exact"/>
        <w:ind w:firstLine="643"/>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3.公务接待费</w:t>
      </w:r>
      <w:r>
        <w:rPr>
          <w:rFonts w:hint="eastAsia" w:ascii="仿宋_GB2312" w:hAnsi="仿宋_GB2312" w:eastAsia="仿宋_GB2312"/>
          <w:color w:val="000000"/>
          <w:kern w:val="2"/>
          <w:sz w:val="32"/>
          <w:szCs w:val="24"/>
          <w:highlight w:val="none"/>
          <w:lang w:val="zh-CN"/>
        </w:rPr>
        <w:t>支出0.34万元，完成预算100%。公务接待费支出决算比2021年减少0.41万元，下降54.7%。主要原因是厉行节约。其中：</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olor w:val="000000"/>
          <w:kern w:val="2"/>
          <w:sz w:val="32"/>
          <w:szCs w:val="24"/>
          <w:highlight w:val="none"/>
          <w:lang w:val="en-US"/>
        </w:rPr>
      </w:pPr>
      <w:r>
        <w:rPr>
          <w:rFonts w:hint="eastAsia" w:ascii="仿宋_GB2312" w:hAnsi="仿宋_GB2312" w:eastAsia="仿宋_GB2312"/>
          <w:b/>
          <w:color w:val="000000"/>
          <w:kern w:val="2"/>
          <w:sz w:val="32"/>
          <w:szCs w:val="24"/>
          <w:highlight w:val="none"/>
          <w:lang w:val="zh-CN"/>
        </w:rPr>
        <w:t>国内公务接待</w:t>
      </w:r>
      <w:r>
        <w:rPr>
          <w:rFonts w:hint="eastAsia" w:ascii="仿宋_GB2312" w:hAnsi="仿宋_GB2312" w:eastAsia="仿宋_GB2312"/>
          <w:color w:val="000000"/>
          <w:kern w:val="2"/>
          <w:sz w:val="32"/>
          <w:szCs w:val="24"/>
          <w:highlight w:val="none"/>
          <w:lang w:val="zh-CN"/>
        </w:rPr>
        <w:t>支出0.34万元。主要用于</w:t>
      </w:r>
      <w:r>
        <w:rPr>
          <w:rFonts w:hint="eastAsia" w:ascii="仿宋_GB2312" w:hAnsi="仿宋_GB2312" w:eastAsia="仿宋_GB2312"/>
          <w:color w:val="000000"/>
          <w:kern w:val="2"/>
          <w:sz w:val="32"/>
          <w:szCs w:val="24"/>
          <w:highlight w:val="none"/>
          <w:lang w:val="en-US"/>
        </w:rPr>
        <w:t>执行公务开支的用餐费。</w:t>
      </w:r>
      <w:r>
        <w:rPr>
          <w:rFonts w:hint="eastAsia" w:ascii="仿宋_GB2312" w:hAnsi="仿宋_GB2312" w:eastAsia="仿宋_GB2312"/>
          <w:color w:val="000000"/>
          <w:kern w:val="2"/>
          <w:sz w:val="32"/>
          <w:szCs w:val="24"/>
          <w:highlight w:val="none"/>
          <w:lang w:val="zh-CN"/>
        </w:rPr>
        <w:t>国内公务接待3批次，23人次，共计支出0.34万元。具体内容包括</w:t>
      </w:r>
      <w:r>
        <w:rPr>
          <w:rFonts w:hint="eastAsia" w:ascii="仿宋_GB2312" w:hAnsi="仿宋_GB2312" w:eastAsia="仿宋_GB2312"/>
          <w:color w:val="000000"/>
          <w:kern w:val="2"/>
          <w:sz w:val="32"/>
          <w:szCs w:val="24"/>
          <w:highlight w:val="none"/>
          <w:lang w:val="en-US" w:eastAsia="zh-CN"/>
        </w:rPr>
        <w:t>眉山市交通运输局来我单位考察交通运输信息化工作1430元等</w:t>
      </w:r>
      <w:r>
        <w:rPr>
          <w:rFonts w:hint="eastAsia" w:ascii="仿宋_GB2312" w:hAnsi="仿宋_GB2312" w:eastAsia="仿宋_GB2312"/>
          <w:color w:val="000000"/>
          <w:kern w:val="2"/>
          <w:sz w:val="32"/>
          <w:szCs w:val="24"/>
          <w:highlight w:val="none"/>
          <w:lang w:val="en-US"/>
        </w:rPr>
        <w:t>。</w:t>
      </w:r>
    </w:p>
    <w:p>
      <w:pPr>
        <w:pageBreakBefore w:val="0"/>
        <w:widowControl w:val="0"/>
        <w:shd w:val="clear"/>
        <w:kinsoku/>
        <w:wordWrap/>
        <w:overflowPunct/>
        <w:topLinePunct w:val="0"/>
        <w:bidi w:val="0"/>
        <w:snapToGrid/>
        <w:spacing w:line="560" w:lineRule="exact"/>
        <w:ind w:left="0" w:right="0" w:firstLine="642" w:firstLineChars="200"/>
        <w:textAlignment w:val="auto"/>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keepLines/>
        <w:shd w:val="clear"/>
        <w:spacing w:beforeLines="0" w:afterLines="0" w:line="576" w:lineRule="exact"/>
        <w:ind w:firstLine="640"/>
        <w:jc w:val="both"/>
        <w:outlineLvl w:val="1"/>
        <w:rPr>
          <w:rFonts w:hint="eastAsia" w:ascii="黑体" w:hAnsi="黑体" w:eastAsia="黑体"/>
          <w:b/>
          <w:color w:val="auto"/>
          <w:kern w:val="2"/>
          <w:sz w:val="32"/>
          <w:szCs w:val="24"/>
          <w:highlight w:val="none"/>
          <w:lang w:val="zh-CN"/>
        </w:rPr>
      </w:pPr>
      <w:bookmarkStart w:id="68" w:name="_Toc15271"/>
      <w:bookmarkStart w:id="69" w:name="_Toc1259671007_WPSOffice_Level2"/>
      <w:r>
        <w:rPr>
          <w:rFonts w:hint="eastAsia" w:ascii="黑体" w:hAnsi="黑体" w:eastAsia="黑体"/>
          <w:color w:val="000000"/>
          <w:kern w:val="2"/>
          <w:sz w:val="32"/>
          <w:szCs w:val="24"/>
          <w:highlight w:val="none"/>
          <w:lang w:val="zh-CN"/>
        </w:rPr>
        <w:t>八、</w:t>
      </w:r>
      <w:r>
        <w:rPr>
          <w:rFonts w:hint="eastAsia" w:ascii="黑体" w:hAnsi="黑体" w:eastAsia="黑体"/>
          <w:color w:val="auto"/>
          <w:kern w:val="2"/>
          <w:sz w:val="32"/>
          <w:szCs w:val="24"/>
          <w:highlight w:val="none"/>
          <w:lang w:val="zh-CN"/>
        </w:rPr>
        <w:t>政府性基金预算支出决算情况说明</w:t>
      </w:r>
      <w:bookmarkEnd w:id="68"/>
      <w:bookmarkEnd w:id="69"/>
    </w:p>
    <w:p>
      <w:pPr>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2022年政府性基金预算拨款支出11,175.96万元。</w:t>
      </w:r>
    </w:p>
    <w:p>
      <w:pPr>
        <w:keepNext/>
        <w:keepLines/>
        <w:shd w:val="clear"/>
        <w:spacing w:beforeLines="0" w:afterLines="0" w:line="576" w:lineRule="exact"/>
        <w:ind w:firstLine="640"/>
        <w:jc w:val="both"/>
        <w:outlineLvl w:val="1"/>
        <w:rPr>
          <w:rFonts w:hint="eastAsia" w:ascii="黑体" w:hAnsi="黑体" w:eastAsia="黑体"/>
          <w:color w:val="auto"/>
          <w:kern w:val="2"/>
          <w:sz w:val="32"/>
          <w:szCs w:val="24"/>
          <w:highlight w:val="none"/>
          <w:lang w:val="zh-CN"/>
        </w:rPr>
      </w:pPr>
      <w:bookmarkStart w:id="70" w:name="_Toc2027324878_WPSOffice_Level2"/>
      <w:bookmarkStart w:id="71" w:name="_Toc12201"/>
      <w:r>
        <w:rPr>
          <w:rFonts w:hint="eastAsia" w:ascii="黑体" w:hAnsi="黑体" w:eastAsia="黑体"/>
          <w:color w:val="auto"/>
          <w:kern w:val="2"/>
          <w:sz w:val="32"/>
          <w:szCs w:val="24"/>
          <w:highlight w:val="none"/>
          <w:lang w:val="zh-CN"/>
        </w:rPr>
        <w:t>九、国有资本经营预算支出决算情况说明</w:t>
      </w:r>
      <w:bookmarkEnd w:id="70"/>
      <w:bookmarkEnd w:id="71"/>
    </w:p>
    <w:p>
      <w:pPr>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2022年国有资本经营预算拨款支出0万元。</w:t>
      </w:r>
    </w:p>
    <w:p>
      <w:pPr>
        <w:keepNext/>
        <w:keepLines/>
        <w:shd w:val="clear"/>
        <w:spacing w:beforeLines="0" w:afterLines="0" w:line="576" w:lineRule="exact"/>
        <w:ind w:firstLine="640"/>
        <w:jc w:val="both"/>
        <w:outlineLvl w:val="1"/>
        <w:rPr>
          <w:rFonts w:hint="eastAsia" w:ascii="黑体" w:hAnsi="黑体" w:eastAsia="黑体"/>
          <w:b/>
          <w:color w:val="auto"/>
          <w:kern w:val="2"/>
          <w:sz w:val="32"/>
          <w:szCs w:val="24"/>
          <w:highlight w:val="none"/>
          <w:lang w:val="zh-CN"/>
        </w:rPr>
      </w:pPr>
      <w:bookmarkStart w:id="72" w:name="_Toc1154348550_WPSOffice_Level2"/>
      <w:bookmarkStart w:id="73" w:name="_Toc19869"/>
      <w:r>
        <w:rPr>
          <w:rFonts w:hint="eastAsia" w:ascii="黑体" w:hAnsi="黑体" w:eastAsia="黑体"/>
          <w:color w:val="000000"/>
          <w:kern w:val="2"/>
          <w:sz w:val="32"/>
          <w:szCs w:val="24"/>
          <w:highlight w:val="none"/>
          <w:lang w:val="zh-CN"/>
        </w:rPr>
        <w:t>十</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其他重要事项的情况说明</w:t>
      </w:r>
      <w:bookmarkEnd w:id="72"/>
      <w:bookmarkEnd w:id="73"/>
    </w:p>
    <w:p>
      <w:pPr>
        <w:keepNext/>
        <w:keepLines/>
        <w:shd w:val="clear"/>
        <w:spacing w:beforeLines="0" w:afterLines="0" w:line="576" w:lineRule="exact"/>
        <w:ind w:firstLine="643"/>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（一）机关运行经费支出情况</w:t>
      </w:r>
    </w:p>
    <w:p>
      <w:pPr>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en-US" w:eastAsia="zh-CN"/>
        </w:rPr>
      </w:pPr>
      <w:r>
        <w:rPr>
          <w:rFonts w:hint="eastAsia" w:ascii="仿宋_GB2312" w:hAnsi="仿宋_GB2312" w:eastAsia="仿宋_GB2312"/>
          <w:color w:val="000000"/>
          <w:kern w:val="2"/>
          <w:sz w:val="32"/>
          <w:szCs w:val="24"/>
          <w:highlight w:val="none"/>
          <w:lang w:val="zh-CN"/>
        </w:rPr>
        <w:t>2022年，广元市交通运输局（本级）机关运行经费支出106.49万元，比2021年增加21.05万元，增长24.6%。主要原因是业务活动增加。</w:t>
      </w:r>
    </w:p>
    <w:p>
      <w:pPr>
        <w:keepNext/>
        <w:keepLines/>
        <w:shd w:val="clear"/>
        <w:spacing w:beforeLines="0" w:afterLines="0" w:line="576" w:lineRule="exact"/>
        <w:ind w:firstLine="643"/>
        <w:jc w:val="both"/>
        <w:rPr>
          <w:rFonts w:hint="eastAsia" w:ascii="仿宋_GB2312" w:hAnsi="仿宋_GB2312" w:eastAsia="仿宋_GB2312"/>
          <w:b/>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（二）政府采购支出情况</w:t>
      </w:r>
    </w:p>
    <w:p>
      <w:pPr>
        <w:shd w:val="clear"/>
        <w:spacing w:beforeLines="0" w:afterLines="0" w:line="576" w:lineRule="exact"/>
        <w:ind w:firstLine="640"/>
        <w:jc w:val="both"/>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2022年，广元市交通运输局（本级）政府采购支出总额321.92万元，其中：政府采购货物支出50.32万元、政府采购服务支出271.6万元。主要用于更新购置公务用车一辆、综合货运枢纽总体规划编制。授予中小企业合同金额50.32万元，占政府采购支出总额的15.6%，其中：授予小微企业合同金额50.32万元，</w:t>
      </w:r>
      <w:r>
        <w:rPr>
          <w:rFonts w:hint="eastAsia" w:ascii="仿宋_GB2312" w:hAnsi="仿宋_GB2312" w:eastAsia="仿宋_GB2312"/>
          <w:color w:val="000000"/>
          <w:kern w:val="2"/>
          <w:sz w:val="32"/>
          <w:szCs w:val="24"/>
          <w:highlight w:val="none"/>
          <w:lang w:val="en-US"/>
        </w:rPr>
        <w:t>占政府采购支出总额的</w:t>
      </w:r>
      <w:r>
        <w:rPr>
          <w:rFonts w:hint="eastAsia" w:ascii="仿宋_GB2312" w:hAnsi="仿宋_GB2312" w:eastAsia="仿宋_GB2312"/>
          <w:color w:val="000000"/>
          <w:kern w:val="2"/>
          <w:sz w:val="32"/>
          <w:szCs w:val="24"/>
          <w:highlight w:val="none"/>
          <w:lang w:val="zh-CN"/>
        </w:rPr>
        <w:t>15.6%。</w:t>
      </w:r>
    </w:p>
    <w:p>
      <w:pPr>
        <w:keepNext/>
        <w:keepLines/>
        <w:shd w:val="clear"/>
        <w:spacing w:beforeLines="0" w:afterLines="0" w:line="576" w:lineRule="exact"/>
        <w:ind w:firstLine="643"/>
        <w:jc w:val="both"/>
        <w:rPr>
          <w:rFonts w:hint="eastAsia" w:ascii="仿宋_GB2312" w:hAnsi="仿宋_GB2312" w:eastAsia="仿宋_GB2312"/>
          <w:b/>
          <w:color w:val="000000"/>
          <w:kern w:val="2"/>
          <w:sz w:val="32"/>
          <w:szCs w:val="24"/>
          <w:highlight w:val="none"/>
          <w:lang w:val="zh-CN"/>
        </w:rPr>
      </w:pPr>
      <w:r>
        <w:rPr>
          <w:rFonts w:hint="eastAsia" w:ascii="仿宋_GB2312" w:hAnsi="仿宋_GB2312" w:eastAsia="仿宋_GB2312"/>
          <w:b/>
          <w:color w:val="000000"/>
          <w:kern w:val="2"/>
          <w:sz w:val="32"/>
          <w:szCs w:val="24"/>
          <w:highlight w:val="none"/>
          <w:lang w:val="zh-CN"/>
        </w:rPr>
        <w:t>（三）国有资产占有使用情况</w:t>
      </w:r>
    </w:p>
    <w:p>
      <w:pPr>
        <w:shd w:val="clear"/>
        <w:spacing w:beforeLines="0" w:afterLines="0" w:line="576" w:lineRule="exact"/>
        <w:ind w:firstLine="640"/>
        <w:rPr>
          <w:rFonts w:hint="eastAsia" w:ascii="仿宋_GB2312" w:hAnsi="仿宋_GB2312" w:eastAsia="仿宋_GB2312"/>
          <w:color w:val="000000"/>
          <w:kern w:val="2"/>
          <w:sz w:val="32"/>
          <w:szCs w:val="24"/>
          <w:highlight w:val="none"/>
          <w:lang w:val="zh-CN"/>
        </w:rPr>
      </w:pPr>
      <w:r>
        <w:rPr>
          <w:rFonts w:hint="eastAsia" w:ascii="仿宋_GB2312" w:hAnsi="仿宋_GB2312" w:eastAsia="仿宋_GB2312"/>
          <w:color w:val="000000"/>
          <w:kern w:val="2"/>
          <w:sz w:val="32"/>
          <w:szCs w:val="24"/>
          <w:highlight w:val="none"/>
          <w:lang w:val="zh-CN"/>
        </w:rPr>
        <w:t>截至2022年12月31日，广元市交通运输局（本级）共有车辆1辆，为应急保障用车1辆。单价100万元（含）以上设备0台（套）。</w:t>
      </w:r>
    </w:p>
    <w:p>
      <w:pPr>
        <w:pageBreakBefore w:val="0"/>
        <w:widowControl w:val="0"/>
        <w:shd w:val="clear"/>
        <w:kinsoku/>
        <w:wordWrap/>
        <w:overflowPunct/>
        <w:topLinePunct w:val="0"/>
        <w:autoSpaceDE w:val="0"/>
        <w:autoSpaceDN w:val="0"/>
        <w:bidi w:val="0"/>
        <w:adjustRightInd w:val="0"/>
        <w:snapToGrid/>
        <w:spacing w:line="560" w:lineRule="exact"/>
        <w:ind w:left="0" w:right="0" w:firstLine="642" w:firstLineChars="200"/>
        <w:jc w:val="left"/>
        <w:textAlignment w:val="auto"/>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pageBreakBefore w:val="0"/>
        <w:widowControl w:val="0"/>
        <w:shd w:val="clear"/>
        <w:kinsoku/>
        <w:wordWrap/>
        <w:overflowPunct/>
        <w:topLinePunct w:val="0"/>
        <w:bidi w:val="0"/>
        <w:snapToGrid/>
        <w:spacing w:beforeLines="0" w:line="560" w:lineRule="exact"/>
        <w:ind w:left="0"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年度预算编制阶段，组织对黑石坡至曾家山公路工程</w:t>
      </w:r>
      <w:r>
        <w:rPr>
          <w:rFonts w:hint="eastAsia" w:ascii="仿宋_GB2312" w:hAnsi="仿宋_GB2312" w:eastAsia="仿宋_GB2312" w:cs="仿宋_GB2312"/>
          <w:color w:val="auto"/>
          <w:sz w:val="32"/>
          <w:szCs w:val="32"/>
          <w:highlight w:val="none"/>
          <w:lang w:eastAsia="zh-CN"/>
        </w:rPr>
        <w:t>等</w:t>
      </w:r>
      <w:r>
        <w:rPr>
          <w:rFonts w:hint="eastAsia" w:hAnsi="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shd w:val="clear"/>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hd w:val="clear"/>
        <w:spacing w:line="600" w:lineRule="exact"/>
        <w:ind w:firstLine="660" w:firstLineChars="150"/>
        <w:jc w:val="center"/>
        <w:outlineLvl w:val="0"/>
        <w:rPr>
          <w:rStyle w:val="17"/>
          <w:rFonts w:ascii="黑体" w:hAnsi="黑体" w:eastAsia="黑体"/>
          <w:b w:val="0"/>
          <w:color w:val="auto"/>
          <w:highlight w:val="none"/>
        </w:rPr>
      </w:pPr>
      <w:bookmarkStart w:id="74" w:name="_Toc15377225"/>
      <w:bookmarkStart w:id="75" w:name="_Toc15396613"/>
      <w:bookmarkStart w:id="76" w:name="_Toc6722"/>
      <w:bookmarkStart w:id="77" w:name="_Toc782425135_WPSOffice_Level1"/>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74"/>
      <w:bookmarkEnd w:id="75"/>
      <w:bookmarkEnd w:id="76"/>
      <w:bookmarkEnd w:id="77"/>
    </w:p>
    <w:p>
      <w:pPr>
        <w:shd w:val="clear"/>
        <w:spacing w:line="600" w:lineRule="exact"/>
        <w:jc w:val="left"/>
        <w:rPr>
          <w:rFonts w:ascii="宋体"/>
          <w:b/>
          <w:color w:val="auto"/>
          <w:sz w:val="44"/>
          <w:szCs w:val="44"/>
          <w:highlight w:val="none"/>
        </w:rPr>
      </w:pP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bookmarkStart w:id="78" w:name="_Toc15377226"/>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文化旅游体育与传媒</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文化和旅游</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文化活动</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：反映举办大型文化艺术活动支出</w:t>
      </w:r>
      <w:r>
        <w:rPr>
          <w:rFonts w:hint="eastAsia" w:ascii="仿宋_GB2312" w:hAnsi="仿宋_GB2312" w:eastAsia="仿宋_GB2312" w:cs="仿宋_GB2312"/>
          <w:color w:val="auto"/>
          <w:sz w:val="32"/>
          <w:szCs w:val="32"/>
          <w:highlight w:val="none"/>
        </w:rPr>
        <w:t>。</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社会保障和就业（类）人力资源和社会保障管理事务（款）引进人才费用（项）： 反映引进人才补助、引智成果推广等方面的支出。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社会保障和就业（类）人力资源和社会保障管理事务（款）其他人力资源和社会保障管理事务支出（项）： 反映其他用于人力资源和社会保障管理事务方面的支出。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（类）行政事业单位养老支出（款）</w:t>
      </w:r>
      <w:r>
        <w:rPr>
          <w:rFonts w:hint="eastAsia" w:ascii="仿宋_GB2312" w:hAnsi="仿宋_GB2312" w:eastAsia="仿宋_GB2312" w:cs="仿宋_GB2312"/>
          <w:color w:val="auto"/>
          <w:sz w:val="32"/>
          <w:szCs w:val="32"/>
          <w:highlight w:val="none"/>
          <w:lang w:eastAsia="zh-CN"/>
        </w:rPr>
        <w:t>行政</w:t>
      </w:r>
      <w:r>
        <w:rPr>
          <w:rFonts w:hint="eastAsia" w:ascii="仿宋_GB2312" w:hAnsi="仿宋_GB2312" w:eastAsia="仿宋_GB2312" w:cs="仿宋_GB2312"/>
          <w:color w:val="auto"/>
          <w:sz w:val="32"/>
          <w:szCs w:val="32"/>
          <w:highlight w:val="none"/>
        </w:rPr>
        <w:t>单位离退休（项）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w:t>
      </w:r>
      <w:r>
        <w:rPr>
          <w:rFonts w:hint="eastAsia" w:ascii="仿宋_GB2312" w:hAnsi="仿宋_GB2312" w:eastAsia="仿宋_GB2312" w:cs="仿宋_GB2312"/>
          <w:color w:val="auto"/>
          <w:sz w:val="32"/>
          <w:szCs w:val="32"/>
          <w:highlight w:val="none"/>
          <w:lang w:eastAsia="zh-CN"/>
        </w:rPr>
        <w:t>行政</w:t>
      </w:r>
      <w:r>
        <w:rPr>
          <w:rFonts w:hint="eastAsia" w:ascii="仿宋_GB2312" w:hAnsi="仿宋_GB2312" w:eastAsia="仿宋_GB2312" w:cs="仿宋_GB2312"/>
          <w:color w:val="auto"/>
          <w:sz w:val="32"/>
          <w:szCs w:val="32"/>
          <w:highlight w:val="none"/>
        </w:rPr>
        <w:t>单位开支的离退休经费。</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（类）行政事业单位养老支出（款）机关事业单位基本养老保险缴费支出（项）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指机关事业单位实施养老保险制度由单位缴纳的基本养老保险费支出。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社会保障和就业支出（类）行政事业单位养老支出（款）机关事业单位职业年金缴费支出（项）：</w:t>
      </w:r>
      <w:r>
        <w:rPr>
          <w:rFonts w:hint="eastAsia" w:ascii="仿宋_GB2312" w:hAnsi="仿宋_GB2312" w:eastAsia="仿宋_GB2312" w:cs="仿宋_GB2312"/>
          <w:color w:val="auto"/>
          <w:sz w:val="32"/>
          <w:szCs w:val="32"/>
          <w:highlight w:val="none"/>
        </w:rPr>
        <w:t>指机关事业单位实施养老保险制度由单位实际缴纳的职业年金支出</w:t>
      </w:r>
      <w:r>
        <w:rPr>
          <w:rFonts w:hint="eastAsia" w:ascii="仿宋_GB2312" w:hAnsi="仿宋_GB2312" w:eastAsia="仿宋_GB2312" w:cs="仿宋_GB2312"/>
          <w:color w:val="auto"/>
          <w:sz w:val="32"/>
          <w:szCs w:val="32"/>
          <w:highlight w:val="none"/>
          <w:lang w:eastAsia="zh-CN"/>
        </w:rPr>
        <w:t>。</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（类）抚恤（款）死亡抚恤（项）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指按规定用于烈士的牺牲、病故人员家属的一次性和定期抚恤金以及丧葬补助费。</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卫生健康</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（类）行政事业单位医疗（款）行政单位医疗（项）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指财政部门安排的行政单位（包括实行公务员管理的事业单位）基本医疗保险经费，未参加医疗保险的行政单位公费医疗经费，按国家规定享受离休人员、红军老战士待遇人员的医疗费。</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城乡社区支出（类）国有土地使用权出让收入安排的支出（款）征地和拆迁补偿支出（项）：反映地方政府在征地和收购土地过程中支付的土地补偿费、安置补助费、地上附着和青苗补偿费、拆迁补偿费支出。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城乡社区支出（类）国有土地使用权出让收入安排的支出（款）城市建设支出（项）：指土地出让收入用于完善国有土地使用功能的配套设施建设和城市基础设施建设支出。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城乡社区支出（类）国有土地使用权出让收入安排的支出（款）农村基础设施建设支出（项）：反映土地出让收入用于农村供水保障、村庄公共设施建设管护以及与农业农村直接相关的以工代赈等方面的支出。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交通运输支出（类）公路水路运输</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行政运行</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指行政单位（包括实行公务员管理的事业单位）的基本支出。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交通运输支出（类）公路水路运输（款）一般行政管理事务（项）：</w:t>
      </w:r>
      <w:r>
        <w:rPr>
          <w:rFonts w:hint="eastAsia" w:ascii="仿宋_GB2312" w:hAnsi="仿宋_GB2312" w:eastAsia="仿宋_GB2312" w:cs="仿宋_GB2312"/>
          <w:color w:val="auto"/>
          <w:sz w:val="32"/>
          <w:szCs w:val="32"/>
          <w:highlight w:val="none"/>
        </w:rPr>
        <w:t>指行政单位（包括实行公务员管理的事业单位）未单独设置项级科目的其他项目支出。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交通运输支出（类）公路水路运输</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其他公路水路运输支出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指其他用于公路水路运输方面的支出。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交通运输支出（类）其他交通运输支出（款）其他交通运输支出（项）：</w:t>
      </w:r>
      <w:r>
        <w:rPr>
          <w:rFonts w:hint="eastAsia" w:ascii="仿宋_GB2312" w:hAnsi="仿宋_GB2312" w:eastAsia="仿宋_GB2312" w:cs="仿宋_GB2312"/>
          <w:color w:val="auto"/>
          <w:sz w:val="32"/>
          <w:szCs w:val="32"/>
          <w:highlight w:val="none"/>
        </w:rPr>
        <w:t>指其他交通运输支出中除对公共交通运营补助以外的其他支出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住房保障支出（类）住房改革支出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住房公积金</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指行政事业单位按人力资源和社会保障部、财政部规定的基本工资和津贴补贴以及规定比例为职工缴纳的住房公积金。</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其他支出（类）其他支出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其他支出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：反映其他不能划分到具体功能科目中的支出项目</w:t>
      </w:r>
      <w:r>
        <w:rPr>
          <w:rFonts w:hint="eastAsia" w:ascii="仿宋_GB2312" w:hAnsi="仿宋_GB2312" w:eastAsia="仿宋_GB2312" w:cs="仿宋_GB2312"/>
          <w:color w:val="auto"/>
          <w:sz w:val="32"/>
          <w:szCs w:val="32"/>
          <w:highlight w:val="none"/>
        </w:rPr>
        <w:t>。</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基本支出：指为保障机构正常运转、完成日常工作任务而发生的人员支出和公用支出。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项目支出：指在基本支出之外为完成特定行政任务和事业发展目标所发生的支出。 </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公”经费：指部门用财政拨款安排的公务用车购置及运行费和公务接待费。其中，公务用车购置及运行费反映单位公务用车车辆购置支出（含车辆购置税）及租用费、燃料费、维修费、过路过桥费、保险费等支出；公务接待费反映单位按规定开支的各类公务接待（含外宾接待）支出。</w:t>
      </w:r>
    </w:p>
    <w:p>
      <w:pPr>
        <w:pStyle w:val="26"/>
        <w:keepNext w:val="0"/>
        <w:keepLines w:val="0"/>
        <w:pageBreakBefore w:val="0"/>
        <w:widowControl w:val="0"/>
        <w:numPr>
          <w:ilvl w:val="0"/>
          <w:numId w:val="6"/>
        </w:numPr>
        <w:shd w:val="clear"/>
        <w:kinsoku/>
        <w:wordWrap/>
        <w:overflowPunct/>
        <w:topLinePunct w:val="0"/>
        <w:autoSpaceDE w:val="0"/>
        <w:autoSpaceDN w:val="0"/>
        <w:bidi w:val="0"/>
        <w:adjustRightInd w:val="0"/>
        <w:snapToGrid/>
        <w:spacing w:line="560" w:lineRule="exact"/>
        <w:ind w:left="0" w:leftChars="0" w:firstLine="40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机关运行经费：为保障行政单位（含参照公务员法管理的事业单位）运行用于购买货物和服务的各项资金，包括</w:t>
      </w:r>
      <w:r>
        <w:rPr>
          <w:rFonts w:hint="eastAsia" w:ascii="仿宋_GB2312" w:hAnsi="仿宋_GB2312" w:eastAsia="仿宋_GB2312" w:cs="仿宋_GB2312"/>
          <w:color w:val="auto"/>
          <w:sz w:val="32"/>
          <w:szCs w:val="32"/>
          <w:highlight w:val="none"/>
          <w:lang w:eastAsia="zh-CN"/>
        </w:rPr>
        <w:t>办公费、印刷费、水费、电费、物业管理费、维修（护）费、公务接待费、劳务费、工会经费、福利费、公务用车运行维护费、其他交通费用、其他商品和服务支出。</w:t>
      </w:r>
    </w:p>
    <w:p>
      <w:pPr>
        <w:shd w:val="clear"/>
        <w:spacing w:line="600" w:lineRule="exact"/>
        <w:jc w:val="center"/>
        <w:outlineLvl w:val="0"/>
        <w:rPr>
          <w:rStyle w:val="17"/>
          <w:rFonts w:ascii="黑体" w:hAnsi="黑体" w:eastAsia="黑体"/>
          <w:b w:val="0"/>
          <w:color w:val="auto"/>
          <w:highlight w:val="none"/>
        </w:rPr>
      </w:pPr>
      <w:r>
        <w:rPr>
          <w:rFonts w:ascii="宋体"/>
          <w:b/>
          <w:color w:val="auto"/>
          <w:sz w:val="44"/>
          <w:szCs w:val="44"/>
          <w:highlight w:val="none"/>
        </w:rPr>
        <w:br w:type="page"/>
      </w:r>
      <w:bookmarkStart w:id="79" w:name="_Toc17280"/>
      <w:bookmarkStart w:id="80" w:name="_Toc15396614"/>
      <w:bookmarkStart w:id="81" w:name="_Toc219166499_WPSOffice_Level1"/>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9"/>
      <w:bookmarkEnd w:id="80"/>
      <w:bookmarkEnd w:id="81"/>
    </w:p>
    <w:p>
      <w:pPr>
        <w:keepNext w:val="0"/>
        <w:keepLines w:val="0"/>
        <w:pageBreakBefore w:val="0"/>
        <w:shd w:val="clear"/>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hd w:val="clear"/>
        <w:spacing w:line="600" w:lineRule="exact"/>
        <w:jc w:val="center"/>
        <w:outlineLvl w:val="1"/>
        <w:rPr>
          <w:rFonts w:hint="eastAsia" w:ascii="宋体" w:hAnsi="宋体" w:eastAsia="宋体" w:cs="宋体"/>
          <w:color w:val="auto"/>
          <w:kern w:val="0"/>
          <w:sz w:val="32"/>
          <w:szCs w:val="32"/>
          <w:highlight w:val="none"/>
          <w:lang w:val="en-US" w:eastAsia="zh-CN" w:bidi="ar-SA"/>
        </w:rPr>
        <w:sectPr>
          <w:footerReference r:id="rId5" w:type="default"/>
          <w:pgSz w:w="11906" w:h="16838"/>
          <w:pgMar w:top="1440" w:right="1800" w:bottom="1440" w:left="1800" w:header="851" w:footer="992" w:gutter="0"/>
          <w:pgNumType w:fmt="decimal" w:start="1"/>
          <w:cols w:space="425" w:num="1"/>
          <w:docGrid w:type="lines" w:linePitch="312" w:charSpace="0"/>
        </w:sectPr>
      </w:pPr>
      <w:bookmarkStart w:id="82" w:name="_Toc170204646_WPSOffice_Level2"/>
      <w:bookmarkStart w:id="83" w:name="_Toc21039"/>
      <w:bookmarkStart w:id="84"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82"/>
      <w:bookmarkEnd w:id="83"/>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1980"/>
        <w:gridCol w:w="1722"/>
        <w:gridCol w:w="2198"/>
        <w:gridCol w:w="1135"/>
        <w:gridCol w:w="915"/>
        <w:gridCol w:w="1110"/>
        <w:gridCol w:w="1316"/>
        <w:gridCol w:w="949"/>
        <w:gridCol w:w="1020"/>
        <w:gridCol w:w="1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ascii="方正宋黑_GBK" w:hAnsi="方正宋黑_GBK" w:eastAsia="方正宋黑_GBK" w:cs="方正宋黑_GBK"/>
                <w:i w:val="0"/>
                <w:color w:val="000000"/>
                <w:sz w:val="32"/>
                <w:szCs w:val="32"/>
                <w:highlight w:val="none"/>
                <w:u w:val="none"/>
              </w:rPr>
            </w:pPr>
            <w:bookmarkStart w:id="85" w:name="_Toc1771135377_WPSOffice_Level1"/>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31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严格执行相关政策，保障工资及时发放、足额发放，预算编制科学合理，减少结余资金</w:t>
            </w:r>
          </w:p>
        </w:tc>
        <w:tc>
          <w:tcPr>
            <w:tcW w:w="49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做到严格执行相关政策，保障工资及时足额发放，各类保险、住房公积金及时足额缴纳。预算编制科学合理，无结余资金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478.79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649.31</w:t>
            </w: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649.31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7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478.79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649.31</w:t>
            </w: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649.31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7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77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1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抚恤金、人才引进费用按照相关政策及时足额发放</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抚恤金、人才引进费用按照相关政策及时足额发放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抚恤金、人才引进费用按照相关政策及时足额发放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24.48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24.48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24.48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24.48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严格执行相关政策，保障工资及时发放、足额发放，预算编制科学合理，减少结余资金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严格执行相关政策，及时、足额发放离退休人员生活补助和离休费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52.59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严格执行相关政策，保障工资及时发放、足额发放，预算编制科学合理，减少结余资金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严格执行相关政策，及时、足额发放遗属生活补助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2.27</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54.40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54.40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54.40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54.40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Style w:val="33"/>
                <w:rFonts w:hAnsi="宋体"/>
                <w:highlight w:val="none"/>
                <w:lang w:val="en-US" w:eastAsia="zh-CN" w:bidi="ar"/>
              </w:rPr>
              <w:t>预算编制准确率（计算方法为：</w:t>
            </w:r>
            <w:r>
              <w:rPr>
                <w:rStyle w:val="34"/>
                <w:highlight w:val="none"/>
                <w:lang w:val="en-US" w:eastAsia="zh-CN" w:bidi="ar"/>
              </w:rPr>
              <w:t>∣</w:t>
            </w:r>
            <w:r>
              <w:rPr>
                <w:rStyle w:val="33"/>
                <w:rFonts w:hAnsi="宋体"/>
                <w:highlight w:val="none"/>
                <w:lang w:val="en-US" w:eastAsia="zh-CN" w:bidi="ar"/>
              </w:rPr>
              <w:t>（执行数-预算数）/预算数</w:t>
            </w:r>
            <w:r>
              <w:rPr>
                <w:rStyle w:val="34"/>
                <w:highlight w:val="none"/>
                <w:lang w:val="en-US" w:eastAsia="zh-CN" w:bidi="ar"/>
              </w:rPr>
              <w:t>∣</w:t>
            </w:r>
            <w:r>
              <w:rPr>
                <w:rStyle w:val="33"/>
                <w:rFonts w:hAnsi="宋体"/>
                <w:highlight w:val="none"/>
                <w:lang w:val="en-US" w:eastAsia="zh-CN" w:bidi="ar"/>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“三公经费”控制率[计算方法为：（三公经费实际支出数/预算安排数]×100%）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99%</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运转保障率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55.09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Style w:val="33"/>
                <w:rFonts w:hAnsi="宋体"/>
                <w:highlight w:val="none"/>
                <w:lang w:val="en-US" w:eastAsia="zh-CN" w:bidi="ar"/>
              </w:rPr>
              <w:t>预算编制准确率（计算方法为：</w:t>
            </w:r>
            <w:r>
              <w:rPr>
                <w:rStyle w:val="34"/>
                <w:highlight w:val="none"/>
                <w:lang w:val="en-US" w:eastAsia="zh-CN" w:bidi="ar"/>
              </w:rPr>
              <w:t>∣</w:t>
            </w:r>
            <w:r>
              <w:rPr>
                <w:rStyle w:val="33"/>
                <w:rFonts w:hAnsi="宋体"/>
                <w:highlight w:val="none"/>
                <w:lang w:val="en-US" w:eastAsia="zh-CN" w:bidi="ar"/>
              </w:rPr>
              <w:t>（执行数-预算数）/预算数</w:t>
            </w:r>
            <w:r>
              <w:rPr>
                <w:rStyle w:val="34"/>
                <w:highlight w:val="none"/>
                <w:lang w:val="en-US" w:eastAsia="zh-CN" w:bidi="ar"/>
              </w:rPr>
              <w:t>∣</w:t>
            </w:r>
            <w:r>
              <w:rPr>
                <w:rStyle w:val="33"/>
                <w:rFonts w:hAnsi="宋体"/>
                <w:highlight w:val="none"/>
                <w:lang w:val="en-US" w:eastAsia="zh-CN" w:bidi="ar"/>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“三公经费”控制率[计算方法为：（三公经费实际支出数/预算安排数]×100%）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99%</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运转保障率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财政全额供养“退休中人”一次性补贴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及时、足额发放“退休中人”一次性补贴</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及时、足额发放“退休中人”一次性补贴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及时、足额发放“退休中人”一次性补贴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进行信息摸底调查，开展乡村振兴宣传工作，及时更换乡村横幅标语、公示栏、宣传栏、明白卡、制度牌，规范完善乡村振兴相关资料，按照省市乡村振兴相关要求，驻村人员脱产驻村、吃住在村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进行了信息摸底调查，开展了乡村振兴宣传工作，及时更换了乡村横幅标语、公示栏、宣传栏、明白卡、制度牌，规范完善乡村振兴相关资料，按照省市乡村振兴相关要求，驻村人员脱产驻村、吃住在村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及时更换乡村横幅标语、公示栏、宣传栏、明白卡、制度牌及规范完善乡村振兴相关软件资料，按照省市乡村振兴相关要求，驻村人员脱产驻村、吃住在村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发放3个驻村人员生活补助及工作经费</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5.46万元</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更换马鞍村乡村振兴横幅标语</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1个</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更换马鞍村乡村振兴宣传栏</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1个</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全部更换横幅标语、宣传栏</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及时发放驻村补助及工作经费</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工作经费及驻村补助不超过54600元</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54600元</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按照省市相关要求，驻村人员脱产驻村、吃住在村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优良中低差</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马鞍村群众满意度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交通项目资金争取工作经费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向上争取交通项目部省补助资金12亿元</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完成向上争取交通项目部省补助资金12亿元目标任务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向上争取交通项目资金工作经费13.58亿元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向上争取部省补助资金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亿元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13.58亿元</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完成向上争取资金任务</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113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开展资金争取工作经费不超过50万元</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50万元</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争取交通建设项目部省补助资金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亿元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13.58亿元</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交通运输管理（含安全监督、法制建设、禁毒工作等）工作经费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组织开展交通行业行政执法人员培训，召开安全例会、开展安全督导、检查、调研、评估、安全资料印制、整理、归档等，开展国防交通潜力调查，完成数据统计更新，开展国防交通专业保障队伍教育或训（演）练保障国防交通运行，维护局网站平稳运行，不发生网络安全事故，开展网络安全培训和宣传</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2022年组织开展了交通行业安全监督、法制建设、禁毒、交通战备、网络安全等工作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2022年组织开展了交通行业安全监督、法制建设、禁毒、交通战备、网络安全等工作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开展国防交通潜力调查，完成数据统计更新，开展国防交通专业保障队伍教育或训（演）练，保障国防交通运行</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召开安全例会、开展安全督导、检查、调研、评估、安全资料印制、整理、归档等</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局网站维护1年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交通运输行政执法人员培训</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网络安全宣传和培训</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交通运输局干部职工知晓网络安全相关法律和参加网络安全培训覆盖率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不发生网络安全责任事故</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网站运行正常率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42000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交通运输行业社会评价明显上升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优良中低差</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交通运输行政执法队伍投诉率在2021年基础上下降50%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交通项目工作经费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开展国道G542线利州区盘龙镇（陵江）至昭化区元坝镇（范家坪）改建工程、省道205线利州区（塔山弯）至朝天区云雾山镇（川陕界）新改建工程、剑阁县下寺至利州区月坝公路、嘉陵江水东坝航电综合枢纽工程的工可、设计；广元黑石坡至旺苍县盐河镇公路、G542昭化区元坝镇（范家坪）至旺苍县三江镇（牛项颈）段改建工程取得工可批复；广元市综合交通枢纽总体规划和广元市货运枢纽集疏运体系实施方案通过交通运输部评审等各项前期工作。</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国道G542线利州区盘龙镇（陵江）至昭化区元坝镇（范家坪）改建工程、省道205线利州区（塔山弯）至朝天区云雾山镇（川陕界）新改建工程、剑阁县下寺至利州区月坝公路、嘉陵江水东坝航电综合枢纽工程的工可、设计等前期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了国道G542线利州区盘龙镇（陵江）至昭化区元坝镇（范家坪）改建工程、省道205线利州区（塔山弯）至朝天区云雾山镇（川陕界）新改建工程、剑阁县下寺至利州区月坝公路、嘉陵江水东坝航电综合枢纽工程的工可、设计等前期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预计完成项目工可</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预计完成项目设计</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预计设计文件取得行业审批</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预计取得项目工可取得批复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交通国土空间规划经费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代管资金及时拨付</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代管资金及时拨付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代管资金及时拨付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代管资金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180000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综合交通枢纽总体规划和货运枢纽及集疏运体系实施方案编制经费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283.60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271.60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271.60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283.60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271.60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271.60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完成综合交通枢纽总体规划和货运枢纽及集疏运体系实施方案编制工作</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符合行业编制要求</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完成时限</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2022年12月31日</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该指标为2021年结余资金，指标总额400万元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w:t>
            </w:r>
            <w:r>
              <w:rPr>
                <w:rFonts w:hint="eastAsia" w:ascii="仿宋_GB2312" w:hAnsi="宋体" w:eastAsia="仿宋_GB2312" w:cs="仿宋_GB2312"/>
                <w:i w:val="0"/>
                <w:color w:val="000000"/>
                <w:kern w:val="0"/>
                <w:sz w:val="20"/>
                <w:szCs w:val="20"/>
                <w:highlight w:val="none"/>
                <w:u w:val="none"/>
                <w:lang w:val="en-US" w:eastAsia="zh-CN" w:bidi="ar"/>
              </w:rPr>
              <w:br w:type="textWrapping"/>
            </w:r>
            <w:r>
              <w:rPr>
                <w:rFonts w:hint="eastAsia" w:ascii="仿宋_GB2312" w:hAnsi="宋体" w:eastAsia="仿宋_GB2312" w:cs="仿宋_GB2312"/>
                <w:i w:val="0"/>
                <w:color w:val="000000"/>
                <w:kern w:val="0"/>
                <w:sz w:val="20"/>
                <w:szCs w:val="20"/>
                <w:highlight w:val="none"/>
                <w:u w:val="none"/>
                <w:lang w:val="en-US" w:eastAsia="zh-CN" w:bidi="ar"/>
              </w:rPr>
              <w:t>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说明在国家综合立体交通网主骨架的交通区位，综合货运枢纽支持国家重点产业集群等情况</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w:t>
            </w:r>
            <w:r>
              <w:rPr>
                <w:rFonts w:hint="eastAsia" w:ascii="仿宋_GB2312" w:hAnsi="宋体" w:eastAsia="仿宋_GB2312" w:cs="仿宋_GB2312"/>
                <w:i w:val="0"/>
                <w:color w:val="000000"/>
                <w:kern w:val="0"/>
                <w:sz w:val="20"/>
                <w:szCs w:val="20"/>
                <w:highlight w:val="none"/>
                <w:u w:val="none"/>
                <w:lang w:val="en-US" w:eastAsia="zh-CN" w:bidi="ar"/>
              </w:rPr>
              <w:br w:type="textWrapping"/>
            </w:r>
            <w:r>
              <w:rPr>
                <w:rFonts w:hint="eastAsia" w:ascii="仿宋_GB2312" w:hAnsi="宋体" w:eastAsia="仿宋_GB2312" w:cs="仿宋_GB2312"/>
                <w:i w:val="0"/>
                <w:color w:val="000000"/>
                <w:kern w:val="0"/>
                <w:sz w:val="20"/>
                <w:szCs w:val="20"/>
                <w:highlight w:val="none"/>
                <w:u w:val="none"/>
                <w:lang w:val="en-US" w:eastAsia="zh-CN" w:bidi="ar"/>
              </w:rPr>
              <w:t>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测算综合货运枢纽设施新增和改造面积，集疏运体系新增及改扩建里程，主要枢纽港站货物吞吐量年均增长率等指标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通过市政府上报</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市本级第一批更新公务用车（车辆购置和车辆购置税）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按要求更新购置公务用车一辆</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按要求更新购置公务用车一辆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按要求更新购置公务用车一辆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55.87</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2022年春节集中慰问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按要求发放春节慰问金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按要求发放春节慰问金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按要求发放春节慰问金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传化物流场平资金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传化公路港物流港项目位于市中心城北部（京昆高速广元北下线口），占地面积260.5亩，估算总投资约8.3亿元，其中由我市负责征拆及场平工程；传化集团负责投资6亿元建设“一中心两基地”。3000万主要用于支付该项目部分前期费用及挖方27万方的土地平整工作所需场平工作费用。及传化公路港物流项目奖励资金659万元。</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传化公路港物流港项目位于市中心城北部（京昆高速广元北下线口），占地面积260.5亩，估算总投资约8.3亿元，其中由我市负责征拆及场平工程；传化集团负责投资6亿元建设“一中心两基地”。3000万主要用于支付该项目部分前期费用及挖方27万方的土地平整工作所需场平工作费用。及传化公路港物流项目奖励资金659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3000万主要用于支付该项目部分前期费用及挖方27万方的土地平整工作所需场平工作费用。及传化公路港物流项目奖励资金659万元。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3,659.00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3,659.00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3,659.00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3,659.00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项目前期工作及土地平整挖方</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270000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平方米</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270000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工程验收合格率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资金使用合规率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满足城乡物流需求，扩大内需</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带动区域地区GDP总量的增长，促进区域产业结构的优化和调整</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奖励批次</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批</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无</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2022年取消政府还贷二级公路收费省级补助资金（黑增路）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完成康旅大道（黑石坡至曾家山公路工程）项目前期及立项批复、林地植被恢复和初步勘察设计批复。</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康旅大道（黑石坡至曾家山公路工程）项目前期及立项批复、林地植被恢复和初步勘察设计批复已完成。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康旅大道（黑石坡至曾家山公路工程）项目前期及立项批复、林地植被恢复和初步勘察设计批复已完成。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1,646.00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1,646.00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1,646.00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1,646.00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项目前期及立项、林地植被恢复和初步勘察设计</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前期报告合格性</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项目前期及立项、林地植被恢复资金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1467.5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1467.5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初步勘察设计预付费</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178.5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178.5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加快建设广元城市北部新城、推动广元康养旅游发展；实现黑石坡森林公园与曾家山旅游经济一体化发展；完善区域路网结构，提高路网服务水平和通行能力，助力区域经济社会快速发展。</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优良中低差</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政府满意度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急需紧缺专业选调生安家补助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按要求及时足额发放选调生安家补助</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按要求及时足额发放选调生安家补助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按要求及时足额发放选调生安家补助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广元市“十四五”综合交通运输发展规划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完成广元市“十四五”综合交通运输发展规划编制工作</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完成广元市“十四五”综合交通运输发展规划编制工作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以局分管领导为项目总负责人，业务科室负责人为项目具体负责人，编制单位为项目实施单位。实施流程以政府采购公开招标的方式确定编制单位、签订编制合同、开展调研编制工作、编制成果通过市政府常务会议审议并经市政府审定印发、完成编制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规划成果通过审核</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完成广元市“十四五”综合交通运输发展规划编制工作</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完成时限</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《广元市“十四五”综合交通运输发展规划》是国民经济和社会发展五年总体规划在交通运输领域的具体细化和落实</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“十四五”交通运输发展规划》是国民经济和社会发展五年总体规划在交通运输领域的具体细化和落实</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121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广元至平武高速公路项目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为延续性项目，分为建设期与运营期，本次申请资金2000万元，用于修建项目前50公里收费站2处、停车区2处、服务区2处、管理中心1处，大幅度提高区域内通行能力、服务水平及行车安全，并大大缩短行车时间，充分发挥路网整体致益；带动沿线地区GDP总量的增长，促进区域产业结构的优化和调整，提高沿线居民的生活水平和质量，增加就业岗位，减少贫困，促进当地文化、教育、卫生事业的发展，加快城乡一体化进程</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为延续性项目，分为建设期与运营期，本次资金2000万元，用于修建项目前50公里收费站2处、停车区2处、服务区2处、管理中心1处，大幅度提高区域内通行能力、服务水平及行车安全，并大大缩短行车时间，充分发挥路网整体致益；带动沿线地区GDP总量的增长，促进区域产业结构的优化和调整，提高沿线居民的生活水平和质量，增加就业岗位，减少贫困，促进当地文化、教育、卫生事业的发展，加快城乡一体化进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修建项目前50公里收费站2处、停车区2处、服务区2处、管理中心1处，大幅度提高区域内通行能力、服务水平及行车安全，并大大缩短行车时间，充分发挥路网整体致益；带动沿线地区GDP总量的增长，促进区域产业结构的优化和调整，提高沿线居民的生活水平和质量，增加就业岗位，减少贫困，促进当地文化、教育、卫生事业的发展，加快城乡一体化进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前50公里建设2处收费站</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处</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前50公里建设2处停车区</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处</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前50公里建设2处服务区</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处</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前50公里建设1处管理中心</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处</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资金使用合规率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建成后效益</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带动地方经济发展</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前50公里收费站、停车区、服务区、管理中心等房建施工建设成本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嘉陵江四号桥维修加固工程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完成嘉陵江四号桥维修加固工程工程尾款及招标代理服务费的支付。嘉陵江四号桥维修加固工程2019 年3月开工，同年6月完工投入使用，2020年3月进行了竣(交)工验收。2020年8月，完成工程结算审计，建设单位送审金额292. 11万元,其中：建安工程投资199.67万元，待摊投资92.44万元，审减6.19万元，审定项目实际完成投资285.91万元，其中：建安工程投资199.67万元，待摊投资86.24万元。现已累计拨付250万元，此次拨付35.913382万元。</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完成嘉陵江四号桥维修加固工程工程尾款及招标代理服务费的支付。嘉陵江四号桥维修加固工程2019 年3月开工，同年6月完工投入使用，2020年3月进行了竣(交)工验收。2020年8月，完成工程结算审计，建设单位送审金额292. 11万元,其中：建安工程投资199.67万元，待摊投资92.44万元，审减6.19万元，审定项目实际完成投资285.91万元，其中：建安工程投资199.67万元，待摊投资86.24万元。现已累计拨付250万元，此次拨付35.913382万元。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嘉陵江四号桥维修加固工程2019 年3月开工，同年6月完工投入使用，2020年3月进行了竣(交)工验收。2020年8月，完成工程结算审计，建设单位送审金额292. 11万元,其中：建安工程投资199.67万元，待摊投资92.44万元，审减6.19万元，审定项目实际完成投资285.91万元，其中：建安工程投资199.67万元，待摊投资86.24万元。现已累计拨付250万元，此次拨付35.913382万元。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35.91</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35.91</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35.91</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35.91</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工程验收合格率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资金使用合规率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月</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维修加固桥梁长度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69</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米</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改善基本公共通行水平</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改造项目适应交通发展需求</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建安工程</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336882.82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336882.82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招标代理服务费</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22251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22251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国道108线严家湾及鸭纺路项目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国道108线严家湾及鸭纺路项目，该项目为延续性项目，分为建设期与运营期，用于拨付项目公司对该项目的日常养护，其中日常养护、路面保洁、清洗、桥面保洁、管涵清理、标线清洗、护栏清洗、水毁地段清理等日常性工作，该养护工作大幅度提高区域内通行能力、服务水平及行车安全；带动沿线地区GDP总量的增长，促进区域产业结构的优化和调整，提高沿线居民的生活水平和质量加快城乡一体化进程。</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国道108线严家湾及鸭纺路项目，该项目为延续性项目，分为建设期与运营期，用于拨付项目公司对该项目的日常养护，其中日常养护、路面保洁、清洗、桥面保洁、管涵清理、标线清洗、护栏清洗、水毁地段清理等日常性工作，该养护工作大幅度提高区域内通行能力、服务水平及行车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申请4622.73万元用于政府付费，申请资金300.7888万元（其中严家湾项目2018-2020年度运营补贴124.7926万元；鸭纺路项目2018-2020年度运营补贴175.9962万元），用于拨付项目公司对该项目的日常养护，其中7公里日常养护、路面保洁、清洗、隧道桥面保洁、管涵清理、标线清洗、护栏清洗、水毁地段清理等日常性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4,923.52</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4,923.52</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路面保洁、清洗、桥面保洁、管涵清理、标线清洗、护栏清洗、行道树和分隔带浇水、修建、除虫、施肥</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公里</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7</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资金使用合格率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现场清理水毁塌方清理</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立方米</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大幅度提高区域内通行能力、服务水平</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促进区域产业结构的优化和调整，提高沿线居民的生活水平和质量加快城乡一体化进程</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4923.5188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4923.5188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S205利州区河西街道办事处（杨家岩）至下西街道办事处（塔山湾）段改建工程（下穿广元铁路集装箱运输组货中心段）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利州区河西街道办事处（杨家岩）至下西街道办事处（塔山湾）段改建工程（下穿广元铁路集装箱运输组货中心段）项目建设，修建路线全长300米，采用一级公路标准兼市政功能，路基宽度30米，路线框架桥270米/1座。</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利州区河西街道办事处（杨家岩）至下西街道办事处（塔山湾）段改建工程（下穿广元铁路集装箱运输组货中心段）项目建设，修建路线全长300米，采用一级公路标准兼市政功能，路基宽度30米，路线框架桥270米/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修建完成S205利州区河西街道办事处（杨家岩）至下西街道办事处（塔山湾）段改建工程（下穿广元铁路集装箱运输组货中心段）项目建设，修建路线全长300米，采用一级公路标准兼市政功能，路基宽度30米，路线框架桥270米/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路基宽度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米</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路线全长</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米</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路线框架桥</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座</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工程验收合格率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建设工期</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月</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满足城乡日益增长的运输需求</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总投金额</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1019.09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综合货运枢纽示范城市申报工作经费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完成综合货运枢纽示范城市申报工作</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第二批综合货运枢纽示范城市申报通过省厅评审，资料已报交通运输部评审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第二批综合货运枢纽示范城市申报通过省厅评审，资料已报交通运输部评审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61.42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61.42%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第一批申报未能通过交通运输部评审，我局正在积极申报第二批综合货运枢纽示范城市，申报资料通过省厅评审，并报交通运输部评审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61.42</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61.42%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推进综合货运枢纽示范城市申报工作</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完成综合货运枢纽示范城市申报工作</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完成时限</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充分依托“全国性综合交通枢纽城市”地位，积极申报综合货运枢纽示范城市，说明在国家综合立体交通网主骨架的交通区位，综合货运枢纽支持国家重点产业集群等情况</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测算综合货运枢纽设施新增和改造面积，集疏运体系新增及改扩建里程，主要枢纽港站货物吞吐量年均增长率等指标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61.42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第一批申报未能通过交通运输部评审，我局正在积极申报第二批综合货运枢纽示范城市，申报资料通过省厅评审，并报交通运输部评审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5.38</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Style w:val="33"/>
                <w:rFonts w:hAnsi="宋体"/>
                <w:highlight w:val="none"/>
                <w:lang w:val="en-US" w:eastAsia="zh-CN" w:bidi="ar"/>
              </w:rPr>
              <w:t>预算编制准确率（计算方法为：</w:t>
            </w:r>
            <w:r>
              <w:rPr>
                <w:rStyle w:val="34"/>
                <w:highlight w:val="none"/>
                <w:lang w:val="en-US" w:eastAsia="zh-CN" w:bidi="ar"/>
              </w:rPr>
              <w:t>∣</w:t>
            </w:r>
            <w:r>
              <w:rPr>
                <w:rStyle w:val="33"/>
                <w:rFonts w:hAnsi="宋体"/>
                <w:highlight w:val="none"/>
                <w:lang w:val="en-US" w:eastAsia="zh-CN" w:bidi="ar"/>
              </w:rPr>
              <w:t>（执行数-预算数）/预算数</w:t>
            </w:r>
            <w:r>
              <w:rPr>
                <w:rStyle w:val="34"/>
                <w:highlight w:val="none"/>
                <w:lang w:val="en-US" w:eastAsia="zh-CN" w:bidi="ar"/>
              </w:rPr>
              <w:t>∣</w:t>
            </w:r>
            <w:r>
              <w:rPr>
                <w:rStyle w:val="33"/>
                <w:rFonts w:hAnsi="宋体"/>
                <w:highlight w:val="none"/>
                <w:lang w:val="en-US" w:eastAsia="zh-CN" w:bidi="ar"/>
              </w:rPr>
              <w:t>）</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严格执行相关政策，保障工资及时发放、足额发放，预算编制科学合理，减少结余资金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做到严格执行相关政策，保障工资及时足额发放，住房公积金及时足额缴纳。预算编制科学合理，无结余资金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65.24</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65.24</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65.24</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65.24</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省道205线广元至昭化改建公路耕地开垦费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属于已完工项目，目前正推进各标段审计和决算工作，为完善项目用地手续，依据《中华人民共和国土地管理法》、《四川省&lt;中华人民共和国土地管理法&gt;实施办法》等法律法规的规定，应缴纳耕地开垦费597.4335万元，缴纳后可依法向省自然资源厅申请办理用地手续。</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属于已完工项目，目前正推进各标段审计和决算工作，为完善项目用地手续，依据《中华人民共和国土地管理法》、《四川省&lt;中华人民共和国土地管理法&gt;实施办法》等法律法规的规定，应缴纳耕地开垦费597.4335万元，缴纳后可依法向省自然资源厅申请办理用地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属于已完工项目，目前正推进各标段审计和决算工作，为完善项目用地手续，依据《中华人民共和国土地管理法》、《四川省&lt;中华人民共和国土地管理法&gt;实施办法》等法律法规的规定，应缴纳耕地开垦费597.4335万元，缴纳后可依法向省自然资源厅申请办理用地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占用一般耕地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9.0357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公顷</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9.0357</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占用基本农田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2.0385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公顷</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2.0385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占用可调整园地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0.0818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公顷</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0.0818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资金使用合规率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月</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缴纳后效益</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优。项目周边土地复垦将有利于促进区域经济发展，同时推动城乡统筹，区域资源整合，构建城乡一体化的需要。</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带动地方经济发展</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优。土地开垦恢复后，将大幅度提改善周边环境；带动沿线地区GDP总量的增长，促进区域产业结构的优化和调整，提高沿线居民的生活水平和质量加快城乡一体化进程。</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597.4335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597.4335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两新组织党建经费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“两新”组织党建经费补助资金</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拨付三家单位“两新”组织党建经费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拨付三家单位“两新”组织党建经费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两新组织数量</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全额拨付</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两新组织党建工作顺利开展</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两新组织满意度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项目前期工作激励2022年省预算内基本建设资金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完成S205广元市利州区回龙河街道办事处至河西街道办事处（学工桥至塔山湾）段改建工程项目前期可行性研究报告。</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完成S205广元市利州区回龙河街道办事处至河西街道办事处（学工桥至塔山湾）段改建工程项目前期可行性研究报告。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完成S205广元市利州区回龙河街道办事处至河西街道办事处（学工桥至塔山湾）段改建工程项目前期可行性研究报告。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完成S205广元市利州区回龙河街道办事处至河西街道办事处（学工桥至塔山湾）段改建工程项目前期可行性研究报告批复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个</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可研报告完成度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促进广元旅游、经济及交通运输发展</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严格执行相关政策，及时、足额发放高层次人才安家补助和工作补助</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严格执行相关政策，及时、足额发放高层次人才安家补助和工作补助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严格执行相关政策，及时、足额发放高层次人才安家补助和工作补助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8.30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8.30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8.30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8.30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足额保障率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科目调整次数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按时发放率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结余率（计算方法为：结余数/预算数）</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22.5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 xml:space="preserve">部门预算项目支出绩效自评表（2022年度）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交通卡点工作人员闭环管理食宿费用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常态化疫情防控“入川即检”交通卡点及应急期间由市交通运输局及二级单位直接负责的中圈层交通卡点闭环管理食宿费用</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常态化疫情防控“入川即检”交通卡点及应急期间由市交通运输局及二级单位直接负责的中圈层交通卡点闭环管理食宿费用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常态化疫情防控“入川即检”交通卡点及应急期间由市交通运输局及二级单位直接负责的中圈层交通卡点闭环管理食宿费用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资金全额拨付</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6家单位闭环管理食宿费用</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家</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稳定营商环境</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171.79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sz w:val="20"/>
          <w:szCs w:val="20"/>
          <w:highlight w:val="none"/>
          <w:u w:val="none"/>
        </w:rPr>
        <w:br w:type="page"/>
      </w:r>
    </w:p>
    <w:tbl>
      <w:tblPr>
        <w:tblStyle w:val="13"/>
        <w:tblW w:w="14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980"/>
        <w:gridCol w:w="1722"/>
        <w:gridCol w:w="2198"/>
        <w:gridCol w:w="1120"/>
        <w:gridCol w:w="915"/>
        <w:gridCol w:w="1155"/>
        <w:gridCol w:w="1286"/>
        <w:gridCol w:w="616"/>
        <w:gridCol w:w="616"/>
        <w:gridCol w:w="2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方正宋黑_GBK" w:hAnsi="方正宋黑_GBK" w:eastAsia="方正宋黑_GBK" w:cs="方正宋黑_GBK"/>
                <w:i w:val="0"/>
                <w:color w:val="000000"/>
                <w:sz w:val="32"/>
                <w:szCs w:val="32"/>
                <w:highlight w:val="none"/>
                <w:u w:val="none"/>
              </w:rPr>
            </w:pPr>
            <w:r>
              <w:rPr>
                <w:rFonts w:hint="eastAsia" w:ascii="方正宋黑_GBK" w:hAnsi="方正宋黑_GBK" w:eastAsia="方正宋黑_GBK" w:cs="方正宋黑_GBK"/>
                <w:i w:val="0"/>
                <w:color w:val="000000"/>
                <w:kern w:val="0"/>
                <w:sz w:val="32"/>
                <w:szCs w:val="32"/>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项目名称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2022年女儿节项目经费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6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主管部门</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广元市交通运输局部门</w:t>
            </w:r>
          </w:p>
        </w:tc>
        <w:tc>
          <w:tcPr>
            <w:tcW w:w="1286" w:type="dxa"/>
            <w:tcBorders>
              <w:top w:val="nil"/>
              <w:left w:val="nil"/>
              <w:bottom w:val="nil"/>
              <w:right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实施单位 （盖章）</w:t>
            </w:r>
          </w:p>
        </w:tc>
        <w:tc>
          <w:tcPr>
            <w:tcW w:w="3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广元市交通运输局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项目基本情况</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1.项目年度目标完成情况</w:t>
            </w: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项目年度目标</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71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根据《2022中国（广元）女儿节凤舟赛水上安全保障方案》要求，2022年女儿节期间，我局直属单位广元航道段具体负责女儿节凤舟赛的赛道设置和水上安全保障工作。该项目是2022年中国（广元）女儿节系列活动内容之一。为保障活动的正常开展，需采购龙舟赛赛道布置专用材料。</w:t>
            </w:r>
          </w:p>
        </w:tc>
        <w:tc>
          <w:tcPr>
            <w:tcW w:w="49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根据《2022中国（广元）女儿节凤舟赛水上安全保障方案》要求，2022年女儿节期间，我局直属单位广元航道段具体负责女儿节凤舟赛的赛道设置和水上安全保障工作。该项目是2022年中国（广元）女儿节系列活动内容之一。为保障活动的正常开展，需采购龙舟赛赛道布置专用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2.项目实施内容及过程概述</w:t>
            </w:r>
          </w:p>
        </w:tc>
        <w:tc>
          <w:tcPr>
            <w:tcW w:w="1207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根据《2022中国（广元）女儿节凤舟赛水上安全保障方案》要求，2022年女儿节期间，我局直属单位广元航道段具体负责女儿节凤舟赛的赛道设置和水上安全保障工作。该项目是2022年中国（广元）女儿节系列活动内容之一。为保障活动的正常开展，需采购龙舟赛赛道布置专用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预算执行情况（10分）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年度预算数（万元）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年初预算</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调整后预算数</w:t>
            </w: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预算执行数</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预算执行率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总额</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其中：财政资金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5.00</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财政专户管理资金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单位资金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其他资金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31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2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绩效指标（90分）</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一级指标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三级指标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度量单位</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部门自评得分</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开展女儿节活动</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次</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资金使用合规率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15</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产出指标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完成时间</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年</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2022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女儿节活动圆满完成</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优</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服务对象满意度指标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群众满意度</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1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经济成本指标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项目成本</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万元</w:t>
            </w:r>
          </w:p>
        </w:tc>
        <w:tc>
          <w:tcPr>
            <w:tcW w:w="1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20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jc w:val="center"/>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0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合计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100</w:t>
            </w:r>
          </w:p>
        </w:tc>
        <w:tc>
          <w:tcPr>
            <w:tcW w:w="2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260" w:lineRule="exact"/>
              <w:rPr>
                <w:rFonts w:hint="eastAsia" w:ascii="仿宋_GB2312" w:hAnsi="宋体" w:eastAsia="仿宋_GB2312" w:cs="仿宋_GB2312"/>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评价结论</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该项目规划科学，决策依据充分，程序合法合规、资金到位及时拨付规范。项目支出绩效自评得分100分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存在问题</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改进措施</w:t>
            </w:r>
          </w:p>
        </w:tc>
        <w:tc>
          <w:tcPr>
            <w:tcW w:w="14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color w:val="000000"/>
                <w:sz w:val="20"/>
                <w:szCs w:val="20"/>
                <w:highlight w:val="none"/>
                <w:u w:val="none"/>
              </w:rPr>
            </w:pPr>
            <w:r>
              <w:rPr>
                <w:rFonts w:hint="eastAsia" w:ascii="仿宋_GB2312" w:hAnsi="宋体" w:eastAsia="仿宋_GB2312" w:cs="仿宋_GB2312"/>
                <w:i/>
                <w:color w:val="000000"/>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项目负责人：韩顺东</w:t>
            </w:r>
          </w:p>
        </w:tc>
        <w:tc>
          <w:tcPr>
            <w:tcW w:w="70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财务负责人：何黎</w:t>
            </w:r>
          </w:p>
        </w:tc>
      </w:tr>
    </w:tbl>
    <w:p>
      <w:pPr>
        <w:shd w:val="clear"/>
        <w:spacing w:line="600" w:lineRule="exact"/>
        <w:jc w:val="center"/>
        <w:outlineLvl w:val="9"/>
        <w:rPr>
          <w:rFonts w:hint="eastAsia" w:ascii="黑体" w:hAnsi="黑体" w:eastAsia="黑体"/>
          <w:color w:val="auto"/>
          <w:sz w:val="44"/>
          <w:szCs w:val="44"/>
          <w:highlight w:val="none"/>
        </w:rPr>
      </w:pPr>
    </w:p>
    <w:p>
      <w:pPr>
        <w:shd w:val="clear"/>
        <w:spacing w:line="600" w:lineRule="exact"/>
        <w:jc w:val="center"/>
        <w:outlineLvl w:val="9"/>
        <w:rPr>
          <w:rFonts w:hint="eastAsia" w:ascii="黑体" w:hAnsi="黑体" w:eastAsia="黑体"/>
          <w:color w:val="auto"/>
          <w:sz w:val="44"/>
          <w:szCs w:val="44"/>
          <w:highlight w:val="none"/>
        </w:rPr>
        <w:sectPr>
          <w:pgSz w:w="16838" w:h="11906" w:orient="landscape"/>
          <w:pgMar w:top="1803" w:right="1440" w:bottom="987" w:left="1440" w:header="851" w:footer="992" w:gutter="0"/>
          <w:pgNumType w:fmt="decimal" w:start="1"/>
          <w:cols w:space="0" w:num="1"/>
          <w:rtlGutter w:val="0"/>
          <w:docGrid w:type="lines" w:linePitch="319" w:charSpace="0"/>
        </w:sectPr>
      </w:pPr>
    </w:p>
    <w:p>
      <w:pPr>
        <w:shd w:val="clear"/>
        <w:spacing w:line="600" w:lineRule="exact"/>
        <w:jc w:val="center"/>
        <w:outlineLvl w:val="0"/>
        <w:rPr>
          <w:rFonts w:hint="eastAsia" w:ascii="仿宋" w:hAnsi="仿宋" w:eastAsia="仿宋"/>
          <w:b w:val="0"/>
          <w:color w:val="auto"/>
          <w:highlight w:val="none"/>
        </w:rPr>
      </w:pPr>
      <w:bookmarkStart w:id="86" w:name="_Toc7963"/>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8"/>
      <w:bookmarkEnd w:id="84"/>
      <w:bookmarkEnd w:id="85"/>
      <w:bookmarkEnd w:id="86"/>
      <w:bookmarkStart w:id="87" w:name="_Toc15396619"/>
    </w:p>
    <w:p>
      <w:pPr>
        <w:pStyle w:val="4"/>
        <w:shd w:val="clear"/>
        <w:rPr>
          <w:rFonts w:ascii="仿宋" w:hAnsi="仿宋" w:eastAsia="仿宋"/>
          <w:color w:val="auto"/>
          <w:highlight w:val="none"/>
        </w:rPr>
      </w:pPr>
      <w:bookmarkStart w:id="88" w:name="_Toc17633"/>
      <w:bookmarkStart w:id="89" w:name="_Toc1108847297_WPSOffice_Level2"/>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87"/>
      <w:bookmarkEnd w:id="88"/>
      <w:bookmarkEnd w:id="89"/>
    </w:p>
    <w:p>
      <w:pPr>
        <w:pStyle w:val="4"/>
        <w:shd w:val="clear"/>
        <w:rPr>
          <w:rFonts w:ascii="仿宋" w:hAnsi="仿宋" w:eastAsia="仿宋"/>
          <w:color w:val="auto"/>
          <w:highlight w:val="none"/>
        </w:rPr>
      </w:pPr>
      <w:bookmarkStart w:id="90" w:name="_Toc454384262_WPSOffice_Level2"/>
      <w:bookmarkStart w:id="91" w:name="_Toc1952"/>
      <w:bookmarkStart w:id="92"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90"/>
      <w:bookmarkEnd w:id="91"/>
      <w:bookmarkEnd w:id="92"/>
    </w:p>
    <w:p>
      <w:pPr>
        <w:pStyle w:val="4"/>
        <w:shd w:val="clear"/>
        <w:rPr>
          <w:rFonts w:ascii="仿宋" w:hAnsi="仿宋" w:eastAsia="仿宋"/>
          <w:color w:val="auto"/>
          <w:highlight w:val="none"/>
        </w:rPr>
      </w:pPr>
      <w:bookmarkStart w:id="93" w:name="_Toc15396621"/>
      <w:bookmarkStart w:id="94" w:name="_Toc566316954_WPSOffice_Level2"/>
      <w:bookmarkStart w:id="95" w:name="_Toc22049"/>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93"/>
      <w:bookmarkEnd w:id="94"/>
      <w:bookmarkEnd w:id="95"/>
    </w:p>
    <w:p>
      <w:pPr>
        <w:pStyle w:val="4"/>
        <w:shd w:val="clear"/>
        <w:rPr>
          <w:rFonts w:ascii="仿宋" w:hAnsi="仿宋" w:eastAsia="仿宋"/>
          <w:b w:val="0"/>
          <w:color w:val="auto"/>
          <w:highlight w:val="none"/>
        </w:rPr>
      </w:pPr>
      <w:bookmarkStart w:id="96" w:name="_Toc19854"/>
      <w:bookmarkStart w:id="97" w:name="_Toc1932739498_WPSOffice_Level2"/>
      <w:bookmarkStart w:id="98" w:name="_Toc15396622"/>
      <w:bookmarkStart w:id="99" w:name="_Toc91246207_WPSOffice_Level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96"/>
      <w:bookmarkEnd w:id="97"/>
      <w:bookmarkEnd w:id="98"/>
      <w:bookmarkEnd w:id="99"/>
    </w:p>
    <w:p>
      <w:pPr>
        <w:pStyle w:val="4"/>
        <w:shd w:val="clear"/>
        <w:rPr>
          <w:rStyle w:val="18"/>
          <w:rFonts w:ascii="仿宋" w:hAnsi="仿宋" w:eastAsia="仿宋"/>
          <w:b w:val="0"/>
          <w:bCs w:val="0"/>
          <w:color w:val="auto"/>
          <w:highlight w:val="none"/>
        </w:rPr>
      </w:pPr>
      <w:bookmarkStart w:id="100" w:name="_Toc1806269957_WPSOffice_Level2"/>
      <w:bookmarkStart w:id="101" w:name="_Toc327914787_WPSOffice_Level2"/>
      <w:bookmarkStart w:id="102" w:name="_Toc15396623"/>
      <w:bookmarkStart w:id="103" w:name="_Toc2279"/>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100"/>
      <w:bookmarkEnd w:id="101"/>
      <w:bookmarkEnd w:id="102"/>
      <w:bookmarkEnd w:id="103"/>
      <w:bookmarkStart w:id="104" w:name="_Toc15396624"/>
    </w:p>
    <w:p>
      <w:pPr>
        <w:pStyle w:val="4"/>
        <w:shd w:val="clear"/>
        <w:rPr>
          <w:rFonts w:ascii="仿宋" w:hAnsi="仿宋" w:eastAsia="仿宋"/>
          <w:color w:val="auto"/>
          <w:highlight w:val="none"/>
        </w:rPr>
      </w:pPr>
      <w:bookmarkStart w:id="105" w:name="_Toc2084676272_WPSOffice_Level2"/>
      <w:bookmarkStart w:id="106" w:name="_Toc1316488385_WPSOffice_Level2"/>
      <w:bookmarkStart w:id="107" w:name="_Toc21163"/>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104"/>
      <w:bookmarkEnd w:id="105"/>
      <w:bookmarkEnd w:id="106"/>
      <w:bookmarkEnd w:id="107"/>
    </w:p>
    <w:p>
      <w:pPr>
        <w:pStyle w:val="4"/>
        <w:shd w:val="clear"/>
        <w:rPr>
          <w:rFonts w:ascii="仿宋" w:hAnsi="仿宋" w:eastAsia="仿宋"/>
          <w:color w:val="auto"/>
          <w:highlight w:val="none"/>
        </w:rPr>
      </w:pPr>
      <w:bookmarkStart w:id="108" w:name="_Toc1366257518_WPSOffice_Level2"/>
      <w:bookmarkStart w:id="109" w:name="_Toc8162"/>
      <w:bookmarkStart w:id="110" w:name="_Toc1367206862_WPSOffice_Level2"/>
      <w:bookmarkStart w:id="111" w:name="_Toc15396625"/>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108"/>
      <w:bookmarkEnd w:id="109"/>
      <w:bookmarkEnd w:id="110"/>
      <w:bookmarkEnd w:id="111"/>
    </w:p>
    <w:p>
      <w:pPr>
        <w:pStyle w:val="4"/>
        <w:shd w:val="clear"/>
        <w:rPr>
          <w:rFonts w:ascii="仿宋" w:hAnsi="仿宋" w:eastAsia="仿宋"/>
          <w:color w:val="auto"/>
          <w:highlight w:val="none"/>
        </w:rPr>
      </w:pPr>
      <w:bookmarkStart w:id="112" w:name="_Toc15396626"/>
      <w:bookmarkStart w:id="113" w:name="_Toc1205847175_WPSOffice_Level2"/>
      <w:bookmarkStart w:id="114" w:name="_Toc7907"/>
      <w:bookmarkStart w:id="115" w:name="_Toc1771914780_WPSOffice_Level2"/>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112"/>
      <w:bookmarkEnd w:id="113"/>
      <w:bookmarkEnd w:id="114"/>
      <w:bookmarkEnd w:id="115"/>
    </w:p>
    <w:p>
      <w:pPr>
        <w:pStyle w:val="4"/>
        <w:shd w:val="clear"/>
        <w:rPr>
          <w:rFonts w:ascii="仿宋" w:hAnsi="仿宋" w:eastAsia="仿宋"/>
          <w:color w:val="auto"/>
          <w:highlight w:val="none"/>
        </w:rPr>
      </w:pPr>
      <w:bookmarkStart w:id="116" w:name="_Toc31588"/>
      <w:bookmarkStart w:id="117" w:name="_Toc1883063565_WPSOffice_Level2"/>
      <w:bookmarkStart w:id="118" w:name="_Toc2134602760_WPSOffice_Level2"/>
      <w:bookmarkStart w:id="119" w:name="_Toc1539662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116"/>
      <w:bookmarkEnd w:id="117"/>
      <w:bookmarkEnd w:id="118"/>
      <w:bookmarkEnd w:id="119"/>
    </w:p>
    <w:p>
      <w:pPr>
        <w:pStyle w:val="4"/>
        <w:shd w:val="clear"/>
        <w:rPr>
          <w:rFonts w:ascii="仿宋" w:hAnsi="仿宋" w:eastAsia="仿宋"/>
          <w:color w:val="auto"/>
          <w:highlight w:val="none"/>
        </w:rPr>
      </w:pPr>
      <w:bookmarkStart w:id="120" w:name="_Toc15396628"/>
      <w:bookmarkStart w:id="121" w:name="_Toc2093363873_WPSOffice_Level2"/>
      <w:bookmarkStart w:id="122" w:name="_Toc28937"/>
      <w:bookmarkStart w:id="123" w:name="_Toc301825070_WPSOffice_Level2"/>
      <w:r>
        <w:rPr>
          <w:rStyle w:val="18"/>
          <w:rFonts w:hint="eastAsia" w:ascii="仿宋" w:hAnsi="仿宋" w:eastAsia="仿宋"/>
          <w:b w:val="0"/>
          <w:bCs w:val="0"/>
          <w:color w:val="auto"/>
          <w:highlight w:val="none"/>
        </w:rPr>
        <w:t>十、</w:t>
      </w:r>
      <w:bookmarkEnd w:id="120"/>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121"/>
      <w:bookmarkEnd w:id="122"/>
      <w:bookmarkEnd w:id="123"/>
    </w:p>
    <w:p>
      <w:pPr>
        <w:pStyle w:val="4"/>
        <w:shd w:val="clear"/>
        <w:rPr>
          <w:rFonts w:ascii="仿宋" w:hAnsi="仿宋" w:eastAsia="仿宋"/>
          <w:color w:val="auto"/>
          <w:highlight w:val="none"/>
        </w:rPr>
      </w:pPr>
      <w:bookmarkStart w:id="124" w:name="_Toc15396629"/>
      <w:bookmarkStart w:id="125" w:name="_Toc26509"/>
      <w:bookmarkStart w:id="126" w:name="_Toc719132208_WPSOffice_Level2"/>
      <w:bookmarkStart w:id="127" w:name="_Toc1820168040_WPSOffice_Level2"/>
      <w:r>
        <w:rPr>
          <w:rStyle w:val="18"/>
          <w:rFonts w:hint="eastAsia" w:ascii="仿宋" w:hAnsi="仿宋" w:eastAsia="仿宋"/>
          <w:b w:val="0"/>
          <w:bCs w:val="0"/>
          <w:color w:val="auto"/>
          <w:highlight w:val="none"/>
        </w:rPr>
        <w:t>十一、</w:t>
      </w:r>
      <w:bookmarkEnd w:id="124"/>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125"/>
      <w:bookmarkEnd w:id="126"/>
      <w:bookmarkEnd w:id="127"/>
    </w:p>
    <w:p>
      <w:pPr>
        <w:pStyle w:val="4"/>
        <w:shd w:val="clear"/>
        <w:rPr>
          <w:rFonts w:ascii="仿宋" w:hAnsi="仿宋" w:eastAsia="仿宋"/>
          <w:color w:val="auto"/>
          <w:highlight w:val="none"/>
        </w:rPr>
      </w:pPr>
      <w:bookmarkStart w:id="128" w:name="_Toc15396630"/>
      <w:bookmarkStart w:id="129" w:name="_Toc1345595632_WPSOffice_Level2"/>
      <w:bookmarkStart w:id="130" w:name="_Toc21207"/>
      <w:bookmarkStart w:id="131" w:name="_Toc37386242_WPSOffice_Level2"/>
      <w:r>
        <w:rPr>
          <w:rStyle w:val="18"/>
          <w:rFonts w:hint="eastAsia" w:ascii="仿宋" w:hAnsi="仿宋" w:eastAsia="仿宋"/>
          <w:b w:val="0"/>
          <w:bCs w:val="0"/>
          <w:color w:val="auto"/>
          <w:highlight w:val="none"/>
        </w:rPr>
        <w:t>十二、</w:t>
      </w:r>
      <w:bookmarkEnd w:id="128"/>
      <w:r>
        <w:rPr>
          <w:rStyle w:val="18"/>
          <w:rFonts w:hint="eastAsia" w:ascii="仿宋" w:hAnsi="仿宋" w:eastAsia="仿宋"/>
          <w:b w:val="0"/>
          <w:bCs w:val="0"/>
          <w:color w:val="auto"/>
          <w:highlight w:val="none"/>
          <w:lang w:eastAsia="zh-CN"/>
        </w:rPr>
        <w:t>国有资本经营预算财政拨款支出决算表</w:t>
      </w:r>
      <w:bookmarkEnd w:id="129"/>
      <w:bookmarkEnd w:id="130"/>
      <w:bookmarkEnd w:id="131"/>
    </w:p>
    <w:p>
      <w:pPr>
        <w:pStyle w:val="4"/>
        <w:shd w:val="clear"/>
        <w:rPr>
          <w:rFonts w:hint="eastAsia" w:eastAsia="仿宋"/>
          <w:color w:val="auto"/>
          <w:highlight w:val="none"/>
          <w:lang w:eastAsia="zh-CN"/>
        </w:rPr>
      </w:pPr>
      <w:bookmarkStart w:id="132" w:name="_Toc15396631"/>
      <w:bookmarkStart w:id="133" w:name="_Toc344897819_WPSOffice_Level2"/>
      <w:bookmarkStart w:id="134" w:name="_Toc25832"/>
      <w:bookmarkStart w:id="135" w:name="_Toc811556221_WPSOffice_Level2"/>
      <w:r>
        <w:rPr>
          <w:rStyle w:val="18"/>
          <w:rFonts w:hint="eastAsia" w:ascii="仿宋" w:hAnsi="仿宋" w:eastAsia="仿宋"/>
          <w:b w:val="0"/>
          <w:bCs w:val="0"/>
          <w:color w:val="auto"/>
          <w:highlight w:val="none"/>
        </w:rPr>
        <w:t>十三、</w:t>
      </w:r>
      <w:bookmarkEnd w:id="132"/>
      <w:r>
        <w:rPr>
          <w:rStyle w:val="18"/>
          <w:rFonts w:hint="eastAsia" w:ascii="仿宋" w:hAnsi="仿宋" w:eastAsia="仿宋"/>
          <w:b w:val="0"/>
          <w:bCs w:val="0"/>
          <w:color w:val="auto"/>
          <w:highlight w:val="none"/>
          <w:lang w:eastAsia="zh-CN"/>
        </w:rPr>
        <w:t>财政拨款“三公”经费支出决算表</w:t>
      </w:r>
      <w:bookmarkEnd w:id="133"/>
      <w:bookmarkEnd w:id="134"/>
      <w:bookmarkEnd w:id="135"/>
    </w:p>
    <w:sectPr>
      <w:pgSz w:w="11906" w:h="16838"/>
      <w:pgMar w:top="1440" w:right="1803" w:bottom="1440" w:left="1803" w:header="851" w:footer="992" w:gutter="0"/>
      <w:pgNumType w:fmt="decimal" w:start="1"/>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宋黑_GBK">
    <w:panose1 w:val="03000509000000000000"/>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77F23"/>
    <w:multiLevelType w:val="singleLevel"/>
    <w:tmpl w:val="D2677F23"/>
    <w:lvl w:ilvl="0" w:tentative="0">
      <w:start w:val="1"/>
      <w:numFmt w:val="decimal"/>
      <w:suff w:val="nothing"/>
      <w:lvlText w:val="%1．"/>
      <w:lvlJc w:val="left"/>
      <w:pPr>
        <w:ind w:left="0" w:firstLine="400"/>
      </w:pPr>
      <w:rPr>
        <w:rFonts w:hint="default"/>
        <w:b w:val="0"/>
        <w:bCs w:val="0"/>
        <w:sz w:val="32"/>
        <w:szCs w:val="32"/>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DFE71E1"/>
    <w:multiLevelType w:val="singleLevel"/>
    <w:tmpl w:val="EDFE71E1"/>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abstractNum w:abstractNumId="5">
    <w:nsid w:val="7185A99B"/>
    <w:multiLevelType w:val="singleLevel"/>
    <w:tmpl w:val="7185A99B"/>
    <w:lvl w:ilvl="0" w:tentative="0">
      <w:start w:val="1"/>
      <w:numFmt w:val="decimal"/>
      <w:suff w:val="nothing"/>
      <w:lvlText w:val="%1．"/>
      <w:lvlJc w:val="left"/>
      <w:pPr>
        <w:ind w:left="0" w:firstLine="400"/>
      </w:pPr>
      <w:rPr>
        <w:rFont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9BF1B33"/>
    <w:rsid w:val="0A2032A3"/>
    <w:rsid w:val="0B8A37D8"/>
    <w:rsid w:val="0BFE7DE3"/>
    <w:rsid w:val="10C055FF"/>
    <w:rsid w:val="118107EC"/>
    <w:rsid w:val="11DD6519"/>
    <w:rsid w:val="16BB723D"/>
    <w:rsid w:val="18015F3F"/>
    <w:rsid w:val="1BE8440E"/>
    <w:rsid w:val="1D155CEE"/>
    <w:rsid w:val="1FFB01AA"/>
    <w:rsid w:val="20F57F95"/>
    <w:rsid w:val="240371BF"/>
    <w:rsid w:val="25711CC6"/>
    <w:rsid w:val="25C741E6"/>
    <w:rsid w:val="27842671"/>
    <w:rsid w:val="29FD04D3"/>
    <w:rsid w:val="2ABE7A3E"/>
    <w:rsid w:val="2CA234A8"/>
    <w:rsid w:val="2DD37557"/>
    <w:rsid w:val="2EFA178C"/>
    <w:rsid w:val="30B46D73"/>
    <w:rsid w:val="319F7F4E"/>
    <w:rsid w:val="32E855AC"/>
    <w:rsid w:val="383D272C"/>
    <w:rsid w:val="39AE70AB"/>
    <w:rsid w:val="3B7682E8"/>
    <w:rsid w:val="3BB3D7EE"/>
    <w:rsid w:val="3C0C0783"/>
    <w:rsid w:val="3F9F3A96"/>
    <w:rsid w:val="3FDF63FC"/>
    <w:rsid w:val="41085755"/>
    <w:rsid w:val="46F13AB7"/>
    <w:rsid w:val="46F5BD4E"/>
    <w:rsid w:val="48BF60AB"/>
    <w:rsid w:val="493C27E9"/>
    <w:rsid w:val="496F39ED"/>
    <w:rsid w:val="49FF41D3"/>
    <w:rsid w:val="4BE068DB"/>
    <w:rsid w:val="4BF6002B"/>
    <w:rsid w:val="4ECE2238"/>
    <w:rsid w:val="4FD20001"/>
    <w:rsid w:val="51DB4B86"/>
    <w:rsid w:val="55333C3E"/>
    <w:rsid w:val="5EDF9BBE"/>
    <w:rsid w:val="64CA39A1"/>
    <w:rsid w:val="65BF1AE5"/>
    <w:rsid w:val="67CFE785"/>
    <w:rsid w:val="67FFB7F7"/>
    <w:rsid w:val="69630ADE"/>
    <w:rsid w:val="6C4A05C8"/>
    <w:rsid w:val="6D3B1A89"/>
    <w:rsid w:val="6F4EF397"/>
    <w:rsid w:val="71BF4EC2"/>
    <w:rsid w:val="72734D90"/>
    <w:rsid w:val="72AC5F43"/>
    <w:rsid w:val="73FC611A"/>
    <w:rsid w:val="7412278C"/>
    <w:rsid w:val="776F9EE8"/>
    <w:rsid w:val="77B99CDA"/>
    <w:rsid w:val="7904082E"/>
    <w:rsid w:val="79E7B28D"/>
    <w:rsid w:val="7EF98FF4"/>
    <w:rsid w:val="7F9F20EE"/>
    <w:rsid w:val="7FDAA88A"/>
    <w:rsid w:val="7FEDCF3F"/>
    <w:rsid w:val="7FFF27D2"/>
    <w:rsid w:val="8CCFC970"/>
    <w:rsid w:val="9E3A10E2"/>
    <w:rsid w:val="AEFE0DBD"/>
    <w:rsid w:val="B6FCFFF5"/>
    <w:rsid w:val="CEAA9184"/>
    <w:rsid w:val="DDCE4387"/>
    <w:rsid w:val="F2E1F9D4"/>
    <w:rsid w:val="F7880819"/>
    <w:rsid w:val="FADF2B76"/>
    <w:rsid w:val="FE72B561"/>
    <w:rsid w:val="FE7F9861"/>
    <w:rsid w:val="FFCE36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unhideWhenUsed/>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 w:type="character" w:customStyle="1" w:styleId="33">
    <w:name w:val="font101"/>
    <w:basedOn w:val="14"/>
    <w:qFormat/>
    <w:uiPriority w:val="0"/>
    <w:rPr>
      <w:rFonts w:hint="eastAsia" w:ascii="仿宋_GB2312" w:eastAsia="仿宋_GB2312" w:cs="仿宋_GB2312"/>
      <w:color w:val="000000"/>
      <w:sz w:val="20"/>
      <w:szCs w:val="20"/>
      <w:u w:val="none"/>
    </w:rPr>
  </w:style>
  <w:style w:type="character" w:customStyle="1" w:styleId="34">
    <w:name w:val="font01"/>
    <w:basedOn w:val="14"/>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75375"/>
          <c:y val="0.0325"/>
        </c:manualLayout>
      </c:layout>
      <c:overlay val="false"/>
      <c:spPr>
        <a:noFill/>
        <a:ln>
          <a:noFill/>
        </a:ln>
        <a:effectLst/>
      </c:spPr>
    </c:title>
    <c:autoTitleDeleted val="false"/>
    <c:plotArea>
      <c:layout>
        <c:manualLayout>
          <c:layoutTarget val="inner"/>
          <c:xMode val="edge"/>
          <c:yMode val="edge"/>
          <c:x val="0.128825"/>
          <c:y val="0.238584474885845"/>
          <c:w val="0.867425"/>
          <c:h val="0.612648401826484"/>
        </c:manualLayout>
      </c:layout>
      <c:barChart>
        <c:barDir val="col"/>
        <c:grouping val="clustered"/>
        <c:varyColors val="false"/>
        <c:ser>
          <c:idx val="0"/>
          <c:order val="0"/>
          <c:tx>
            <c:strRef>
              <c:f>Sheet1!$A$2</c:f>
              <c:strCache>
                <c:ptCount val="1"/>
                <c:pt idx="0">
                  <c:v>2021年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Sheet1!$B$1:$C$1</c:f>
              <c:strCache>
                <c:ptCount val="2"/>
                <c:pt idx="0">
                  <c:v>总收入</c:v>
                </c:pt>
                <c:pt idx="1">
                  <c:v>总支出</c:v>
                </c:pt>
              </c:strCache>
            </c:strRef>
          </c:cat>
          <c:val>
            <c:numRef>
              <c:f>Sheet1!$B$2:$C$2</c:f>
              <c:numCache>
                <c:formatCode>General</c:formatCode>
                <c:ptCount val="2"/>
                <c:pt idx="0">
                  <c:v>34478.08</c:v>
                </c:pt>
                <c:pt idx="1">
                  <c:v>34478.08</c:v>
                </c:pt>
              </c:numCache>
            </c:numRef>
          </c:val>
        </c:ser>
        <c:ser>
          <c:idx val="1"/>
          <c:order val="1"/>
          <c:tx>
            <c:strRef>
              <c:f>Sheet1!$A$3</c:f>
              <c:strCache>
                <c:ptCount val="1"/>
                <c:pt idx="0">
                  <c:v>2022年</c:v>
                </c:pt>
              </c:strCache>
            </c:strRef>
          </c:tx>
          <c:spPr>
            <a:solidFill>
              <a:schemeClr val="accent2"/>
            </a:solidFill>
            <a:ln>
              <a:noFill/>
            </a:ln>
            <a:effectLst/>
          </c:spPr>
          <c:invertIfNegative val="false"/>
          <c:dLbls>
            <c:dLbl>
              <c:idx val="0"/>
              <c:layout>
                <c:manualLayout>
                  <c:x val="0.054375"/>
                  <c:y val="0.00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54375"/>
                  <c:y val="-0.0025"/>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Sheet1!$B$1:$C$1</c:f>
              <c:strCache>
                <c:ptCount val="2"/>
                <c:pt idx="0">
                  <c:v>总收入</c:v>
                </c:pt>
                <c:pt idx="1">
                  <c:v>总支出</c:v>
                </c:pt>
              </c:strCache>
            </c:strRef>
          </c:cat>
          <c:val>
            <c:numRef>
              <c:f>Sheet1!$B$3:$C$3</c:f>
              <c:numCache>
                <c:formatCode>General</c:formatCode>
                <c:ptCount val="2"/>
                <c:pt idx="0">
                  <c:v>17310.61</c:v>
                </c:pt>
                <c:pt idx="1">
                  <c:v>17310.61</c:v>
                </c:pt>
              </c:numCache>
            </c:numRef>
          </c:val>
        </c:ser>
        <c:dLbls>
          <c:showLegendKey val="false"/>
          <c:showVal val="false"/>
          <c:showCatName val="false"/>
          <c:showSerName val="false"/>
          <c:showPercent val="false"/>
          <c:showBubbleSize val="false"/>
        </c:dLbls>
        <c:gapWidth val="219"/>
        <c:overlap val="-27"/>
        <c:axId val="742559288"/>
        <c:axId val="515045953"/>
      </c:barChart>
      <c:catAx>
        <c:axId val="74255928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15045953"/>
        <c:crosses val="autoZero"/>
        <c:auto val="true"/>
        <c:lblAlgn val="ctr"/>
        <c:lblOffset val="100"/>
        <c:noMultiLvlLbl val="false"/>
      </c:catAx>
      <c:valAx>
        <c:axId val="51504595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255928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92865"/>
          <c:y val="0.005"/>
          <c:w val="0.56177"/>
          <c:h val="0.749026666666667"/>
        </c:manualLayout>
      </c:layout>
      <c:pieChart>
        <c:varyColors val="true"/>
        <c:ser>
          <c:idx val="0"/>
          <c:order val="0"/>
          <c:tx>
            <c:strRef>
              <c:f>Sheet1!$B$1</c:f>
              <c:strCache>
                <c:ptCount val="1"/>
                <c:pt idx="0">
                  <c:v>本年收入</c:v>
                </c:pt>
              </c:strCache>
            </c:strRef>
          </c:tx>
          <c:spPr/>
          <c:explosion val="0"/>
          <c:dPt>
            <c:idx val="0"/>
            <c:bubble3D val="false"/>
            <c:explosion val="0"/>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4183.56</c:v>
                </c:pt>
                <c:pt idx="1">
                  <c:v>11175.96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本年支出合计</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914.24</c:v>
                </c:pt>
                <c:pt idx="1">
                  <c:v>16396.37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81675"/>
          <c:y val="0.0136986301369863"/>
        </c:manualLayout>
      </c:layout>
      <c:overlay val="false"/>
      <c:spPr>
        <a:noFill/>
        <a:ln>
          <a:noFill/>
        </a:ln>
        <a:effectLst/>
      </c:spPr>
    </c:title>
    <c:autoTitleDeleted val="false"/>
    <c:plotArea>
      <c:layout/>
      <c:barChart>
        <c:barDir val="col"/>
        <c:grouping val="clustered"/>
        <c:varyColors val="false"/>
        <c:ser>
          <c:idx val="0"/>
          <c:order val="0"/>
          <c:tx>
            <c:strRef>
              <c:f>Sheet1!$A$2</c:f>
              <c:strCache>
                <c:ptCount val="1"/>
                <c:pt idx="0">
                  <c:v>2021年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Sheet1!$B$1:$C$1</c:f>
              <c:strCache>
                <c:ptCount val="2"/>
                <c:pt idx="0">
                  <c:v>财政拨款收入</c:v>
                </c:pt>
                <c:pt idx="1">
                  <c:v>财政拨款支出</c:v>
                </c:pt>
              </c:strCache>
            </c:strRef>
          </c:cat>
          <c:val>
            <c:numRef>
              <c:f>Sheet1!$B$2:$C$2</c:f>
              <c:numCache>
                <c:formatCode>General</c:formatCode>
                <c:ptCount val="2"/>
                <c:pt idx="0">
                  <c:v>21487.9</c:v>
                </c:pt>
                <c:pt idx="1">
                  <c:v>21487.9</c:v>
                </c:pt>
              </c:numCache>
            </c:numRef>
          </c:val>
        </c:ser>
        <c:ser>
          <c:idx val="1"/>
          <c:order val="1"/>
          <c:tx>
            <c:strRef>
              <c:f>Sheet1!$A$3</c:f>
              <c:strCache>
                <c:ptCount val="1"/>
                <c:pt idx="0">
                  <c:v>2022年</c:v>
                </c:pt>
              </c:strCache>
            </c:strRef>
          </c:tx>
          <c:spPr>
            <a:solidFill>
              <a:schemeClr val="accent2"/>
            </a:solidFill>
            <a:ln>
              <a:noFill/>
            </a:ln>
            <a:effectLst/>
          </c:spPr>
          <c:invertIfNegative val="false"/>
          <c:dLbls>
            <c:dLbl>
              <c:idx val="0"/>
              <c:layout>
                <c:manualLayout>
                  <c:x val="0.080625"/>
                  <c:y val="0"/>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75"/>
                  <c:y val="0"/>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Sheet1!$B$1:$C$1</c:f>
              <c:strCache>
                <c:ptCount val="2"/>
                <c:pt idx="0">
                  <c:v>财政拨款收入</c:v>
                </c:pt>
                <c:pt idx="1">
                  <c:v>财政拨款支出</c:v>
                </c:pt>
              </c:strCache>
            </c:strRef>
          </c:cat>
          <c:val>
            <c:numRef>
              <c:f>Sheet1!$B$3:$C$3</c:f>
              <c:numCache>
                <c:formatCode>General</c:formatCode>
                <c:ptCount val="2"/>
                <c:pt idx="0">
                  <c:v>15704.98</c:v>
                </c:pt>
                <c:pt idx="1">
                  <c:v>15704.98</c:v>
                </c:pt>
              </c:numCache>
            </c:numRef>
          </c:val>
        </c:ser>
        <c:dLbls>
          <c:showLegendKey val="false"/>
          <c:showVal val="false"/>
          <c:showCatName val="false"/>
          <c:showSerName val="false"/>
          <c:showPercent val="false"/>
          <c:showBubbleSize val="false"/>
        </c:dLbls>
        <c:gapWidth val="219"/>
        <c:overlap val="-27"/>
        <c:axId val="506850844"/>
        <c:axId val="260730374"/>
      </c:barChart>
      <c:catAx>
        <c:axId val="50685084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60730374"/>
        <c:crosses val="autoZero"/>
        <c:auto val="true"/>
        <c:lblAlgn val="ctr"/>
        <c:lblOffset val="100"/>
        <c:noMultiLvlLbl val="false"/>
      </c:catAx>
      <c:valAx>
        <c:axId val="26073037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0685084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705"/>
          <c:y val="0.0251116071428571"/>
        </c:manualLayout>
      </c:layout>
      <c:overlay val="false"/>
      <c:spPr>
        <a:noFill/>
        <a:ln>
          <a:noFill/>
        </a:ln>
        <a:effectLst/>
      </c:spPr>
    </c:title>
    <c:autoTitleDeleted val="false"/>
    <c:plotArea>
      <c:layout>
        <c:manualLayout>
          <c:layoutTarget val="inner"/>
          <c:xMode val="edge"/>
          <c:yMode val="edge"/>
          <c:x val="0.0907"/>
          <c:y val="0.202493900786121"/>
          <c:w val="0.8818"/>
          <c:h val="0.544158308484684"/>
        </c:manualLayout>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5823.63</c:v>
                </c:pt>
                <c:pt idx="1">
                  <c:v>4529.03</c:v>
                </c:pt>
              </c:numCache>
            </c:numRef>
          </c:val>
        </c:ser>
        <c:dLbls>
          <c:showLegendKey val="false"/>
          <c:showVal val="true"/>
          <c:showCatName val="false"/>
          <c:showSerName val="false"/>
          <c:showPercent val="false"/>
          <c:showBubbleSize val="false"/>
        </c:dLbls>
        <c:gapWidth val="219"/>
        <c:overlap val="-27"/>
        <c:axId val="736058703"/>
        <c:axId val="545892433"/>
      </c:barChart>
      <c:catAx>
        <c:axId val="73605870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5892433"/>
        <c:crosses val="autoZero"/>
        <c:auto val="true"/>
        <c:lblAlgn val="ctr"/>
        <c:lblOffset val="100"/>
        <c:noMultiLvlLbl val="false"/>
      </c:catAx>
      <c:valAx>
        <c:axId val="54589243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36058703"/>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Lbls>
            <c:dLbl>
              <c:idx val="0"/>
              <c:layout>
                <c:manualLayout>
                  <c:x val="-0.042027449427087"/>
                  <c:y val="0.012368614259739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81316977334459"/>
                  <c:y val="-0.0063246676080603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16340288960825"/>
                  <c:y val="0.041868508228437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871205878491159"/>
                  <c:y val="0.10609148407608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Sheet1!$A$2:$A$7</c:f>
              <c:strCache>
                <c:ptCount val="6"/>
                <c:pt idx="0">
                  <c:v>文化体育与传媒支出</c:v>
                </c:pt>
                <c:pt idx="1">
                  <c:v>社会保障和就业支出</c:v>
                </c:pt>
                <c:pt idx="2">
                  <c:v>卫生健康支出</c:v>
                </c:pt>
                <c:pt idx="3">
                  <c:v>交通运输支出</c:v>
                </c:pt>
                <c:pt idx="4">
                  <c:v>住房保障支出</c:v>
                </c:pt>
                <c:pt idx="5">
                  <c:v>其他支出</c:v>
                </c:pt>
              </c:strCache>
            </c:strRef>
          </c:cat>
          <c:val>
            <c:numRef>
              <c:f>Sheet1!$B$2:$B$7</c:f>
              <c:numCache>
                <c:formatCode>General</c:formatCode>
                <c:ptCount val="6"/>
                <c:pt idx="0">
                  <c:v>5</c:v>
                </c:pt>
                <c:pt idx="1">
                  <c:v>119.58</c:v>
                </c:pt>
                <c:pt idx="2">
                  <c:v>24.59</c:v>
                </c:pt>
                <c:pt idx="3">
                  <c:v>3915.98</c:v>
                </c:pt>
                <c:pt idx="4">
                  <c:v>63.88</c:v>
                </c:pt>
                <c:pt idx="5">
                  <c:v>400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c:v>
                </c:pt>
                <c:pt idx="1">
                  <c:v>公务接待费支出</c:v>
                </c:pt>
              </c:strCache>
            </c:strRef>
          </c:cat>
          <c:val>
            <c:numRef>
              <c:f>Sheet1!$B$2:$B$3</c:f>
              <c:numCache>
                <c:formatCode>General</c:formatCode>
                <c:ptCount val="2"/>
                <c:pt idx="0">
                  <c:v>55.9</c:v>
                </c:pt>
                <c:pt idx="1">
                  <c:v>0.34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16</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2020-08-09T01:49:00Z</dcterms:created>
  <dc:creator>曹颖</dc:creator>
  <cp:lastModifiedBy> </cp:lastModifiedBy>
  <cp:lastPrinted>2023-08-04T02:35:00Z</cp:lastPrinted>
  <dcterms:modified xsi:type="dcterms:W3CDTF">2023-10-25T10:52:47Z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