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3A" w:rsidRDefault="00563F3A">
      <w:pPr>
        <w:spacing w:line="600" w:lineRule="exact"/>
        <w:jc w:val="left"/>
        <w:rPr>
          <w:rFonts w:ascii="方正小标宋简体" w:eastAsia="方正小标宋简体" w:hAnsi="宋体"/>
          <w:szCs w:val="21"/>
        </w:rPr>
      </w:pPr>
      <w:bookmarkStart w:id="0" w:name="_Toc15306267"/>
    </w:p>
    <w:bookmarkEnd w:id="0"/>
    <w:p w:rsidR="00563F3A" w:rsidRDefault="00563F3A">
      <w:pPr>
        <w:jc w:val="center"/>
        <w:rPr>
          <w:sz w:val="72"/>
          <w:szCs w:val="72"/>
        </w:rPr>
      </w:pPr>
    </w:p>
    <w:p w:rsidR="00563F3A" w:rsidRDefault="00563F3A">
      <w:pPr>
        <w:jc w:val="center"/>
        <w:rPr>
          <w:sz w:val="72"/>
          <w:szCs w:val="72"/>
        </w:rPr>
      </w:pPr>
    </w:p>
    <w:p w:rsidR="00563F3A" w:rsidRDefault="00563F3A">
      <w:pPr>
        <w:jc w:val="center"/>
        <w:rPr>
          <w:sz w:val="72"/>
          <w:szCs w:val="72"/>
        </w:rPr>
      </w:pPr>
    </w:p>
    <w:p w:rsidR="00563F3A" w:rsidRDefault="00563F3A">
      <w:pPr>
        <w:jc w:val="center"/>
        <w:rPr>
          <w:sz w:val="72"/>
          <w:szCs w:val="72"/>
        </w:rPr>
      </w:pPr>
    </w:p>
    <w:p w:rsidR="00563F3A" w:rsidRDefault="00563F3A">
      <w:pPr>
        <w:jc w:val="center"/>
        <w:rPr>
          <w:sz w:val="72"/>
          <w:szCs w:val="72"/>
        </w:rPr>
      </w:pPr>
    </w:p>
    <w:p w:rsidR="00563F3A" w:rsidRDefault="00563F3A">
      <w:pPr>
        <w:jc w:val="center"/>
        <w:rPr>
          <w:sz w:val="72"/>
          <w:szCs w:val="72"/>
        </w:rPr>
      </w:pPr>
    </w:p>
    <w:p w:rsidR="00563F3A" w:rsidRDefault="00B86925">
      <w:pPr>
        <w:jc w:val="center"/>
        <w:outlineLvl w:val="0"/>
        <w:rPr>
          <w:b/>
          <w:sz w:val="48"/>
          <w:szCs w:val="48"/>
        </w:rPr>
      </w:pPr>
      <w:bookmarkStart w:id="1" w:name="_Toc30526"/>
      <w:r>
        <w:rPr>
          <w:rFonts w:hint="eastAsia"/>
          <w:b/>
          <w:sz w:val="48"/>
          <w:szCs w:val="48"/>
        </w:rPr>
        <w:t>广元市产品质量监督检验所</w:t>
      </w:r>
      <w:bookmarkEnd w:id="1"/>
    </w:p>
    <w:p w:rsidR="00563F3A" w:rsidRDefault="00B86925">
      <w:pPr>
        <w:jc w:val="center"/>
        <w:rPr>
          <w:b/>
          <w:sz w:val="48"/>
          <w:szCs w:val="48"/>
        </w:rPr>
      </w:pPr>
      <w:r>
        <w:rPr>
          <w:rFonts w:hint="eastAsia"/>
          <w:b/>
          <w:sz w:val="48"/>
          <w:szCs w:val="48"/>
        </w:rPr>
        <w:t>2022</w:t>
      </w:r>
      <w:r>
        <w:rPr>
          <w:rFonts w:hint="eastAsia"/>
          <w:b/>
          <w:sz w:val="48"/>
          <w:szCs w:val="48"/>
        </w:rPr>
        <w:t>年度单位决算</w:t>
      </w:r>
    </w:p>
    <w:p w:rsidR="00563F3A" w:rsidRDefault="00563F3A">
      <w:pPr>
        <w:rPr>
          <w:sz w:val="48"/>
          <w:szCs w:val="48"/>
        </w:rPr>
      </w:pPr>
    </w:p>
    <w:p w:rsidR="00563F3A" w:rsidRDefault="00563F3A">
      <w:pPr>
        <w:rPr>
          <w:sz w:val="48"/>
          <w:szCs w:val="48"/>
        </w:rPr>
      </w:pPr>
    </w:p>
    <w:p w:rsidR="00563F3A" w:rsidRDefault="00563F3A">
      <w:pPr>
        <w:rPr>
          <w:sz w:val="72"/>
          <w:szCs w:val="72"/>
        </w:rPr>
      </w:pPr>
    </w:p>
    <w:p w:rsidR="00563F3A" w:rsidRDefault="00563F3A">
      <w:pPr>
        <w:rPr>
          <w:sz w:val="72"/>
          <w:szCs w:val="72"/>
        </w:rPr>
      </w:pPr>
    </w:p>
    <w:p w:rsidR="00563F3A" w:rsidRDefault="00563F3A">
      <w:pPr>
        <w:rPr>
          <w:sz w:val="72"/>
          <w:szCs w:val="72"/>
        </w:rPr>
      </w:pPr>
    </w:p>
    <w:p w:rsidR="00563F3A" w:rsidRDefault="00563F3A">
      <w:pPr>
        <w:rPr>
          <w:sz w:val="72"/>
          <w:szCs w:val="72"/>
        </w:rPr>
      </w:pPr>
    </w:p>
    <w:p w:rsidR="00563F3A" w:rsidRDefault="00563F3A"/>
    <w:p w:rsidR="00563F3A" w:rsidRDefault="00563F3A"/>
    <w:p w:rsidR="00563F3A" w:rsidRDefault="00563F3A"/>
    <w:p w:rsidR="00563F3A" w:rsidRDefault="00B86925">
      <w:pPr>
        <w:jc w:val="center"/>
        <w:rPr>
          <w:b/>
          <w:sz w:val="36"/>
          <w:szCs w:val="36"/>
        </w:rPr>
      </w:pPr>
      <w:r>
        <w:rPr>
          <w:rFonts w:hint="eastAsia"/>
          <w:b/>
          <w:sz w:val="44"/>
          <w:szCs w:val="44"/>
        </w:rPr>
        <w:lastRenderedPageBreak/>
        <w:t>目</w:t>
      </w:r>
      <w:r>
        <w:rPr>
          <w:rFonts w:hint="eastAsia"/>
          <w:b/>
          <w:sz w:val="44"/>
          <w:szCs w:val="44"/>
        </w:rPr>
        <w:t xml:space="preserve">  </w:t>
      </w:r>
      <w:r>
        <w:rPr>
          <w:rFonts w:hint="eastAsia"/>
          <w:b/>
          <w:sz w:val="44"/>
          <w:szCs w:val="44"/>
        </w:rPr>
        <w:t>录</w:t>
      </w:r>
    </w:p>
    <w:p w:rsidR="00563F3A" w:rsidRDefault="00B86925">
      <w:pPr>
        <w:jc w:val="center"/>
        <w:rPr>
          <w:sz w:val="28"/>
          <w:szCs w:val="28"/>
        </w:rPr>
      </w:pPr>
      <w:r>
        <w:rPr>
          <w:rFonts w:hint="eastAsia"/>
          <w:sz w:val="28"/>
          <w:szCs w:val="28"/>
        </w:rPr>
        <w:t>公开时间：</w:t>
      </w:r>
      <w:r>
        <w:rPr>
          <w:rFonts w:hint="eastAsia"/>
          <w:sz w:val="28"/>
          <w:szCs w:val="28"/>
        </w:rPr>
        <w:t>2023</w:t>
      </w:r>
      <w:r>
        <w:rPr>
          <w:rFonts w:hint="eastAsia"/>
          <w:sz w:val="28"/>
          <w:szCs w:val="28"/>
        </w:rPr>
        <w:t>年</w:t>
      </w:r>
      <w:r>
        <w:rPr>
          <w:rFonts w:hint="eastAsia"/>
          <w:sz w:val="28"/>
          <w:szCs w:val="28"/>
        </w:rPr>
        <w:t>10</w:t>
      </w:r>
      <w:r>
        <w:rPr>
          <w:rFonts w:hint="eastAsia"/>
          <w:sz w:val="28"/>
          <w:szCs w:val="28"/>
        </w:rPr>
        <w:t>月</w:t>
      </w:r>
      <w:r w:rsidR="0039292F">
        <w:rPr>
          <w:rFonts w:hint="eastAsia"/>
          <w:sz w:val="28"/>
          <w:szCs w:val="28"/>
        </w:rPr>
        <w:t>18</w:t>
      </w:r>
      <w:r>
        <w:rPr>
          <w:rFonts w:hint="eastAsia"/>
          <w:sz w:val="28"/>
          <w:szCs w:val="28"/>
        </w:rPr>
        <w:t>日</w:t>
      </w:r>
    </w:p>
    <w:sdt>
      <w:sdtPr>
        <w:rPr>
          <w:rFonts w:ascii="宋体" w:hAnsi="宋体"/>
        </w:rPr>
        <w:id w:val="147451068"/>
        <w:docPartObj>
          <w:docPartGallery w:val="Table of Contents"/>
          <w:docPartUnique/>
        </w:docPartObj>
      </w:sdtPr>
      <w:sdtEndPr>
        <w:rPr>
          <w:rFonts w:ascii="Times New Roman" w:hAnsi="Times New Roman"/>
          <w:b/>
          <w:szCs w:val="28"/>
        </w:rPr>
      </w:sdtEndPr>
      <w:sdtContent>
        <w:p w:rsidR="00563F3A" w:rsidRDefault="00563F3A">
          <w:pPr>
            <w:jc w:val="center"/>
          </w:pPr>
        </w:p>
        <w:p w:rsidR="00563F3A" w:rsidRDefault="00826000" w:rsidP="00411FC0">
          <w:pPr>
            <w:pStyle w:val="WPSOffice2"/>
            <w:tabs>
              <w:tab w:val="right" w:leader="dot" w:pos="9070"/>
            </w:tabs>
            <w:ind w:left="420"/>
            <w:rPr>
              <w:noProof/>
            </w:rPr>
          </w:pPr>
          <w:r w:rsidRPr="00826000">
            <w:rPr>
              <w:sz w:val="28"/>
              <w:szCs w:val="28"/>
            </w:rPr>
            <w:fldChar w:fldCharType="begin"/>
          </w:r>
          <w:r w:rsidR="00B86925">
            <w:rPr>
              <w:sz w:val="28"/>
              <w:szCs w:val="28"/>
            </w:rPr>
            <w:instrText xml:space="preserve">TOC \o "1-2" \h \u </w:instrText>
          </w:r>
          <w:r w:rsidRPr="00826000">
            <w:rPr>
              <w:sz w:val="28"/>
              <w:szCs w:val="28"/>
            </w:rPr>
            <w:fldChar w:fldCharType="separate"/>
          </w:r>
        </w:p>
        <w:p w:rsidR="00563F3A" w:rsidRDefault="00826000">
          <w:pPr>
            <w:pStyle w:val="WPSOffice1"/>
            <w:tabs>
              <w:tab w:val="right" w:leader="dot" w:pos="9070"/>
            </w:tabs>
            <w:rPr>
              <w:b/>
              <w:noProof/>
            </w:rPr>
          </w:pPr>
          <w:hyperlink w:anchor="_Toc17939" w:history="1">
            <w:r w:rsidR="00B86925">
              <w:rPr>
                <w:rFonts w:ascii="黑体" w:eastAsia="黑体" w:hAnsi="黑体" w:hint="eastAsia"/>
                <w:b/>
                <w:noProof/>
                <w:szCs w:val="44"/>
              </w:rPr>
              <w:t>第一部分 单位概况</w:t>
            </w:r>
            <w:r w:rsidR="00B86925">
              <w:rPr>
                <w:b/>
                <w:noProof/>
              </w:rPr>
              <w:tab/>
            </w:r>
            <w:r>
              <w:rPr>
                <w:b/>
                <w:noProof/>
              </w:rPr>
              <w:fldChar w:fldCharType="begin"/>
            </w:r>
            <w:r w:rsidR="00B86925">
              <w:rPr>
                <w:b/>
                <w:noProof/>
              </w:rPr>
              <w:instrText xml:space="preserve"> PAGEREF _Toc17939 \h </w:instrText>
            </w:r>
            <w:r>
              <w:rPr>
                <w:b/>
                <w:noProof/>
              </w:rPr>
            </w:r>
            <w:r>
              <w:rPr>
                <w:b/>
                <w:noProof/>
              </w:rPr>
              <w:fldChar w:fldCharType="separate"/>
            </w:r>
            <w:r w:rsidR="00B90FA7">
              <w:rPr>
                <w:b/>
                <w:noProof/>
              </w:rPr>
              <w:t>1</w:t>
            </w:r>
            <w:r>
              <w:rPr>
                <w:b/>
                <w:noProof/>
              </w:rPr>
              <w:fldChar w:fldCharType="end"/>
            </w:r>
          </w:hyperlink>
        </w:p>
        <w:p w:rsidR="00563F3A" w:rsidRDefault="00826000" w:rsidP="00411FC0">
          <w:pPr>
            <w:pStyle w:val="WPSOffice2"/>
            <w:tabs>
              <w:tab w:val="right" w:leader="dot" w:pos="9070"/>
            </w:tabs>
            <w:ind w:left="420"/>
            <w:rPr>
              <w:noProof/>
            </w:rPr>
          </w:pPr>
          <w:hyperlink w:anchor="_Toc19100" w:history="1">
            <w:r w:rsidR="00B86925">
              <w:rPr>
                <w:rFonts w:ascii="黑体" w:eastAsia="黑体" w:hAnsi="黑体" w:hint="eastAsia"/>
                <w:noProof/>
              </w:rPr>
              <w:t>一、 主要职责</w:t>
            </w:r>
            <w:r w:rsidR="00B86925">
              <w:rPr>
                <w:noProof/>
              </w:rPr>
              <w:tab/>
            </w:r>
            <w:r>
              <w:rPr>
                <w:noProof/>
              </w:rPr>
              <w:fldChar w:fldCharType="begin"/>
            </w:r>
            <w:r w:rsidR="00B86925">
              <w:rPr>
                <w:noProof/>
              </w:rPr>
              <w:instrText xml:space="preserve"> PAGEREF _Toc19100 \h </w:instrText>
            </w:r>
            <w:r>
              <w:rPr>
                <w:noProof/>
              </w:rPr>
            </w:r>
            <w:r>
              <w:rPr>
                <w:noProof/>
              </w:rPr>
              <w:fldChar w:fldCharType="separate"/>
            </w:r>
            <w:r w:rsidR="00B90FA7">
              <w:rPr>
                <w:noProof/>
              </w:rPr>
              <w:t>1</w:t>
            </w:r>
            <w:r>
              <w:rPr>
                <w:noProof/>
              </w:rPr>
              <w:fldChar w:fldCharType="end"/>
            </w:r>
          </w:hyperlink>
        </w:p>
        <w:p w:rsidR="00563F3A" w:rsidRDefault="00826000" w:rsidP="00411FC0">
          <w:pPr>
            <w:pStyle w:val="WPSOffice2"/>
            <w:tabs>
              <w:tab w:val="right" w:leader="dot" w:pos="9070"/>
            </w:tabs>
            <w:ind w:left="420"/>
            <w:rPr>
              <w:noProof/>
            </w:rPr>
          </w:pPr>
          <w:hyperlink w:anchor="_Toc4433" w:history="1">
            <w:r w:rsidR="00B86925">
              <w:rPr>
                <w:rFonts w:ascii="黑体" w:eastAsia="黑体" w:hAnsi="黑体" w:hint="eastAsia"/>
                <w:noProof/>
              </w:rPr>
              <w:t>二、机构设置</w:t>
            </w:r>
            <w:r w:rsidR="00B86925">
              <w:rPr>
                <w:noProof/>
              </w:rPr>
              <w:tab/>
            </w:r>
            <w:r>
              <w:rPr>
                <w:noProof/>
              </w:rPr>
              <w:fldChar w:fldCharType="begin"/>
            </w:r>
            <w:r w:rsidR="00B86925">
              <w:rPr>
                <w:noProof/>
              </w:rPr>
              <w:instrText xml:space="preserve"> PAGEREF _Toc4433 \h </w:instrText>
            </w:r>
            <w:r>
              <w:rPr>
                <w:noProof/>
              </w:rPr>
            </w:r>
            <w:r>
              <w:rPr>
                <w:noProof/>
              </w:rPr>
              <w:fldChar w:fldCharType="separate"/>
            </w:r>
            <w:r w:rsidR="00B90FA7">
              <w:rPr>
                <w:noProof/>
              </w:rPr>
              <w:t>1</w:t>
            </w:r>
            <w:r>
              <w:rPr>
                <w:noProof/>
              </w:rPr>
              <w:fldChar w:fldCharType="end"/>
            </w:r>
          </w:hyperlink>
        </w:p>
        <w:p w:rsidR="00563F3A" w:rsidRDefault="00826000">
          <w:pPr>
            <w:pStyle w:val="WPSOffice1"/>
            <w:tabs>
              <w:tab w:val="right" w:leader="dot" w:pos="9070"/>
            </w:tabs>
            <w:rPr>
              <w:b/>
              <w:noProof/>
            </w:rPr>
          </w:pPr>
          <w:hyperlink w:anchor="_Toc2040" w:history="1">
            <w:r w:rsidR="00B86925">
              <w:rPr>
                <w:rFonts w:ascii="黑体" w:eastAsia="黑体" w:hAnsi="黑体" w:hint="eastAsia"/>
                <w:b/>
                <w:noProof/>
                <w:szCs w:val="36"/>
              </w:rPr>
              <w:t>第二部分 2022年度</w:t>
            </w:r>
            <w:r w:rsidR="00B86925">
              <w:rPr>
                <w:rFonts w:ascii="黑体" w:eastAsia="黑体" w:hAnsi="黑体" w:hint="eastAsia"/>
                <w:b/>
                <w:bCs/>
                <w:noProof/>
                <w:szCs w:val="36"/>
              </w:rPr>
              <w:t>单位决算情况说明</w:t>
            </w:r>
            <w:r w:rsidR="00B86925">
              <w:rPr>
                <w:b/>
                <w:noProof/>
              </w:rPr>
              <w:tab/>
            </w:r>
            <w:r>
              <w:rPr>
                <w:b/>
                <w:noProof/>
              </w:rPr>
              <w:fldChar w:fldCharType="begin"/>
            </w:r>
            <w:r w:rsidR="00B86925">
              <w:rPr>
                <w:b/>
                <w:noProof/>
              </w:rPr>
              <w:instrText xml:space="preserve"> PAGEREF _Toc2040 \h </w:instrText>
            </w:r>
            <w:r>
              <w:rPr>
                <w:b/>
                <w:noProof/>
              </w:rPr>
            </w:r>
            <w:r>
              <w:rPr>
                <w:b/>
                <w:noProof/>
              </w:rPr>
              <w:fldChar w:fldCharType="separate"/>
            </w:r>
            <w:r w:rsidR="00B90FA7">
              <w:rPr>
                <w:b/>
                <w:noProof/>
              </w:rPr>
              <w:t>2</w:t>
            </w:r>
            <w:r>
              <w:rPr>
                <w:b/>
                <w:noProof/>
              </w:rPr>
              <w:fldChar w:fldCharType="end"/>
            </w:r>
          </w:hyperlink>
        </w:p>
        <w:p w:rsidR="00563F3A" w:rsidRDefault="00826000" w:rsidP="00411FC0">
          <w:pPr>
            <w:pStyle w:val="WPSOffice2"/>
            <w:tabs>
              <w:tab w:val="right" w:leader="dot" w:pos="9070"/>
            </w:tabs>
            <w:ind w:left="420"/>
            <w:rPr>
              <w:noProof/>
            </w:rPr>
          </w:pPr>
          <w:hyperlink w:anchor="_Toc11425" w:history="1">
            <w:r w:rsidR="00B86925">
              <w:rPr>
                <w:rFonts w:ascii="黑体" w:eastAsia="黑体" w:hAnsi="黑体"/>
                <w:noProof/>
              </w:rPr>
              <w:t xml:space="preserve">一、 </w:t>
            </w:r>
            <w:r w:rsidR="00B86925">
              <w:rPr>
                <w:rFonts w:ascii="黑体" w:eastAsia="黑体" w:hAnsi="黑体" w:hint="eastAsia"/>
                <w:noProof/>
                <w:szCs w:val="32"/>
              </w:rPr>
              <w:t>收</w:t>
            </w:r>
            <w:r w:rsidR="00B86925">
              <w:rPr>
                <w:rFonts w:ascii="黑体" w:eastAsia="黑体" w:hAnsi="黑体" w:hint="eastAsia"/>
                <w:noProof/>
              </w:rPr>
              <w:t>入支出决算总体情况说明</w:t>
            </w:r>
            <w:r w:rsidR="00B86925">
              <w:rPr>
                <w:noProof/>
              </w:rPr>
              <w:tab/>
            </w:r>
            <w:r>
              <w:rPr>
                <w:noProof/>
              </w:rPr>
              <w:fldChar w:fldCharType="begin"/>
            </w:r>
            <w:r w:rsidR="00B86925">
              <w:rPr>
                <w:noProof/>
              </w:rPr>
              <w:instrText xml:space="preserve"> PAGEREF _Toc11425 \h </w:instrText>
            </w:r>
            <w:r>
              <w:rPr>
                <w:noProof/>
              </w:rPr>
            </w:r>
            <w:r>
              <w:rPr>
                <w:noProof/>
              </w:rPr>
              <w:fldChar w:fldCharType="separate"/>
            </w:r>
            <w:r w:rsidR="00B90FA7">
              <w:rPr>
                <w:noProof/>
              </w:rPr>
              <w:t>2</w:t>
            </w:r>
            <w:r>
              <w:rPr>
                <w:noProof/>
              </w:rPr>
              <w:fldChar w:fldCharType="end"/>
            </w:r>
          </w:hyperlink>
        </w:p>
        <w:p w:rsidR="00563F3A" w:rsidRDefault="00826000" w:rsidP="00411FC0">
          <w:pPr>
            <w:pStyle w:val="WPSOffice2"/>
            <w:tabs>
              <w:tab w:val="right" w:leader="dot" w:pos="9070"/>
            </w:tabs>
            <w:ind w:left="420"/>
            <w:rPr>
              <w:noProof/>
            </w:rPr>
          </w:pPr>
          <w:hyperlink w:anchor="_Toc10744" w:history="1">
            <w:r w:rsidR="00B86925">
              <w:rPr>
                <w:rFonts w:ascii="黑体" w:eastAsia="黑体" w:hAnsi="黑体"/>
                <w:noProof/>
              </w:rPr>
              <w:t xml:space="preserve">二、 </w:t>
            </w:r>
            <w:r w:rsidR="00B86925">
              <w:rPr>
                <w:rFonts w:ascii="黑体" w:eastAsia="黑体" w:hAnsi="黑体" w:hint="eastAsia"/>
                <w:noProof/>
                <w:szCs w:val="32"/>
              </w:rPr>
              <w:t>收</w:t>
            </w:r>
            <w:r w:rsidR="00B86925">
              <w:rPr>
                <w:rFonts w:ascii="黑体" w:eastAsia="黑体" w:hAnsi="黑体" w:hint="eastAsia"/>
                <w:noProof/>
              </w:rPr>
              <w:t>入决算情况说明</w:t>
            </w:r>
            <w:r w:rsidR="00B86925">
              <w:rPr>
                <w:noProof/>
              </w:rPr>
              <w:tab/>
            </w:r>
            <w:r>
              <w:rPr>
                <w:noProof/>
              </w:rPr>
              <w:fldChar w:fldCharType="begin"/>
            </w:r>
            <w:r w:rsidR="00B86925">
              <w:rPr>
                <w:noProof/>
              </w:rPr>
              <w:instrText xml:space="preserve"> PAGEREF _Toc10744 \h </w:instrText>
            </w:r>
            <w:r>
              <w:rPr>
                <w:noProof/>
              </w:rPr>
            </w:r>
            <w:r>
              <w:rPr>
                <w:noProof/>
              </w:rPr>
              <w:fldChar w:fldCharType="separate"/>
            </w:r>
            <w:r w:rsidR="00B90FA7">
              <w:rPr>
                <w:noProof/>
              </w:rPr>
              <w:t>2</w:t>
            </w:r>
            <w:r>
              <w:rPr>
                <w:noProof/>
              </w:rPr>
              <w:fldChar w:fldCharType="end"/>
            </w:r>
          </w:hyperlink>
        </w:p>
        <w:p w:rsidR="00563F3A" w:rsidRDefault="00826000" w:rsidP="00411FC0">
          <w:pPr>
            <w:pStyle w:val="WPSOffice2"/>
            <w:tabs>
              <w:tab w:val="right" w:leader="dot" w:pos="9070"/>
            </w:tabs>
            <w:ind w:left="420"/>
            <w:rPr>
              <w:noProof/>
            </w:rPr>
          </w:pPr>
          <w:hyperlink w:anchor="_Toc8267" w:history="1">
            <w:r w:rsidR="00B86925">
              <w:rPr>
                <w:rFonts w:ascii="黑体" w:eastAsia="黑体" w:hAnsi="黑体"/>
                <w:noProof/>
              </w:rPr>
              <w:t xml:space="preserve">三、 </w:t>
            </w:r>
            <w:r w:rsidR="00B86925">
              <w:rPr>
                <w:rFonts w:ascii="黑体" w:eastAsia="黑体" w:hAnsi="黑体" w:hint="eastAsia"/>
                <w:noProof/>
                <w:szCs w:val="32"/>
              </w:rPr>
              <w:t>支</w:t>
            </w:r>
            <w:r w:rsidR="00B86925">
              <w:rPr>
                <w:rFonts w:ascii="黑体" w:eastAsia="黑体" w:hAnsi="黑体" w:hint="eastAsia"/>
                <w:noProof/>
              </w:rPr>
              <w:t>出决算情况说明</w:t>
            </w:r>
            <w:r w:rsidR="00B86925">
              <w:rPr>
                <w:noProof/>
              </w:rPr>
              <w:tab/>
            </w:r>
            <w:r>
              <w:rPr>
                <w:noProof/>
              </w:rPr>
              <w:fldChar w:fldCharType="begin"/>
            </w:r>
            <w:r w:rsidR="00B86925">
              <w:rPr>
                <w:noProof/>
              </w:rPr>
              <w:instrText xml:space="preserve"> PAGEREF _Toc8267 \h </w:instrText>
            </w:r>
            <w:r>
              <w:rPr>
                <w:noProof/>
              </w:rPr>
            </w:r>
            <w:r>
              <w:rPr>
                <w:noProof/>
              </w:rPr>
              <w:fldChar w:fldCharType="separate"/>
            </w:r>
            <w:r w:rsidR="00B90FA7">
              <w:rPr>
                <w:noProof/>
              </w:rPr>
              <w:t>3</w:t>
            </w:r>
            <w:r>
              <w:rPr>
                <w:noProof/>
              </w:rPr>
              <w:fldChar w:fldCharType="end"/>
            </w:r>
          </w:hyperlink>
        </w:p>
        <w:p w:rsidR="00563F3A" w:rsidRDefault="00826000" w:rsidP="00411FC0">
          <w:pPr>
            <w:pStyle w:val="WPSOffice2"/>
            <w:tabs>
              <w:tab w:val="right" w:leader="dot" w:pos="9070"/>
            </w:tabs>
            <w:ind w:left="420"/>
            <w:rPr>
              <w:noProof/>
            </w:rPr>
          </w:pPr>
          <w:hyperlink w:anchor="_Toc4230" w:history="1">
            <w:r w:rsidR="00B86925">
              <w:rPr>
                <w:rFonts w:ascii="黑体" w:eastAsia="黑体" w:hAnsi="黑体" w:hint="eastAsia"/>
                <w:noProof/>
                <w:szCs w:val="32"/>
              </w:rPr>
              <w:t>四、财</w:t>
            </w:r>
            <w:r w:rsidR="00B86925">
              <w:rPr>
                <w:rFonts w:ascii="黑体" w:eastAsia="黑体" w:hAnsi="黑体" w:hint="eastAsia"/>
                <w:noProof/>
              </w:rPr>
              <w:t>政拨款收入支出决算总体情况说明</w:t>
            </w:r>
            <w:r w:rsidR="00B86925">
              <w:rPr>
                <w:noProof/>
              </w:rPr>
              <w:tab/>
            </w:r>
            <w:r>
              <w:rPr>
                <w:noProof/>
              </w:rPr>
              <w:fldChar w:fldCharType="begin"/>
            </w:r>
            <w:r w:rsidR="00B86925">
              <w:rPr>
                <w:noProof/>
              </w:rPr>
              <w:instrText xml:space="preserve"> PAGEREF _Toc4230 \h </w:instrText>
            </w:r>
            <w:r>
              <w:rPr>
                <w:noProof/>
              </w:rPr>
            </w:r>
            <w:r>
              <w:rPr>
                <w:noProof/>
              </w:rPr>
              <w:fldChar w:fldCharType="separate"/>
            </w:r>
            <w:r w:rsidR="00B90FA7">
              <w:rPr>
                <w:noProof/>
              </w:rPr>
              <w:t>3</w:t>
            </w:r>
            <w:r>
              <w:rPr>
                <w:noProof/>
              </w:rPr>
              <w:fldChar w:fldCharType="end"/>
            </w:r>
          </w:hyperlink>
        </w:p>
        <w:p w:rsidR="00563F3A" w:rsidRDefault="00826000" w:rsidP="00411FC0">
          <w:pPr>
            <w:pStyle w:val="WPSOffice2"/>
            <w:tabs>
              <w:tab w:val="right" w:leader="dot" w:pos="9070"/>
            </w:tabs>
            <w:ind w:left="420"/>
            <w:rPr>
              <w:noProof/>
            </w:rPr>
          </w:pPr>
          <w:hyperlink w:anchor="_Toc8880" w:history="1">
            <w:r w:rsidR="00B86925">
              <w:rPr>
                <w:rFonts w:ascii="黑体" w:eastAsia="黑体" w:hAnsi="黑体" w:hint="eastAsia"/>
                <w:noProof/>
                <w:szCs w:val="32"/>
              </w:rPr>
              <w:t>五、一</w:t>
            </w:r>
            <w:r w:rsidR="00B86925">
              <w:rPr>
                <w:rFonts w:ascii="黑体" w:eastAsia="黑体" w:hAnsi="黑体" w:hint="eastAsia"/>
                <w:noProof/>
              </w:rPr>
              <w:t>般公共预算财政拨款支出决算情况说明</w:t>
            </w:r>
            <w:r w:rsidR="00B86925">
              <w:rPr>
                <w:noProof/>
              </w:rPr>
              <w:tab/>
            </w:r>
            <w:r>
              <w:rPr>
                <w:noProof/>
              </w:rPr>
              <w:fldChar w:fldCharType="begin"/>
            </w:r>
            <w:r w:rsidR="00B86925">
              <w:rPr>
                <w:noProof/>
              </w:rPr>
              <w:instrText xml:space="preserve"> PAGEREF _Toc8880 \h </w:instrText>
            </w:r>
            <w:r>
              <w:rPr>
                <w:noProof/>
              </w:rPr>
            </w:r>
            <w:r>
              <w:rPr>
                <w:noProof/>
              </w:rPr>
              <w:fldChar w:fldCharType="separate"/>
            </w:r>
            <w:r w:rsidR="00B90FA7">
              <w:rPr>
                <w:noProof/>
              </w:rPr>
              <w:t>3</w:t>
            </w:r>
            <w:r>
              <w:rPr>
                <w:noProof/>
              </w:rPr>
              <w:fldChar w:fldCharType="end"/>
            </w:r>
          </w:hyperlink>
        </w:p>
        <w:p w:rsidR="00563F3A" w:rsidRDefault="00826000" w:rsidP="00411FC0">
          <w:pPr>
            <w:pStyle w:val="WPSOffice2"/>
            <w:tabs>
              <w:tab w:val="right" w:leader="dot" w:pos="9070"/>
            </w:tabs>
            <w:ind w:left="420"/>
            <w:rPr>
              <w:noProof/>
            </w:rPr>
          </w:pPr>
          <w:hyperlink w:anchor="_Toc26880" w:history="1">
            <w:r w:rsidR="00B86925">
              <w:rPr>
                <w:rFonts w:ascii="黑体" w:eastAsia="黑体" w:hint="eastAsia"/>
                <w:noProof/>
                <w:szCs w:val="32"/>
              </w:rPr>
              <w:t>六、</w:t>
            </w:r>
            <w:r w:rsidR="00B86925">
              <w:rPr>
                <w:rFonts w:ascii="黑体" w:eastAsia="黑体" w:hAnsi="黑体" w:hint="eastAsia"/>
                <w:noProof/>
                <w:szCs w:val="32"/>
              </w:rPr>
              <w:t>一</w:t>
            </w:r>
            <w:r w:rsidR="00B86925">
              <w:rPr>
                <w:rFonts w:ascii="黑体" w:eastAsia="黑体" w:hAnsi="黑体" w:hint="eastAsia"/>
                <w:noProof/>
              </w:rPr>
              <w:t>般公共预算财政拨款基本支出决算情况说明</w:t>
            </w:r>
            <w:r w:rsidR="00B86925">
              <w:rPr>
                <w:noProof/>
              </w:rPr>
              <w:tab/>
            </w:r>
            <w:r>
              <w:rPr>
                <w:noProof/>
              </w:rPr>
              <w:fldChar w:fldCharType="begin"/>
            </w:r>
            <w:r w:rsidR="00B86925">
              <w:rPr>
                <w:noProof/>
              </w:rPr>
              <w:instrText xml:space="preserve"> PAGEREF _Toc26880 \h </w:instrText>
            </w:r>
            <w:r>
              <w:rPr>
                <w:noProof/>
              </w:rPr>
            </w:r>
            <w:r>
              <w:rPr>
                <w:noProof/>
              </w:rPr>
              <w:fldChar w:fldCharType="separate"/>
            </w:r>
            <w:r w:rsidR="00B90FA7">
              <w:rPr>
                <w:noProof/>
              </w:rPr>
              <w:t>5</w:t>
            </w:r>
            <w:r>
              <w:rPr>
                <w:noProof/>
              </w:rPr>
              <w:fldChar w:fldCharType="end"/>
            </w:r>
          </w:hyperlink>
        </w:p>
        <w:p w:rsidR="00563F3A" w:rsidRDefault="00826000" w:rsidP="00411FC0">
          <w:pPr>
            <w:pStyle w:val="WPSOffice2"/>
            <w:tabs>
              <w:tab w:val="right" w:leader="dot" w:pos="9070"/>
            </w:tabs>
            <w:ind w:left="420"/>
            <w:rPr>
              <w:noProof/>
            </w:rPr>
          </w:pPr>
          <w:hyperlink w:anchor="_Toc3733" w:history="1">
            <w:r w:rsidR="00B86925">
              <w:rPr>
                <w:rFonts w:ascii="黑体" w:eastAsia="黑体" w:hint="eastAsia"/>
                <w:noProof/>
                <w:szCs w:val="32"/>
              </w:rPr>
              <w:t>七、</w:t>
            </w:r>
            <w:r w:rsidR="00B86925">
              <w:rPr>
                <w:rFonts w:ascii="黑体" w:eastAsia="黑体" w:hAnsi="黑体" w:hint="eastAsia"/>
                <w:noProof/>
              </w:rPr>
              <w:t>财政拨款“三公”经费支出决算情况说明</w:t>
            </w:r>
            <w:r w:rsidR="00B86925">
              <w:rPr>
                <w:noProof/>
              </w:rPr>
              <w:tab/>
            </w:r>
            <w:r>
              <w:rPr>
                <w:noProof/>
              </w:rPr>
              <w:fldChar w:fldCharType="begin"/>
            </w:r>
            <w:r w:rsidR="00B86925">
              <w:rPr>
                <w:noProof/>
              </w:rPr>
              <w:instrText xml:space="preserve"> PAGEREF _Toc3733 \h </w:instrText>
            </w:r>
            <w:r>
              <w:rPr>
                <w:noProof/>
              </w:rPr>
            </w:r>
            <w:r>
              <w:rPr>
                <w:noProof/>
              </w:rPr>
              <w:fldChar w:fldCharType="separate"/>
            </w:r>
            <w:r w:rsidR="00B90FA7">
              <w:rPr>
                <w:noProof/>
              </w:rPr>
              <w:t>6</w:t>
            </w:r>
            <w:r>
              <w:rPr>
                <w:noProof/>
              </w:rPr>
              <w:fldChar w:fldCharType="end"/>
            </w:r>
          </w:hyperlink>
        </w:p>
        <w:p w:rsidR="00563F3A" w:rsidRDefault="00826000" w:rsidP="00411FC0">
          <w:pPr>
            <w:pStyle w:val="WPSOffice2"/>
            <w:tabs>
              <w:tab w:val="right" w:leader="dot" w:pos="9070"/>
            </w:tabs>
            <w:ind w:left="420"/>
            <w:rPr>
              <w:noProof/>
            </w:rPr>
          </w:pPr>
          <w:hyperlink w:anchor="_Toc10108" w:history="1">
            <w:r w:rsidR="00B86925">
              <w:rPr>
                <w:rFonts w:ascii="黑体" w:eastAsia="黑体" w:hint="eastAsia"/>
                <w:noProof/>
                <w:szCs w:val="32"/>
              </w:rPr>
              <w:t>八、</w:t>
            </w:r>
            <w:r w:rsidR="00B86925">
              <w:rPr>
                <w:rFonts w:ascii="黑体" w:eastAsia="黑体" w:hAnsi="黑体" w:hint="eastAsia"/>
                <w:noProof/>
              </w:rPr>
              <w:t>政府性基金预算支出决算情况说明</w:t>
            </w:r>
            <w:r w:rsidR="00B86925">
              <w:rPr>
                <w:noProof/>
              </w:rPr>
              <w:tab/>
            </w:r>
            <w:r>
              <w:rPr>
                <w:noProof/>
              </w:rPr>
              <w:fldChar w:fldCharType="begin"/>
            </w:r>
            <w:r w:rsidR="00B86925">
              <w:rPr>
                <w:noProof/>
              </w:rPr>
              <w:instrText xml:space="preserve"> PAGEREF _Toc10108 \h </w:instrText>
            </w:r>
            <w:r>
              <w:rPr>
                <w:noProof/>
              </w:rPr>
            </w:r>
            <w:r>
              <w:rPr>
                <w:noProof/>
              </w:rPr>
              <w:fldChar w:fldCharType="separate"/>
            </w:r>
            <w:r w:rsidR="00B90FA7">
              <w:rPr>
                <w:noProof/>
              </w:rPr>
              <w:t>8</w:t>
            </w:r>
            <w:r>
              <w:rPr>
                <w:noProof/>
              </w:rPr>
              <w:fldChar w:fldCharType="end"/>
            </w:r>
          </w:hyperlink>
        </w:p>
        <w:p w:rsidR="00563F3A" w:rsidRDefault="00826000" w:rsidP="00411FC0">
          <w:pPr>
            <w:pStyle w:val="WPSOffice2"/>
            <w:tabs>
              <w:tab w:val="right" w:leader="dot" w:pos="9070"/>
            </w:tabs>
            <w:ind w:left="420"/>
            <w:rPr>
              <w:noProof/>
            </w:rPr>
          </w:pPr>
          <w:hyperlink w:anchor="_Toc9793" w:history="1">
            <w:r w:rsidR="00B86925">
              <w:rPr>
                <w:rFonts w:ascii="黑体" w:eastAsia="黑体" w:hAnsi="黑体" w:hint="eastAsia"/>
                <w:noProof/>
              </w:rPr>
              <w:t>九、 国有资本经营预算支出决算情况说明</w:t>
            </w:r>
            <w:r w:rsidR="00B86925">
              <w:rPr>
                <w:noProof/>
              </w:rPr>
              <w:tab/>
            </w:r>
            <w:r>
              <w:rPr>
                <w:noProof/>
              </w:rPr>
              <w:fldChar w:fldCharType="begin"/>
            </w:r>
            <w:r w:rsidR="00B86925">
              <w:rPr>
                <w:noProof/>
              </w:rPr>
              <w:instrText xml:space="preserve"> PAGEREF _Toc9793 \h </w:instrText>
            </w:r>
            <w:r>
              <w:rPr>
                <w:noProof/>
              </w:rPr>
            </w:r>
            <w:r>
              <w:rPr>
                <w:noProof/>
              </w:rPr>
              <w:fldChar w:fldCharType="separate"/>
            </w:r>
            <w:r w:rsidR="00B90FA7">
              <w:rPr>
                <w:noProof/>
              </w:rPr>
              <w:t>8</w:t>
            </w:r>
            <w:r>
              <w:rPr>
                <w:noProof/>
              </w:rPr>
              <w:fldChar w:fldCharType="end"/>
            </w:r>
          </w:hyperlink>
        </w:p>
        <w:p w:rsidR="00563F3A" w:rsidRDefault="00826000" w:rsidP="00411FC0">
          <w:pPr>
            <w:pStyle w:val="WPSOffice2"/>
            <w:tabs>
              <w:tab w:val="right" w:leader="dot" w:pos="9070"/>
            </w:tabs>
            <w:ind w:left="420"/>
            <w:rPr>
              <w:noProof/>
            </w:rPr>
          </w:pPr>
          <w:hyperlink w:anchor="_Toc23088" w:history="1">
            <w:r w:rsidR="00B86925">
              <w:rPr>
                <w:rFonts w:ascii="黑体" w:eastAsia="黑体" w:hAnsi="黑体" w:hint="eastAsia"/>
                <w:noProof/>
              </w:rPr>
              <w:t>十、 其他重要事项的情况说明</w:t>
            </w:r>
            <w:r w:rsidR="00B86925">
              <w:rPr>
                <w:noProof/>
              </w:rPr>
              <w:tab/>
            </w:r>
            <w:r>
              <w:rPr>
                <w:noProof/>
              </w:rPr>
              <w:fldChar w:fldCharType="begin"/>
            </w:r>
            <w:r w:rsidR="00B86925">
              <w:rPr>
                <w:noProof/>
              </w:rPr>
              <w:instrText xml:space="preserve"> PAGEREF _Toc23088 \h </w:instrText>
            </w:r>
            <w:r>
              <w:rPr>
                <w:noProof/>
              </w:rPr>
            </w:r>
            <w:r>
              <w:rPr>
                <w:noProof/>
              </w:rPr>
              <w:fldChar w:fldCharType="separate"/>
            </w:r>
            <w:r w:rsidR="00B90FA7">
              <w:rPr>
                <w:noProof/>
              </w:rPr>
              <w:t>8</w:t>
            </w:r>
            <w:r>
              <w:rPr>
                <w:noProof/>
              </w:rPr>
              <w:fldChar w:fldCharType="end"/>
            </w:r>
          </w:hyperlink>
        </w:p>
        <w:p w:rsidR="00563F3A" w:rsidRDefault="00826000">
          <w:pPr>
            <w:pStyle w:val="WPSOffice1"/>
            <w:tabs>
              <w:tab w:val="right" w:leader="dot" w:pos="9070"/>
            </w:tabs>
            <w:rPr>
              <w:b/>
              <w:noProof/>
            </w:rPr>
          </w:pPr>
          <w:hyperlink w:anchor="_Toc18331" w:history="1">
            <w:r w:rsidR="00B86925">
              <w:rPr>
                <w:rFonts w:ascii="黑体" w:eastAsia="黑体" w:hAnsi="黑体" w:cs="黑体" w:hint="eastAsia"/>
                <w:b/>
                <w:noProof/>
                <w:szCs w:val="44"/>
              </w:rPr>
              <w:t xml:space="preserve">第三部分 </w:t>
            </w:r>
            <w:r w:rsidR="00B86925">
              <w:rPr>
                <w:rFonts w:ascii="黑体" w:eastAsia="黑体" w:hAnsi="黑体" w:hint="eastAsia"/>
                <w:b/>
                <w:noProof/>
                <w:szCs w:val="44"/>
              </w:rPr>
              <w:t>名</w:t>
            </w:r>
            <w:r w:rsidR="00B86925">
              <w:rPr>
                <w:rFonts w:ascii="黑体" w:eastAsia="黑体" w:hAnsi="黑体" w:hint="eastAsia"/>
                <w:b/>
                <w:noProof/>
              </w:rPr>
              <w:t>词解释</w:t>
            </w:r>
            <w:r w:rsidR="00B86925">
              <w:rPr>
                <w:b/>
                <w:noProof/>
              </w:rPr>
              <w:tab/>
            </w:r>
            <w:r>
              <w:rPr>
                <w:b/>
                <w:noProof/>
              </w:rPr>
              <w:fldChar w:fldCharType="begin"/>
            </w:r>
            <w:r w:rsidR="00B86925">
              <w:rPr>
                <w:b/>
                <w:noProof/>
              </w:rPr>
              <w:instrText xml:space="preserve"> PAGEREF _Toc18331 \h </w:instrText>
            </w:r>
            <w:r>
              <w:rPr>
                <w:b/>
                <w:noProof/>
              </w:rPr>
            </w:r>
            <w:r>
              <w:rPr>
                <w:b/>
                <w:noProof/>
              </w:rPr>
              <w:fldChar w:fldCharType="separate"/>
            </w:r>
            <w:r w:rsidR="00B90FA7">
              <w:rPr>
                <w:b/>
                <w:noProof/>
              </w:rPr>
              <w:t>10</w:t>
            </w:r>
            <w:r>
              <w:rPr>
                <w:b/>
                <w:noProof/>
              </w:rPr>
              <w:fldChar w:fldCharType="end"/>
            </w:r>
          </w:hyperlink>
        </w:p>
        <w:p w:rsidR="00563F3A" w:rsidRDefault="00826000">
          <w:pPr>
            <w:pStyle w:val="WPSOffice1"/>
            <w:tabs>
              <w:tab w:val="right" w:leader="dot" w:pos="9070"/>
            </w:tabs>
            <w:rPr>
              <w:b/>
              <w:noProof/>
            </w:rPr>
          </w:pPr>
          <w:hyperlink w:anchor="_Toc21988" w:history="1">
            <w:r w:rsidR="00B86925">
              <w:rPr>
                <w:rFonts w:ascii="黑体" w:eastAsia="黑体" w:hAnsi="黑体" w:hint="eastAsia"/>
                <w:b/>
                <w:noProof/>
                <w:szCs w:val="44"/>
              </w:rPr>
              <w:t>第</w:t>
            </w:r>
            <w:r w:rsidR="00B86925">
              <w:rPr>
                <w:rFonts w:ascii="黑体" w:eastAsia="黑体" w:hAnsi="黑体" w:hint="eastAsia"/>
                <w:b/>
                <w:noProof/>
              </w:rPr>
              <w:t>四部分 附件</w:t>
            </w:r>
            <w:r w:rsidR="00B86925">
              <w:rPr>
                <w:b/>
                <w:noProof/>
              </w:rPr>
              <w:tab/>
            </w:r>
            <w:r>
              <w:rPr>
                <w:b/>
                <w:noProof/>
              </w:rPr>
              <w:fldChar w:fldCharType="begin"/>
            </w:r>
            <w:r w:rsidR="00B86925">
              <w:rPr>
                <w:b/>
                <w:noProof/>
              </w:rPr>
              <w:instrText xml:space="preserve"> PAGEREF _Toc21988 \h </w:instrText>
            </w:r>
            <w:r>
              <w:rPr>
                <w:b/>
                <w:noProof/>
              </w:rPr>
            </w:r>
            <w:r>
              <w:rPr>
                <w:b/>
                <w:noProof/>
              </w:rPr>
              <w:fldChar w:fldCharType="separate"/>
            </w:r>
            <w:r w:rsidR="00B90FA7">
              <w:rPr>
                <w:b/>
                <w:noProof/>
              </w:rPr>
              <w:t>12</w:t>
            </w:r>
            <w:r>
              <w:rPr>
                <w:b/>
                <w:noProof/>
              </w:rPr>
              <w:fldChar w:fldCharType="end"/>
            </w:r>
          </w:hyperlink>
        </w:p>
        <w:p w:rsidR="00563F3A" w:rsidRDefault="00826000">
          <w:pPr>
            <w:pStyle w:val="WPSOffice1"/>
            <w:tabs>
              <w:tab w:val="right" w:leader="dot" w:pos="9070"/>
            </w:tabs>
            <w:rPr>
              <w:b/>
              <w:noProof/>
            </w:rPr>
          </w:pPr>
          <w:hyperlink w:anchor="_Toc12872" w:history="1">
            <w:r w:rsidR="00B86925">
              <w:rPr>
                <w:rFonts w:ascii="黑体" w:eastAsia="黑体" w:hAnsi="黑体" w:hint="eastAsia"/>
                <w:b/>
                <w:noProof/>
                <w:szCs w:val="44"/>
              </w:rPr>
              <w:t>第</w:t>
            </w:r>
            <w:r w:rsidR="00B86925">
              <w:rPr>
                <w:rFonts w:ascii="黑体" w:eastAsia="黑体" w:hAnsi="黑体" w:hint="eastAsia"/>
                <w:b/>
                <w:noProof/>
              </w:rPr>
              <w:t>五部分 附表</w:t>
            </w:r>
            <w:r w:rsidR="00B86925">
              <w:rPr>
                <w:b/>
                <w:noProof/>
              </w:rPr>
              <w:tab/>
            </w:r>
            <w:r>
              <w:rPr>
                <w:b/>
                <w:noProof/>
              </w:rPr>
              <w:fldChar w:fldCharType="begin"/>
            </w:r>
            <w:r w:rsidR="00B86925">
              <w:rPr>
                <w:b/>
                <w:noProof/>
              </w:rPr>
              <w:instrText xml:space="preserve"> PAGEREF _Toc12872 \h </w:instrText>
            </w:r>
            <w:r>
              <w:rPr>
                <w:b/>
                <w:noProof/>
              </w:rPr>
            </w:r>
            <w:r>
              <w:rPr>
                <w:b/>
                <w:noProof/>
              </w:rPr>
              <w:fldChar w:fldCharType="separate"/>
            </w:r>
            <w:r w:rsidR="00B90FA7">
              <w:rPr>
                <w:b/>
                <w:noProof/>
              </w:rPr>
              <w:t>34</w:t>
            </w:r>
            <w:r>
              <w:rPr>
                <w:b/>
                <w:noProof/>
              </w:rPr>
              <w:fldChar w:fldCharType="end"/>
            </w:r>
          </w:hyperlink>
        </w:p>
        <w:p w:rsidR="00563F3A" w:rsidRDefault="00826000" w:rsidP="00411FC0">
          <w:pPr>
            <w:pStyle w:val="WPSOffice2"/>
            <w:tabs>
              <w:tab w:val="right" w:leader="dot" w:pos="9070"/>
            </w:tabs>
            <w:ind w:left="420"/>
            <w:rPr>
              <w:noProof/>
            </w:rPr>
          </w:pPr>
          <w:hyperlink w:anchor="_Toc3084" w:history="1">
            <w:r w:rsidR="00B86925">
              <w:rPr>
                <w:rFonts w:ascii="仿宋" w:eastAsia="仿宋" w:hAnsi="仿宋" w:hint="eastAsia"/>
                <w:noProof/>
              </w:rPr>
              <w:t>一、收入支出决算总表</w:t>
            </w:r>
            <w:r w:rsidR="00B86925">
              <w:rPr>
                <w:noProof/>
              </w:rPr>
              <w:tab/>
            </w:r>
            <w:r>
              <w:rPr>
                <w:noProof/>
              </w:rPr>
              <w:fldChar w:fldCharType="begin"/>
            </w:r>
            <w:r w:rsidR="00B86925">
              <w:rPr>
                <w:noProof/>
              </w:rPr>
              <w:instrText xml:space="preserve"> PAGEREF _Toc3084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6026" w:history="1">
            <w:r w:rsidR="00B86925">
              <w:rPr>
                <w:rFonts w:ascii="仿宋" w:eastAsia="仿宋" w:hAnsi="仿宋" w:hint="eastAsia"/>
                <w:noProof/>
              </w:rPr>
              <w:t>二、收入决算表</w:t>
            </w:r>
            <w:r w:rsidR="00B86925">
              <w:rPr>
                <w:noProof/>
              </w:rPr>
              <w:tab/>
            </w:r>
            <w:r>
              <w:rPr>
                <w:noProof/>
              </w:rPr>
              <w:fldChar w:fldCharType="begin"/>
            </w:r>
            <w:r w:rsidR="00B86925">
              <w:rPr>
                <w:noProof/>
              </w:rPr>
              <w:instrText xml:space="preserve"> PAGEREF _Toc26026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123" w:history="1">
            <w:r w:rsidR="00B86925">
              <w:rPr>
                <w:rFonts w:ascii="仿宋" w:eastAsia="仿宋" w:hAnsi="仿宋" w:hint="eastAsia"/>
                <w:noProof/>
              </w:rPr>
              <w:t>三、支出决算表</w:t>
            </w:r>
            <w:r w:rsidR="00B86925">
              <w:rPr>
                <w:noProof/>
              </w:rPr>
              <w:tab/>
            </w:r>
            <w:r>
              <w:rPr>
                <w:noProof/>
              </w:rPr>
              <w:fldChar w:fldCharType="begin"/>
            </w:r>
            <w:r w:rsidR="00B86925">
              <w:rPr>
                <w:noProof/>
              </w:rPr>
              <w:instrText xml:space="preserve"> PAGEREF _Toc123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5529" w:history="1">
            <w:r w:rsidR="00B86925">
              <w:rPr>
                <w:rFonts w:ascii="仿宋" w:eastAsia="仿宋" w:hAnsi="仿宋" w:hint="eastAsia"/>
                <w:noProof/>
              </w:rPr>
              <w:t>四、财政拨款收入支出决算总表</w:t>
            </w:r>
            <w:r w:rsidR="00B86925">
              <w:rPr>
                <w:noProof/>
              </w:rPr>
              <w:tab/>
            </w:r>
            <w:r>
              <w:rPr>
                <w:noProof/>
              </w:rPr>
              <w:fldChar w:fldCharType="begin"/>
            </w:r>
            <w:r w:rsidR="00B86925">
              <w:rPr>
                <w:noProof/>
              </w:rPr>
              <w:instrText xml:space="preserve"> PAGEREF _Toc25529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4288" w:history="1">
            <w:r w:rsidR="00B86925">
              <w:rPr>
                <w:rFonts w:ascii="仿宋" w:eastAsia="仿宋" w:hAnsi="仿宋" w:hint="eastAsia"/>
                <w:noProof/>
              </w:rPr>
              <w:t>五、财政拨款支出决算明细表</w:t>
            </w:r>
            <w:r w:rsidR="00B86925">
              <w:rPr>
                <w:noProof/>
              </w:rPr>
              <w:tab/>
            </w:r>
            <w:r>
              <w:rPr>
                <w:noProof/>
              </w:rPr>
              <w:fldChar w:fldCharType="begin"/>
            </w:r>
            <w:r w:rsidR="00B86925">
              <w:rPr>
                <w:noProof/>
              </w:rPr>
              <w:instrText xml:space="preserve"> PAGEREF _Toc24288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32500" w:history="1">
            <w:r w:rsidR="00B86925">
              <w:rPr>
                <w:rFonts w:ascii="仿宋" w:eastAsia="仿宋" w:hAnsi="仿宋" w:hint="eastAsia"/>
                <w:noProof/>
              </w:rPr>
              <w:t>六、一般公共预算财政拨款支出决算表</w:t>
            </w:r>
            <w:r w:rsidR="00B86925">
              <w:rPr>
                <w:noProof/>
              </w:rPr>
              <w:tab/>
            </w:r>
            <w:r>
              <w:rPr>
                <w:noProof/>
              </w:rPr>
              <w:fldChar w:fldCharType="begin"/>
            </w:r>
            <w:r w:rsidR="00B86925">
              <w:rPr>
                <w:noProof/>
              </w:rPr>
              <w:instrText xml:space="preserve"> PAGEREF _Toc32500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10638" w:history="1">
            <w:r w:rsidR="00B86925">
              <w:rPr>
                <w:rFonts w:ascii="仿宋" w:eastAsia="仿宋" w:hAnsi="仿宋" w:hint="eastAsia"/>
                <w:noProof/>
              </w:rPr>
              <w:t>七、一般公共预算财政拨款支出决算明细表</w:t>
            </w:r>
            <w:r w:rsidR="00B86925">
              <w:rPr>
                <w:noProof/>
              </w:rPr>
              <w:tab/>
            </w:r>
            <w:r>
              <w:rPr>
                <w:noProof/>
              </w:rPr>
              <w:fldChar w:fldCharType="begin"/>
            </w:r>
            <w:r w:rsidR="00B86925">
              <w:rPr>
                <w:noProof/>
              </w:rPr>
              <w:instrText xml:space="preserve"> PAGEREF _Toc10638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801" w:history="1">
            <w:r w:rsidR="00B86925">
              <w:rPr>
                <w:rFonts w:ascii="仿宋" w:eastAsia="仿宋" w:hAnsi="仿宋" w:hint="eastAsia"/>
                <w:noProof/>
              </w:rPr>
              <w:t>八、一般公共预算财政拨款基本支出决算表</w:t>
            </w:r>
            <w:r w:rsidR="00B86925">
              <w:rPr>
                <w:noProof/>
              </w:rPr>
              <w:tab/>
            </w:r>
            <w:r>
              <w:rPr>
                <w:noProof/>
              </w:rPr>
              <w:fldChar w:fldCharType="begin"/>
            </w:r>
            <w:r w:rsidR="00B86925">
              <w:rPr>
                <w:noProof/>
              </w:rPr>
              <w:instrText xml:space="preserve"> PAGEREF _Toc2801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32290" w:history="1">
            <w:r w:rsidR="00B86925">
              <w:rPr>
                <w:rFonts w:ascii="仿宋" w:eastAsia="仿宋" w:hAnsi="仿宋" w:hint="eastAsia"/>
                <w:noProof/>
              </w:rPr>
              <w:t>九、一般公共预算财政拨款项目支出决算表</w:t>
            </w:r>
            <w:r w:rsidR="00B86925">
              <w:rPr>
                <w:noProof/>
              </w:rPr>
              <w:tab/>
            </w:r>
            <w:r>
              <w:rPr>
                <w:noProof/>
              </w:rPr>
              <w:fldChar w:fldCharType="begin"/>
            </w:r>
            <w:r w:rsidR="00B86925">
              <w:rPr>
                <w:noProof/>
              </w:rPr>
              <w:instrText xml:space="preserve"> PAGEREF _Toc32290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8081" w:history="1">
            <w:r w:rsidR="00B86925">
              <w:rPr>
                <w:rFonts w:ascii="仿宋" w:eastAsia="仿宋" w:hAnsi="仿宋" w:hint="eastAsia"/>
                <w:noProof/>
              </w:rPr>
              <w:t>十、政府性基金预算财政拨款收入支出决算表</w:t>
            </w:r>
            <w:r w:rsidR="00B86925">
              <w:rPr>
                <w:noProof/>
              </w:rPr>
              <w:tab/>
            </w:r>
            <w:r>
              <w:rPr>
                <w:noProof/>
              </w:rPr>
              <w:fldChar w:fldCharType="begin"/>
            </w:r>
            <w:r w:rsidR="00B86925">
              <w:rPr>
                <w:noProof/>
              </w:rPr>
              <w:instrText xml:space="preserve"> PAGEREF _Toc28081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22029" w:history="1">
            <w:r w:rsidR="00B86925">
              <w:rPr>
                <w:rFonts w:ascii="仿宋" w:eastAsia="仿宋" w:hAnsi="仿宋" w:hint="eastAsia"/>
                <w:noProof/>
              </w:rPr>
              <w:t>十一、国有资本经营预算财政拨款收入支出决算表</w:t>
            </w:r>
            <w:r w:rsidR="00B86925">
              <w:rPr>
                <w:noProof/>
              </w:rPr>
              <w:tab/>
            </w:r>
            <w:r>
              <w:rPr>
                <w:noProof/>
              </w:rPr>
              <w:fldChar w:fldCharType="begin"/>
            </w:r>
            <w:r w:rsidR="00B86925">
              <w:rPr>
                <w:noProof/>
              </w:rPr>
              <w:instrText xml:space="preserve"> PAGEREF _Toc22029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139" w:history="1">
            <w:r w:rsidR="00B86925">
              <w:rPr>
                <w:rFonts w:ascii="仿宋" w:eastAsia="仿宋" w:hAnsi="仿宋" w:hint="eastAsia"/>
                <w:noProof/>
              </w:rPr>
              <w:t>十二、国有资本经营预算财政拨款支出决算表</w:t>
            </w:r>
            <w:r w:rsidR="00B86925">
              <w:rPr>
                <w:noProof/>
              </w:rPr>
              <w:tab/>
            </w:r>
            <w:r>
              <w:rPr>
                <w:noProof/>
              </w:rPr>
              <w:fldChar w:fldCharType="begin"/>
            </w:r>
            <w:r w:rsidR="00B86925">
              <w:rPr>
                <w:noProof/>
              </w:rPr>
              <w:instrText xml:space="preserve"> PAGEREF _Toc139 \h </w:instrText>
            </w:r>
            <w:r>
              <w:rPr>
                <w:noProof/>
              </w:rPr>
            </w:r>
            <w:r>
              <w:rPr>
                <w:noProof/>
              </w:rPr>
              <w:fldChar w:fldCharType="separate"/>
            </w:r>
            <w:r w:rsidR="00B90FA7">
              <w:rPr>
                <w:noProof/>
              </w:rPr>
              <w:t>34</w:t>
            </w:r>
            <w:r>
              <w:rPr>
                <w:noProof/>
              </w:rPr>
              <w:fldChar w:fldCharType="end"/>
            </w:r>
          </w:hyperlink>
        </w:p>
        <w:p w:rsidR="00563F3A" w:rsidRDefault="00826000" w:rsidP="00411FC0">
          <w:pPr>
            <w:pStyle w:val="WPSOffice2"/>
            <w:tabs>
              <w:tab w:val="right" w:leader="dot" w:pos="9070"/>
            </w:tabs>
            <w:ind w:left="420"/>
            <w:rPr>
              <w:noProof/>
            </w:rPr>
          </w:pPr>
          <w:hyperlink w:anchor="_Toc31825" w:history="1">
            <w:r w:rsidR="00B86925">
              <w:rPr>
                <w:rFonts w:ascii="仿宋" w:eastAsia="仿宋" w:hAnsi="仿宋" w:hint="eastAsia"/>
                <w:noProof/>
              </w:rPr>
              <w:t>十三、财政拨款“三公”经费支出决算表</w:t>
            </w:r>
            <w:r w:rsidR="00B86925">
              <w:rPr>
                <w:noProof/>
              </w:rPr>
              <w:tab/>
            </w:r>
            <w:r>
              <w:rPr>
                <w:noProof/>
              </w:rPr>
              <w:fldChar w:fldCharType="begin"/>
            </w:r>
            <w:r w:rsidR="00B86925">
              <w:rPr>
                <w:noProof/>
              </w:rPr>
              <w:instrText xml:space="preserve"> PAGEREF _Toc31825 \h </w:instrText>
            </w:r>
            <w:r>
              <w:rPr>
                <w:noProof/>
              </w:rPr>
            </w:r>
            <w:r>
              <w:rPr>
                <w:noProof/>
              </w:rPr>
              <w:fldChar w:fldCharType="separate"/>
            </w:r>
            <w:r w:rsidR="00B90FA7">
              <w:rPr>
                <w:noProof/>
              </w:rPr>
              <w:t>34</w:t>
            </w:r>
            <w:r>
              <w:rPr>
                <w:noProof/>
              </w:rPr>
              <w:fldChar w:fldCharType="end"/>
            </w:r>
          </w:hyperlink>
        </w:p>
        <w:p w:rsidR="00563F3A" w:rsidRDefault="00826000">
          <w:pPr>
            <w:rPr>
              <w:sz w:val="28"/>
              <w:szCs w:val="28"/>
            </w:rPr>
          </w:pPr>
          <w:r>
            <w:rPr>
              <w:b/>
              <w:szCs w:val="28"/>
            </w:rPr>
            <w:fldChar w:fldCharType="end"/>
          </w:r>
        </w:p>
      </w:sdtContent>
    </w:sdt>
    <w:p w:rsidR="00563F3A" w:rsidRDefault="00563F3A">
      <w:pPr>
        <w:widowControl/>
        <w:rPr>
          <w:rFonts w:ascii="仿宋" w:eastAsia="仿宋" w:hAnsi="仿宋"/>
          <w:bCs/>
          <w:kern w:val="44"/>
          <w:sz w:val="24"/>
        </w:rPr>
      </w:pPr>
      <w:bookmarkStart w:id="2" w:name="_Toc15396599"/>
      <w:bookmarkStart w:id="3" w:name="_Toc15377196"/>
    </w:p>
    <w:p w:rsidR="00563F3A" w:rsidRDefault="00563F3A">
      <w:pPr>
        <w:pStyle w:val="1"/>
        <w:jc w:val="center"/>
        <w:rPr>
          <w:rFonts w:ascii="黑体" w:eastAsia="黑体" w:hAnsi="黑体"/>
          <w:b w:val="0"/>
          <w:color w:val="000000" w:themeColor="text1"/>
        </w:rPr>
        <w:sectPr w:rsidR="00563F3A">
          <w:headerReference w:type="default" r:id="rId8"/>
          <w:pgSz w:w="11906" w:h="16838"/>
          <w:pgMar w:top="1440" w:right="1800" w:bottom="1440" w:left="1800" w:header="851" w:footer="992" w:gutter="0"/>
          <w:pgNumType w:start="1"/>
          <w:cols w:space="425"/>
          <w:titlePg/>
          <w:docGrid w:type="lines" w:linePitch="312"/>
        </w:sectPr>
      </w:pPr>
      <w:bookmarkStart w:id="4" w:name="_Toc17939"/>
      <w:bookmarkEnd w:id="2"/>
      <w:bookmarkEnd w:id="3"/>
    </w:p>
    <w:p w:rsidR="00563F3A" w:rsidRDefault="00B86925">
      <w:pPr>
        <w:pStyle w:val="1"/>
        <w:jc w:val="center"/>
        <w:rPr>
          <w:rStyle w:val="1Char"/>
          <w:rFonts w:ascii="黑体" w:eastAsia="黑体" w:hAnsi="黑体"/>
          <w:color w:val="000000" w:themeColor="text1"/>
        </w:rPr>
      </w:pPr>
      <w:r>
        <w:rPr>
          <w:rFonts w:ascii="黑体" w:eastAsia="黑体" w:hAnsi="黑体" w:hint="eastAsia"/>
          <w:b w:val="0"/>
          <w:color w:val="000000" w:themeColor="text1"/>
        </w:rPr>
        <w:lastRenderedPageBreak/>
        <w:t>第一部分 单位</w:t>
      </w:r>
      <w:r>
        <w:rPr>
          <w:rStyle w:val="1Char"/>
          <w:rFonts w:ascii="黑体" w:eastAsia="黑体" w:hAnsi="黑体" w:hint="eastAsia"/>
          <w:color w:val="000000" w:themeColor="text1"/>
        </w:rPr>
        <w:t>概况</w:t>
      </w:r>
      <w:bookmarkEnd w:id="4"/>
    </w:p>
    <w:p w:rsidR="00563F3A" w:rsidRDefault="00563F3A">
      <w:pPr>
        <w:widowControl/>
        <w:jc w:val="left"/>
        <w:rPr>
          <w:rFonts w:ascii="黑体" w:eastAsia="黑体"/>
          <w:color w:val="000000" w:themeColor="text1"/>
          <w:sz w:val="32"/>
          <w:szCs w:val="32"/>
        </w:rPr>
      </w:pPr>
    </w:p>
    <w:p w:rsidR="00563F3A" w:rsidRDefault="00B86925">
      <w:pPr>
        <w:pStyle w:val="2"/>
        <w:numPr>
          <w:ilvl w:val="0"/>
          <w:numId w:val="1"/>
        </w:numPr>
        <w:rPr>
          <w:rStyle w:val="2Char"/>
          <w:rFonts w:ascii="黑体" w:eastAsia="黑体" w:hAnsi="黑体"/>
          <w:color w:val="000000" w:themeColor="text1"/>
        </w:rPr>
      </w:pPr>
      <w:bookmarkStart w:id="5" w:name="_Toc19100"/>
      <w:r>
        <w:rPr>
          <w:rStyle w:val="2Char"/>
          <w:rFonts w:ascii="黑体" w:eastAsia="黑体" w:hAnsi="黑体" w:hint="eastAsia"/>
          <w:color w:val="000000" w:themeColor="text1"/>
        </w:rPr>
        <w:t>主要职责</w:t>
      </w:r>
      <w:bookmarkEnd w:id="5"/>
    </w:p>
    <w:p w:rsidR="00563F3A" w:rsidRDefault="00B86925">
      <w:pPr>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负责全市范围内有关产（商）品质量的监督检验、委托检验、质量仲裁检验工作；承担上级下达的各项监督检查、专项检查和定期监督检验工作；承接各类委托检验；依法受理各种仲裁检验；指导帮助企业建立完善质量检验管理体系。</w:t>
      </w:r>
    </w:p>
    <w:p w:rsidR="00563F3A" w:rsidRDefault="00B86925">
      <w:pPr>
        <w:pStyle w:val="2"/>
        <w:rPr>
          <w:rFonts w:ascii="黑体" w:eastAsia="黑体" w:hAnsi="黑体"/>
          <w:b w:val="0"/>
          <w:color w:val="000000" w:themeColor="text1"/>
        </w:rPr>
      </w:pPr>
      <w:bookmarkStart w:id="6" w:name="_Toc4433"/>
      <w:r>
        <w:rPr>
          <w:rFonts w:ascii="黑体" w:eastAsia="黑体" w:hAnsi="黑体" w:hint="eastAsia"/>
          <w:b w:val="0"/>
          <w:color w:val="000000" w:themeColor="text1"/>
        </w:rPr>
        <w:t>二、机构设置</w:t>
      </w:r>
      <w:bookmarkEnd w:id="6"/>
    </w:p>
    <w:p w:rsidR="00563F3A" w:rsidRDefault="00B86925">
      <w:pPr>
        <w:ind w:firstLineChars="200" w:firstLine="640"/>
        <w:rPr>
          <w:rFonts w:ascii="仿宋_GB2312" w:eastAsia="仿宋_GB2312"/>
          <w:sz w:val="32"/>
          <w:szCs w:val="32"/>
        </w:rPr>
      </w:pPr>
      <w:r>
        <w:rPr>
          <w:rFonts w:ascii="仿宋_GB2312" w:eastAsia="仿宋_GB2312" w:hint="eastAsia"/>
          <w:color w:val="000000" w:themeColor="text1"/>
          <w:sz w:val="32"/>
          <w:szCs w:val="32"/>
        </w:rPr>
        <w:t>广元市</w:t>
      </w:r>
      <w:r>
        <w:rPr>
          <w:rFonts w:ascii="仿宋_GB2312" w:eastAsia="仿宋_GB2312"/>
          <w:sz w:val="32"/>
          <w:szCs w:val="32"/>
        </w:rPr>
        <w:t>产品质量监督检验所是</w:t>
      </w:r>
      <w:r>
        <w:rPr>
          <w:rFonts w:ascii="仿宋_GB2312" w:eastAsia="仿宋_GB2312" w:hint="eastAsia"/>
          <w:sz w:val="32"/>
          <w:szCs w:val="32"/>
        </w:rPr>
        <w:t>市市场监管局直属公益类正科级事业单位。内设办公室、质量技术中心、综合业务中心、食品化工检验中心、轻工检验中心和建材检验中心。加挂四川省煤及矿产品质量监督检验中心（简称“省煤检中心”）、四川省山珍食品质量监督检验中心（简称“省山珍中心”）和成都产品质量检验研究院有限责任公司广元工作站牌子。现有编制25人，在职职工26人（含聘用3人），其中研究生5人，大学本科20人，正高级工程师1人，高级工程师4人，工程师12人。</w:t>
      </w:r>
    </w:p>
    <w:p w:rsidR="00563F3A" w:rsidRDefault="00B86925">
      <w:pPr>
        <w:pStyle w:val="1"/>
        <w:ind w:right="440"/>
        <w:jc w:val="center"/>
        <w:rPr>
          <w:rStyle w:val="1Char"/>
          <w:rFonts w:ascii="黑体" w:eastAsia="黑体" w:hAnsi="黑体"/>
          <w:bCs/>
          <w:sz w:val="36"/>
          <w:szCs w:val="36"/>
        </w:rPr>
      </w:pPr>
      <w:bookmarkStart w:id="7" w:name="_Toc2040"/>
      <w:bookmarkStart w:id="8" w:name="_Toc15396602"/>
      <w:bookmarkStart w:id="9" w:name="_Toc15377204"/>
      <w:r>
        <w:rPr>
          <w:rFonts w:ascii="黑体" w:eastAsia="黑体" w:hAnsi="黑体" w:hint="eastAsia"/>
          <w:b w:val="0"/>
          <w:sz w:val="36"/>
          <w:szCs w:val="36"/>
        </w:rPr>
        <w:lastRenderedPageBreak/>
        <w:t>第二部分 2022年度</w:t>
      </w:r>
      <w:r>
        <w:rPr>
          <w:rStyle w:val="1Char"/>
          <w:rFonts w:ascii="黑体" w:eastAsia="黑体" w:hAnsi="黑体" w:hint="eastAsia"/>
          <w:bCs/>
          <w:sz w:val="36"/>
          <w:szCs w:val="36"/>
        </w:rPr>
        <w:t>单位决算情况说明</w:t>
      </w:r>
      <w:bookmarkEnd w:id="7"/>
      <w:bookmarkEnd w:id="8"/>
      <w:bookmarkEnd w:id="9"/>
    </w:p>
    <w:p w:rsidR="00563F3A" w:rsidRDefault="00B86925">
      <w:pPr>
        <w:pStyle w:val="a9"/>
        <w:numPr>
          <w:ilvl w:val="0"/>
          <w:numId w:val="2"/>
        </w:numPr>
        <w:spacing w:line="600" w:lineRule="exact"/>
        <w:ind w:firstLineChars="0"/>
        <w:outlineLvl w:val="1"/>
        <w:rPr>
          <w:rStyle w:val="2Char"/>
          <w:rFonts w:ascii="黑体" w:eastAsia="黑体" w:hAnsi="黑体"/>
          <w:b w:val="0"/>
        </w:rPr>
      </w:pPr>
      <w:bookmarkStart w:id="10" w:name="_Toc15396603"/>
      <w:bookmarkStart w:id="11" w:name="_Toc11425"/>
      <w:bookmarkStart w:id="12" w:name="_Toc15377205"/>
      <w:r>
        <w:rPr>
          <w:rFonts w:ascii="黑体" w:eastAsia="黑体" w:hAnsi="黑体" w:hint="eastAsia"/>
          <w:sz w:val="32"/>
          <w:szCs w:val="32"/>
        </w:rPr>
        <w:t>收</w:t>
      </w:r>
      <w:r>
        <w:rPr>
          <w:rStyle w:val="2Char"/>
          <w:rFonts w:ascii="黑体" w:eastAsia="黑体" w:hAnsi="黑体" w:hint="eastAsia"/>
          <w:b w:val="0"/>
        </w:rPr>
        <w:t>入支出决算总体情况说明</w:t>
      </w:r>
      <w:bookmarkEnd w:id="10"/>
      <w:bookmarkEnd w:id="11"/>
      <w:bookmarkEnd w:id="12"/>
    </w:p>
    <w:p w:rsidR="00563F3A" w:rsidRDefault="00B86925">
      <w:pPr>
        <w:spacing w:line="600" w:lineRule="exact"/>
        <w:ind w:firstLineChars="200" w:firstLine="640"/>
        <w:rPr>
          <w:rFonts w:ascii="仿宋" w:eastAsia="仿宋" w:hAnsi="仿宋"/>
          <w:sz w:val="32"/>
          <w:szCs w:val="32"/>
        </w:rPr>
      </w:pPr>
      <w:r>
        <w:rPr>
          <w:rFonts w:ascii="仿宋" w:eastAsia="仿宋" w:hAnsi="仿宋" w:hint="eastAsia"/>
          <w:sz w:val="32"/>
          <w:szCs w:val="32"/>
        </w:rPr>
        <w:t>2022年度收、支总计</w:t>
      </w:r>
      <w:r>
        <w:rPr>
          <w:rFonts w:ascii="仿宋" w:eastAsia="仿宋" w:hAnsi="仿宋"/>
          <w:sz w:val="32"/>
          <w:szCs w:val="32"/>
        </w:rPr>
        <w:t>733</w:t>
      </w:r>
      <w:r>
        <w:rPr>
          <w:rFonts w:ascii="仿宋" w:eastAsia="仿宋" w:hAnsi="仿宋" w:hint="eastAsia"/>
          <w:sz w:val="32"/>
          <w:szCs w:val="32"/>
        </w:rPr>
        <w:t>.</w:t>
      </w:r>
      <w:r>
        <w:rPr>
          <w:rFonts w:ascii="仿宋" w:eastAsia="仿宋" w:hAnsi="仿宋"/>
          <w:sz w:val="32"/>
          <w:szCs w:val="32"/>
        </w:rPr>
        <w:t>7</w:t>
      </w:r>
      <w:r>
        <w:rPr>
          <w:rFonts w:ascii="仿宋" w:eastAsia="仿宋" w:hAnsi="仿宋" w:hint="eastAsia"/>
          <w:sz w:val="32"/>
          <w:szCs w:val="32"/>
        </w:rPr>
        <w:t>9万元。与2021年相比，收、支总计各增加35.88万元，增长5.14</w:t>
      </w:r>
      <w:r>
        <w:rPr>
          <w:rFonts w:ascii="仿宋" w:eastAsia="仿宋" w:hAnsi="仿宋"/>
          <w:sz w:val="32"/>
          <w:szCs w:val="32"/>
        </w:rPr>
        <w:t>%</w:t>
      </w:r>
      <w:r>
        <w:rPr>
          <w:rFonts w:ascii="仿宋" w:eastAsia="仿宋" w:hAnsi="仿宋" w:hint="eastAsia"/>
          <w:sz w:val="32"/>
          <w:szCs w:val="32"/>
        </w:rPr>
        <w:t>。主要变动原因是人员经费增加。</w:t>
      </w:r>
    </w:p>
    <w:p w:rsidR="00563F3A" w:rsidRDefault="00B86925">
      <w:pPr>
        <w:pStyle w:val="a0"/>
        <w:spacing w:before="93"/>
        <w:jc w:val="center"/>
      </w:pPr>
      <w:r>
        <w:rPr>
          <w:noProof/>
        </w:rPr>
        <w:drawing>
          <wp:inline distT="0" distB="0" distL="0" distR="0">
            <wp:extent cx="3613150" cy="2170430"/>
            <wp:effectExtent l="19050" t="0" r="635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noChangeArrowheads="1"/>
                    </pic:cNvPicPr>
                  </pic:nvPicPr>
                  <pic:blipFill>
                    <a:blip r:embed="rId9"/>
                    <a:srcRect/>
                    <a:stretch>
                      <a:fillRect/>
                    </a:stretch>
                  </pic:blipFill>
                  <pic:spPr>
                    <a:xfrm>
                      <a:off x="0" y="0"/>
                      <a:ext cx="3612651" cy="2170385"/>
                    </a:xfrm>
                    <a:prstGeom prst="rect">
                      <a:avLst/>
                    </a:prstGeom>
                    <a:noFill/>
                  </pic:spPr>
                </pic:pic>
              </a:graphicData>
            </a:graphic>
          </wp:inline>
        </w:drawing>
      </w:r>
    </w:p>
    <w:p w:rsidR="00563F3A" w:rsidRDefault="00B86925">
      <w:pPr>
        <w:spacing w:line="600" w:lineRule="exact"/>
        <w:ind w:firstLineChars="200" w:firstLine="640"/>
        <w:rPr>
          <w:rFonts w:ascii="仿宋_GB2312" w:eastAsia="仿宋_GB2312"/>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：收、支决算总计变动情况图）（柱状图）</w:t>
      </w:r>
    </w:p>
    <w:p w:rsidR="00563F3A" w:rsidRDefault="00B86925">
      <w:pPr>
        <w:pStyle w:val="a9"/>
        <w:numPr>
          <w:ilvl w:val="0"/>
          <w:numId w:val="2"/>
        </w:numPr>
        <w:spacing w:line="600" w:lineRule="exact"/>
        <w:ind w:firstLineChars="0"/>
        <w:outlineLvl w:val="1"/>
        <w:rPr>
          <w:rStyle w:val="2Char"/>
          <w:rFonts w:ascii="黑体" w:eastAsia="黑体" w:hAnsi="黑体"/>
          <w:b w:val="0"/>
        </w:rPr>
      </w:pPr>
      <w:bookmarkStart w:id="13" w:name="_Toc15396604"/>
      <w:bookmarkStart w:id="14" w:name="_Toc10744"/>
      <w:bookmarkStart w:id="15" w:name="_Toc15377206"/>
      <w:r>
        <w:rPr>
          <w:rFonts w:ascii="黑体" w:eastAsia="黑体" w:hAnsi="黑体" w:hint="eastAsia"/>
          <w:sz w:val="32"/>
          <w:szCs w:val="32"/>
        </w:rPr>
        <w:t>收</w:t>
      </w:r>
      <w:r>
        <w:rPr>
          <w:rStyle w:val="2Char"/>
          <w:rFonts w:ascii="黑体" w:eastAsia="黑体" w:hAnsi="黑体" w:hint="eastAsia"/>
          <w:b w:val="0"/>
        </w:rPr>
        <w:t>入决算情况说明</w:t>
      </w:r>
      <w:bookmarkEnd w:id="13"/>
      <w:bookmarkEnd w:id="14"/>
      <w:bookmarkEnd w:id="15"/>
    </w:p>
    <w:p w:rsidR="00563F3A" w:rsidRDefault="00B86925">
      <w:pPr>
        <w:spacing w:line="600" w:lineRule="exact"/>
        <w:ind w:firstLineChars="200" w:firstLine="640"/>
        <w:outlineLvl w:val="1"/>
        <w:rPr>
          <w:rFonts w:ascii="仿宋" w:eastAsia="仿宋" w:hAnsi="仿宋"/>
          <w:sz w:val="32"/>
          <w:szCs w:val="32"/>
        </w:rPr>
      </w:pPr>
      <w:bookmarkStart w:id="16" w:name="_Toc8301"/>
      <w:r>
        <w:rPr>
          <w:rFonts w:ascii="仿宋" w:eastAsia="仿宋" w:hAnsi="仿宋"/>
          <w:sz w:val="32"/>
          <w:szCs w:val="32"/>
        </w:rPr>
        <w:t>20</w:t>
      </w:r>
      <w:r>
        <w:rPr>
          <w:rFonts w:ascii="仿宋" w:eastAsia="仿宋" w:hAnsi="仿宋" w:hint="eastAsia"/>
          <w:sz w:val="32"/>
          <w:szCs w:val="32"/>
        </w:rPr>
        <w:t>22年本年收入合计</w:t>
      </w:r>
      <w:r>
        <w:rPr>
          <w:rFonts w:ascii="仿宋" w:eastAsia="仿宋" w:hAnsi="仿宋"/>
          <w:sz w:val="32"/>
          <w:szCs w:val="32"/>
        </w:rPr>
        <w:t>729</w:t>
      </w:r>
      <w:r>
        <w:rPr>
          <w:rFonts w:ascii="仿宋" w:eastAsia="仿宋" w:hAnsi="仿宋" w:hint="eastAsia"/>
          <w:sz w:val="32"/>
          <w:szCs w:val="32"/>
        </w:rPr>
        <w:t>.</w:t>
      </w:r>
      <w:r>
        <w:rPr>
          <w:rFonts w:ascii="仿宋" w:eastAsia="仿宋" w:hAnsi="仿宋"/>
          <w:sz w:val="32"/>
          <w:szCs w:val="32"/>
        </w:rPr>
        <w:t>87</w:t>
      </w:r>
      <w:r>
        <w:rPr>
          <w:rFonts w:ascii="仿宋" w:eastAsia="仿宋" w:hAnsi="仿宋" w:hint="eastAsia"/>
          <w:sz w:val="32"/>
          <w:szCs w:val="32"/>
        </w:rPr>
        <w:t>万元，其中：一般公共预算财政拨款收入</w:t>
      </w:r>
      <w:r>
        <w:rPr>
          <w:rFonts w:ascii="仿宋" w:eastAsia="仿宋" w:hAnsi="仿宋"/>
          <w:sz w:val="32"/>
          <w:szCs w:val="32"/>
        </w:rPr>
        <w:t>673</w:t>
      </w:r>
      <w:r>
        <w:rPr>
          <w:rFonts w:ascii="仿宋" w:eastAsia="仿宋" w:hAnsi="仿宋" w:hint="eastAsia"/>
          <w:sz w:val="32"/>
          <w:szCs w:val="32"/>
        </w:rPr>
        <w:t>.</w:t>
      </w:r>
      <w:r>
        <w:rPr>
          <w:rFonts w:ascii="仿宋" w:eastAsia="仿宋" w:hAnsi="仿宋"/>
          <w:sz w:val="32"/>
          <w:szCs w:val="32"/>
        </w:rPr>
        <w:t>54</w:t>
      </w:r>
      <w:r>
        <w:rPr>
          <w:rFonts w:ascii="仿宋" w:eastAsia="仿宋" w:hAnsi="仿宋" w:hint="eastAsia"/>
          <w:sz w:val="32"/>
          <w:szCs w:val="32"/>
        </w:rPr>
        <w:t>万元，占92.28</w:t>
      </w:r>
      <w:r>
        <w:rPr>
          <w:rFonts w:ascii="仿宋" w:eastAsia="仿宋" w:hAnsi="仿宋"/>
          <w:sz w:val="32"/>
          <w:szCs w:val="32"/>
        </w:rPr>
        <w:t>%</w:t>
      </w:r>
      <w:r>
        <w:rPr>
          <w:rFonts w:ascii="仿宋" w:eastAsia="仿宋" w:hAnsi="仿宋" w:hint="eastAsia"/>
          <w:sz w:val="32"/>
          <w:szCs w:val="32"/>
        </w:rPr>
        <w:t>；其他收入</w:t>
      </w:r>
      <w:r>
        <w:rPr>
          <w:rFonts w:ascii="仿宋" w:eastAsia="仿宋" w:hAnsi="仿宋"/>
          <w:sz w:val="32"/>
          <w:szCs w:val="32"/>
        </w:rPr>
        <w:t>56</w:t>
      </w:r>
      <w:r>
        <w:rPr>
          <w:rFonts w:ascii="仿宋" w:eastAsia="仿宋" w:hAnsi="仿宋" w:hint="eastAsia"/>
          <w:sz w:val="32"/>
          <w:szCs w:val="32"/>
        </w:rPr>
        <w:t>.</w:t>
      </w:r>
      <w:r>
        <w:rPr>
          <w:rFonts w:ascii="仿宋" w:eastAsia="仿宋" w:hAnsi="仿宋"/>
          <w:sz w:val="32"/>
          <w:szCs w:val="32"/>
        </w:rPr>
        <w:t>33</w:t>
      </w:r>
      <w:r>
        <w:rPr>
          <w:rFonts w:ascii="仿宋" w:eastAsia="仿宋" w:hAnsi="仿宋" w:hint="eastAsia"/>
          <w:sz w:val="32"/>
          <w:szCs w:val="32"/>
        </w:rPr>
        <w:t>万元，占7.72</w:t>
      </w:r>
      <w:r>
        <w:rPr>
          <w:rFonts w:ascii="仿宋" w:eastAsia="仿宋" w:hAnsi="仿宋"/>
          <w:sz w:val="32"/>
          <w:szCs w:val="32"/>
        </w:rPr>
        <w:t>%</w:t>
      </w:r>
      <w:r>
        <w:rPr>
          <w:rFonts w:ascii="仿宋" w:eastAsia="仿宋" w:hAnsi="仿宋" w:hint="eastAsia"/>
          <w:sz w:val="32"/>
          <w:szCs w:val="32"/>
        </w:rPr>
        <w:t>。</w:t>
      </w:r>
      <w:bookmarkEnd w:id="16"/>
    </w:p>
    <w:p w:rsidR="00563F3A" w:rsidRDefault="00B86925">
      <w:pPr>
        <w:pStyle w:val="a0"/>
        <w:spacing w:before="93"/>
        <w:jc w:val="center"/>
      </w:pPr>
      <w:r>
        <w:rPr>
          <w:noProof/>
        </w:rPr>
        <w:drawing>
          <wp:inline distT="0" distB="0" distL="0" distR="0">
            <wp:extent cx="3416300" cy="20326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srcRect/>
                    <a:stretch>
                      <a:fillRect/>
                    </a:stretch>
                  </pic:blipFill>
                  <pic:spPr>
                    <a:xfrm>
                      <a:off x="0" y="0"/>
                      <a:ext cx="3419336" cy="2034797"/>
                    </a:xfrm>
                    <a:prstGeom prst="rect">
                      <a:avLst/>
                    </a:prstGeom>
                    <a:noFill/>
                  </pic:spPr>
                </pic:pic>
              </a:graphicData>
            </a:graphic>
          </wp:inline>
        </w:drawing>
      </w:r>
    </w:p>
    <w:p w:rsidR="00563F3A" w:rsidRDefault="00B86925">
      <w:pPr>
        <w:spacing w:line="600" w:lineRule="exact"/>
        <w:ind w:firstLineChars="200" w:firstLine="640"/>
        <w:jc w:val="center"/>
        <w:rPr>
          <w:rFonts w:ascii="仿宋_GB2312" w:eastAsia="仿宋_GB2312"/>
          <w:sz w:val="32"/>
          <w:szCs w:val="32"/>
        </w:rPr>
      </w:pPr>
      <w:r>
        <w:rPr>
          <w:rFonts w:ascii="仿宋" w:eastAsia="仿宋" w:hAnsi="仿宋" w:hint="eastAsia"/>
          <w:sz w:val="32"/>
          <w:szCs w:val="32"/>
        </w:rPr>
        <w:lastRenderedPageBreak/>
        <w:t>（图2：收入决算结构图）（饼状图）</w:t>
      </w:r>
    </w:p>
    <w:p w:rsidR="00563F3A" w:rsidRDefault="00B86925">
      <w:pPr>
        <w:pStyle w:val="a9"/>
        <w:numPr>
          <w:ilvl w:val="0"/>
          <w:numId w:val="2"/>
        </w:numPr>
        <w:spacing w:line="600" w:lineRule="exact"/>
        <w:ind w:firstLineChars="0"/>
        <w:outlineLvl w:val="1"/>
        <w:rPr>
          <w:rStyle w:val="2Char"/>
          <w:rFonts w:ascii="黑体" w:eastAsia="黑体" w:hAnsi="黑体"/>
          <w:b w:val="0"/>
        </w:rPr>
      </w:pPr>
      <w:bookmarkStart w:id="17" w:name="_Toc15377207"/>
      <w:bookmarkStart w:id="18" w:name="_Toc8267"/>
      <w:bookmarkStart w:id="19" w:name="_Toc15396605"/>
      <w:r>
        <w:rPr>
          <w:rFonts w:ascii="黑体" w:eastAsia="黑体" w:hAnsi="黑体" w:hint="eastAsia"/>
          <w:sz w:val="32"/>
          <w:szCs w:val="32"/>
        </w:rPr>
        <w:t>支</w:t>
      </w:r>
      <w:r>
        <w:rPr>
          <w:rStyle w:val="2Char"/>
          <w:rFonts w:ascii="黑体" w:eastAsia="黑体" w:hAnsi="黑体" w:hint="eastAsia"/>
          <w:b w:val="0"/>
        </w:rPr>
        <w:t>出决算情况说明</w:t>
      </w:r>
      <w:bookmarkEnd w:id="17"/>
      <w:bookmarkEnd w:id="18"/>
      <w:bookmarkEnd w:id="19"/>
    </w:p>
    <w:p w:rsidR="00563F3A" w:rsidRDefault="00B86925">
      <w:pPr>
        <w:spacing w:line="600" w:lineRule="exact"/>
        <w:ind w:firstLineChars="200" w:firstLine="640"/>
        <w:outlineLvl w:val="1"/>
        <w:rPr>
          <w:rFonts w:ascii="仿宋" w:eastAsia="仿宋" w:hAnsi="仿宋"/>
          <w:sz w:val="32"/>
          <w:szCs w:val="32"/>
        </w:rPr>
      </w:pPr>
      <w:bookmarkStart w:id="20" w:name="_Toc10989"/>
      <w:r>
        <w:rPr>
          <w:rFonts w:ascii="仿宋" w:eastAsia="仿宋" w:hAnsi="仿宋"/>
          <w:sz w:val="32"/>
          <w:szCs w:val="32"/>
        </w:rPr>
        <w:t>20</w:t>
      </w:r>
      <w:r>
        <w:rPr>
          <w:rFonts w:ascii="仿宋" w:eastAsia="仿宋" w:hAnsi="仿宋" w:hint="eastAsia"/>
          <w:sz w:val="32"/>
          <w:szCs w:val="32"/>
        </w:rPr>
        <w:t>22年本年支出合计</w:t>
      </w:r>
      <w:r>
        <w:rPr>
          <w:rFonts w:ascii="仿宋" w:eastAsia="仿宋" w:hAnsi="仿宋"/>
          <w:sz w:val="32"/>
          <w:szCs w:val="32"/>
        </w:rPr>
        <w:t>733</w:t>
      </w:r>
      <w:r>
        <w:rPr>
          <w:rFonts w:ascii="仿宋" w:eastAsia="仿宋" w:hAnsi="仿宋" w:hint="eastAsia"/>
          <w:sz w:val="32"/>
          <w:szCs w:val="32"/>
        </w:rPr>
        <w:t>.</w:t>
      </w:r>
      <w:r>
        <w:rPr>
          <w:rFonts w:ascii="仿宋" w:eastAsia="仿宋" w:hAnsi="仿宋"/>
          <w:sz w:val="32"/>
          <w:szCs w:val="32"/>
        </w:rPr>
        <w:t>7</w:t>
      </w:r>
      <w:r>
        <w:rPr>
          <w:rFonts w:ascii="仿宋" w:eastAsia="仿宋" w:hAnsi="仿宋" w:hint="eastAsia"/>
          <w:sz w:val="32"/>
          <w:szCs w:val="32"/>
        </w:rPr>
        <w:t>9万元，其中：基本支出474.66万元，占64.68</w:t>
      </w:r>
      <w:r>
        <w:rPr>
          <w:rFonts w:ascii="仿宋" w:eastAsia="仿宋" w:hAnsi="仿宋"/>
          <w:sz w:val="32"/>
          <w:szCs w:val="32"/>
        </w:rPr>
        <w:t>%</w:t>
      </w:r>
      <w:r>
        <w:rPr>
          <w:rFonts w:ascii="仿宋" w:eastAsia="仿宋" w:hAnsi="仿宋" w:hint="eastAsia"/>
          <w:sz w:val="32"/>
          <w:szCs w:val="32"/>
        </w:rPr>
        <w:t>；项目支出259.13万元，占35.32</w:t>
      </w:r>
      <w:r>
        <w:rPr>
          <w:rFonts w:ascii="仿宋" w:eastAsia="仿宋" w:hAnsi="仿宋"/>
          <w:sz w:val="32"/>
          <w:szCs w:val="32"/>
        </w:rPr>
        <w:t>%</w:t>
      </w:r>
      <w:r>
        <w:rPr>
          <w:rFonts w:ascii="仿宋" w:eastAsia="仿宋" w:hAnsi="仿宋" w:hint="eastAsia"/>
          <w:sz w:val="32"/>
          <w:szCs w:val="32"/>
        </w:rPr>
        <w:t>。</w:t>
      </w:r>
      <w:bookmarkEnd w:id="20"/>
    </w:p>
    <w:p w:rsidR="00563F3A" w:rsidRDefault="00B86925">
      <w:pPr>
        <w:pStyle w:val="a0"/>
        <w:spacing w:before="93"/>
        <w:jc w:val="center"/>
        <w:rPr>
          <w:rFonts w:ascii="仿宋" w:eastAsia="仿宋" w:hAnsi="仿宋"/>
          <w:sz w:val="32"/>
          <w:szCs w:val="32"/>
        </w:rPr>
      </w:pPr>
      <w:r>
        <w:rPr>
          <w:noProof/>
        </w:rPr>
        <w:drawing>
          <wp:inline distT="0" distB="0" distL="0" distR="0">
            <wp:extent cx="3302000" cy="1988185"/>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11"/>
                    <a:srcRect/>
                    <a:stretch>
                      <a:fillRect/>
                    </a:stretch>
                  </pic:blipFill>
                  <pic:spPr>
                    <a:xfrm>
                      <a:off x="0" y="0"/>
                      <a:ext cx="3301544" cy="1988041"/>
                    </a:xfrm>
                    <a:prstGeom prst="rect">
                      <a:avLst/>
                    </a:prstGeom>
                    <a:noFill/>
                  </pic:spPr>
                </pic:pic>
              </a:graphicData>
            </a:graphic>
          </wp:inline>
        </w:drawing>
      </w:r>
    </w:p>
    <w:p w:rsidR="00563F3A" w:rsidRDefault="00B86925">
      <w:pPr>
        <w:pStyle w:val="a0"/>
        <w:spacing w:before="93"/>
        <w:jc w:val="center"/>
        <w:rPr>
          <w:sz w:val="32"/>
          <w:szCs w:val="32"/>
        </w:rPr>
      </w:pPr>
      <w:r>
        <w:rPr>
          <w:rFonts w:ascii="仿宋" w:eastAsia="仿宋" w:hAnsi="仿宋" w:hint="eastAsia"/>
          <w:sz w:val="32"/>
          <w:szCs w:val="32"/>
        </w:rPr>
        <w:t>（图3：支出决算结构图）（饼状图）</w:t>
      </w:r>
    </w:p>
    <w:p w:rsidR="00563F3A" w:rsidRDefault="00B86925">
      <w:pPr>
        <w:spacing w:line="600" w:lineRule="exact"/>
        <w:ind w:firstLineChars="200" w:firstLine="640"/>
        <w:outlineLvl w:val="1"/>
        <w:rPr>
          <w:rStyle w:val="2Char"/>
          <w:rFonts w:ascii="黑体" w:eastAsia="黑体" w:hAnsi="黑体"/>
          <w:b w:val="0"/>
        </w:rPr>
      </w:pPr>
      <w:bookmarkStart w:id="21" w:name="_Toc4230"/>
      <w:bookmarkStart w:id="22" w:name="_Toc15377208"/>
      <w:bookmarkStart w:id="23" w:name="_Toc15396606"/>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21"/>
      <w:bookmarkEnd w:id="22"/>
      <w:bookmarkEnd w:id="23"/>
    </w:p>
    <w:p w:rsidR="00563F3A" w:rsidRDefault="00B86925">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22年财政拨款收、支总计674.84万元。与</w:t>
      </w:r>
      <w:r>
        <w:rPr>
          <w:rFonts w:ascii="仿宋" w:eastAsia="仿宋" w:hAnsi="仿宋"/>
          <w:sz w:val="32"/>
          <w:szCs w:val="32"/>
        </w:rPr>
        <w:t>20</w:t>
      </w:r>
      <w:r>
        <w:rPr>
          <w:rFonts w:ascii="仿宋" w:eastAsia="仿宋" w:hAnsi="仿宋" w:hint="eastAsia"/>
          <w:sz w:val="32"/>
          <w:szCs w:val="32"/>
        </w:rPr>
        <w:t>21年相比，财政拨款收、支总计各增加14.39万元，增长2.18</w:t>
      </w:r>
      <w:r>
        <w:rPr>
          <w:rFonts w:ascii="仿宋" w:eastAsia="仿宋" w:hAnsi="仿宋"/>
          <w:sz w:val="32"/>
          <w:szCs w:val="32"/>
        </w:rPr>
        <w:t>%</w:t>
      </w:r>
      <w:r>
        <w:rPr>
          <w:rFonts w:ascii="仿宋" w:eastAsia="仿宋" w:hAnsi="仿宋" w:hint="eastAsia"/>
          <w:sz w:val="32"/>
          <w:szCs w:val="32"/>
        </w:rPr>
        <w:t>。主要变动原因是人员经费增加。</w:t>
      </w:r>
    </w:p>
    <w:p w:rsidR="00563F3A" w:rsidRDefault="00B86925">
      <w:pPr>
        <w:pStyle w:val="a0"/>
        <w:spacing w:before="93"/>
        <w:jc w:val="center"/>
        <w:rPr>
          <w:rFonts w:ascii="仿宋" w:eastAsia="仿宋" w:hAnsi="仿宋"/>
          <w:sz w:val="32"/>
          <w:szCs w:val="32"/>
        </w:rPr>
      </w:pPr>
      <w:r>
        <w:rPr>
          <w:noProof/>
        </w:rPr>
        <w:drawing>
          <wp:inline distT="0" distB="0" distL="0" distR="0">
            <wp:extent cx="3308350" cy="1990090"/>
            <wp:effectExtent l="1905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2"/>
                    <a:srcRect/>
                    <a:stretch>
                      <a:fillRect/>
                    </a:stretch>
                  </pic:blipFill>
                  <pic:spPr>
                    <a:xfrm>
                      <a:off x="0" y="0"/>
                      <a:ext cx="3308350" cy="1990319"/>
                    </a:xfrm>
                    <a:prstGeom prst="rect">
                      <a:avLst/>
                    </a:prstGeom>
                    <a:noFill/>
                  </pic:spPr>
                </pic:pic>
              </a:graphicData>
            </a:graphic>
          </wp:inline>
        </w:drawing>
      </w:r>
    </w:p>
    <w:p w:rsidR="00563F3A" w:rsidRDefault="00B86925">
      <w:pPr>
        <w:pStyle w:val="a0"/>
        <w:spacing w:before="93"/>
        <w:jc w:val="center"/>
        <w:rPr>
          <w:rFonts w:ascii="仿宋" w:eastAsia="仿宋" w:hAnsi="仿宋"/>
          <w:b/>
          <w:sz w:val="32"/>
          <w:szCs w:val="32"/>
        </w:rPr>
      </w:pPr>
      <w:r>
        <w:rPr>
          <w:rFonts w:ascii="仿宋" w:eastAsia="仿宋" w:hAnsi="仿宋" w:hint="eastAsia"/>
          <w:sz w:val="32"/>
          <w:szCs w:val="32"/>
        </w:rPr>
        <w:t>（图4：财政拨款收、支决算总计变动情况）（柱状图）</w:t>
      </w:r>
    </w:p>
    <w:p w:rsidR="00563F3A" w:rsidRDefault="00B86925">
      <w:pPr>
        <w:spacing w:line="600" w:lineRule="exact"/>
        <w:ind w:firstLineChars="200" w:firstLine="640"/>
        <w:outlineLvl w:val="1"/>
        <w:rPr>
          <w:rStyle w:val="2Char"/>
          <w:rFonts w:ascii="黑体" w:eastAsia="黑体" w:hAnsi="黑体"/>
          <w:b w:val="0"/>
        </w:rPr>
      </w:pPr>
      <w:bookmarkStart w:id="24" w:name="_Toc15396607"/>
      <w:bookmarkStart w:id="25" w:name="_Toc15377209"/>
      <w:bookmarkStart w:id="26" w:name="_Toc8880"/>
      <w:r>
        <w:rPr>
          <w:rFonts w:ascii="黑体" w:eastAsia="黑体" w:hAnsi="黑体" w:hint="eastAsia"/>
          <w:sz w:val="32"/>
          <w:szCs w:val="32"/>
        </w:rPr>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24"/>
      <w:bookmarkEnd w:id="25"/>
      <w:bookmarkEnd w:id="26"/>
    </w:p>
    <w:p w:rsidR="00563F3A" w:rsidRDefault="00B86925" w:rsidP="00411FC0">
      <w:pPr>
        <w:spacing w:line="600" w:lineRule="exact"/>
        <w:ind w:firstLineChars="200" w:firstLine="643"/>
        <w:outlineLvl w:val="2"/>
        <w:rPr>
          <w:rFonts w:ascii="仿宋" w:eastAsia="仿宋" w:hAnsi="仿宋"/>
          <w:b/>
          <w:sz w:val="32"/>
          <w:szCs w:val="32"/>
        </w:rPr>
      </w:pPr>
      <w:bookmarkStart w:id="27" w:name="_Toc15377210"/>
      <w:r>
        <w:rPr>
          <w:rFonts w:ascii="仿宋" w:eastAsia="仿宋" w:hAnsi="仿宋" w:hint="eastAsia"/>
          <w:b/>
          <w:sz w:val="32"/>
          <w:szCs w:val="32"/>
        </w:rPr>
        <w:lastRenderedPageBreak/>
        <w:t>（一）一般公共预算财政拨款支出决算总体情况</w:t>
      </w:r>
      <w:bookmarkEnd w:id="27"/>
    </w:p>
    <w:p w:rsidR="00563F3A" w:rsidRDefault="00B86925">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22年一般公共预算财政拨款支出674.84万元，占本年支出合计的91.97</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21年相比，一般公共预算财政拨款支出增加15.76万元，增长2.39</w:t>
      </w:r>
      <w:r>
        <w:rPr>
          <w:rFonts w:ascii="仿宋" w:eastAsia="仿宋" w:hAnsi="仿宋"/>
          <w:sz w:val="32"/>
          <w:szCs w:val="32"/>
        </w:rPr>
        <w:t>%</w:t>
      </w:r>
      <w:r>
        <w:rPr>
          <w:rFonts w:ascii="仿宋" w:eastAsia="仿宋" w:hAnsi="仿宋" w:hint="eastAsia"/>
          <w:sz w:val="32"/>
          <w:szCs w:val="32"/>
        </w:rPr>
        <w:t>。主要变动原因是人员经费增加。</w:t>
      </w:r>
    </w:p>
    <w:p w:rsidR="00563F3A" w:rsidRDefault="00B86925">
      <w:pPr>
        <w:pStyle w:val="a0"/>
        <w:spacing w:before="93"/>
        <w:jc w:val="center"/>
      </w:pPr>
      <w:r>
        <w:rPr>
          <w:noProof/>
        </w:rPr>
        <w:drawing>
          <wp:inline distT="0" distB="0" distL="0" distR="0">
            <wp:extent cx="3219450" cy="1978025"/>
            <wp:effectExtent l="1905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13"/>
                    <a:srcRect/>
                    <a:stretch>
                      <a:fillRect/>
                    </a:stretch>
                  </pic:blipFill>
                  <pic:spPr>
                    <a:xfrm>
                      <a:off x="0" y="0"/>
                      <a:ext cx="3219450" cy="1978050"/>
                    </a:xfrm>
                    <a:prstGeom prst="rect">
                      <a:avLst/>
                    </a:prstGeom>
                    <a:noFill/>
                  </pic:spPr>
                </pic:pic>
              </a:graphicData>
            </a:graphic>
          </wp:inline>
        </w:drawing>
      </w:r>
    </w:p>
    <w:p w:rsidR="00563F3A" w:rsidRDefault="00B86925">
      <w:pPr>
        <w:spacing w:line="600" w:lineRule="exact"/>
        <w:rPr>
          <w:rFonts w:ascii="仿宋" w:eastAsia="仿宋" w:hAnsi="仿宋"/>
          <w:sz w:val="32"/>
          <w:szCs w:val="32"/>
        </w:rPr>
      </w:pPr>
      <w:r>
        <w:rPr>
          <w:rFonts w:ascii="仿宋" w:eastAsia="仿宋" w:hAnsi="仿宋" w:hint="eastAsia"/>
          <w:sz w:val="32"/>
          <w:szCs w:val="32"/>
        </w:rPr>
        <w:t>（图5：一般公共预算财政拨款支出决算变动情况）（柱状图）</w:t>
      </w:r>
    </w:p>
    <w:p w:rsidR="00563F3A" w:rsidRDefault="00B86925" w:rsidP="00411FC0">
      <w:pPr>
        <w:spacing w:line="600" w:lineRule="exact"/>
        <w:ind w:firstLineChars="200" w:firstLine="643"/>
        <w:outlineLvl w:val="2"/>
        <w:rPr>
          <w:rFonts w:ascii="仿宋" w:eastAsia="仿宋" w:hAnsi="仿宋"/>
          <w:b/>
          <w:sz w:val="32"/>
          <w:szCs w:val="32"/>
        </w:rPr>
      </w:pPr>
      <w:bookmarkStart w:id="28" w:name="_Toc15377211"/>
      <w:r>
        <w:rPr>
          <w:rFonts w:ascii="仿宋" w:eastAsia="仿宋" w:hAnsi="仿宋" w:hint="eastAsia"/>
          <w:b/>
          <w:sz w:val="32"/>
          <w:szCs w:val="32"/>
        </w:rPr>
        <w:t>（二）一般公共预算财政拨款支出决算结构情况</w:t>
      </w:r>
      <w:bookmarkEnd w:id="28"/>
    </w:p>
    <w:p w:rsidR="00563F3A" w:rsidRDefault="00B86925">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22年一般公共预算财政拨款支出674.84万元，主要用于以下方面：一般公共服务支出577.40万元，占85.56</w:t>
      </w:r>
      <w:r>
        <w:rPr>
          <w:rFonts w:ascii="仿宋" w:eastAsia="仿宋" w:hAnsi="仿宋"/>
          <w:sz w:val="32"/>
          <w:szCs w:val="32"/>
        </w:rPr>
        <w:t>%</w:t>
      </w:r>
      <w:r>
        <w:rPr>
          <w:rFonts w:ascii="仿宋" w:eastAsia="仿宋" w:hAnsi="仿宋" w:hint="eastAsia"/>
          <w:sz w:val="32"/>
          <w:szCs w:val="32"/>
        </w:rPr>
        <w:t>；社会保障和就业支出37.75万元，占5.59</w:t>
      </w:r>
      <w:r>
        <w:rPr>
          <w:rFonts w:ascii="仿宋" w:eastAsia="仿宋" w:hAnsi="仿宋"/>
          <w:sz w:val="32"/>
          <w:szCs w:val="32"/>
        </w:rPr>
        <w:t>%</w:t>
      </w:r>
      <w:r>
        <w:rPr>
          <w:rFonts w:ascii="仿宋" w:eastAsia="仿宋" w:hAnsi="仿宋" w:hint="eastAsia"/>
          <w:sz w:val="32"/>
          <w:szCs w:val="32"/>
        </w:rPr>
        <w:t>；卫生健康支出15.01万元，占2.23</w:t>
      </w:r>
      <w:r>
        <w:rPr>
          <w:rFonts w:ascii="仿宋" w:eastAsia="仿宋" w:hAnsi="仿宋"/>
          <w:sz w:val="32"/>
          <w:szCs w:val="32"/>
        </w:rPr>
        <w:t>%</w:t>
      </w:r>
      <w:r>
        <w:rPr>
          <w:rFonts w:ascii="仿宋" w:eastAsia="仿宋" w:hAnsi="仿宋" w:hint="eastAsia"/>
          <w:sz w:val="32"/>
          <w:szCs w:val="32"/>
        </w:rPr>
        <w:t>；住房保障支出44.68万元，占6.62</w:t>
      </w:r>
      <w:r>
        <w:rPr>
          <w:rFonts w:ascii="仿宋" w:eastAsia="仿宋" w:hAnsi="仿宋"/>
          <w:sz w:val="32"/>
          <w:szCs w:val="32"/>
        </w:rPr>
        <w:t>%</w:t>
      </w:r>
      <w:r>
        <w:rPr>
          <w:rFonts w:ascii="仿宋" w:eastAsia="仿宋" w:hAnsi="仿宋" w:hint="eastAsia"/>
          <w:sz w:val="32"/>
          <w:szCs w:val="32"/>
        </w:rPr>
        <w:t>。</w:t>
      </w:r>
    </w:p>
    <w:p w:rsidR="00563F3A" w:rsidRDefault="00B86925">
      <w:pPr>
        <w:pStyle w:val="a0"/>
        <w:spacing w:before="93"/>
        <w:jc w:val="center"/>
      </w:pPr>
      <w:r>
        <w:rPr>
          <w:noProof/>
        </w:rPr>
        <w:drawing>
          <wp:inline distT="0" distB="0" distL="0" distR="0">
            <wp:extent cx="3403600" cy="2205990"/>
            <wp:effectExtent l="19050" t="0" r="635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4"/>
                    <a:srcRect/>
                    <a:stretch>
                      <a:fillRect/>
                    </a:stretch>
                  </pic:blipFill>
                  <pic:spPr>
                    <a:xfrm>
                      <a:off x="0" y="0"/>
                      <a:ext cx="3404497" cy="2206660"/>
                    </a:xfrm>
                    <a:prstGeom prst="rect">
                      <a:avLst/>
                    </a:prstGeom>
                    <a:noFill/>
                  </pic:spPr>
                </pic:pic>
              </a:graphicData>
            </a:graphic>
          </wp:inline>
        </w:drawing>
      </w:r>
    </w:p>
    <w:p w:rsidR="00563F3A" w:rsidRDefault="00B86925">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（图6：一般公共预算财政拨款支出决算结构）（饼状图）</w:t>
      </w:r>
    </w:p>
    <w:p w:rsidR="00563F3A" w:rsidRDefault="00B86925" w:rsidP="00411FC0">
      <w:pPr>
        <w:spacing w:line="560" w:lineRule="exact"/>
        <w:ind w:firstLineChars="200" w:firstLine="643"/>
        <w:rPr>
          <w:rFonts w:ascii="楷体" w:eastAsia="楷体" w:hAnsi="楷体"/>
          <w:b/>
          <w:sz w:val="32"/>
          <w:szCs w:val="32"/>
        </w:rPr>
      </w:pPr>
      <w:r>
        <w:rPr>
          <w:rFonts w:ascii="楷体" w:eastAsia="楷体" w:hAnsi="楷体" w:hint="eastAsia"/>
          <w:b/>
          <w:sz w:val="32"/>
          <w:szCs w:val="32"/>
        </w:rPr>
        <w:t>（三）一般公共预算财政拨款支出决算具体情况</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2022年一般公共预算支出决算为674.84万元，完成预算100%。其中：</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1.一般公共服务（类）市场监督管理事务（款）质量安全监管（项）：支出决算为124万元，完成预算的100%。</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2.一般公共服务（类）市场监督管理事务（款）事业运行（项）：支出决算为356.10万元，完成预算的100%。</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3.一般公共服务（类）市场监督管理事务（款）其他市场监督管理事务（项）：支出决算为97.30万元，完成预算的100%。</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4.社会保障和就业支出（类）行政事业单位养老支出（款</w:t>
      </w:r>
      <w:r>
        <w:rPr>
          <w:rFonts w:ascii="仿宋" w:eastAsia="仿宋" w:hAnsi="仿宋"/>
          <w:sz w:val="32"/>
          <w:szCs w:val="32"/>
        </w:rPr>
        <w:t>）</w:t>
      </w:r>
      <w:r>
        <w:rPr>
          <w:rFonts w:ascii="仿宋" w:eastAsia="仿宋" w:hAnsi="仿宋" w:hint="eastAsia"/>
          <w:sz w:val="32"/>
          <w:szCs w:val="32"/>
        </w:rPr>
        <w:t>机关事业单位基本养老保险缴费（项）：支出决算为25.03万元，完成预算100%。</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5.社会保障和就业支出（类）行政事业单位养老支出（款）机关事业单位职业年金缴费支出（项）：支出决算为12.72万元，完成预算100%。</w:t>
      </w:r>
    </w:p>
    <w:p w:rsidR="00563F3A" w:rsidRDefault="00B86925">
      <w:pPr>
        <w:spacing w:line="560" w:lineRule="exact"/>
        <w:ind w:firstLineChars="200" w:firstLine="640"/>
        <w:rPr>
          <w:rFonts w:ascii="仿宋" w:eastAsia="仿宋" w:hAnsi="仿宋"/>
          <w:sz w:val="32"/>
          <w:szCs w:val="32"/>
        </w:rPr>
      </w:pPr>
      <w:r>
        <w:rPr>
          <w:rFonts w:ascii="仿宋" w:eastAsia="仿宋" w:hAnsi="仿宋" w:hint="eastAsia"/>
          <w:sz w:val="32"/>
          <w:szCs w:val="32"/>
        </w:rPr>
        <w:t>7.卫生健康支出（类）行政事业单位医疗（款）事业单位医疗（项）：支出决算为15.01万元，完成预算100%。</w:t>
      </w:r>
    </w:p>
    <w:p w:rsidR="00563F3A" w:rsidRDefault="00B86925">
      <w:pPr>
        <w:spacing w:line="600" w:lineRule="exact"/>
        <w:ind w:firstLineChars="200" w:firstLine="640"/>
        <w:rPr>
          <w:rFonts w:ascii="仿宋" w:eastAsia="仿宋" w:hAnsi="仿宋"/>
          <w:b/>
          <w:sz w:val="32"/>
          <w:szCs w:val="32"/>
        </w:rPr>
      </w:pPr>
      <w:r>
        <w:rPr>
          <w:rFonts w:ascii="仿宋" w:eastAsia="仿宋" w:hAnsi="仿宋" w:hint="eastAsia"/>
          <w:sz w:val="32"/>
          <w:szCs w:val="32"/>
        </w:rPr>
        <w:t>8.住房保障支出（类）住房改革支出（款）住房公积金（项）：支出决算为44.68万元，完成预算100%。</w:t>
      </w:r>
    </w:p>
    <w:p w:rsidR="00563F3A" w:rsidRDefault="00B86925">
      <w:pPr>
        <w:tabs>
          <w:tab w:val="right" w:pos="8306"/>
        </w:tabs>
        <w:spacing w:line="600" w:lineRule="exact"/>
        <w:ind w:firstLine="640"/>
        <w:outlineLvl w:val="1"/>
        <w:rPr>
          <w:rStyle w:val="2Char"/>
        </w:rPr>
      </w:pPr>
      <w:bookmarkStart w:id="29" w:name="_Toc15396608"/>
      <w:bookmarkStart w:id="30" w:name="_Toc26880"/>
      <w:bookmarkStart w:id="31" w:name="_Toc15377214"/>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29"/>
      <w:bookmarkEnd w:id="30"/>
      <w:bookmarkEnd w:id="31"/>
      <w:r>
        <w:rPr>
          <w:rStyle w:val="2Char"/>
          <w:rFonts w:ascii="黑体" w:eastAsia="黑体" w:hAnsi="黑体"/>
          <w:b w:val="0"/>
        </w:rPr>
        <w:tab/>
      </w:r>
    </w:p>
    <w:p w:rsidR="00563F3A" w:rsidRDefault="00B86925">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22年一般公共预算财政拨款基本支出453.54万元，其中：</w:t>
      </w:r>
    </w:p>
    <w:p w:rsidR="00563F3A" w:rsidRDefault="00B86925">
      <w:pPr>
        <w:ind w:firstLineChars="200" w:firstLine="640"/>
        <w:rPr>
          <w:rFonts w:ascii="仿宋" w:eastAsia="仿宋" w:hAnsi="仿宋"/>
          <w:sz w:val="32"/>
          <w:szCs w:val="32"/>
        </w:rPr>
      </w:pPr>
      <w:r>
        <w:rPr>
          <w:rFonts w:ascii="仿宋" w:eastAsia="仿宋" w:hAnsi="仿宋" w:hint="eastAsia"/>
          <w:sz w:val="32"/>
          <w:szCs w:val="32"/>
        </w:rPr>
        <w:lastRenderedPageBreak/>
        <w:t>人员经费426.92万元，主要包括：基本工资、津贴补贴、奖金、伙食补助费、绩效工资、机关事业单位基本养老保险缴费、职业年金缴费、职工基本医疗保险缴费、其他社会保障缴费、住房公积金、其他工资福利支出、抚恤金、奖励金。</w:t>
      </w:r>
    </w:p>
    <w:p w:rsidR="00563F3A" w:rsidRDefault="00B86925">
      <w:pPr>
        <w:rPr>
          <w:rFonts w:ascii="仿宋" w:eastAsia="仿宋" w:hAnsi="仿宋"/>
          <w:b/>
          <w:sz w:val="32"/>
          <w:szCs w:val="32"/>
        </w:rPr>
      </w:pPr>
      <w:r>
        <w:rPr>
          <w:rFonts w:ascii="仿宋" w:eastAsia="仿宋" w:hAnsi="仿宋" w:hint="eastAsia"/>
          <w:sz w:val="32"/>
          <w:szCs w:val="32"/>
        </w:rPr>
        <w:t xml:space="preserve">　　公用经费26.62万元，主要包括：办公费、印刷费、手续费、水费、邮电费、物业管理费、差旅费、维修（护）费、培训费、公务接待费、劳务费、委托业务费、工会经费、福利费、公务用车运行维护费、其他交通费用、其他商品和服务支出。</w:t>
      </w:r>
    </w:p>
    <w:p w:rsidR="00563F3A" w:rsidRDefault="00B86925">
      <w:pPr>
        <w:spacing w:line="600" w:lineRule="exact"/>
        <w:ind w:firstLine="640"/>
        <w:outlineLvl w:val="1"/>
        <w:rPr>
          <w:rStyle w:val="2Char"/>
          <w:rFonts w:ascii="黑体" w:eastAsia="黑体" w:hAnsi="黑体"/>
          <w:b w:val="0"/>
        </w:rPr>
      </w:pPr>
      <w:bookmarkStart w:id="32" w:name="_Toc15377215"/>
      <w:bookmarkStart w:id="33" w:name="_Toc3733"/>
      <w:bookmarkStart w:id="34" w:name="_Toc15396609"/>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三公”经费支出决算情况说明</w:t>
      </w:r>
      <w:bookmarkEnd w:id="32"/>
      <w:bookmarkEnd w:id="33"/>
      <w:bookmarkEnd w:id="34"/>
    </w:p>
    <w:p w:rsidR="00563F3A" w:rsidRDefault="00B86925">
      <w:pPr>
        <w:spacing w:line="600" w:lineRule="exact"/>
        <w:ind w:firstLine="640"/>
        <w:outlineLvl w:val="2"/>
        <w:rPr>
          <w:rFonts w:ascii="仿宋" w:eastAsia="仿宋" w:hAnsi="仿宋"/>
          <w:b/>
          <w:sz w:val="32"/>
          <w:szCs w:val="32"/>
        </w:rPr>
      </w:pPr>
      <w:bookmarkStart w:id="35" w:name="_Toc15377216"/>
      <w:r>
        <w:rPr>
          <w:rFonts w:ascii="仿宋" w:eastAsia="仿宋" w:hAnsi="仿宋" w:hint="eastAsia"/>
          <w:b/>
          <w:sz w:val="32"/>
          <w:szCs w:val="32"/>
        </w:rPr>
        <w:t>（一）“三公”经费财政拨款支出决算总体情况说明</w:t>
      </w:r>
      <w:bookmarkEnd w:id="35"/>
    </w:p>
    <w:p w:rsidR="00563F3A" w:rsidRDefault="00B86925">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22年“三公”经费财政拨款支出决算为5.73万元，完成预算93.93</w:t>
      </w:r>
      <w:r>
        <w:rPr>
          <w:rFonts w:ascii="仿宋" w:eastAsia="仿宋" w:hAnsi="仿宋"/>
          <w:sz w:val="32"/>
          <w:szCs w:val="32"/>
        </w:rPr>
        <w:t>%</w:t>
      </w:r>
      <w:r>
        <w:rPr>
          <w:rFonts w:ascii="仿宋" w:eastAsia="仿宋" w:hAnsi="仿宋" w:hint="eastAsia"/>
          <w:sz w:val="32"/>
          <w:szCs w:val="32"/>
        </w:rPr>
        <w:t>，较上年减少1.12万元，下降16.35%。决算数小于预算数的主要原因是厉行节约，压减支出。</w:t>
      </w:r>
    </w:p>
    <w:p w:rsidR="00563F3A" w:rsidRDefault="00B86925">
      <w:pPr>
        <w:spacing w:line="600" w:lineRule="exact"/>
        <w:ind w:firstLine="640"/>
        <w:outlineLvl w:val="2"/>
        <w:rPr>
          <w:rFonts w:ascii="仿宋" w:eastAsia="仿宋" w:hAnsi="仿宋"/>
          <w:b/>
          <w:sz w:val="32"/>
          <w:szCs w:val="32"/>
        </w:rPr>
      </w:pPr>
      <w:bookmarkStart w:id="36" w:name="_Toc15377217"/>
      <w:r>
        <w:rPr>
          <w:rFonts w:ascii="仿宋" w:eastAsia="仿宋" w:hAnsi="仿宋" w:hint="eastAsia"/>
          <w:b/>
          <w:sz w:val="32"/>
          <w:szCs w:val="32"/>
        </w:rPr>
        <w:t>（二）“三公”经费财政拨款支出决算具体情况说明</w:t>
      </w:r>
      <w:bookmarkEnd w:id="36"/>
    </w:p>
    <w:p w:rsidR="00563F3A" w:rsidRDefault="00B86925">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22年“三公”经费财政拨款支出决算中，公务用车购置及运行维护费支出决算4.85万元，占84.64</w:t>
      </w:r>
      <w:r>
        <w:rPr>
          <w:rFonts w:ascii="仿宋" w:eastAsia="仿宋" w:hAnsi="仿宋"/>
          <w:sz w:val="32"/>
          <w:szCs w:val="32"/>
        </w:rPr>
        <w:t>%</w:t>
      </w:r>
      <w:r>
        <w:rPr>
          <w:rFonts w:ascii="仿宋" w:eastAsia="仿宋" w:hAnsi="仿宋" w:hint="eastAsia"/>
          <w:sz w:val="32"/>
          <w:szCs w:val="32"/>
        </w:rPr>
        <w:t>；公务接待费支出决算0.88万元，占15.36</w:t>
      </w:r>
      <w:r>
        <w:rPr>
          <w:rFonts w:ascii="仿宋" w:eastAsia="仿宋" w:hAnsi="仿宋"/>
          <w:sz w:val="32"/>
          <w:szCs w:val="32"/>
        </w:rPr>
        <w:t>%</w:t>
      </w:r>
      <w:r>
        <w:rPr>
          <w:rFonts w:ascii="仿宋" w:eastAsia="仿宋" w:hAnsi="仿宋" w:hint="eastAsia"/>
          <w:sz w:val="32"/>
          <w:szCs w:val="32"/>
        </w:rPr>
        <w:t>。具体情况如下：</w:t>
      </w:r>
    </w:p>
    <w:p w:rsidR="00563F3A" w:rsidRDefault="00563F3A">
      <w:pPr>
        <w:pStyle w:val="a0"/>
        <w:spacing w:before="93"/>
        <w:jc w:val="center"/>
        <w:rPr>
          <w:noProof/>
        </w:rPr>
      </w:pPr>
    </w:p>
    <w:p w:rsidR="00411FC0" w:rsidRDefault="00411FC0">
      <w:pPr>
        <w:pStyle w:val="a0"/>
        <w:spacing w:before="93"/>
        <w:jc w:val="center"/>
        <w:rPr>
          <w:noProof/>
        </w:rPr>
      </w:pPr>
    </w:p>
    <w:p w:rsidR="00411FC0" w:rsidRDefault="00411FC0">
      <w:pPr>
        <w:pStyle w:val="a0"/>
        <w:spacing w:before="93"/>
        <w:jc w:val="center"/>
        <w:rPr>
          <w:noProof/>
        </w:rPr>
      </w:pPr>
    </w:p>
    <w:p w:rsidR="00411FC0" w:rsidRDefault="00411FC0">
      <w:pPr>
        <w:pStyle w:val="a0"/>
        <w:spacing w:before="93"/>
        <w:jc w:val="center"/>
        <w:rPr>
          <w:noProof/>
        </w:rPr>
      </w:pPr>
    </w:p>
    <w:p w:rsidR="00411FC0" w:rsidRDefault="00411FC0">
      <w:pPr>
        <w:pStyle w:val="a0"/>
        <w:spacing w:before="93"/>
        <w:jc w:val="center"/>
        <w:rPr>
          <w:noProof/>
        </w:rPr>
      </w:pPr>
      <w:r>
        <w:rPr>
          <w:noProof/>
        </w:rPr>
        <w:drawing>
          <wp:inline distT="0" distB="0" distL="0" distR="0">
            <wp:extent cx="3714750" cy="2365609"/>
            <wp:effectExtent l="1905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3717308" cy="2367238"/>
                    </a:xfrm>
                    <a:prstGeom prst="rect">
                      <a:avLst/>
                    </a:prstGeom>
                    <a:noFill/>
                  </pic:spPr>
                </pic:pic>
              </a:graphicData>
            </a:graphic>
          </wp:inline>
        </w:drawing>
      </w:r>
    </w:p>
    <w:p w:rsidR="00411FC0" w:rsidRDefault="00B86925">
      <w:pPr>
        <w:spacing w:line="600" w:lineRule="exact"/>
        <w:ind w:firstLine="640"/>
        <w:rPr>
          <w:rFonts w:ascii="仿宋" w:eastAsia="仿宋" w:hAnsi="仿宋"/>
          <w:sz w:val="32"/>
          <w:szCs w:val="32"/>
        </w:rPr>
      </w:pPr>
      <w:r>
        <w:rPr>
          <w:rFonts w:ascii="仿宋" w:eastAsia="仿宋" w:hAnsi="仿宋" w:hint="eastAsia"/>
          <w:sz w:val="32"/>
          <w:szCs w:val="32"/>
        </w:rPr>
        <w:t>（图7：“三公”经费财政拨款支出结构）（饼状图）</w:t>
      </w:r>
    </w:p>
    <w:p w:rsidR="00563F3A" w:rsidRDefault="00B86925">
      <w:pPr>
        <w:spacing w:line="600" w:lineRule="exact"/>
        <w:ind w:firstLine="640"/>
        <w:rPr>
          <w:rFonts w:ascii="仿宋_GB2312" w:eastAsia="仿宋_GB2312"/>
          <w:sz w:val="32"/>
          <w:szCs w:val="32"/>
        </w:rPr>
      </w:pPr>
      <w:r>
        <w:rPr>
          <w:rFonts w:ascii="仿宋_GB2312" w:eastAsia="仿宋_GB2312"/>
          <w:b/>
          <w:sz w:val="32"/>
          <w:szCs w:val="32"/>
        </w:rPr>
        <w:t>1.</w:t>
      </w:r>
      <w:r>
        <w:rPr>
          <w:rFonts w:ascii="仿宋_GB2312" w:eastAsia="仿宋_GB2312" w:hint="eastAsia"/>
          <w:b/>
          <w:sz w:val="32"/>
          <w:szCs w:val="32"/>
        </w:rPr>
        <w:t>因公出国（境）经费支出0万元，年初未安排预算</w:t>
      </w:r>
      <w:r>
        <w:rPr>
          <w:rFonts w:ascii="仿宋_GB2312" w:eastAsia="仿宋_GB2312"/>
          <w:b/>
          <w:sz w:val="32"/>
          <w:szCs w:val="32"/>
        </w:rPr>
        <w:t>，较上年无变化</w:t>
      </w:r>
      <w:r>
        <w:rPr>
          <w:rFonts w:ascii="仿宋_GB2312" w:eastAsia="仿宋_GB2312" w:hint="eastAsia"/>
          <w:b/>
          <w:sz w:val="32"/>
          <w:szCs w:val="32"/>
        </w:rPr>
        <w:t>。</w:t>
      </w:r>
    </w:p>
    <w:p w:rsidR="00563F3A" w:rsidRDefault="00B86925">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hint="eastAsia"/>
          <w:sz w:val="32"/>
          <w:szCs w:val="32"/>
        </w:rPr>
        <w:t>4.85万元，</w:t>
      </w:r>
      <w:r>
        <w:rPr>
          <w:rStyle w:val="a7"/>
          <w:rFonts w:ascii="仿宋" w:eastAsia="仿宋" w:hAnsi="仿宋" w:hint="eastAsia"/>
          <w:b w:val="0"/>
          <w:bCs/>
          <w:sz w:val="32"/>
          <w:szCs w:val="32"/>
        </w:rPr>
        <w:t>完成预算97</w:t>
      </w:r>
      <w:r>
        <w:rPr>
          <w:rStyle w:val="a7"/>
          <w:rFonts w:ascii="仿宋" w:eastAsia="仿宋" w:hAnsi="仿宋"/>
          <w:b w:val="0"/>
          <w:bCs/>
          <w:sz w:val="32"/>
          <w:szCs w:val="32"/>
        </w:rPr>
        <w:t>%</w:t>
      </w:r>
      <w:r>
        <w:rPr>
          <w:rStyle w:val="a7"/>
          <w:rFonts w:ascii="仿宋" w:eastAsia="仿宋" w:hAnsi="仿宋" w:hint="eastAsia"/>
          <w:b w:val="0"/>
          <w:bCs/>
          <w:sz w:val="32"/>
          <w:szCs w:val="32"/>
        </w:rPr>
        <w:t>。</w:t>
      </w:r>
      <w:r>
        <w:rPr>
          <w:rFonts w:ascii="仿宋_GB2312" w:eastAsia="仿宋_GB2312" w:hint="eastAsia"/>
          <w:sz w:val="32"/>
          <w:szCs w:val="32"/>
        </w:rPr>
        <w:t>公务用车购置及运行维护费支出决算比</w:t>
      </w:r>
      <w:r>
        <w:rPr>
          <w:rFonts w:ascii="仿宋_GB2312" w:eastAsia="仿宋_GB2312"/>
          <w:sz w:val="32"/>
          <w:szCs w:val="32"/>
        </w:rPr>
        <w:t>20</w:t>
      </w:r>
      <w:r>
        <w:rPr>
          <w:rFonts w:ascii="仿宋_GB2312" w:eastAsia="仿宋_GB2312" w:hint="eastAsia"/>
          <w:sz w:val="32"/>
          <w:szCs w:val="32"/>
        </w:rPr>
        <w:t>21年减少0.9万元，下降15.65</w:t>
      </w:r>
      <w:r>
        <w:rPr>
          <w:rFonts w:ascii="仿宋_GB2312" w:eastAsia="仿宋_GB2312"/>
          <w:sz w:val="32"/>
          <w:szCs w:val="32"/>
        </w:rPr>
        <w:t>%</w:t>
      </w:r>
      <w:r>
        <w:rPr>
          <w:rFonts w:ascii="仿宋_GB2312" w:eastAsia="仿宋_GB2312" w:hint="eastAsia"/>
          <w:sz w:val="32"/>
          <w:szCs w:val="32"/>
        </w:rPr>
        <w:t>。主要原因是</w:t>
      </w:r>
      <w:r>
        <w:rPr>
          <w:rFonts w:ascii="仿宋" w:eastAsia="仿宋" w:hAnsi="仿宋" w:hint="eastAsia"/>
          <w:sz w:val="32"/>
          <w:szCs w:val="32"/>
        </w:rPr>
        <w:t>厉行节约，压减支出</w:t>
      </w:r>
      <w:r>
        <w:rPr>
          <w:rFonts w:ascii="仿宋_GB2312" w:eastAsia="仿宋_GB2312" w:hint="eastAsia"/>
          <w:sz w:val="32"/>
          <w:szCs w:val="32"/>
        </w:rPr>
        <w:t>。</w:t>
      </w:r>
    </w:p>
    <w:p w:rsidR="00563F3A" w:rsidRPr="00411FC0" w:rsidRDefault="00B86925">
      <w:pPr>
        <w:spacing w:line="600" w:lineRule="exact"/>
        <w:ind w:firstLineChars="200" w:firstLine="640"/>
        <w:rPr>
          <w:rFonts w:ascii="仿宋_GB2312" w:eastAsia="仿宋_GB2312"/>
          <w:bCs/>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公务用车购置支出0万元。</w:t>
      </w:r>
      <w:r>
        <w:rPr>
          <w:rFonts w:ascii="仿宋_GB2312" w:eastAsia="仿宋_GB2312" w:hint="eastAsia"/>
          <w:bCs/>
          <w:sz w:val="32"/>
          <w:szCs w:val="32"/>
        </w:rPr>
        <w:t>截至2022年12月31日，广元市产品质量监督检验所共有车辆2辆。</w:t>
      </w:r>
      <w:bookmarkStart w:id="37" w:name="_GoBack"/>
      <w:r w:rsidRPr="00411FC0">
        <w:rPr>
          <w:rFonts w:ascii="仿宋_GB2312" w:eastAsia="仿宋_GB2312"/>
          <w:bCs/>
          <w:sz w:val="32"/>
          <w:szCs w:val="32"/>
        </w:rPr>
        <w:t xml:space="preserve">其中，轿车 </w:t>
      </w:r>
      <w:r w:rsidR="00411FC0" w:rsidRPr="00411FC0">
        <w:rPr>
          <w:rFonts w:ascii="仿宋_GB2312" w:eastAsia="仿宋_GB2312" w:hint="eastAsia"/>
          <w:bCs/>
          <w:sz w:val="32"/>
          <w:szCs w:val="32"/>
        </w:rPr>
        <w:t>2</w:t>
      </w:r>
      <w:r w:rsidRPr="00411FC0">
        <w:rPr>
          <w:rFonts w:ascii="仿宋_GB2312" w:eastAsia="仿宋_GB2312"/>
          <w:bCs/>
          <w:sz w:val="32"/>
          <w:szCs w:val="32"/>
        </w:rPr>
        <w:t>辆。</w:t>
      </w:r>
    </w:p>
    <w:bookmarkEnd w:id="37"/>
    <w:p w:rsidR="00563F3A" w:rsidRDefault="00B86925">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hint="eastAsia"/>
          <w:sz w:val="32"/>
          <w:szCs w:val="32"/>
        </w:rPr>
        <w:t>4.85万元。主要用于</w:t>
      </w:r>
      <w:r>
        <w:rPr>
          <w:rFonts w:ascii="仿宋" w:eastAsia="仿宋" w:hAnsi="仿宋" w:hint="eastAsia"/>
          <w:sz w:val="32"/>
          <w:szCs w:val="32"/>
        </w:rPr>
        <w:t>抽检及业务工作所需的公务用车燃料费、维修费、过路过桥费、保险费等支出。</w:t>
      </w:r>
    </w:p>
    <w:p w:rsidR="00563F3A" w:rsidRDefault="00B86925">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hint="eastAsia"/>
          <w:sz w:val="32"/>
          <w:szCs w:val="32"/>
        </w:rPr>
        <w:t>0.88万元，</w:t>
      </w:r>
      <w:r>
        <w:rPr>
          <w:rStyle w:val="a7"/>
          <w:rFonts w:ascii="仿宋" w:eastAsia="仿宋" w:hAnsi="仿宋" w:hint="eastAsia"/>
          <w:b w:val="0"/>
          <w:bCs/>
          <w:sz w:val="32"/>
          <w:szCs w:val="32"/>
        </w:rPr>
        <w:t>完成预算80</w:t>
      </w:r>
      <w:r>
        <w:rPr>
          <w:rStyle w:val="a7"/>
          <w:rFonts w:ascii="仿宋" w:eastAsia="仿宋" w:hAnsi="仿宋"/>
          <w:b w:val="0"/>
          <w:bCs/>
          <w:sz w:val="32"/>
          <w:szCs w:val="32"/>
        </w:rPr>
        <w:t>%</w:t>
      </w:r>
      <w:r>
        <w:rPr>
          <w:rStyle w:val="a7"/>
          <w:rFonts w:ascii="仿宋" w:eastAsia="仿宋" w:hAnsi="仿宋" w:hint="eastAsia"/>
          <w:b w:val="0"/>
          <w:bCs/>
          <w:sz w:val="32"/>
          <w:szCs w:val="32"/>
        </w:rPr>
        <w:t>。</w:t>
      </w:r>
      <w:r>
        <w:rPr>
          <w:rFonts w:ascii="仿宋_GB2312" w:eastAsia="仿宋_GB2312" w:hint="eastAsia"/>
          <w:sz w:val="32"/>
          <w:szCs w:val="32"/>
        </w:rPr>
        <w:t>公务接待费支出决算比</w:t>
      </w:r>
      <w:r>
        <w:rPr>
          <w:rFonts w:ascii="仿宋_GB2312" w:eastAsia="仿宋_GB2312"/>
          <w:sz w:val="32"/>
          <w:szCs w:val="32"/>
        </w:rPr>
        <w:t>20</w:t>
      </w:r>
      <w:r>
        <w:rPr>
          <w:rFonts w:ascii="仿宋_GB2312" w:eastAsia="仿宋_GB2312" w:hint="eastAsia"/>
          <w:sz w:val="32"/>
          <w:szCs w:val="32"/>
        </w:rPr>
        <w:t>21年减少0.22万元，下降20</w:t>
      </w:r>
      <w:r>
        <w:rPr>
          <w:rFonts w:ascii="仿宋_GB2312" w:eastAsia="仿宋_GB2312"/>
          <w:sz w:val="32"/>
          <w:szCs w:val="32"/>
        </w:rPr>
        <w:t>%</w:t>
      </w:r>
      <w:r>
        <w:rPr>
          <w:rFonts w:ascii="仿宋_GB2312" w:eastAsia="仿宋_GB2312" w:hint="eastAsia"/>
          <w:sz w:val="32"/>
          <w:szCs w:val="32"/>
        </w:rPr>
        <w:t>。主要原因是</w:t>
      </w:r>
      <w:r>
        <w:rPr>
          <w:rFonts w:ascii="仿宋" w:eastAsia="仿宋" w:hAnsi="仿宋" w:hint="eastAsia"/>
          <w:sz w:val="32"/>
          <w:szCs w:val="32"/>
        </w:rPr>
        <w:t>厉行节约，压减支出</w:t>
      </w:r>
      <w:r>
        <w:rPr>
          <w:rFonts w:ascii="仿宋_GB2312" w:eastAsia="仿宋_GB2312" w:hint="eastAsia"/>
          <w:sz w:val="32"/>
          <w:szCs w:val="32"/>
        </w:rPr>
        <w:t>。其中：</w:t>
      </w:r>
    </w:p>
    <w:p w:rsidR="00563F3A" w:rsidRDefault="00B86925">
      <w:pPr>
        <w:spacing w:line="600" w:lineRule="exact"/>
        <w:ind w:firstLine="640"/>
        <w:rPr>
          <w:rFonts w:ascii="仿宋_GB2312" w:eastAsia="仿宋_GB2312"/>
          <w:sz w:val="32"/>
          <w:szCs w:val="32"/>
        </w:rPr>
      </w:pPr>
      <w:r>
        <w:rPr>
          <w:rFonts w:ascii="仿宋" w:eastAsia="仿宋" w:hAnsi="仿宋" w:hint="eastAsia"/>
          <w:b/>
          <w:sz w:val="32"/>
          <w:szCs w:val="32"/>
        </w:rPr>
        <w:lastRenderedPageBreak/>
        <w:t>国内公务接待支出</w:t>
      </w:r>
      <w:r>
        <w:rPr>
          <w:rFonts w:ascii="仿宋" w:eastAsia="仿宋" w:hAnsi="仿宋" w:hint="eastAsia"/>
          <w:sz w:val="32"/>
          <w:szCs w:val="32"/>
        </w:rPr>
        <w:t>0.88</w:t>
      </w:r>
      <w:r>
        <w:rPr>
          <w:rFonts w:ascii="仿宋_GB2312" w:eastAsia="仿宋_GB2312" w:hint="eastAsia"/>
          <w:sz w:val="32"/>
          <w:szCs w:val="32"/>
        </w:rPr>
        <w:t>万元，</w:t>
      </w:r>
      <w:r>
        <w:rPr>
          <w:rFonts w:ascii="仿宋" w:eastAsia="仿宋" w:hAnsi="仿宋" w:hint="eastAsia"/>
          <w:sz w:val="32"/>
          <w:szCs w:val="32"/>
        </w:rPr>
        <w:t>主要用于开展业务活动和技术交流等开支的用餐费。国内公务接待12批次，83人次（不包括陪同人员），共计支出0.88万元，具体内容包括：其他地市级部门工作联系0.60万元，县局（检验机构）业务联系0.28万元。</w:t>
      </w:r>
    </w:p>
    <w:p w:rsidR="00563F3A" w:rsidRDefault="00B86925" w:rsidP="00411FC0">
      <w:pPr>
        <w:spacing w:line="600" w:lineRule="exact"/>
        <w:ind w:firstLineChars="200" w:firstLine="643"/>
      </w:pPr>
      <w:r>
        <w:rPr>
          <w:rFonts w:ascii="仿宋" w:eastAsia="仿宋" w:hAnsi="仿宋" w:hint="eastAsia"/>
          <w:b/>
          <w:sz w:val="32"/>
          <w:szCs w:val="32"/>
        </w:rPr>
        <w:t>外事接待支出0万元。</w:t>
      </w:r>
    </w:p>
    <w:p w:rsidR="00563F3A" w:rsidRDefault="00B86925">
      <w:pPr>
        <w:spacing w:line="600" w:lineRule="exact"/>
        <w:ind w:firstLine="640"/>
        <w:outlineLvl w:val="1"/>
        <w:rPr>
          <w:rStyle w:val="2Char"/>
          <w:rFonts w:ascii="黑体" w:eastAsia="黑体" w:hAnsi="黑体"/>
        </w:rPr>
      </w:pPr>
      <w:bookmarkStart w:id="38" w:name="_Toc15377218"/>
      <w:bookmarkStart w:id="39" w:name="_Toc15396610"/>
      <w:bookmarkStart w:id="40" w:name="_Toc10108"/>
      <w:r>
        <w:rPr>
          <w:rFonts w:ascii="黑体" w:eastAsia="黑体" w:hint="eastAsia"/>
          <w:sz w:val="32"/>
          <w:szCs w:val="32"/>
        </w:rPr>
        <w:t>八、</w:t>
      </w:r>
      <w:r>
        <w:rPr>
          <w:rStyle w:val="2Char"/>
          <w:rFonts w:ascii="黑体" w:eastAsia="黑体" w:hAnsi="黑体" w:hint="eastAsia"/>
          <w:b w:val="0"/>
        </w:rPr>
        <w:t>政府性基金预算支出决算情况说明</w:t>
      </w:r>
      <w:bookmarkEnd w:id="38"/>
      <w:bookmarkEnd w:id="39"/>
      <w:bookmarkEnd w:id="40"/>
    </w:p>
    <w:p w:rsidR="00563F3A" w:rsidRDefault="00B86925">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22年政府性基金预算财政拨款支出0万元。</w:t>
      </w:r>
    </w:p>
    <w:p w:rsidR="00563F3A" w:rsidRDefault="00B86925">
      <w:pPr>
        <w:numPr>
          <w:ilvl w:val="0"/>
          <w:numId w:val="3"/>
        </w:numPr>
        <w:spacing w:line="600" w:lineRule="exact"/>
        <w:ind w:firstLine="640"/>
        <w:outlineLvl w:val="1"/>
        <w:rPr>
          <w:rStyle w:val="2Char"/>
          <w:rFonts w:ascii="黑体" w:eastAsia="黑体" w:hAnsi="黑体"/>
          <w:b w:val="0"/>
        </w:rPr>
      </w:pPr>
      <w:bookmarkStart w:id="41" w:name="_Toc15377219"/>
      <w:bookmarkStart w:id="42" w:name="_Toc15396611"/>
      <w:bookmarkStart w:id="43" w:name="_Toc9793"/>
      <w:r>
        <w:rPr>
          <w:rStyle w:val="2Char"/>
          <w:rFonts w:ascii="黑体" w:eastAsia="黑体" w:hAnsi="黑体" w:hint="eastAsia"/>
          <w:b w:val="0"/>
        </w:rPr>
        <w:t>国有资本经营预算支出决算情况说明</w:t>
      </w:r>
      <w:bookmarkEnd w:id="41"/>
      <w:bookmarkEnd w:id="42"/>
      <w:bookmarkEnd w:id="43"/>
    </w:p>
    <w:p w:rsidR="00563F3A" w:rsidRDefault="00B86925">
      <w:pPr>
        <w:spacing w:line="600" w:lineRule="exact"/>
        <w:ind w:firstLine="640"/>
        <w:rPr>
          <w:rFonts w:ascii="方正小标宋简体" w:eastAsia="方正小标宋简体" w:hAnsi="方正小标宋简体" w:cs="方正小标宋简体"/>
          <w:sz w:val="44"/>
          <w:szCs w:val="44"/>
        </w:rPr>
      </w:pPr>
      <w:r>
        <w:rPr>
          <w:rFonts w:ascii="仿宋_GB2312" w:eastAsia="仿宋_GB2312"/>
          <w:sz w:val="32"/>
          <w:szCs w:val="32"/>
        </w:rPr>
        <w:t>20</w:t>
      </w:r>
      <w:r>
        <w:rPr>
          <w:rFonts w:ascii="仿宋_GB2312" w:eastAsia="仿宋_GB2312" w:hint="eastAsia"/>
          <w:sz w:val="32"/>
          <w:szCs w:val="32"/>
        </w:rPr>
        <w:t>22年国有资本经营预算财政拨款支出0万元。</w:t>
      </w:r>
    </w:p>
    <w:p w:rsidR="00563F3A" w:rsidRDefault="00B86925">
      <w:pPr>
        <w:numPr>
          <w:ilvl w:val="0"/>
          <w:numId w:val="3"/>
        </w:numPr>
        <w:spacing w:line="600" w:lineRule="exact"/>
        <w:ind w:firstLine="640"/>
        <w:outlineLvl w:val="1"/>
        <w:rPr>
          <w:rStyle w:val="2Char"/>
          <w:rFonts w:ascii="黑体" w:eastAsia="黑体" w:hAnsi="黑体"/>
          <w:b w:val="0"/>
        </w:rPr>
      </w:pPr>
      <w:bookmarkStart w:id="44" w:name="_Toc15377221"/>
      <w:bookmarkStart w:id="45" w:name="_Toc15396612"/>
      <w:bookmarkStart w:id="46" w:name="_Toc23088"/>
      <w:r>
        <w:rPr>
          <w:rStyle w:val="2Char"/>
          <w:rFonts w:ascii="黑体" w:eastAsia="黑体" w:hAnsi="黑体" w:hint="eastAsia"/>
          <w:b w:val="0"/>
        </w:rPr>
        <w:t>其他重要事项的情况说明</w:t>
      </w:r>
      <w:bookmarkEnd w:id="44"/>
      <w:bookmarkEnd w:id="45"/>
      <w:bookmarkEnd w:id="46"/>
    </w:p>
    <w:p w:rsidR="00563F3A" w:rsidRDefault="00B86925" w:rsidP="00411FC0">
      <w:pPr>
        <w:spacing w:line="600" w:lineRule="exact"/>
        <w:ind w:firstLineChars="200" w:firstLine="643"/>
        <w:outlineLvl w:val="2"/>
        <w:rPr>
          <w:rFonts w:ascii="仿宋" w:eastAsia="仿宋" w:hAnsi="仿宋"/>
          <w:sz w:val="32"/>
          <w:szCs w:val="32"/>
        </w:rPr>
      </w:pPr>
      <w:bookmarkStart w:id="47" w:name="_Toc15377222"/>
      <w:r>
        <w:rPr>
          <w:rFonts w:ascii="仿宋" w:eastAsia="仿宋" w:hAnsi="仿宋" w:hint="eastAsia"/>
          <w:b/>
          <w:sz w:val="32"/>
          <w:szCs w:val="32"/>
        </w:rPr>
        <w:t>（一）机关运行经费支出情况</w:t>
      </w:r>
      <w:bookmarkEnd w:id="47"/>
    </w:p>
    <w:p w:rsidR="00563F3A" w:rsidRDefault="00B86925">
      <w:pPr>
        <w:spacing w:line="600" w:lineRule="exact"/>
        <w:ind w:firstLineChars="200" w:firstLine="640"/>
        <w:rPr>
          <w:rFonts w:ascii="仿宋_GB2312" w:eastAsia="仿宋_GB2312"/>
          <w:sz w:val="32"/>
          <w:szCs w:val="32"/>
        </w:rPr>
      </w:pPr>
      <w:bookmarkStart w:id="48" w:name="_Toc15377223"/>
      <w:r>
        <w:rPr>
          <w:rFonts w:ascii="仿宋_GB2312" w:eastAsia="仿宋_GB2312" w:hint="eastAsia"/>
          <w:sz w:val="32"/>
          <w:szCs w:val="32"/>
        </w:rPr>
        <w:t>2021年未发生机关运行经费支出，与2020年决算数持平。</w:t>
      </w:r>
    </w:p>
    <w:p w:rsidR="00563F3A" w:rsidRDefault="00B86925" w:rsidP="00411FC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（二）政府采购支出情况</w:t>
      </w:r>
      <w:bookmarkEnd w:id="48"/>
    </w:p>
    <w:p w:rsidR="00563F3A" w:rsidRDefault="00B86925">
      <w:pPr>
        <w:spacing w:line="600" w:lineRule="exact"/>
        <w:ind w:firstLineChars="200" w:firstLine="640"/>
        <w:rPr>
          <w:rFonts w:ascii="仿宋" w:eastAsia="仿宋" w:hAnsi="仿宋"/>
          <w:b/>
          <w:sz w:val="32"/>
          <w:szCs w:val="32"/>
        </w:rPr>
      </w:pPr>
      <w:r>
        <w:rPr>
          <w:rFonts w:ascii="仿宋_GB2312" w:eastAsia="仿宋_GB2312"/>
          <w:sz w:val="32"/>
          <w:szCs w:val="32"/>
        </w:rPr>
        <w:t>20</w:t>
      </w:r>
      <w:r>
        <w:rPr>
          <w:rFonts w:ascii="仿宋_GB2312" w:eastAsia="仿宋_GB2312" w:hint="eastAsia"/>
          <w:sz w:val="32"/>
          <w:szCs w:val="32"/>
        </w:rPr>
        <w:t>22年，</w:t>
      </w:r>
      <w:r>
        <w:rPr>
          <w:rFonts w:ascii="仿宋" w:eastAsia="仿宋" w:hAnsi="仿宋" w:hint="eastAsia"/>
          <w:sz w:val="32"/>
          <w:szCs w:val="32"/>
        </w:rPr>
        <w:t>广元市产品质量监督检验所政府采购支出总额</w:t>
      </w:r>
      <w:r w:rsidR="00D51C8E" w:rsidRPr="00D51C8E">
        <w:rPr>
          <w:rFonts w:ascii="仿宋_GB2312" w:eastAsia="仿宋_GB2312" w:hint="eastAsia"/>
          <w:sz w:val="32"/>
          <w:szCs w:val="32"/>
        </w:rPr>
        <w:t>6.3</w:t>
      </w:r>
      <w:r>
        <w:rPr>
          <w:rFonts w:ascii="仿宋" w:eastAsia="仿宋" w:hAnsi="仿宋" w:hint="eastAsia"/>
          <w:sz w:val="32"/>
          <w:szCs w:val="32"/>
        </w:rPr>
        <w:t>万元</w:t>
      </w:r>
      <w:r>
        <w:rPr>
          <w:rFonts w:ascii="仿宋_GB2312" w:eastAsia="仿宋_GB2312" w:hint="eastAsia"/>
          <w:sz w:val="32"/>
          <w:szCs w:val="32"/>
        </w:rPr>
        <w:t>，其中：政府采购货物支出</w:t>
      </w:r>
      <w:r w:rsidR="00D51C8E" w:rsidRPr="00D51C8E">
        <w:rPr>
          <w:rFonts w:ascii="仿宋_GB2312" w:eastAsia="仿宋_GB2312" w:hint="eastAsia"/>
          <w:sz w:val="32"/>
          <w:szCs w:val="32"/>
        </w:rPr>
        <w:t>6.3</w:t>
      </w:r>
      <w:r>
        <w:rPr>
          <w:rFonts w:ascii="仿宋_GB2312" w:eastAsia="仿宋_GB2312" w:hint="eastAsia"/>
          <w:sz w:val="32"/>
          <w:szCs w:val="32"/>
        </w:rPr>
        <w:t>万元。主要用于办公设备购置</w:t>
      </w:r>
      <w:r>
        <w:rPr>
          <w:rFonts w:ascii="仿宋_GB2312" w:eastAsia="仿宋_GB2312" w:hint="eastAsia"/>
          <w:color w:val="000000" w:themeColor="text1"/>
          <w:sz w:val="32"/>
          <w:szCs w:val="32"/>
        </w:rPr>
        <w:t>。授予中小企业合同金额0万元，占</w:t>
      </w:r>
      <w:r w:rsidRPr="00D51C8E">
        <w:rPr>
          <w:rFonts w:ascii="仿宋_GB2312" w:eastAsia="仿宋_GB2312" w:hint="eastAsia"/>
          <w:sz w:val="32"/>
          <w:szCs w:val="32"/>
        </w:rPr>
        <w:t>政府</w:t>
      </w:r>
      <w:r>
        <w:rPr>
          <w:rFonts w:ascii="仿宋_GB2312" w:eastAsia="仿宋_GB2312" w:hint="eastAsia"/>
          <w:color w:val="000000" w:themeColor="text1"/>
          <w:sz w:val="32"/>
          <w:szCs w:val="32"/>
        </w:rPr>
        <w:t>采购支出总额的0</w:t>
      </w:r>
      <w:r>
        <w:rPr>
          <w:rFonts w:ascii="仿宋_GB2312" w:eastAsia="仿宋_GB2312"/>
          <w:color w:val="000000" w:themeColor="text1"/>
          <w:sz w:val="32"/>
          <w:szCs w:val="32"/>
        </w:rPr>
        <w:t>%</w:t>
      </w:r>
      <w:r>
        <w:rPr>
          <w:rFonts w:ascii="仿宋_GB2312" w:eastAsia="仿宋_GB2312" w:hint="eastAsia"/>
          <w:color w:val="000000" w:themeColor="text1"/>
          <w:sz w:val="32"/>
          <w:szCs w:val="32"/>
        </w:rPr>
        <w:t>。</w:t>
      </w:r>
    </w:p>
    <w:p w:rsidR="00563F3A" w:rsidRDefault="00B86925" w:rsidP="00411FC0">
      <w:pPr>
        <w:autoSpaceDE w:val="0"/>
        <w:autoSpaceDN w:val="0"/>
        <w:adjustRightInd w:val="0"/>
        <w:spacing w:line="600" w:lineRule="exact"/>
        <w:ind w:firstLineChars="200" w:firstLine="643"/>
        <w:jc w:val="left"/>
        <w:outlineLvl w:val="2"/>
        <w:rPr>
          <w:rFonts w:ascii="仿宋" w:eastAsia="仿宋" w:hAnsi="仿宋"/>
          <w:b/>
          <w:color w:val="000000" w:themeColor="text1"/>
          <w:sz w:val="32"/>
          <w:szCs w:val="32"/>
        </w:rPr>
      </w:pPr>
      <w:bookmarkStart w:id="49" w:name="_Toc15377224"/>
      <w:r>
        <w:rPr>
          <w:rFonts w:ascii="仿宋" w:eastAsia="仿宋" w:hAnsi="仿宋" w:hint="eastAsia"/>
          <w:b/>
          <w:color w:val="000000" w:themeColor="text1"/>
          <w:sz w:val="32"/>
          <w:szCs w:val="32"/>
        </w:rPr>
        <w:t>（三）国有资产占有使用情况</w:t>
      </w:r>
      <w:bookmarkEnd w:id="49"/>
    </w:p>
    <w:p w:rsidR="00563F3A" w:rsidRDefault="00B86925">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Ansi="仿宋_GB2312" w:cs="仿宋_GB2312" w:hint="eastAsia"/>
          <w:color w:val="000000" w:themeColor="text1"/>
          <w:kern w:val="0"/>
          <w:sz w:val="32"/>
          <w:szCs w:val="32"/>
        </w:rPr>
        <w:t>截至</w:t>
      </w:r>
      <w:r>
        <w:rPr>
          <w:rFonts w:ascii="仿宋_GB2312" w:eastAsia="仿宋_GB2312" w:hAnsi="仿宋_GB2312" w:cs="仿宋_GB2312"/>
          <w:color w:val="000000" w:themeColor="text1"/>
          <w:kern w:val="0"/>
          <w:sz w:val="32"/>
          <w:szCs w:val="32"/>
        </w:rPr>
        <w:t>202</w:t>
      </w:r>
      <w:r>
        <w:rPr>
          <w:rFonts w:ascii="仿宋_GB2312" w:eastAsia="仿宋_GB2312" w:hAnsi="仿宋_GB2312" w:cs="仿宋_GB2312" w:hint="eastAsia"/>
          <w:color w:val="000000" w:themeColor="text1"/>
          <w:kern w:val="0"/>
          <w:sz w:val="32"/>
          <w:szCs w:val="32"/>
        </w:rPr>
        <w:t>2年</w:t>
      </w:r>
      <w:r>
        <w:rPr>
          <w:rFonts w:ascii="仿宋_GB2312" w:eastAsia="仿宋_GB2312" w:hAnsi="仿宋_GB2312" w:cs="仿宋_GB2312"/>
          <w:color w:val="000000" w:themeColor="text1"/>
          <w:kern w:val="0"/>
          <w:sz w:val="32"/>
          <w:szCs w:val="32"/>
        </w:rPr>
        <w:t>12</w:t>
      </w:r>
      <w:r>
        <w:rPr>
          <w:rFonts w:ascii="仿宋_GB2312" w:eastAsia="仿宋_GB2312" w:hAnsi="仿宋_GB2312" w:cs="仿宋_GB2312" w:hint="eastAsia"/>
          <w:color w:val="000000" w:themeColor="text1"/>
          <w:kern w:val="0"/>
          <w:sz w:val="32"/>
          <w:szCs w:val="32"/>
        </w:rPr>
        <w:t>月</w:t>
      </w:r>
      <w:r>
        <w:rPr>
          <w:rFonts w:ascii="仿宋_GB2312" w:eastAsia="仿宋_GB2312" w:hAnsi="仿宋_GB2312" w:cs="仿宋_GB2312"/>
          <w:color w:val="000000" w:themeColor="text1"/>
          <w:kern w:val="0"/>
          <w:sz w:val="32"/>
          <w:szCs w:val="32"/>
        </w:rPr>
        <w:t>31</w:t>
      </w:r>
      <w:r>
        <w:rPr>
          <w:rFonts w:ascii="仿宋_GB2312" w:eastAsia="仿宋_GB2312" w:hAnsi="仿宋_GB2312" w:cs="仿宋_GB2312" w:hint="eastAsia"/>
          <w:color w:val="000000" w:themeColor="text1"/>
          <w:kern w:val="0"/>
          <w:sz w:val="32"/>
          <w:szCs w:val="32"/>
        </w:rPr>
        <w:t>日，广元市产品</w:t>
      </w:r>
      <w:r>
        <w:rPr>
          <w:rFonts w:ascii="仿宋_GB2312" w:eastAsia="仿宋_GB2312" w:hAnsi="仿宋_GB2312" w:cs="仿宋_GB2312" w:hint="eastAsia"/>
          <w:kern w:val="0"/>
          <w:sz w:val="32"/>
          <w:szCs w:val="32"/>
        </w:rPr>
        <w:t>质量监督检验所共有车辆2辆，其中：其他用车2辆，其他用车主要用于省市各级抽检及业务工作。单价</w:t>
      </w:r>
      <w:r>
        <w:rPr>
          <w:rFonts w:ascii="仿宋_GB2312" w:eastAsia="仿宋_GB2312" w:hAnsi="仿宋_GB2312" w:cs="仿宋_GB2312"/>
          <w:kern w:val="0"/>
          <w:sz w:val="32"/>
          <w:szCs w:val="32"/>
        </w:rPr>
        <w:t>100</w:t>
      </w:r>
      <w:r>
        <w:rPr>
          <w:rFonts w:ascii="仿宋_GB2312" w:eastAsia="仿宋_GB2312" w:hAnsi="仿宋_GB2312" w:cs="仿宋_GB2312" w:hint="eastAsia"/>
          <w:kern w:val="0"/>
          <w:sz w:val="32"/>
          <w:szCs w:val="32"/>
        </w:rPr>
        <w:t>万元以上专用设备</w:t>
      </w:r>
      <w:r w:rsidR="0078195C">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（台、套）。</w:t>
      </w:r>
    </w:p>
    <w:p w:rsidR="00563F3A" w:rsidRDefault="00B86925" w:rsidP="00411FC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lastRenderedPageBreak/>
        <w:t>（四）预算绩效管理情况</w:t>
      </w:r>
    </w:p>
    <w:p w:rsidR="00563F3A" w:rsidRDefault="00B86925">
      <w:pPr>
        <w:pStyle w:val="a0"/>
        <w:spacing w:before="93"/>
        <w:ind w:firstLineChars="200" w:firstLine="640"/>
        <w:rPr>
          <w:rFonts w:hAnsi="仿宋_GB2312" w:cs="仿宋_GB2312"/>
          <w:sz w:val="32"/>
          <w:szCs w:val="32"/>
        </w:rPr>
      </w:pPr>
      <w:r>
        <w:rPr>
          <w:rFonts w:hAnsi="仿宋_GB2312" w:cs="仿宋_GB2312" w:hint="eastAsia"/>
          <w:sz w:val="32"/>
          <w:szCs w:val="32"/>
        </w:rPr>
        <w:t>根据预算绩效管理要求，本单位在2022年度预算编制阶段，组织对“产品质量监督抽查经费”“ 质监运行经费”“ 设备购置经费”“</w:t>
      </w:r>
      <w:r>
        <w:rPr>
          <w:rFonts w:hAnsi="仿宋_GB2312" w:cs="仿宋_GB2312" w:hint="eastAsia"/>
          <w:szCs w:val="30"/>
        </w:rPr>
        <w:t>市场监管专项资金</w:t>
      </w:r>
      <w:r>
        <w:rPr>
          <w:rFonts w:hAnsi="仿宋_GB2312" w:cs="仿宋_GB2312" w:hint="eastAsia"/>
          <w:sz w:val="32"/>
          <w:szCs w:val="32"/>
        </w:rPr>
        <w:t>”项目等4个项目开展了预算事前绩效评估，对4个项目编制了绩效目标，预算执行过程中，选取4个项目开展绩效监控，组织对4个项目开展绩效自评，绩效自评表详见第四部分附件。</w:t>
      </w:r>
    </w:p>
    <w:p w:rsidR="00563F3A" w:rsidRDefault="00B86925">
      <w:pPr>
        <w:widowControl/>
        <w:jc w:val="left"/>
        <w:rPr>
          <w:rFonts w:ascii="仿宋_GB2312" w:eastAsia="仿宋_GB2312"/>
          <w:b/>
          <w:sz w:val="32"/>
          <w:szCs w:val="32"/>
        </w:rPr>
      </w:pPr>
      <w:r>
        <w:rPr>
          <w:rFonts w:ascii="仿宋_GB2312" w:eastAsia="仿宋_GB2312"/>
          <w:b/>
          <w:sz w:val="32"/>
          <w:szCs w:val="32"/>
        </w:rPr>
        <w:br w:type="page"/>
      </w:r>
    </w:p>
    <w:p w:rsidR="00563F3A" w:rsidRDefault="00B86925">
      <w:pPr>
        <w:numPr>
          <w:ilvl w:val="0"/>
          <w:numId w:val="4"/>
        </w:numPr>
        <w:spacing w:line="600" w:lineRule="exact"/>
        <w:ind w:firstLineChars="150" w:firstLine="660"/>
        <w:jc w:val="center"/>
        <w:outlineLvl w:val="0"/>
        <w:rPr>
          <w:rStyle w:val="1Char"/>
          <w:rFonts w:ascii="黑体" w:eastAsia="黑体" w:hAnsi="黑体"/>
          <w:b w:val="0"/>
        </w:rPr>
      </w:pPr>
      <w:bookmarkStart w:id="50" w:name="_Toc15396613"/>
      <w:bookmarkStart w:id="51" w:name="_Toc15377225"/>
      <w:bookmarkStart w:id="52" w:name="_Toc18331"/>
      <w:r>
        <w:rPr>
          <w:rFonts w:ascii="黑体" w:eastAsia="黑体" w:hAnsi="黑体" w:hint="eastAsia"/>
          <w:sz w:val="44"/>
          <w:szCs w:val="44"/>
        </w:rPr>
        <w:lastRenderedPageBreak/>
        <w:t>名</w:t>
      </w:r>
      <w:r>
        <w:rPr>
          <w:rStyle w:val="1Char"/>
          <w:rFonts w:ascii="黑体" w:eastAsia="黑体" w:hAnsi="黑体" w:hint="eastAsia"/>
          <w:b w:val="0"/>
        </w:rPr>
        <w:t>词解释</w:t>
      </w:r>
      <w:bookmarkEnd w:id="50"/>
      <w:bookmarkEnd w:id="51"/>
      <w:bookmarkEnd w:id="52"/>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财政拨款收入：指单位从同级财政部门取得的财政预算资金。</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其他收入：指单位取得的除上述收入以外的各项收入。主要是非本级财政拨款及利息收入等。</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年初结转和结余：指以前年度尚未完成、结转到本年按有关规定继续使用的资金。</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一般公共服务支出（类）市场监督管理事务（款）质量安全监管（项）：指反映产品质量安全监管、特种设备安全监管等质量监管专项工作的支出。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一般公共服务支出（类）市场监督管理事务（款）事业运行（项）：指反映事业单位的基本支出。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一般公共服务支出（类）市场监督管理事务（款）其他市场监督管理事务（项）：指反映其他市场监督管理事务方面的支出。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社会保障和就业（类）行政事业单位养老支出（款）机关事业单位基本养老保险缴费支出（项）：指用于机关事业单位实施养老保险制度由单位缴纳的基本养老保险费支出。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社会保障和就业（类）行政事业单位养老支出（款）机关事业单位职业年金缴费支出（项）：指用于机关事业单位实施养老保险制度由单位缴纳的职业年金缴费支出。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卫生健康支出（类）行政事业单位医疗（款）事业单位医疗（项）：指用于事业单位基本医疗保险缴费。</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lastRenderedPageBreak/>
        <w:t>住房保障支出（类）住房改革支出（款）住房公积金（项）：指用于行政事业单位按人力资源和社会保障部、财政部规定的基本工资和津贴补贴以及规定比例为职工缴纳的住房公积金。</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基本支出：指为保障机构正常运转、完成日常工作任务而发生的人员支出和公用支出。</w:t>
      </w:r>
    </w:p>
    <w:p w:rsidR="00563F3A" w:rsidRDefault="00B86925">
      <w:pPr>
        <w:numPr>
          <w:ilvl w:val="0"/>
          <w:numId w:val="5"/>
        </w:numPr>
        <w:spacing w:line="560" w:lineRule="exact"/>
        <w:rPr>
          <w:rFonts w:ascii="仿宋" w:eastAsia="仿宋" w:hAnsi="仿宋"/>
          <w:sz w:val="32"/>
          <w:szCs w:val="32"/>
        </w:rPr>
      </w:pPr>
      <w:r>
        <w:rPr>
          <w:rFonts w:ascii="仿宋" w:eastAsia="仿宋" w:hAnsi="仿宋" w:hint="eastAsia"/>
          <w:sz w:val="32"/>
          <w:szCs w:val="32"/>
        </w:rPr>
        <w:t>项目支出：指在基本支出之外为完成特定行政任务和事业发展目标所发生的支出。</w:t>
      </w:r>
    </w:p>
    <w:p w:rsidR="00563F3A" w:rsidRDefault="00B86925">
      <w:pPr>
        <w:numPr>
          <w:ilvl w:val="0"/>
          <w:numId w:val="5"/>
        </w:numPr>
        <w:spacing w:line="600" w:lineRule="exact"/>
        <w:rPr>
          <w:rFonts w:ascii="仿宋" w:eastAsia="仿宋" w:hAnsi="仿宋"/>
          <w:b/>
          <w:sz w:val="32"/>
          <w:szCs w:val="32"/>
        </w:rPr>
      </w:pPr>
      <w:r>
        <w:rPr>
          <w:rFonts w:ascii="仿宋" w:eastAsia="仿宋" w:hAnsi="仿宋"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D23018" w:rsidRDefault="00D23018">
      <w:pPr>
        <w:spacing w:line="600" w:lineRule="exact"/>
        <w:jc w:val="center"/>
        <w:outlineLvl w:val="0"/>
        <w:rPr>
          <w:rFonts w:ascii="黑体" w:eastAsia="黑体" w:hAnsi="黑体"/>
          <w:sz w:val="44"/>
          <w:szCs w:val="44"/>
        </w:rPr>
      </w:pPr>
      <w:bookmarkStart w:id="53" w:name="_Toc21988"/>
      <w:bookmarkStart w:id="54" w:name="_Toc15396614"/>
      <w:bookmarkStart w:id="55" w:name="_Toc15377226"/>
    </w:p>
    <w:p w:rsidR="00D23018" w:rsidRDefault="00D23018">
      <w:pPr>
        <w:spacing w:line="600" w:lineRule="exact"/>
        <w:jc w:val="center"/>
        <w:outlineLvl w:val="0"/>
        <w:rPr>
          <w:rFonts w:ascii="黑体" w:eastAsia="黑体" w:hAnsi="黑体"/>
          <w:sz w:val="44"/>
          <w:szCs w:val="44"/>
        </w:rPr>
      </w:pPr>
    </w:p>
    <w:p w:rsidR="00D23018" w:rsidRDefault="00D23018">
      <w:pPr>
        <w:spacing w:line="600" w:lineRule="exact"/>
        <w:jc w:val="center"/>
        <w:outlineLvl w:val="0"/>
        <w:rPr>
          <w:rFonts w:ascii="黑体" w:eastAsia="黑体" w:hAnsi="黑体"/>
          <w:sz w:val="44"/>
          <w:szCs w:val="44"/>
        </w:rPr>
        <w:sectPr w:rsidR="00D23018" w:rsidSect="00563F3A">
          <w:footerReference w:type="default" r:id="rId16"/>
          <w:footerReference w:type="first" r:id="rId17"/>
          <w:pgSz w:w="11906" w:h="16838"/>
          <w:pgMar w:top="1440" w:right="1800" w:bottom="1440" w:left="1800" w:header="851" w:footer="992" w:gutter="0"/>
          <w:pgNumType w:start="1"/>
          <w:cols w:space="425"/>
          <w:titlePg/>
          <w:docGrid w:type="lines" w:linePitch="312"/>
        </w:sectPr>
      </w:pPr>
    </w:p>
    <w:p w:rsidR="00563F3A" w:rsidRDefault="00B86925">
      <w:pPr>
        <w:spacing w:line="600" w:lineRule="exact"/>
        <w:jc w:val="center"/>
        <w:outlineLvl w:val="0"/>
        <w:rPr>
          <w:rStyle w:val="1Char"/>
          <w:rFonts w:ascii="黑体" w:eastAsia="黑体" w:hAnsi="黑体"/>
          <w:b w:val="0"/>
        </w:rPr>
      </w:pPr>
      <w:r>
        <w:rPr>
          <w:rFonts w:ascii="黑体" w:eastAsia="黑体" w:hAnsi="黑体" w:hint="eastAsia"/>
          <w:sz w:val="44"/>
          <w:szCs w:val="44"/>
        </w:rPr>
        <w:lastRenderedPageBreak/>
        <w:t>第</w:t>
      </w:r>
      <w:r>
        <w:rPr>
          <w:rStyle w:val="1Char"/>
          <w:rFonts w:ascii="黑体" w:eastAsia="黑体" w:hAnsi="黑体" w:hint="eastAsia"/>
          <w:b w:val="0"/>
        </w:rPr>
        <w:t>四部分 附件</w:t>
      </w:r>
      <w:bookmarkEnd w:id="53"/>
      <w:bookmarkEnd w:id="54"/>
    </w:p>
    <w:p w:rsidR="00563F3A" w:rsidRDefault="00563F3A">
      <w:pPr>
        <w:spacing w:line="572" w:lineRule="exact"/>
        <w:jc w:val="left"/>
        <w:rPr>
          <w:rFonts w:ascii="仿宋_GB2312" w:eastAsia="仿宋_GB2312" w:hAnsi="仿宋_GB2312" w:cs="仿宋_GB2312"/>
          <w:sz w:val="32"/>
          <w:szCs w:val="32"/>
        </w:rPr>
      </w:pPr>
    </w:p>
    <w:p w:rsidR="00563F3A" w:rsidRDefault="00B86925">
      <w:pPr>
        <w:spacing w:line="600" w:lineRule="exact"/>
        <w:jc w:val="center"/>
        <w:outlineLvl w:val="1"/>
        <w:rPr>
          <w:rFonts w:ascii="宋体" w:hAnsi="宋体" w:cs="宋体"/>
          <w:kern w:val="0"/>
          <w:sz w:val="32"/>
          <w:szCs w:val="32"/>
        </w:rPr>
      </w:pPr>
      <w:bookmarkStart w:id="56" w:name="_Toc4311"/>
      <w:bookmarkStart w:id="57" w:name="_Toc15396618"/>
      <w:r>
        <w:rPr>
          <w:rFonts w:ascii="宋体" w:hAnsi="宋体" w:cs="宋体" w:hint="eastAsia"/>
          <w:kern w:val="0"/>
          <w:sz w:val="32"/>
          <w:szCs w:val="32"/>
        </w:rPr>
        <w:t>部门预算项目支出绩效自评表（2022年度）</w:t>
      </w:r>
      <w:bookmarkEnd w:id="56"/>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51000021R000000019951-工资性支出</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122.11</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135.47</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122.11</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90.14%</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2022年终财政拨款补缴部分养老保险金额，造成预算结余。</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122.11</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135.47</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122.11</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90.14%</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w:t>
            </w:r>
            <w:r w:rsidRPr="0021180E">
              <w:rPr>
                <w:rFonts w:ascii="宋体" w:hAnsi="宋体" w:cs="宋体" w:hint="eastAsia"/>
                <w:color w:val="000000"/>
                <w:kern w:val="0"/>
                <w:sz w:val="18"/>
                <w:szCs w:val="18"/>
              </w:rPr>
              <w:lastRenderedPageBreak/>
              <w:t>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lastRenderedPageBreak/>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w:t>
            </w:r>
            <w:r w:rsidRPr="0021180E">
              <w:rPr>
                <w:rFonts w:ascii="宋体" w:hAnsi="宋体" w:cs="宋体" w:hint="eastAsia"/>
                <w:color w:val="000000"/>
                <w:kern w:val="0"/>
                <w:sz w:val="18"/>
                <w:szCs w:val="18"/>
              </w:rPr>
              <w:lastRenderedPageBreak/>
              <w:t>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lastRenderedPageBreak/>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w:t>
            </w:r>
            <w:r w:rsidRPr="0021180E">
              <w:rPr>
                <w:rFonts w:ascii="宋体" w:hAnsi="宋体" w:cs="宋体" w:hint="eastAsia"/>
                <w:color w:val="000000"/>
                <w:kern w:val="0"/>
                <w:sz w:val="18"/>
                <w:szCs w:val="18"/>
              </w:rPr>
              <w:lastRenderedPageBreak/>
              <w:t>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lastRenderedPageBreak/>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足额保障率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按时发放率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结余率（计算方法为：结余数/预算数）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9.9</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684"/>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right"/>
              <w:rPr>
                <w:rFonts w:ascii="宋体" w:hAnsi="宋体" w:cs="宋体"/>
                <w:color w:val="000000"/>
                <w:kern w:val="0"/>
                <w:sz w:val="18"/>
                <w:szCs w:val="18"/>
              </w:rPr>
            </w:pPr>
            <w:r w:rsidRPr="0021180E">
              <w:rPr>
                <w:rFonts w:ascii="宋体" w:hAnsi="宋体" w:cs="宋体" w:hint="eastAsia"/>
                <w:color w:val="000000"/>
                <w:kern w:val="0"/>
                <w:sz w:val="18"/>
                <w:szCs w:val="18"/>
              </w:rPr>
              <w:t>76.5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2022年终财政拨款补缴部分养老保险金额，造成预算结余。</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严格执行相关政策，保障工资及时发放、足额发放，预算编制科学合理，减少结余资金。</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51000021R000000019952-其他人员支出</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严格执行相关政策，保障资金及时发放、足额发放，预算编制科学合理，减少结余资金。</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严格执行相关政策，保障资金及时发放、足额发放，预算编制科学合理，减少结余资金。</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严格执行相关政策，保障资金及时发放、足额发放，预算编制科学合理，减少结余资金。</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6.38</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6.38</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6.38</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6.38</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足额保障率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按时发放率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结余率（计算方法为：结余数/预算数）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79"/>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right"/>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严格执行相关政策，保障资金及时发放、足额发放，预算编制科学合理，减少结余资金。</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51000021R000000019956-离退休费支出</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严格执行相关政策，保障工资及时发放、足额发放，预算编制科学合理，减少结余资金</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足额保障率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按时发放率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结余率（计算方法为：结余数/预算数）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严格执行相关政策，保障资金及时发放、足额发放，预算编制科学合理，减少结余资金。</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51080021T000000050935-产品质量监督抽查经费</w:t>
            </w:r>
          </w:p>
        </w:tc>
      </w:tr>
      <w:tr w:rsidR="0021180E" w:rsidRPr="0021180E" w:rsidTr="00D23018">
        <w:trPr>
          <w:trHeight w:val="504"/>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完成工业生产资料、农业生产资料、日用消费品等产品质量监督抽查130批次。</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2022</w:t>
            </w:r>
            <w:r w:rsidRPr="0021180E">
              <w:rPr>
                <w:rFonts w:ascii="Courier New" w:hAnsi="Courier New" w:cs="Courier New"/>
                <w:color w:val="000000"/>
                <w:kern w:val="0"/>
                <w:sz w:val="18"/>
                <w:szCs w:val="18"/>
              </w:rPr>
              <w:t>年完成工业生产资料、农业生产资料、日用消费品等产品质量监督抽查</w:t>
            </w:r>
            <w:r w:rsidRPr="0021180E">
              <w:rPr>
                <w:rFonts w:ascii="Courier New" w:hAnsi="Courier New" w:cs="Courier New"/>
                <w:color w:val="000000"/>
                <w:kern w:val="0"/>
                <w:sz w:val="18"/>
                <w:szCs w:val="18"/>
              </w:rPr>
              <w:t>209</w:t>
            </w:r>
            <w:r w:rsidRPr="0021180E">
              <w:rPr>
                <w:rFonts w:ascii="Courier New" w:hAnsi="Courier New" w:cs="Courier New"/>
                <w:color w:val="000000"/>
                <w:kern w:val="0"/>
                <w:sz w:val="18"/>
                <w:szCs w:val="18"/>
              </w:rPr>
              <w:t>批次，维护全市产品质量安全。</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为确保我市产品质量，每年政府质量主管部门--市场监管部门均要组织对广元辖区产品质量实施监督抽查，实施单位为质检部门。通过抽查，为政府宏观质量管理提供有效数据，为质量监管部门提供准确质量信息，为质量安全监管提供安全保障，为广元造产品提供技术支撑，全面提升广元造产品质量竞争力和市场占有率。</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26.00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完成农业生产资料监督抽查</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批次</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129</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完成日用消费品监督抽查</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批次</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完成工业生产资料监督抽查</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批次</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完成抽检率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在实施方案时间节点内完成</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成本指标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每批次抽检成本</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社会效益指标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准确为政府质量监管部门提供质量检验信息和数据</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份</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6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可持续影响指标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企业质量主体意识明显提升，广元造产品质量明显提升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8.2</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满意度指标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服务对象满意度指标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服务对象满意度</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FF0000"/>
                <w:kern w:val="0"/>
                <w:sz w:val="16"/>
                <w:szCs w:val="16"/>
              </w:rPr>
            </w:pPr>
            <w:r w:rsidRPr="0021180E">
              <w:rPr>
                <w:rFonts w:ascii="微软雅黑" w:eastAsia="微软雅黑" w:hAnsi="微软雅黑" w:cs="宋体" w:hint="eastAsia"/>
                <w:i/>
                <w:iCs/>
                <w:color w:val="FF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98.2</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FF0000"/>
                <w:kern w:val="0"/>
                <w:sz w:val="18"/>
                <w:szCs w:val="18"/>
              </w:rPr>
            </w:pPr>
            <w:r w:rsidRPr="0021180E">
              <w:rPr>
                <w:rFonts w:ascii="宋体" w:hAnsi="宋体" w:cs="宋体" w:hint="eastAsia"/>
                <w:color w:val="FF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2022年我所严格按照预算执行，完满完成预算目标任务，通过本年度的产品质量监督抽查，有效的提升了市场主体的质量意识，有效预防区域性产品质量问题的发生，自评得分98.2分。</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随着社会经济的快速发展，产品数量猛增，新兴产品更替较快，对全市产品质量监管任务进一步加大，由于项目资金有限，抽查经费不能满足监管需求,同时，鉴于我所专业技术人才缺乏，不能满足日益增长的产品质量监督抽查需要。</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加大对项目的支持指导力度，提升新形势下检验检测工作能力与水平，扩大服务范围，进一步提升检验检测能力，加大对项目机构能力提升的财政保障，不断提升检验检测能力。</w:t>
            </w:r>
            <w:r w:rsidRPr="0021180E">
              <w:rPr>
                <w:rFonts w:ascii="微软雅黑" w:eastAsia="微软雅黑" w:hAnsi="微软雅黑" w:cs="宋体" w:hint="eastAsia"/>
                <w:i/>
                <w:iCs/>
                <w:color w:val="000000"/>
                <w:kern w:val="0"/>
                <w:sz w:val="16"/>
                <w:szCs w:val="16"/>
              </w:rPr>
              <w:br w:type="page"/>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51080021T000000051204-设备购置经费</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保障6名新进人员办公条件，提升质检能力建设，保证质检工作正常开展。</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 xml:space="preserve">  2022</w:t>
            </w:r>
            <w:r w:rsidRPr="0021180E">
              <w:rPr>
                <w:rFonts w:ascii="Courier New" w:hAnsi="Courier New" w:cs="Courier New"/>
                <w:color w:val="000000"/>
                <w:kern w:val="0"/>
                <w:sz w:val="18"/>
                <w:szCs w:val="18"/>
              </w:rPr>
              <w:t>年完成</w:t>
            </w:r>
            <w:r w:rsidRPr="0021180E">
              <w:rPr>
                <w:rFonts w:ascii="Courier New" w:hAnsi="Courier New" w:cs="Courier New"/>
                <w:color w:val="000000"/>
                <w:kern w:val="0"/>
                <w:sz w:val="18"/>
                <w:szCs w:val="18"/>
              </w:rPr>
              <w:t>6</w:t>
            </w:r>
            <w:r w:rsidRPr="0021180E">
              <w:rPr>
                <w:rFonts w:ascii="Courier New" w:hAnsi="Courier New" w:cs="Courier New"/>
                <w:color w:val="000000"/>
                <w:kern w:val="0"/>
                <w:sz w:val="18"/>
                <w:szCs w:val="18"/>
              </w:rPr>
              <w:t>台计算机和</w:t>
            </w:r>
            <w:r w:rsidRPr="0021180E">
              <w:rPr>
                <w:rFonts w:ascii="Courier New" w:hAnsi="Courier New" w:cs="Courier New"/>
                <w:color w:val="000000"/>
                <w:kern w:val="0"/>
                <w:sz w:val="18"/>
                <w:szCs w:val="18"/>
              </w:rPr>
              <w:t>1</w:t>
            </w:r>
            <w:r w:rsidRPr="0021180E">
              <w:rPr>
                <w:rFonts w:ascii="Courier New" w:hAnsi="Courier New" w:cs="Courier New"/>
                <w:color w:val="000000"/>
                <w:kern w:val="0"/>
                <w:sz w:val="18"/>
                <w:szCs w:val="18"/>
              </w:rPr>
              <w:t>台复印打印一体机采购工作，切实保障了新进人员办公条件，保障了质检工作正常开展。</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保障6名新进人员办公条件，提升质检能力建设，保证质检工作正常开展。</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复印打印一体机</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台式计算机</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台（套）</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设备验收合格率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按时完成采购</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成本指标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台式计算机</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万元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复印打印一体机</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万元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社会效益指标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对工作的促进作用</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9.2</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可持续影响指标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保障检验工作正常开展</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8.6</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满意度指标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服务对象满意度指标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职工满意度</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97.8</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2022年圆满完成6台计算机和1台复印打印一体机采购工作，严格按照预算编制执行，切实保障了新进人员办公条件，保障了质检工作正常开展，自评得分97.8分。</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2022年我所按时按质编报部门预算，年度预算执行基本收支平衡，财务管理规范，但预算编制的合理性有待提高。</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细化预算编制工作，严格按照预算编制的相关制度和要求做好预算的编制，结合我所实际情况，增加能力建设预算，提升我所检验检测能力。</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51080021Y000000176770-其他公用经费（福利、工会、公车补贴、党建、退休活动）</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保障单位日常运转，提高预算编制质量，严格执行预算</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保障单位日常运转，提高预算编制质量，严格执行预算</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保障单位日常运转，提高预算编制质量，严格执行预算</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9.30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6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预算编制准确率（计算方法为：∣（执行数-预算数）/预算数∣）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运转保障率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90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“三公经费”控制率[计算方法为：（三公经费实际支出数/预算安排数]×100%）</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93.9</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保障单位日常运转，提高预算编制质量，严格执行预算。</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51080022R000000267546-工资性支出（事业）</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严格执行相关政策，保障工资及时发放、足额发放，预算编制科学合理，减少结余资金</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严格执行相关政策，保障工资及时发放、足额发放，预算编制科学合理，减少结余资金</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186.19</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238.79</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238.79</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186.19</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238.79</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238.79</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足额保障率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按时发放率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结余率（计算方法为：结余数/预算数）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严格执行相关政策，保障工资及时发放、足额发放，预算编制科学合理，减少结余资金。</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51080022T000004933356-质监运行经费</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保障日常检验工作正常开展和质检大楼公共区域安保、维护、保洁等工作。</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2022</w:t>
            </w:r>
            <w:r w:rsidRPr="0021180E">
              <w:rPr>
                <w:rFonts w:ascii="Courier New" w:hAnsi="Courier New" w:cs="Courier New"/>
                <w:color w:val="000000"/>
                <w:kern w:val="0"/>
                <w:sz w:val="18"/>
                <w:szCs w:val="18"/>
              </w:rPr>
              <w:t>年接受委托检验和技术服务</w:t>
            </w:r>
            <w:r w:rsidRPr="0021180E">
              <w:rPr>
                <w:rFonts w:ascii="Courier New" w:hAnsi="Courier New" w:cs="Courier New"/>
                <w:color w:val="000000"/>
                <w:kern w:val="0"/>
                <w:sz w:val="18"/>
                <w:szCs w:val="18"/>
              </w:rPr>
              <w:t>1127</w:t>
            </w:r>
            <w:r w:rsidRPr="0021180E">
              <w:rPr>
                <w:rFonts w:ascii="Courier New" w:hAnsi="Courier New" w:cs="Courier New"/>
                <w:color w:val="000000"/>
                <w:kern w:val="0"/>
                <w:sz w:val="18"/>
                <w:szCs w:val="18"/>
              </w:rPr>
              <w:t>批次，了日常检验工作正常开展和质检大楼公共区域安保、维护、保洁等工作。</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广元市质检所是广元市市场监督管理局直属事业单位，主要承担省市监督抽查、风险监测工作，承接委托检验、技术服务工作，为核定收支定额补助事业单位。目前，财政保障了在编人员基本费用，聘用的专业技术人员基本保障，企业的委托检验、技术服务，脱贫攻坚等基本靠经验性收入补充，为保证各项工作正常开展，所必要的运行经费。</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65.00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接受各类委托检验和技术服务 </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800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批次</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1127</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委托检验完成率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按时完成各项工作</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成本指标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质检大楼公共区域维护、保洁</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7.1</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万元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≤7.1</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委托检验成本费用</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57.9</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万元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≤57.9</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社会效益指标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为第三方提供有效的检验检测和技术</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8.8</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可持续影响指标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有效服务广元经济社会发展</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9.6</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满意度指标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服务对象满意度指标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服务对象满意度</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98.4</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保障了日常检验工作的正常开展和聘用人员的福利待遇，确保了干部职工稳定，进一步提升检验检测服务能力，为社会提供了科学公正的第三方检验平台，有效提升产品质量水平，帮助企业解决技术难题，助力企业复工复产，促进产业持续健康发展。自评得分98.4分。</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预算执行过程中存在任务完成时间滞后等问题，主要原因是因为质检运行经费拨付是根据完成预算收入进度拨付。</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随着产品质量检验工作力度的不断加大，专业技术能力要求更高，因此建议增加质监运行经费项目资金，促进质检事业发展。</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51080022T000007120163-市场监管专项资金</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完成省级监督抽查及风险监测400批次，提升全省产品质量水平。</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完成省级产品质量监督抽检</w:t>
            </w:r>
            <w:r w:rsidRPr="0021180E">
              <w:rPr>
                <w:rFonts w:ascii="Courier New" w:hAnsi="Courier New" w:cs="Courier New"/>
                <w:color w:val="000000"/>
                <w:kern w:val="0"/>
                <w:sz w:val="18"/>
                <w:szCs w:val="18"/>
              </w:rPr>
              <w:t>480</w:t>
            </w:r>
            <w:r w:rsidRPr="0021180E">
              <w:rPr>
                <w:rFonts w:ascii="Courier New" w:hAnsi="Courier New" w:cs="Courier New"/>
                <w:color w:val="000000"/>
                <w:kern w:val="0"/>
                <w:sz w:val="18"/>
                <w:szCs w:val="18"/>
              </w:rPr>
              <w:t>批次，完成率达到</w:t>
            </w:r>
            <w:r w:rsidRPr="0021180E">
              <w:rPr>
                <w:rFonts w:ascii="Courier New" w:hAnsi="Courier New" w:cs="Courier New"/>
                <w:color w:val="000000"/>
                <w:kern w:val="0"/>
                <w:sz w:val="18"/>
                <w:szCs w:val="18"/>
              </w:rPr>
              <w:t>100%</w:t>
            </w:r>
            <w:r w:rsidRPr="0021180E">
              <w:rPr>
                <w:rFonts w:ascii="Courier New" w:hAnsi="Courier New" w:cs="Courier New"/>
                <w:color w:val="000000"/>
                <w:kern w:val="0"/>
                <w:sz w:val="18"/>
                <w:szCs w:val="18"/>
              </w:rPr>
              <w:t>，切实保障产品质量安全。</w:t>
            </w:r>
          </w:p>
        </w:tc>
      </w:tr>
      <w:tr w:rsidR="0021180E" w:rsidRPr="0021180E" w:rsidTr="00D23018">
        <w:trPr>
          <w:trHeight w:val="1320"/>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根据省局工作部署，组织开展“车用汽油、老视眼镜、建筑用砖、钢筋混凝土排水管、聚对苯二甲酸乙二醇酯（PET）瓶、冷轧带肋钢筋、卫生纸、纸巾纸、”省级监督抽查。本年度工业产品省级监督抽查工作由所长负总责，分管副所长具体负责，进一步分解任务，细化指标，责任落实到人。根据产品质量省级监督抽查实施方案和产品质量省级监督抽查实施细则，按照我所《质量手册》和《程序文件》组织实施，抽检过程施行抽检分离制度。由食品化工检验中心、轻工检验中心、建材检验中心具体完成，抽查结果直接反馈四川省市场监督管理局质量监督处。</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124.00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124.00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124.00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124.00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w:t>
            </w:r>
            <w:r w:rsidRPr="0021180E">
              <w:rPr>
                <w:rFonts w:ascii="宋体" w:hAnsi="宋体" w:cs="宋体" w:hint="eastAsia"/>
                <w:color w:val="000000"/>
                <w:kern w:val="0"/>
                <w:sz w:val="18"/>
                <w:szCs w:val="18"/>
              </w:rPr>
              <w:lastRenderedPageBreak/>
              <w:t>分）</w:t>
            </w:r>
          </w:p>
        </w:tc>
        <w:tc>
          <w:tcPr>
            <w:tcW w:w="1557"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lastRenderedPageBreak/>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w:t>
            </w:r>
            <w:r w:rsidRPr="0021180E">
              <w:rPr>
                <w:rFonts w:ascii="宋体" w:hAnsi="宋体" w:cs="宋体" w:hint="eastAsia"/>
                <w:color w:val="000000"/>
                <w:kern w:val="0"/>
                <w:sz w:val="18"/>
                <w:szCs w:val="18"/>
              </w:rPr>
              <w:lastRenderedPageBreak/>
              <w:t>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lastRenderedPageBreak/>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完成省级监督抽查及风险监测</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122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480</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批</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480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质量指标</w:t>
            </w: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完成抽检率</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122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95</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2022年12月底之前完成</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nil"/>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成本指标</w:t>
            </w:r>
          </w:p>
        </w:tc>
        <w:tc>
          <w:tcPr>
            <w:tcW w:w="1644" w:type="dxa"/>
            <w:tcBorders>
              <w:top w:val="nil"/>
              <w:left w:val="single" w:sz="4" w:space="0" w:color="auto"/>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经济成本指标</w:t>
            </w: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抽检成本</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122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124</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万元</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124</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社会效益指标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企业质量主体意识明显提升</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良</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18.4</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可持续影响指标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提升全省产品质量水平</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定性</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优良中低差</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良</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9.6</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45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满意度指标</w:t>
            </w: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服务对象满意度指标</w:t>
            </w: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服务对象满意度</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122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center"/>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95</w:t>
            </w:r>
          </w:p>
        </w:tc>
        <w:tc>
          <w:tcPr>
            <w:tcW w:w="756"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等线" w:eastAsia="等线" w:hAnsi="宋体" w:cs="宋体"/>
                <w:color w:val="000000"/>
                <w:kern w:val="0"/>
                <w:sz w:val="18"/>
                <w:szCs w:val="18"/>
              </w:rPr>
            </w:pPr>
            <w:r w:rsidRPr="0021180E">
              <w:rPr>
                <w:rFonts w:ascii="等线" w:eastAsia="等线" w:hAnsi="宋体" w:cs="宋体" w:hint="eastAsia"/>
                <w:color w:val="000000"/>
                <w:kern w:val="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9.8</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97.8</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通过本年度的省级监督抽查，加强产品质量安全监督管理，有效预防区域性产品质量问题的发生，促进了我省经济繁荣与健康发展，自评得分97.8分。</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目前，各地级市州都有自己的报告系统，但大多数是垂管时期建立，现远远不能满足监督抽查需求，同时由于各地市州财政紧张不能升级现有报告系统，错误时常发生。</w:t>
            </w:r>
          </w:p>
        </w:tc>
      </w:tr>
      <w:tr w:rsidR="0021180E" w:rsidRPr="0021180E" w:rsidTr="00D23018">
        <w:trPr>
          <w:trHeight w:val="720"/>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加大对项目的支持指导力度，加强业务培训，提升新形势下检验检测工作能力与水平，扩大服务范围，进一步提升检验检测能力。加大对项目机构能力提升的财政保障，不断提升检验检测能力。</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51080022Y000000267568-定额公用经费（事业）</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保障单位日常运转，提高预算编制质量，严格执行预算</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保障单位日常运转，提高预算编制质量，严格执行预算</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保障单位日常运转，提高预算编制质量，严格执行预算</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36.00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35.66</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35.66</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36.00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35.66</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35.66</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产出指标</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数量指标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科目调整次数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6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质量指标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预算编制准确率（计算方法为：∣（执行数-预算数）/预算数∣）</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效益指标</w:t>
            </w:r>
          </w:p>
        </w:tc>
        <w:tc>
          <w:tcPr>
            <w:tcW w:w="16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运转保障率</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90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644"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“三公经费”控制率[计算方法为：（三公经费实际支出数/预算安排数]×100%）</w:t>
            </w:r>
          </w:p>
        </w:tc>
        <w:tc>
          <w:tcPr>
            <w:tcW w:w="440"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93.9</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保障单位日常运转，提高预算编制质量，严格执行预算。</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D23018" w:rsidRDefault="00D23018">
      <w:r>
        <w:br w:type="page"/>
      </w:r>
    </w:p>
    <w:tbl>
      <w:tblPr>
        <w:tblW w:w="13176" w:type="dxa"/>
        <w:jc w:val="center"/>
        <w:tblInd w:w="96" w:type="dxa"/>
        <w:tblLook w:val="04A0"/>
      </w:tblPr>
      <w:tblGrid>
        <w:gridCol w:w="576"/>
        <w:gridCol w:w="1557"/>
        <w:gridCol w:w="1644"/>
        <w:gridCol w:w="3174"/>
        <w:gridCol w:w="440"/>
        <w:gridCol w:w="1226"/>
        <w:gridCol w:w="756"/>
        <w:gridCol w:w="846"/>
        <w:gridCol w:w="576"/>
        <w:gridCol w:w="576"/>
        <w:gridCol w:w="1805"/>
      </w:tblGrid>
      <w:tr w:rsidR="0021180E" w:rsidRPr="0021180E" w:rsidTr="00D23018">
        <w:trPr>
          <w:trHeight w:val="285"/>
          <w:jc w:val="center"/>
        </w:trPr>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557"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64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3174"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440"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22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75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57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c>
          <w:tcPr>
            <w:tcW w:w="1805"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宋体" w:hAnsi="宋体" w:cs="宋体"/>
                <w:kern w:val="0"/>
                <w:sz w:val="18"/>
                <w:szCs w:val="18"/>
              </w:rPr>
            </w:pPr>
          </w:p>
        </w:tc>
      </w:tr>
      <w:tr w:rsidR="0021180E" w:rsidRPr="0021180E" w:rsidTr="00D23018">
        <w:trPr>
          <w:trHeight w:val="903"/>
          <w:jc w:val="center"/>
        </w:trPr>
        <w:tc>
          <w:tcPr>
            <w:tcW w:w="1317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黑体" w:eastAsia="黑体" w:hAnsi="黑体" w:cs="宋体"/>
                <w:b/>
                <w:bCs/>
                <w:color w:val="000000"/>
                <w:kern w:val="0"/>
                <w:sz w:val="30"/>
                <w:szCs w:val="30"/>
              </w:rPr>
            </w:pPr>
            <w:r w:rsidRPr="0021180E">
              <w:rPr>
                <w:rFonts w:ascii="黑体" w:eastAsia="黑体" w:hAnsi="黑体" w:cs="宋体" w:hint="eastAsia"/>
                <w:b/>
                <w:bCs/>
                <w:color w:val="000000"/>
                <w:kern w:val="0"/>
                <w:sz w:val="30"/>
                <w:szCs w:val="30"/>
              </w:rPr>
              <w:t>部门预算项目支出绩效自评表（2022年度）</w:t>
            </w:r>
          </w:p>
        </w:tc>
      </w:tr>
      <w:tr w:rsidR="0021180E" w:rsidRPr="0021180E" w:rsidTr="00D23018">
        <w:trPr>
          <w:trHeight w:val="285"/>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项目名称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51080023R000007612345-规范后市级基础绩效奖及生活补助</w:t>
            </w:r>
          </w:p>
        </w:tc>
      </w:tr>
      <w:tr w:rsidR="0021180E" w:rsidRPr="0021180E" w:rsidTr="00D23018">
        <w:trPr>
          <w:trHeight w:val="513"/>
          <w:jc w:val="center"/>
        </w:trPr>
        <w:tc>
          <w:tcPr>
            <w:tcW w:w="2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主管部门</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广元市市场监督管理局部门</w:t>
            </w:r>
          </w:p>
        </w:tc>
        <w:tc>
          <w:tcPr>
            <w:tcW w:w="846" w:type="dxa"/>
            <w:tcBorders>
              <w:top w:val="nil"/>
              <w:left w:val="nil"/>
              <w:bottom w:val="nil"/>
              <w:right w:val="nil"/>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实施单位</w:t>
            </w:r>
            <w:r w:rsidRPr="0021180E">
              <w:rPr>
                <w:rFonts w:ascii="Courier New" w:hAnsi="Courier New" w:cs="Courier New"/>
                <w:color w:val="000000"/>
                <w:kern w:val="0"/>
                <w:sz w:val="18"/>
                <w:szCs w:val="18"/>
              </w:rPr>
              <w:t xml:space="preserve"> </w:t>
            </w:r>
            <w:r w:rsidRPr="0021180E">
              <w:rPr>
                <w:rFonts w:ascii="Courier New" w:hAnsi="Courier New" w:cs="Courier New"/>
                <w:color w:val="000000"/>
                <w:kern w:val="0"/>
                <w:sz w:val="18"/>
                <w:szCs w:val="18"/>
              </w:rPr>
              <w:t>（盖章）</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广元市产品质量监督检验所</w:t>
            </w:r>
          </w:p>
        </w:tc>
      </w:tr>
      <w:tr w:rsidR="0021180E" w:rsidRPr="0021180E" w:rsidTr="00D23018">
        <w:trPr>
          <w:trHeight w:val="285"/>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项目基本情况</w:t>
            </w:r>
          </w:p>
        </w:tc>
        <w:tc>
          <w:tcPr>
            <w:tcW w:w="15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1.项目年度目标完成情况</w:t>
            </w: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项目年度目标</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Courier New" w:hAnsi="Courier New" w:cs="Courier New"/>
                <w:color w:val="000000"/>
                <w:kern w:val="0"/>
                <w:sz w:val="18"/>
                <w:szCs w:val="18"/>
              </w:rPr>
            </w:pPr>
            <w:r w:rsidRPr="0021180E">
              <w:rPr>
                <w:rFonts w:ascii="Courier New" w:hAnsi="Courier New" w:cs="Courier New"/>
                <w:color w:val="000000"/>
                <w:kern w:val="0"/>
                <w:sz w:val="18"/>
                <w:szCs w:val="18"/>
              </w:rPr>
              <w:t>年度目标完成情况</w:t>
            </w:r>
          </w:p>
        </w:tc>
      </w:tr>
      <w:tr w:rsidR="0021180E" w:rsidRPr="0021180E" w:rsidTr="00D23018">
        <w:trPr>
          <w:trHeight w:val="70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7240" w:type="dxa"/>
            <w:gridSpan w:val="5"/>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严格执行相关政策，保障资金及时发放、足额发放，预算编制科学合理，减少结余资金。</w:t>
            </w:r>
          </w:p>
        </w:tc>
        <w:tc>
          <w:tcPr>
            <w:tcW w:w="3803" w:type="dxa"/>
            <w:gridSpan w:val="4"/>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严格执行相关政策，保障资金及时发放、足额发放，预算编制科学合理，减少结余资金。</w:t>
            </w:r>
          </w:p>
        </w:tc>
      </w:tr>
      <w:tr w:rsidR="0021180E" w:rsidRPr="0021180E" w:rsidTr="00D23018">
        <w:trPr>
          <w:trHeight w:val="693"/>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2.项目实施内容及过程概述</w:t>
            </w:r>
          </w:p>
        </w:tc>
        <w:tc>
          <w:tcPr>
            <w:tcW w:w="11043" w:type="dxa"/>
            <w:gridSpan w:val="9"/>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严格执行相关政策，保障资金及时发放、足额发放，预算编制科学合理，减少结余资金。</w:t>
            </w:r>
          </w:p>
        </w:tc>
      </w:tr>
      <w:tr w:rsidR="0021180E" w:rsidRPr="0021180E" w:rsidTr="00D23018">
        <w:trPr>
          <w:trHeight w:val="360"/>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预算执行情况（10分）</w:t>
            </w: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年度预算数（万元）</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年初预算</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调整后预算数</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预算执行数</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原因</w:t>
            </w:r>
          </w:p>
        </w:tc>
      </w:tr>
      <w:tr w:rsidR="0021180E" w:rsidRPr="0021180E" w:rsidTr="00D23018">
        <w:trPr>
          <w:trHeight w:val="38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总额</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34.30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34.30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18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i/>
                <w:iCs/>
                <w:color w:val="000000"/>
                <w:kern w:val="0"/>
                <w:sz w:val="18"/>
                <w:szCs w:val="18"/>
              </w:rPr>
            </w:pPr>
            <w:r w:rsidRPr="0021180E">
              <w:rPr>
                <w:rFonts w:ascii="Courier New" w:hAnsi="Courier New" w:cs="Courier New"/>
                <w:i/>
                <w:iCs/>
                <w:color w:val="000000"/>
                <w:kern w:val="0"/>
                <w:sz w:val="18"/>
                <w:szCs w:val="18"/>
              </w:rPr>
              <w:t xml:space="preserve">　</w:t>
            </w:r>
          </w:p>
        </w:tc>
      </w:tr>
      <w:tr w:rsidR="0021180E" w:rsidRPr="0021180E" w:rsidTr="00D23018">
        <w:trPr>
          <w:trHeight w:val="43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其中：财政资金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34.30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34.30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47"/>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财政专户管理资金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02"/>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单位资金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378"/>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其他资金</w:t>
            </w:r>
          </w:p>
        </w:tc>
        <w:tc>
          <w:tcPr>
            <w:tcW w:w="164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3174"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2422" w:type="dxa"/>
            <w:gridSpan w:val="3"/>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1805"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Courier New" w:hAnsi="Courier New" w:cs="Courier New"/>
                <w:i/>
                <w:iCs/>
                <w:color w:val="000000"/>
                <w:kern w:val="0"/>
                <w:sz w:val="18"/>
                <w:szCs w:val="18"/>
              </w:rPr>
            </w:pPr>
          </w:p>
        </w:tc>
      </w:tr>
      <w:tr w:rsidR="0021180E" w:rsidRPr="0021180E" w:rsidTr="00D23018">
        <w:trPr>
          <w:trHeight w:val="453"/>
          <w:jc w:val="center"/>
        </w:trPr>
        <w:tc>
          <w:tcPr>
            <w:tcW w:w="5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绩效指标（90分）</w:t>
            </w:r>
          </w:p>
        </w:tc>
        <w:tc>
          <w:tcPr>
            <w:tcW w:w="1557" w:type="dxa"/>
            <w:tcBorders>
              <w:top w:val="nil"/>
              <w:left w:val="single" w:sz="4" w:space="0" w:color="000000"/>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一级指标</w:t>
            </w:r>
          </w:p>
        </w:tc>
        <w:tc>
          <w:tcPr>
            <w:tcW w:w="1644"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二级指标</w:t>
            </w:r>
          </w:p>
        </w:tc>
        <w:tc>
          <w:tcPr>
            <w:tcW w:w="3174"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三级指标</w:t>
            </w:r>
          </w:p>
        </w:tc>
        <w:tc>
          <w:tcPr>
            <w:tcW w:w="440"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指标性质</w:t>
            </w:r>
          </w:p>
        </w:tc>
        <w:tc>
          <w:tcPr>
            <w:tcW w:w="1226"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指标值</w:t>
            </w:r>
          </w:p>
        </w:tc>
        <w:tc>
          <w:tcPr>
            <w:tcW w:w="756"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度量单位</w:t>
            </w:r>
          </w:p>
        </w:tc>
        <w:tc>
          <w:tcPr>
            <w:tcW w:w="846"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完成值</w:t>
            </w:r>
          </w:p>
        </w:tc>
        <w:tc>
          <w:tcPr>
            <w:tcW w:w="576"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权重</w:t>
            </w:r>
          </w:p>
        </w:tc>
        <w:tc>
          <w:tcPr>
            <w:tcW w:w="576"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得分</w:t>
            </w:r>
          </w:p>
        </w:tc>
        <w:tc>
          <w:tcPr>
            <w:tcW w:w="1805" w:type="dxa"/>
            <w:tcBorders>
              <w:top w:val="nil"/>
              <w:left w:val="nil"/>
              <w:bottom w:val="nil"/>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未完成原因分析</w:t>
            </w:r>
          </w:p>
        </w:tc>
      </w:tr>
      <w:tr w:rsidR="0021180E" w:rsidRPr="0021180E" w:rsidTr="00D23018">
        <w:trPr>
          <w:trHeight w:val="339"/>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产出指标</w:t>
            </w:r>
          </w:p>
        </w:tc>
        <w:tc>
          <w:tcPr>
            <w:tcW w:w="16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数量指标</w:t>
            </w:r>
          </w:p>
        </w:tc>
        <w:tc>
          <w:tcPr>
            <w:tcW w:w="3174" w:type="dxa"/>
            <w:tcBorders>
              <w:top w:val="single" w:sz="4" w:space="0" w:color="auto"/>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科目调整次数</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w:t>
            </w:r>
          </w:p>
        </w:tc>
        <w:tc>
          <w:tcPr>
            <w:tcW w:w="1226" w:type="dxa"/>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w:t>
            </w:r>
          </w:p>
        </w:tc>
        <w:tc>
          <w:tcPr>
            <w:tcW w:w="756" w:type="dxa"/>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次</w:t>
            </w:r>
          </w:p>
        </w:tc>
        <w:tc>
          <w:tcPr>
            <w:tcW w:w="846" w:type="dxa"/>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22"/>
                <w:szCs w:val="22"/>
              </w:rPr>
              <w:t xml:space="preserve">　</w:t>
            </w:r>
          </w:p>
        </w:tc>
      </w:tr>
      <w:tr w:rsidR="0021180E" w:rsidRPr="0021180E" w:rsidTr="00D23018">
        <w:trPr>
          <w:trHeight w:val="285"/>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21180E" w:rsidRPr="0021180E" w:rsidRDefault="0021180E" w:rsidP="0021180E">
            <w:pPr>
              <w:widowControl/>
              <w:jc w:val="left"/>
              <w:rPr>
                <w:rFonts w:ascii="宋体" w:hAnsi="宋体" w:cs="宋体"/>
                <w:color w:val="000000"/>
                <w:kern w:val="0"/>
                <w:sz w:val="22"/>
                <w:szCs w:val="22"/>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21180E" w:rsidRPr="0021180E" w:rsidRDefault="0021180E" w:rsidP="0021180E">
            <w:pPr>
              <w:widowControl/>
              <w:jc w:val="left"/>
              <w:rPr>
                <w:rFonts w:ascii="宋体" w:hAnsi="宋体" w:cs="宋体"/>
                <w:color w:val="000000"/>
                <w:kern w:val="0"/>
                <w:sz w:val="22"/>
                <w:szCs w:val="22"/>
              </w:rPr>
            </w:pP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足额保障率</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22"/>
                <w:szCs w:val="22"/>
              </w:rPr>
              <w:t xml:space="preserve">　</w:t>
            </w:r>
          </w:p>
        </w:tc>
      </w:tr>
      <w:tr w:rsidR="0021180E" w:rsidRPr="0021180E" w:rsidTr="00D23018">
        <w:trPr>
          <w:trHeight w:val="285"/>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21180E" w:rsidRPr="0021180E" w:rsidRDefault="0021180E" w:rsidP="0021180E">
            <w:pPr>
              <w:widowControl/>
              <w:jc w:val="left"/>
              <w:rPr>
                <w:rFonts w:ascii="宋体" w:hAnsi="宋体" w:cs="宋体"/>
                <w:color w:val="000000"/>
                <w:kern w:val="0"/>
                <w:sz w:val="22"/>
                <w:szCs w:val="22"/>
              </w:rPr>
            </w:pP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时效指标</w:t>
            </w: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按时发放率</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22"/>
                <w:szCs w:val="22"/>
              </w:rPr>
              <w:t xml:space="preserve">　</w:t>
            </w:r>
          </w:p>
        </w:tc>
      </w:tr>
      <w:tr w:rsidR="0021180E" w:rsidRPr="0021180E" w:rsidTr="00D23018">
        <w:trPr>
          <w:trHeight w:val="285"/>
          <w:jc w:val="center"/>
        </w:trPr>
        <w:tc>
          <w:tcPr>
            <w:tcW w:w="576" w:type="dxa"/>
            <w:vMerge/>
            <w:tcBorders>
              <w:top w:val="nil"/>
              <w:left w:val="single" w:sz="4" w:space="0" w:color="000000"/>
              <w:bottom w:val="single" w:sz="4" w:space="0" w:color="000000"/>
              <w:right w:val="single" w:sz="4" w:space="0" w:color="000000"/>
            </w:tcBorders>
            <w:vAlign w:val="center"/>
            <w:hideMark/>
          </w:tcPr>
          <w:p w:rsidR="0021180E" w:rsidRPr="0021180E" w:rsidRDefault="0021180E" w:rsidP="0021180E">
            <w:pPr>
              <w:widowControl/>
              <w:jc w:val="left"/>
              <w:rPr>
                <w:rFonts w:ascii="宋体" w:hAnsi="宋体" w:cs="宋体"/>
                <w:color w:val="000000"/>
                <w:kern w:val="0"/>
                <w:sz w:val="18"/>
                <w:szCs w:val="18"/>
              </w:rPr>
            </w:pPr>
          </w:p>
        </w:tc>
        <w:tc>
          <w:tcPr>
            <w:tcW w:w="1557" w:type="dxa"/>
            <w:tcBorders>
              <w:top w:val="nil"/>
              <w:left w:val="single" w:sz="4" w:space="0" w:color="auto"/>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效益指标</w:t>
            </w:r>
          </w:p>
        </w:tc>
        <w:tc>
          <w:tcPr>
            <w:tcW w:w="164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经济效益指标</w:t>
            </w:r>
          </w:p>
        </w:tc>
        <w:tc>
          <w:tcPr>
            <w:tcW w:w="3174"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结余率（计算方法为：结余数/预算数）</w:t>
            </w:r>
          </w:p>
        </w:tc>
        <w:tc>
          <w:tcPr>
            <w:tcW w:w="440"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18"/>
                <w:szCs w:val="18"/>
              </w:rPr>
              <w:t>≤</w:t>
            </w:r>
          </w:p>
        </w:tc>
        <w:tc>
          <w:tcPr>
            <w:tcW w:w="122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w:t>
            </w:r>
          </w:p>
        </w:tc>
        <w:tc>
          <w:tcPr>
            <w:tcW w:w="84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22.5</w:t>
            </w:r>
          </w:p>
        </w:tc>
        <w:tc>
          <w:tcPr>
            <w:tcW w:w="1805" w:type="dxa"/>
            <w:tcBorders>
              <w:top w:val="nil"/>
              <w:left w:val="nil"/>
              <w:bottom w:val="single" w:sz="4" w:space="0" w:color="auto"/>
              <w:right w:val="single" w:sz="4" w:space="0" w:color="auto"/>
            </w:tcBorders>
            <w:shd w:val="clear" w:color="auto" w:fill="auto"/>
            <w:noWrap/>
            <w:vAlign w:val="center"/>
            <w:hideMark/>
          </w:tcPr>
          <w:p w:rsidR="0021180E" w:rsidRPr="0021180E" w:rsidRDefault="0021180E" w:rsidP="0021180E">
            <w:pPr>
              <w:widowControl/>
              <w:jc w:val="left"/>
              <w:rPr>
                <w:rFonts w:ascii="宋体" w:hAnsi="宋体" w:cs="宋体"/>
                <w:color w:val="000000"/>
                <w:kern w:val="0"/>
                <w:sz w:val="22"/>
                <w:szCs w:val="22"/>
              </w:rPr>
            </w:pPr>
            <w:r w:rsidRPr="0021180E">
              <w:rPr>
                <w:rFonts w:ascii="宋体" w:hAnsi="宋体" w:cs="宋体" w:hint="eastAsia"/>
                <w:color w:val="000000"/>
                <w:kern w:val="0"/>
                <w:sz w:val="22"/>
                <w:szCs w:val="22"/>
              </w:rPr>
              <w:t xml:space="preserve">　</w:t>
            </w:r>
          </w:p>
        </w:tc>
      </w:tr>
      <w:tr w:rsidR="0021180E" w:rsidRPr="0021180E" w:rsidTr="00D23018">
        <w:trPr>
          <w:trHeight w:val="285"/>
          <w:jc w:val="center"/>
        </w:trPr>
        <w:tc>
          <w:tcPr>
            <w:tcW w:w="10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right"/>
              <w:rPr>
                <w:rFonts w:ascii="宋体" w:hAnsi="宋体" w:cs="宋体"/>
                <w:color w:val="000000"/>
                <w:kern w:val="0"/>
                <w:sz w:val="18"/>
                <w:szCs w:val="18"/>
              </w:rPr>
            </w:pPr>
            <w:r w:rsidRPr="0021180E">
              <w:rPr>
                <w:rFonts w:ascii="宋体" w:hAnsi="宋体" w:cs="宋体" w:hint="eastAsia"/>
                <w:color w:val="000000"/>
                <w:kern w:val="0"/>
                <w:sz w:val="18"/>
                <w:szCs w:val="18"/>
              </w:rPr>
              <w:t>100</w:t>
            </w:r>
          </w:p>
        </w:tc>
        <w:tc>
          <w:tcPr>
            <w:tcW w:w="1805" w:type="dxa"/>
            <w:tcBorders>
              <w:top w:val="nil"/>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宋体" w:hAnsi="宋体" w:cs="宋体"/>
                <w:color w:val="000000"/>
                <w:kern w:val="0"/>
                <w:sz w:val="18"/>
                <w:szCs w:val="18"/>
              </w:rPr>
            </w:pPr>
            <w:r w:rsidRPr="0021180E">
              <w:rPr>
                <w:rFonts w:ascii="宋体" w:hAnsi="宋体" w:cs="宋体" w:hint="eastAsia"/>
                <w:color w:val="000000"/>
                <w:kern w:val="0"/>
                <w:sz w:val="18"/>
                <w:szCs w:val="18"/>
              </w:rPr>
              <w:t xml:space="preserve">　</w:t>
            </w:r>
          </w:p>
        </w:tc>
      </w:tr>
      <w:tr w:rsidR="0021180E" w:rsidRPr="0021180E" w:rsidTr="00D23018">
        <w:trPr>
          <w:trHeight w:val="60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评价结论</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严格执行相关政策，保障资金及时发放、足额发放，预算编制科学合理，减少结余资金。</w:t>
            </w:r>
          </w:p>
        </w:tc>
      </w:tr>
      <w:tr w:rsidR="0021180E" w:rsidRPr="0021180E" w:rsidTr="00D23018">
        <w:trPr>
          <w:trHeight w:val="57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存在问题</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633"/>
          <w:jc w:val="center"/>
        </w:trPr>
        <w:tc>
          <w:tcPr>
            <w:tcW w:w="576" w:type="dxa"/>
            <w:tcBorders>
              <w:top w:val="nil"/>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center"/>
              <w:rPr>
                <w:rFonts w:ascii="宋体" w:hAnsi="宋体" w:cs="宋体"/>
                <w:color w:val="000000"/>
                <w:kern w:val="0"/>
                <w:sz w:val="18"/>
                <w:szCs w:val="18"/>
              </w:rPr>
            </w:pPr>
            <w:r w:rsidRPr="0021180E">
              <w:rPr>
                <w:rFonts w:ascii="宋体" w:hAnsi="宋体" w:cs="宋体" w:hint="eastAsia"/>
                <w:color w:val="000000"/>
                <w:kern w:val="0"/>
                <w:sz w:val="18"/>
                <w:szCs w:val="18"/>
              </w:rPr>
              <w:t>改进措施</w:t>
            </w:r>
          </w:p>
        </w:tc>
        <w:tc>
          <w:tcPr>
            <w:tcW w:w="12600" w:type="dxa"/>
            <w:gridSpan w:val="10"/>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微软雅黑" w:eastAsia="微软雅黑" w:hAnsi="微软雅黑" w:cs="宋体"/>
                <w:i/>
                <w:iCs/>
                <w:color w:val="000000"/>
                <w:kern w:val="0"/>
                <w:sz w:val="16"/>
                <w:szCs w:val="16"/>
              </w:rPr>
            </w:pPr>
            <w:r w:rsidRPr="0021180E">
              <w:rPr>
                <w:rFonts w:ascii="微软雅黑" w:eastAsia="微软雅黑" w:hAnsi="微软雅黑" w:cs="宋体" w:hint="eastAsia"/>
                <w:i/>
                <w:iCs/>
                <w:color w:val="000000"/>
                <w:kern w:val="0"/>
                <w:sz w:val="16"/>
                <w:szCs w:val="16"/>
              </w:rPr>
              <w:t>无。</w:t>
            </w:r>
          </w:p>
        </w:tc>
      </w:tr>
      <w:tr w:rsidR="0021180E" w:rsidRPr="0021180E" w:rsidTr="00D23018">
        <w:trPr>
          <w:trHeight w:val="285"/>
          <w:jc w:val="center"/>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项目负责人：</w:t>
            </w:r>
          </w:p>
        </w:tc>
        <w:tc>
          <w:tcPr>
            <w:tcW w:w="5785" w:type="dxa"/>
            <w:gridSpan w:val="6"/>
            <w:tcBorders>
              <w:top w:val="single" w:sz="4" w:space="0" w:color="000000"/>
              <w:left w:val="nil"/>
              <w:bottom w:val="single" w:sz="4" w:space="0" w:color="000000"/>
              <w:right w:val="single" w:sz="4" w:space="0" w:color="000000"/>
            </w:tcBorders>
            <w:shd w:val="clear" w:color="auto" w:fill="auto"/>
            <w:vAlign w:val="center"/>
            <w:hideMark/>
          </w:tcPr>
          <w:p w:rsidR="0021180E" w:rsidRPr="0021180E" w:rsidRDefault="0021180E" w:rsidP="0021180E">
            <w:pPr>
              <w:widowControl/>
              <w:jc w:val="left"/>
              <w:rPr>
                <w:rFonts w:ascii="Courier New" w:hAnsi="Courier New" w:cs="Courier New"/>
                <w:color w:val="000000"/>
                <w:kern w:val="0"/>
                <w:sz w:val="18"/>
                <w:szCs w:val="18"/>
              </w:rPr>
            </w:pPr>
            <w:r w:rsidRPr="0021180E">
              <w:rPr>
                <w:rFonts w:ascii="Courier New" w:hAnsi="Courier New" w:cs="Courier New"/>
                <w:color w:val="000000"/>
                <w:kern w:val="0"/>
                <w:sz w:val="18"/>
                <w:szCs w:val="18"/>
              </w:rPr>
              <w:t>财务负责人：</w:t>
            </w:r>
          </w:p>
        </w:tc>
      </w:tr>
    </w:tbl>
    <w:p w:rsidR="00563F3A" w:rsidRDefault="00563F3A">
      <w:pPr>
        <w:pStyle w:val="a0"/>
        <w:spacing w:before="93"/>
        <w:rPr>
          <w:rFonts w:hAnsi="Calibri" w:cs="仿宋"/>
          <w:sz w:val="32"/>
          <w:szCs w:val="32"/>
        </w:rPr>
      </w:pPr>
    </w:p>
    <w:p w:rsidR="00563F3A" w:rsidRDefault="00563F3A">
      <w:pPr>
        <w:pStyle w:val="a0"/>
        <w:spacing w:before="93"/>
        <w:rPr>
          <w:rFonts w:hAnsi="Calibri" w:cs="仿宋"/>
          <w:sz w:val="32"/>
          <w:szCs w:val="32"/>
        </w:rPr>
      </w:pPr>
    </w:p>
    <w:p w:rsidR="00D23018" w:rsidRDefault="00D23018">
      <w:pPr>
        <w:pStyle w:val="a0"/>
        <w:spacing w:before="93"/>
        <w:rPr>
          <w:rFonts w:hAnsi="Calibri" w:cs="仿宋"/>
          <w:sz w:val="32"/>
          <w:szCs w:val="32"/>
        </w:rPr>
        <w:sectPr w:rsidR="00D23018" w:rsidSect="00610B0A">
          <w:pgSz w:w="16838" w:h="11906" w:orient="landscape" w:code="9"/>
          <w:pgMar w:top="1588" w:right="1134" w:bottom="1134" w:left="1134" w:header="851" w:footer="992" w:gutter="0"/>
          <w:cols w:space="425"/>
          <w:titlePg/>
          <w:docGrid w:type="lines" w:linePitch="312"/>
        </w:sectPr>
      </w:pPr>
    </w:p>
    <w:p w:rsidR="00563F3A" w:rsidRDefault="00B86925">
      <w:pPr>
        <w:spacing w:line="600" w:lineRule="exact"/>
        <w:jc w:val="center"/>
        <w:outlineLvl w:val="0"/>
        <w:rPr>
          <w:rFonts w:ascii="仿宋" w:eastAsia="仿宋" w:hAnsi="仿宋"/>
        </w:rPr>
      </w:pPr>
      <w:bookmarkStart w:id="58" w:name="_Toc12872"/>
      <w:r>
        <w:rPr>
          <w:rFonts w:ascii="黑体" w:eastAsia="黑体" w:hAnsi="黑体" w:hint="eastAsia"/>
          <w:sz w:val="44"/>
          <w:szCs w:val="44"/>
        </w:rPr>
        <w:lastRenderedPageBreak/>
        <w:t>第</w:t>
      </w:r>
      <w:r>
        <w:rPr>
          <w:rStyle w:val="1Char"/>
          <w:rFonts w:ascii="黑体" w:eastAsia="黑体" w:hAnsi="黑体" w:hint="eastAsia"/>
          <w:b w:val="0"/>
        </w:rPr>
        <w:t>五部分 附表</w:t>
      </w:r>
      <w:bookmarkStart w:id="59" w:name="_Toc15396619"/>
      <w:bookmarkEnd w:id="55"/>
      <w:bookmarkEnd w:id="57"/>
      <w:bookmarkEnd w:id="58"/>
    </w:p>
    <w:p w:rsidR="00563F3A" w:rsidRDefault="00B86925">
      <w:pPr>
        <w:pStyle w:val="2"/>
        <w:rPr>
          <w:rFonts w:ascii="仿宋" w:eastAsia="仿宋" w:hAnsi="仿宋"/>
        </w:rPr>
      </w:pPr>
      <w:bookmarkStart w:id="60" w:name="_Toc3084"/>
      <w:r>
        <w:rPr>
          <w:rFonts w:ascii="仿宋" w:eastAsia="仿宋" w:hAnsi="仿宋" w:hint="eastAsia"/>
          <w:b w:val="0"/>
        </w:rPr>
        <w:t>一、收</w:t>
      </w:r>
      <w:r>
        <w:rPr>
          <w:rStyle w:val="2Char"/>
          <w:rFonts w:ascii="仿宋" w:eastAsia="仿宋" w:hAnsi="仿宋" w:hint="eastAsia"/>
        </w:rPr>
        <w:t>入支出决算总表</w:t>
      </w:r>
      <w:bookmarkEnd w:id="59"/>
      <w:bookmarkEnd w:id="60"/>
    </w:p>
    <w:p w:rsidR="00563F3A" w:rsidRDefault="00B86925">
      <w:pPr>
        <w:pStyle w:val="2"/>
        <w:rPr>
          <w:rFonts w:ascii="仿宋" w:eastAsia="仿宋" w:hAnsi="仿宋"/>
        </w:rPr>
      </w:pPr>
      <w:bookmarkStart w:id="61" w:name="_Toc15396620"/>
      <w:bookmarkStart w:id="62" w:name="_Toc26026"/>
      <w:r>
        <w:rPr>
          <w:rFonts w:ascii="仿宋" w:eastAsia="仿宋" w:hAnsi="仿宋" w:hint="eastAsia"/>
          <w:b w:val="0"/>
        </w:rPr>
        <w:t>二、收</w:t>
      </w:r>
      <w:r>
        <w:rPr>
          <w:rStyle w:val="2Char"/>
          <w:rFonts w:ascii="仿宋" w:eastAsia="仿宋" w:hAnsi="仿宋" w:hint="eastAsia"/>
        </w:rPr>
        <w:t>入决算表</w:t>
      </w:r>
      <w:bookmarkEnd w:id="61"/>
      <w:bookmarkEnd w:id="62"/>
    </w:p>
    <w:p w:rsidR="00563F3A" w:rsidRDefault="00B86925">
      <w:pPr>
        <w:pStyle w:val="2"/>
        <w:rPr>
          <w:rFonts w:ascii="仿宋" w:eastAsia="仿宋" w:hAnsi="仿宋"/>
        </w:rPr>
      </w:pPr>
      <w:bookmarkStart w:id="63" w:name="_Toc15396621"/>
      <w:bookmarkStart w:id="64" w:name="_Toc123"/>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63"/>
      <w:bookmarkEnd w:id="64"/>
    </w:p>
    <w:p w:rsidR="00563F3A" w:rsidRDefault="00B86925">
      <w:pPr>
        <w:pStyle w:val="2"/>
        <w:rPr>
          <w:rFonts w:ascii="仿宋" w:eastAsia="仿宋" w:hAnsi="仿宋"/>
          <w:b w:val="0"/>
        </w:rPr>
      </w:pPr>
      <w:bookmarkStart w:id="65" w:name="_Toc15396622"/>
      <w:bookmarkStart w:id="66" w:name="_Toc25529"/>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65"/>
      <w:bookmarkEnd w:id="66"/>
    </w:p>
    <w:p w:rsidR="00563F3A" w:rsidRDefault="00B86925">
      <w:pPr>
        <w:pStyle w:val="2"/>
        <w:rPr>
          <w:rStyle w:val="2Char"/>
          <w:rFonts w:ascii="仿宋" w:eastAsia="仿宋" w:hAnsi="仿宋"/>
        </w:rPr>
      </w:pPr>
      <w:bookmarkStart w:id="67" w:name="_Toc15396623"/>
      <w:bookmarkStart w:id="68" w:name="_Toc24288"/>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69" w:name="_Toc15396624"/>
      <w:bookmarkEnd w:id="67"/>
      <w:bookmarkEnd w:id="68"/>
    </w:p>
    <w:p w:rsidR="00563F3A" w:rsidRDefault="00B86925">
      <w:pPr>
        <w:pStyle w:val="2"/>
        <w:rPr>
          <w:rFonts w:ascii="仿宋" w:eastAsia="仿宋" w:hAnsi="仿宋"/>
        </w:rPr>
      </w:pPr>
      <w:bookmarkStart w:id="70" w:name="_Toc32500"/>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69"/>
      <w:bookmarkEnd w:id="70"/>
    </w:p>
    <w:p w:rsidR="00563F3A" w:rsidRDefault="00B86925">
      <w:pPr>
        <w:pStyle w:val="2"/>
        <w:rPr>
          <w:rFonts w:ascii="仿宋" w:eastAsia="仿宋" w:hAnsi="仿宋"/>
        </w:rPr>
      </w:pPr>
      <w:bookmarkStart w:id="71" w:name="_Toc10638"/>
      <w:bookmarkStart w:id="72"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71"/>
      <w:bookmarkEnd w:id="72"/>
    </w:p>
    <w:p w:rsidR="00563F3A" w:rsidRDefault="00B86925">
      <w:pPr>
        <w:pStyle w:val="2"/>
        <w:rPr>
          <w:rFonts w:ascii="仿宋" w:eastAsia="仿宋" w:hAnsi="仿宋"/>
        </w:rPr>
      </w:pPr>
      <w:bookmarkStart w:id="73" w:name="_Toc2801"/>
      <w:bookmarkStart w:id="74"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73"/>
      <w:bookmarkEnd w:id="74"/>
    </w:p>
    <w:p w:rsidR="00563F3A" w:rsidRDefault="00B86925">
      <w:pPr>
        <w:pStyle w:val="2"/>
        <w:rPr>
          <w:rFonts w:ascii="仿宋" w:eastAsia="仿宋" w:hAnsi="仿宋"/>
        </w:rPr>
      </w:pPr>
      <w:bookmarkStart w:id="75" w:name="_Toc15396627"/>
      <w:bookmarkStart w:id="76" w:name="_Toc32290"/>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75"/>
      <w:bookmarkEnd w:id="76"/>
    </w:p>
    <w:p w:rsidR="00563F3A" w:rsidRDefault="00B86925">
      <w:pPr>
        <w:pStyle w:val="2"/>
        <w:rPr>
          <w:rFonts w:ascii="仿宋" w:eastAsia="仿宋" w:hAnsi="仿宋"/>
        </w:rPr>
      </w:pPr>
      <w:bookmarkStart w:id="77" w:name="_Toc15396628"/>
      <w:bookmarkStart w:id="78" w:name="_Toc28081"/>
      <w:r>
        <w:rPr>
          <w:rStyle w:val="2Char"/>
          <w:rFonts w:ascii="仿宋" w:eastAsia="仿宋" w:hAnsi="仿宋" w:hint="eastAsia"/>
        </w:rPr>
        <w:t>十、</w:t>
      </w:r>
      <w:bookmarkEnd w:id="77"/>
      <w:r>
        <w:rPr>
          <w:rFonts w:ascii="仿宋" w:eastAsia="仿宋" w:hAnsi="仿宋" w:hint="eastAsia"/>
          <w:b w:val="0"/>
        </w:rPr>
        <w:t>政</w:t>
      </w:r>
      <w:r>
        <w:rPr>
          <w:rStyle w:val="2Char"/>
          <w:rFonts w:ascii="仿宋" w:eastAsia="仿宋" w:hAnsi="仿宋" w:hint="eastAsia"/>
        </w:rPr>
        <w:t>府性基金预算财政拨款收入支出决算表</w:t>
      </w:r>
      <w:bookmarkEnd w:id="78"/>
    </w:p>
    <w:p w:rsidR="00563F3A" w:rsidRDefault="00B86925">
      <w:pPr>
        <w:pStyle w:val="2"/>
        <w:rPr>
          <w:rFonts w:ascii="仿宋" w:eastAsia="仿宋" w:hAnsi="仿宋"/>
        </w:rPr>
      </w:pPr>
      <w:bookmarkStart w:id="79" w:name="_Toc15396629"/>
      <w:bookmarkStart w:id="80" w:name="_Toc22029"/>
      <w:r>
        <w:rPr>
          <w:rStyle w:val="2Char"/>
          <w:rFonts w:ascii="仿宋" w:eastAsia="仿宋" w:hAnsi="仿宋" w:hint="eastAsia"/>
        </w:rPr>
        <w:t>十一、</w:t>
      </w:r>
      <w:bookmarkEnd w:id="79"/>
      <w:r>
        <w:rPr>
          <w:rFonts w:ascii="仿宋" w:eastAsia="仿宋" w:hAnsi="仿宋" w:hint="eastAsia"/>
          <w:b w:val="0"/>
        </w:rPr>
        <w:t>国</w:t>
      </w:r>
      <w:r>
        <w:rPr>
          <w:rStyle w:val="2Char"/>
          <w:rFonts w:ascii="仿宋" w:eastAsia="仿宋" w:hAnsi="仿宋" w:hint="eastAsia"/>
        </w:rPr>
        <w:t>有资本经营预算财政拨款收入支出决算表</w:t>
      </w:r>
      <w:bookmarkEnd w:id="80"/>
    </w:p>
    <w:p w:rsidR="00563F3A" w:rsidRDefault="00B86925">
      <w:pPr>
        <w:pStyle w:val="2"/>
        <w:rPr>
          <w:rFonts w:ascii="仿宋" w:eastAsia="仿宋" w:hAnsi="仿宋"/>
        </w:rPr>
      </w:pPr>
      <w:bookmarkStart w:id="81" w:name="_Toc15396630"/>
      <w:bookmarkStart w:id="82" w:name="_Toc139"/>
      <w:r>
        <w:rPr>
          <w:rStyle w:val="2Char"/>
          <w:rFonts w:ascii="仿宋" w:eastAsia="仿宋" w:hAnsi="仿宋" w:hint="eastAsia"/>
        </w:rPr>
        <w:t>十二、</w:t>
      </w:r>
      <w:bookmarkEnd w:id="81"/>
      <w:r>
        <w:rPr>
          <w:rStyle w:val="2Char"/>
          <w:rFonts w:ascii="仿宋" w:eastAsia="仿宋" w:hAnsi="仿宋" w:hint="eastAsia"/>
        </w:rPr>
        <w:t>国有资本经营预算财政拨款支出决算表</w:t>
      </w:r>
      <w:bookmarkEnd w:id="82"/>
    </w:p>
    <w:p w:rsidR="00563F3A" w:rsidRDefault="00B86925">
      <w:pPr>
        <w:pStyle w:val="2"/>
        <w:rPr>
          <w:rFonts w:eastAsia="仿宋"/>
        </w:rPr>
      </w:pPr>
      <w:bookmarkStart w:id="83" w:name="_Toc15396631"/>
      <w:bookmarkStart w:id="84" w:name="_Toc31825"/>
      <w:r>
        <w:rPr>
          <w:rStyle w:val="2Char"/>
          <w:rFonts w:ascii="仿宋" w:eastAsia="仿宋" w:hAnsi="仿宋" w:hint="eastAsia"/>
        </w:rPr>
        <w:t>十三、</w:t>
      </w:r>
      <w:bookmarkEnd w:id="83"/>
      <w:r>
        <w:rPr>
          <w:rStyle w:val="2Char"/>
          <w:rFonts w:ascii="仿宋" w:eastAsia="仿宋" w:hAnsi="仿宋" w:hint="eastAsia"/>
        </w:rPr>
        <w:t>财政拨款“三公”经费支出决算表</w:t>
      </w:r>
      <w:bookmarkEnd w:id="84"/>
    </w:p>
    <w:sectPr w:rsidR="00563F3A" w:rsidSect="00610B0A">
      <w:pgSz w:w="11906" w:h="16838" w:code="9"/>
      <w:pgMar w:top="1985" w:right="1531" w:bottom="1701" w:left="1531"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F4A" w:rsidRDefault="00CA0F4A" w:rsidP="00563F3A">
      <w:r>
        <w:separator/>
      </w:r>
    </w:p>
  </w:endnote>
  <w:endnote w:type="continuationSeparator" w:id="1">
    <w:p w:rsidR="00CA0F4A" w:rsidRDefault="00CA0F4A" w:rsidP="00563F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71516EE3-CE13-488D-B561-8019CF66E944}"/>
    <w:embedBold r:id="rId2" w:subsetted="1" w:fontKey="{512375F3-1D51-4A81-93D4-7BB09AE8B108}"/>
  </w:font>
  <w:font w:name="Calibri">
    <w:panose1 w:val="020F0502020204030204"/>
    <w:charset w:val="00"/>
    <w:family w:val="swiss"/>
    <w:pitch w:val="variable"/>
    <w:sig w:usb0="E00002FF" w:usb1="4000ACFF" w:usb2="00000001" w:usb3="00000000" w:csb0="0000019F" w:csb1="00000000"/>
    <w:embedRegular r:id="rId3" w:subsetted="1" w:fontKey="{9769B7F3-2EAD-4155-B417-A922141429A5}"/>
    <w:embedBold r:id="rId4" w:subsetted="1" w:fontKey="{CC389D11-19EE-406D-972C-F8F03B26ECB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w:panose1 w:val="02010609030101010101"/>
    <w:charset w:val="86"/>
    <w:family w:val="modern"/>
    <w:pitch w:val="fixed"/>
    <w:sig w:usb0="00000001" w:usb1="080E0000" w:usb2="00000010" w:usb3="00000000" w:csb0="00040000" w:csb1="00000000"/>
    <w:embedRegular r:id="rId5" w:subsetted="1" w:fontKey="{44EA8FBB-CDA5-4291-8429-EDF65C3CDFEB}"/>
    <w:embedBold r:id="rId6" w:subsetted="1" w:fontKey="{7CAB72EF-D7CC-45E7-A752-E0FB6A9D0E6C}"/>
  </w:font>
  <w:font w:name="仿宋">
    <w:altName w:val="Arial"/>
    <w:panose1 w:val="02010609060101010101"/>
    <w:charset w:val="86"/>
    <w:family w:val="modern"/>
    <w:pitch w:val="fixed"/>
    <w:sig w:usb0="800002BF" w:usb1="38CF7CFA" w:usb2="00000016" w:usb3="00000000" w:csb0="00040001" w:csb1="00000000"/>
    <w:embedRegular r:id="rId7" w:subsetted="1" w:fontKey="{1EF916F4-B6AE-47BF-943A-AA01BFA40AC2}"/>
    <w:embedBold r:id="rId8" w:subsetted="1" w:fontKey="{076EB9AF-F107-4A4F-83FE-40A9B3DDC6DC}"/>
  </w:font>
  <w:font w:name="方正小标宋简体">
    <w:altName w:val="Arial"/>
    <w:panose1 w:val="03000509000000000000"/>
    <w:charset w:val="86"/>
    <w:family w:val="script"/>
    <w:pitch w:val="fixed"/>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embedBold r:id="rId9" w:subsetted="1" w:fontKey="{0CEBCABA-605F-4A94-BAA5-F393BE757891}"/>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embedItalic r:id="rId10" w:subsetted="1" w:fontKey="{3031B909-0254-4B72-AA7C-1F09C6A1A178}"/>
  </w:font>
  <w:font w:name="等线">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80E" w:rsidRDefault="00826000">
    <w:pPr>
      <w:pStyle w:val="a5"/>
    </w:pPr>
    <w:r>
      <w:pict>
        <v:shapetype id="_x0000_t202" coordsize="21600,21600" o:spt="202" path="m,l,21600r21600,l21600,xe">
          <v:stroke joinstyle="miter"/>
          <v:path gradientshapeok="t" o:connecttype="rect"/>
        </v:shapetype>
        <v:shape id="_x0000_s4098" type="#_x0000_t202" style="position:absolute;margin-left:0;margin-top:0;width:2in;height:2in;z-index:251659264;mso-wrap-style:none;mso-position-horizontal:center;mso-position-horizontal-relative:margin" filled="f" stroked="f">
          <v:textbox style="mso-next-textbox:#_x0000_s4098;mso-fit-shape-to-text:t" inset="0,0,0,0">
            <w:txbxContent>
              <w:p w:rsidR="0021180E" w:rsidRDefault="00826000">
                <w:pPr>
                  <w:pStyle w:val="a5"/>
                </w:pPr>
                <w:fldSimple w:instr=" PAGE  \* MERGEFORMAT ">
                  <w:r w:rsidR="0078195C">
                    <w:rPr>
                      <w:noProof/>
                    </w:rPr>
                    <w:t>8</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80E" w:rsidRDefault="00826000">
    <w:pPr>
      <w:pStyle w:val="a5"/>
    </w:pPr>
    <w:r>
      <w:pict>
        <v:shapetype id="_x0000_t202" coordsize="21600,21600" o:spt="202" path="m,l,21600r21600,l21600,xe">
          <v:stroke joinstyle="miter"/>
          <v:path gradientshapeok="t" o:connecttype="rect"/>
        </v:shapetype>
        <v:shape id="_x0000_s4097" type="#_x0000_t202" style="position:absolute;margin-left:0;margin-top:0;width:2in;height:2in;z-index:251660288;mso-wrap-style:none;mso-position-horizontal:center;mso-position-horizontal-relative:margin" filled="f" stroked="f">
          <v:textbox style="mso-next-textbox:#_x0000_s4097;mso-fit-shape-to-text:t" inset="0,0,0,0">
            <w:txbxContent>
              <w:p w:rsidR="0021180E" w:rsidRDefault="00826000">
                <w:pPr>
                  <w:pStyle w:val="a5"/>
                </w:pPr>
                <w:fldSimple w:instr=" PAGE  \* MERGEFORMAT ">
                  <w:r w:rsidR="0078195C">
                    <w:rPr>
                      <w:noProof/>
                    </w:rPr>
                    <w:t>12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F4A" w:rsidRDefault="00CA0F4A" w:rsidP="00563F3A">
      <w:r>
        <w:separator/>
      </w:r>
    </w:p>
  </w:footnote>
  <w:footnote w:type="continuationSeparator" w:id="1">
    <w:p w:rsidR="00CA0F4A" w:rsidRDefault="00CA0F4A" w:rsidP="00563F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80E" w:rsidRDefault="0021180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3818A09A"/>
    <w:multiLevelType w:val="singleLevel"/>
    <w:tmpl w:val="3818A09A"/>
    <w:lvl w:ilvl="0">
      <w:start w:val="1"/>
      <w:numFmt w:val="chineseCounting"/>
      <w:suff w:val="nothing"/>
      <w:lvlText w:val="%1、"/>
      <w:lvlJc w:val="left"/>
      <w:rPr>
        <w:rFonts w:hint="eastAsia"/>
      </w:rPr>
    </w:lvl>
  </w:abstractNum>
  <w:abstractNum w:abstractNumId="4">
    <w:nsid w:val="7B49F5ED"/>
    <w:multiLevelType w:val="singleLevel"/>
    <w:tmpl w:val="7B49F5ED"/>
    <w:lvl w:ilvl="0">
      <w:start w:val="1"/>
      <w:numFmt w:val="decimal"/>
      <w:suff w:val="nothing"/>
      <w:lvlText w:val="%1．"/>
      <w:lvlJc w:val="left"/>
      <w:pPr>
        <w:ind w:left="0" w:firstLine="400"/>
      </w:pPr>
      <w:rPr>
        <w:rFonts w:ascii="Times New Roman" w:hAnsi="Times New Roman" w:cs="Times New Roman" w:hint="default"/>
        <w:b w:val="0"/>
        <w:bCs w:val="0"/>
        <w:sz w:val="32"/>
        <w:szCs w:val="32"/>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00F1361C"/>
    <w:rsid w:val="9E3A10E2"/>
    <w:rsid w:val="F2E1F9D4"/>
    <w:rsid w:val="F7880819"/>
    <w:rsid w:val="FF4F169B"/>
    <w:rsid w:val="000222C6"/>
    <w:rsid w:val="0002549F"/>
    <w:rsid w:val="000468DB"/>
    <w:rsid w:val="0006487A"/>
    <w:rsid w:val="00065F8F"/>
    <w:rsid w:val="00070A43"/>
    <w:rsid w:val="000768F2"/>
    <w:rsid w:val="0009184B"/>
    <w:rsid w:val="00094236"/>
    <w:rsid w:val="0009593C"/>
    <w:rsid w:val="00097322"/>
    <w:rsid w:val="000A12A4"/>
    <w:rsid w:val="000A6A92"/>
    <w:rsid w:val="000B047F"/>
    <w:rsid w:val="000B5923"/>
    <w:rsid w:val="000B5A48"/>
    <w:rsid w:val="000B6FF3"/>
    <w:rsid w:val="000C3467"/>
    <w:rsid w:val="000C3CA6"/>
    <w:rsid w:val="000D1267"/>
    <w:rsid w:val="000D1D50"/>
    <w:rsid w:val="000D5782"/>
    <w:rsid w:val="000E6613"/>
    <w:rsid w:val="000E7119"/>
    <w:rsid w:val="000F2EB3"/>
    <w:rsid w:val="001007E4"/>
    <w:rsid w:val="00106CFD"/>
    <w:rsid w:val="00114E9B"/>
    <w:rsid w:val="001372E6"/>
    <w:rsid w:val="00142216"/>
    <w:rsid w:val="00143A4A"/>
    <w:rsid w:val="00144D6A"/>
    <w:rsid w:val="0014729F"/>
    <w:rsid w:val="00157BAB"/>
    <w:rsid w:val="001654D1"/>
    <w:rsid w:val="00174518"/>
    <w:rsid w:val="0018106D"/>
    <w:rsid w:val="001877A7"/>
    <w:rsid w:val="00190FAF"/>
    <w:rsid w:val="00191536"/>
    <w:rsid w:val="00195A12"/>
    <w:rsid w:val="00196687"/>
    <w:rsid w:val="001B311C"/>
    <w:rsid w:val="001C0962"/>
    <w:rsid w:val="001D7531"/>
    <w:rsid w:val="001E737D"/>
    <w:rsid w:val="001F0592"/>
    <w:rsid w:val="001F7506"/>
    <w:rsid w:val="002006CD"/>
    <w:rsid w:val="00202B36"/>
    <w:rsid w:val="00204B7A"/>
    <w:rsid w:val="00204CDE"/>
    <w:rsid w:val="0020549B"/>
    <w:rsid w:val="0021101A"/>
    <w:rsid w:val="0021180E"/>
    <w:rsid w:val="00220536"/>
    <w:rsid w:val="00226805"/>
    <w:rsid w:val="00235629"/>
    <w:rsid w:val="00260C38"/>
    <w:rsid w:val="002616C0"/>
    <w:rsid w:val="00262E23"/>
    <w:rsid w:val="00264140"/>
    <w:rsid w:val="00265372"/>
    <w:rsid w:val="002662AA"/>
    <w:rsid w:val="00266710"/>
    <w:rsid w:val="00280496"/>
    <w:rsid w:val="00294DC9"/>
    <w:rsid w:val="00295495"/>
    <w:rsid w:val="002A07C1"/>
    <w:rsid w:val="002A31DE"/>
    <w:rsid w:val="002B2613"/>
    <w:rsid w:val="002D6D05"/>
    <w:rsid w:val="002D7AE4"/>
    <w:rsid w:val="002E1A92"/>
    <w:rsid w:val="002E3C86"/>
    <w:rsid w:val="002E7521"/>
    <w:rsid w:val="002F1818"/>
    <w:rsid w:val="002F3D50"/>
    <w:rsid w:val="002F567B"/>
    <w:rsid w:val="003216A9"/>
    <w:rsid w:val="00334062"/>
    <w:rsid w:val="00335A74"/>
    <w:rsid w:val="0036561B"/>
    <w:rsid w:val="0037013F"/>
    <w:rsid w:val="00380C92"/>
    <w:rsid w:val="0039292F"/>
    <w:rsid w:val="0039625A"/>
    <w:rsid w:val="00397588"/>
    <w:rsid w:val="003A3586"/>
    <w:rsid w:val="003A484F"/>
    <w:rsid w:val="003A4883"/>
    <w:rsid w:val="003B0BE0"/>
    <w:rsid w:val="003B0C1B"/>
    <w:rsid w:val="003B688C"/>
    <w:rsid w:val="003C0291"/>
    <w:rsid w:val="003C39AE"/>
    <w:rsid w:val="003C468A"/>
    <w:rsid w:val="003C7B60"/>
    <w:rsid w:val="003D0C0F"/>
    <w:rsid w:val="003D1FB2"/>
    <w:rsid w:val="003D66DA"/>
    <w:rsid w:val="003D6E55"/>
    <w:rsid w:val="003E0BCC"/>
    <w:rsid w:val="003E1310"/>
    <w:rsid w:val="003E6F55"/>
    <w:rsid w:val="00405A4D"/>
    <w:rsid w:val="00406254"/>
    <w:rsid w:val="00411FC0"/>
    <w:rsid w:val="00414C4E"/>
    <w:rsid w:val="004223DE"/>
    <w:rsid w:val="00434489"/>
    <w:rsid w:val="00437085"/>
    <w:rsid w:val="004403B0"/>
    <w:rsid w:val="00443880"/>
    <w:rsid w:val="004464F4"/>
    <w:rsid w:val="00471401"/>
    <w:rsid w:val="00473F31"/>
    <w:rsid w:val="0048263A"/>
    <w:rsid w:val="00487E5D"/>
    <w:rsid w:val="004A711F"/>
    <w:rsid w:val="004B199D"/>
    <w:rsid w:val="004B4690"/>
    <w:rsid w:val="004C4335"/>
    <w:rsid w:val="004E0A2D"/>
    <w:rsid w:val="004E206B"/>
    <w:rsid w:val="004E6DF7"/>
    <w:rsid w:val="004F0FBD"/>
    <w:rsid w:val="00505A47"/>
    <w:rsid w:val="00512FDA"/>
    <w:rsid w:val="00513D87"/>
    <w:rsid w:val="00520DA0"/>
    <w:rsid w:val="0053718F"/>
    <w:rsid w:val="00542649"/>
    <w:rsid w:val="005543B3"/>
    <w:rsid w:val="00563F3A"/>
    <w:rsid w:val="005664BB"/>
    <w:rsid w:val="00566FFA"/>
    <w:rsid w:val="0057481D"/>
    <w:rsid w:val="0058486E"/>
    <w:rsid w:val="00585B33"/>
    <w:rsid w:val="0059014D"/>
    <w:rsid w:val="005B5C64"/>
    <w:rsid w:val="005B7771"/>
    <w:rsid w:val="005C5337"/>
    <w:rsid w:val="005C6BD0"/>
    <w:rsid w:val="005D1C8B"/>
    <w:rsid w:val="005D468D"/>
    <w:rsid w:val="005D5CED"/>
    <w:rsid w:val="005F1A4C"/>
    <w:rsid w:val="005F74AC"/>
    <w:rsid w:val="00605688"/>
    <w:rsid w:val="006070AF"/>
    <w:rsid w:val="00607E6C"/>
    <w:rsid w:val="006101B1"/>
    <w:rsid w:val="00610B0A"/>
    <w:rsid w:val="00614E44"/>
    <w:rsid w:val="0062270A"/>
    <w:rsid w:val="00622830"/>
    <w:rsid w:val="00623DA0"/>
    <w:rsid w:val="00630AEF"/>
    <w:rsid w:val="006325F8"/>
    <w:rsid w:val="00633463"/>
    <w:rsid w:val="00634C9A"/>
    <w:rsid w:val="00640A65"/>
    <w:rsid w:val="006440E4"/>
    <w:rsid w:val="00655B24"/>
    <w:rsid w:val="0066343B"/>
    <w:rsid w:val="00664777"/>
    <w:rsid w:val="006748A4"/>
    <w:rsid w:val="00681A31"/>
    <w:rsid w:val="00683E73"/>
    <w:rsid w:val="0069230C"/>
    <w:rsid w:val="006A2973"/>
    <w:rsid w:val="006A3141"/>
    <w:rsid w:val="006A5E34"/>
    <w:rsid w:val="006B2422"/>
    <w:rsid w:val="006B2B9A"/>
    <w:rsid w:val="006B57AD"/>
    <w:rsid w:val="006B7D0D"/>
    <w:rsid w:val="006C1937"/>
    <w:rsid w:val="006F020C"/>
    <w:rsid w:val="007127B7"/>
    <w:rsid w:val="0071798E"/>
    <w:rsid w:val="007416B6"/>
    <w:rsid w:val="00746F48"/>
    <w:rsid w:val="0075404D"/>
    <w:rsid w:val="0076182A"/>
    <w:rsid w:val="0076420E"/>
    <w:rsid w:val="00765170"/>
    <w:rsid w:val="00767B7E"/>
    <w:rsid w:val="007770C3"/>
    <w:rsid w:val="0078195C"/>
    <w:rsid w:val="00784D24"/>
    <w:rsid w:val="00785FBA"/>
    <w:rsid w:val="00786E4A"/>
    <w:rsid w:val="007875EB"/>
    <w:rsid w:val="0079426B"/>
    <w:rsid w:val="007B1354"/>
    <w:rsid w:val="007C40D4"/>
    <w:rsid w:val="007C6AAC"/>
    <w:rsid w:val="007D1682"/>
    <w:rsid w:val="007D312A"/>
    <w:rsid w:val="007D3F19"/>
    <w:rsid w:val="007E23B0"/>
    <w:rsid w:val="007E23E5"/>
    <w:rsid w:val="007F1991"/>
    <w:rsid w:val="007F2C2F"/>
    <w:rsid w:val="007F55FC"/>
    <w:rsid w:val="007F5665"/>
    <w:rsid w:val="00800112"/>
    <w:rsid w:val="00802B3F"/>
    <w:rsid w:val="00813348"/>
    <w:rsid w:val="008253BB"/>
    <w:rsid w:val="00826000"/>
    <w:rsid w:val="008274EF"/>
    <w:rsid w:val="0083563A"/>
    <w:rsid w:val="0083706E"/>
    <w:rsid w:val="00837606"/>
    <w:rsid w:val="008408F6"/>
    <w:rsid w:val="008423A5"/>
    <w:rsid w:val="00850625"/>
    <w:rsid w:val="00853718"/>
    <w:rsid w:val="00855221"/>
    <w:rsid w:val="00860645"/>
    <w:rsid w:val="00871F71"/>
    <w:rsid w:val="00872FD8"/>
    <w:rsid w:val="00885AF4"/>
    <w:rsid w:val="008939CD"/>
    <w:rsid w:val="008B0F58"/>
    <w:rsid w:val="008B768C"/>
    <w:rsid w:val="008C4DB1"/>
    <w:rsid w:val="008C4EAF"/>
    <w:rsid w:val="008C5176"/>
    <w:rsid w:val="008C7FD0"/>
    <w:rsid w:val="008D0211"/>
    <w:rsid w:val="008E1DE7"/>
    <w:rsid w:val="008E707C"/>
    <w:rsid w:val="008F15D4"/>
    <w:rsid w:val="00900B08"/>
    <w:rsid w:val="00902155"/>
    <w:rsid w:val="00902FA3"/>
    <w:rsid w:val="00923564"/>
    <w:rsid w:val="0092392E"/>
    <w:rsid w:val="00930C10"/>
    <w:rsid w:val="009315F9"/>
    <w:rsid w:val="00933499"/>
    <w:rsid w:val="00935C98"/>
    <w:rsid w:val="00946945"/>
    <w:rsid w:val="00951248"/>
    <w:rsid w:val="0095152F"/>
    <w:rsid w:val="00954C49"/>
    <w:rsid w:val="00955E37"/>
    <w:rsid w:val="0097099F"/>
    <w:rsid w:val="00971997"/>
    <w:rsid w:val="00971FFC"/>
    <w:rsid w:val="0098660A"/>
    <w:rsid w:val="009931C3"/>
    <w:rsid w:val="009952D0"/>
    <w:rsid w:val="009A4502"/>
    <w:rsid w:val="009B0288"/>
    <w:rsid w:val="009B2C43"/>
    <w:rsid w:val="009B4EAE"/>
    <w:rsid w:val="009B7573"/>
    <w:rsid w:val="009C22F4"/>
    <w:rsid w:val="009C2A4B"/>
    <w:rsid w:val="009C2E98"/>
    <w:rsid w:val="009C3EC6"/>
    <w:rsid w:val="009D3447"/>
    <w:rsid w:val="009D4711"/>
    <w:rsid w:val="009F1185"/>
    <w:rsid w:val="009F18CD"/>
    <w:rsid w:val="009F2A13"/>
    <w:rsid w:val="009F382A"/>
    <w:rsid w:val="009F7527"/>
    <w:rsid w:val="00A04EB0"/>
    <w:rsid w:val="00A06732"/>
    <w:rsid w:val="00A13CC1"/>
    <w:rsid w:val="00A16847"/>
    <w:rsid w:val="00A237D8"/>
    <w:rsid w:val="00A268C4"/>
    <w:rsid w:val="00A30627"/>
    <w:rsid w:val="00A307CD"/>
    <w:rsid w:val="00A331C8"/>
    <w:rsid w:val="00A40A00"/>
    <w:rsid w:val="00A4142F"/>
    <w:rsid w:val="00A422EB"/>
    <w:rsid w:val="00A44AF2"/>
    <w:rsid w:val="00A45BB7"/>
    <w:rsid w:val="00A46E63"/>
    <w:rsid w:val="00A56DF2"/>
    <w:rsid w:val="00A56E6E"/>
    <w:rsid w:val="00A65BC5"/>
    <w:rsid w:val="00A67AB5"/>
    <w:rsid w:val="00A67FE6"/>
    <w:rsid w:val="00A733B2"/>
    <w:rsid w:val="00A741C2"/>
    <w:rsid w:val="00A851DC"/>
    <w:rsid w:val="00A91760"/>
    <w:rsid w:val="00A93B00"/>
    <w:rsid w:val="00A93C21"/>
    <w:rsid w:val="00A94D67"/>
    <w:rsid w:val="00AB64C9"/>
    <w:rsid w:val="00AC3C6A"/>
    <w:rsid w:val="00AD5620"/>
    <w:rsid w:val="00AD656B"/>
    <w:rsid w:val="00AD7C1B"/>
    <w:rsid w:val="00AD7D6A"/>
    <w:rsid w:val="00AE16BA"/>
    <w:rsid w:val="00AE1EBE"/>
    <w:rsid w:val="00AE371A"/>
    <w:rsid w:val="00AF7247"/>
    <w:rsid w:val="00B03C9D"/>
    <w:rsid w:val="00B056EE"/>
    <w:rsid w:val="00B060AE"/>
    <w:rsid w:val="00B10517"/>
    <w:rsid w:val="00B12DD6"/>
    <w:rsid w:val="00B14E76"/>
    <w:rsid w:val="00B161B8"/>
    <w:rsid w:val="00B2048C"/>
    <w:rsid w:val="00B30E72"/>
    <w:rsid w:val="00B310B9"/>
    <w:rsid w:val="00B35F3F"/>
    <w:rsid w:val="00B36CBB"/>
    <w:rsid w:val="00B425E0"/>
    <w:rsid w:val="00B440AA"/>
    <w:rsid w:val="00B44B70"/>
    <w:rsid w:val="00B4709E"/>
    <w:rsid w:val="00B53C56"/>
    <w:rsid w:val="00B56732"/>
    <w:rsid w:val="00B57DAF"/>
    <w:rsid w:val="00B77EA6"/>
    <w:rsid w:val="00B81598"/>
    <w:rsid w:val="00B841F1"/>
    <w:rsid w:val="00B86925"/>
    <w:rsid w:val="00B90FA7"/>
    <w:rsid w:val="00B944D6"/>
    <w:rsid w:val="00B951C1"/>
    <w:rsid w:val="00BB4DF0"/>
    <w:rsid w:val="00BC0B4E"/>
    <w:rsid w:val="00BC289F"/>
    <w:rsid w:val="00BC2D50"/>
    <w:rsid w:val="00BC5361"/>
    <w:rsid w:val="00BC5460"/>
    <w:rsid w:val="00BC6B50"/>
    <w:rsid w:val="00BD0E25"/>
    <w:rsid w:val="00BF5BD6"/>
    <w:rsid w:val="00BF6A5C"/>
    <w:rsid w:val="00C03E31"/>
    <w:rsid w:val="00C2634E"/>
    <w:rsid w:val="00C32467"/>
    <w:rsid w:val="00C33E72"/>
    <w:rsid w:val="00C354B2"/>
    <w:rsid w:val="00C35554"/>
    <w:rsid w:val="00C37FAF"/>
    <w:rsid w:val="00C42709"/>
    <w:rsid w:val="00C504E4"/>
    <w:rsid w:val="00C533CC"/>
    <w:rsid w:val="00C5751C"/>
    <w:rsid w:val="00C61BFC"/>
    <w:rsid w:val="00C62B85"/>
    <w:rsid w:val="00C65438"/>
    <w:rsid w:val="00C84EE4"/>
    <w:rsid w:val="00C86A82"/>
    <w:rsid w:val="00C87FD8"/>
    <w:rsid w:val="00C91381"/>
    <w:rsid w:val="00C91CBB"/>
    <w:rsid w:val="00C950D7"/>
    <w:rsid w:val="00CA0F4A"/>
    <w:rsid w:val="00CA735D"/>
    <w:rsid w:val="00CB4E70"/>
    <w:rsid w:val="00CC09B6"/>
    <w:rsid w:val="00CC666F"/>
    <w:rsid w:val="00CD1E3F"/>
    <w:rsid w:val="00CE44F6"/>
    <w:rsid w:val="00CE49DA"/>
    <w:rsid w:val="00CE7B61"/>
    <w:rsid w:val="00D00095"/>
    <w:rsid w:val="00D114F0"/>
    <w:rsid w:val="00D20620"/>
    <w:rsid w:val="00D22C5D"/>
    <w:rsid w:val="00D23018"/>
    <w:rsid w:val="00D254F7"/>
    <w:rsid w:val="00D26091"/>
    <w:rsid w:val="00D2685C"/>
    <w:rsid w:val="00D34E7C"/>
    <w:rsid w:val="00D35489"/>
    <w:rsid w:val="00D36AFE"/>
    <w:rsid w:val="00D36F32"/>
    <w:rsid w:val="00D51276"/>
    <w:rsid w:val="00D51C8E"/>
    <w:rsid w:val="00D6067F"/>
    <w:rsid w:val="00D7035F"/>
    <w:rsid w:val="00DA634F"/>
    <w:rsid w:val="00DA65AC"/>
    <w:rsid w:val="00DB1913"/>
    <w:rsid w:val="00DB7E0A"/>
    <w:rsid w:val="00DC410D"/>
    <w:rsid w:val="00DC5A81"/>
    <w:rsid w:val="00DC68CA"/>
    <w:rsid w:val="00DC7CBA"/>
    <w:rsid w:val="00DD73B7"/>
    <w:rsid w:val="00DF28BC"/>
    <w:rsid w:val="00DF34B9"/>
    <w:rsid w:val="00E01053"/>
    <w:rsid w:val="00E0527D"/>
    <w:rsid w:val="00E05A8A"/>
    <w:rsid w:val="00E06992"/>
    <w:rsid w:val="00E07ACF"/>
    <w:rsid w:val="00E13A2B"/>
    <w:rsid w:val="00E27272"/>
    <w:rsid w:val="00E331A1"/>
    <w:rsid w:val="00E33202"/>
    <w:rsid w:val="00E336A9"/>
    <w:rsid w:val="00E40B43"/>
    <w:rsid w:val="00E472B1"/>
    <w:rsid w:val="00E50624"/>
    <w:rsid w:val="00E568DF"/>
    <w:rsid w:val="00E64004"/>
    <w:rsid w:val="00E64269"/>
    <w:rsid w:val="00E7110E"/>
    <w:rsid w:val="00E82267"/>
    <w:rsid w:val="00E849CD"/>
    <w:rsid w:val="00E853CE"/>
    <w:rsid w:val="00E867B6"/>
    <w:rsid w:val="00E917D0"/>
    <w:rsid w:val="00E9528C"/>
    <w:rsid w:val="00EA010F"/>
    <w:rsid w:val="00EA4055"/>
    <w:rsid w:val="00ED1B63"/>
    <w:rsid w:val="00ED3C1F"/>
    <w:rsid w:val="00ED4085"/>
    <w:rsid w:val="00ED420E"/>
    <w:rsid w:val="00ED6FBE"/>
    <w:rsid w:val="00ED6FD8"/>
    <w:rsid w:val="00EE2F57"/>
    <w:rsid w:val="00EF4C34"/>
    <w:rsid w:val="00EF77C6"/>
    <w:rsid w:val="00F05438"/>
    <w:rsid w:val="00F071F0"/>
    <w:rsid w:val="00F07F07"/>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E1EEC"/>
    <w:rsid w:val="00FE65B4"/>
    <w:rsid w:val="00FF1E02"/>
    <w:rsid w:val="00FF30B4"/>
    <w:rsid w:val="00FF542C"/>
    <w:rsid w:val="00FF7E28"/>
    <w:rsid w:val="011D58AF"/>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53C7B71"/>
    <w:rsid w:val="383D272C"/>
    <w:rsid w:val="39AE70AB"/>
    <w:rsid w:val="3C0C0783"/>
    <w:rsid w:val="3F9F3A96"/>
    <w:rsid w:val="4078752B"/>
    <w:rsid w:val="41085755"/>
    <w:rsid w:val="48BF60AB"/>
    <w:rsid w:val="493C27E9"/>
    <w:rsid w:val="496F39ED"/>
    <w:rsid w:val="498745BC"/>
    <w:rsid w:val="49FF41D3"/>
    <w:rsid w:val="4B58772B"/>
    <w:rsid w:val="4BE068DB"/>
    <w:rsid w:val="4BF6002B"/>
    <w:rsid w:val="4ECE2238"/>
    <w:rsid w:val="51DB4B86"/>
    <w:rsid w:val="55333C3E"/>
    <w:rsid w:val="56D83E34"/>
    <w:rsid w:val="64CA39A1"/>
    <w:rsid w:val="69630ADE"/>
    <w:rsid w:val="6C4A05C8"/>
    <w:rsid w:val="6D3B1A89"/>
    <w:rsid w:val="71BF4EC2"/>
    <w:rsid w:val="72734D90"/>
    <w:rsid w:val="7412278C"/>
    <w:rsid w:val="7904082E"/>
    <w:rsid w:val="79E7B28D"/>
    <w:rsid w:val="7F9F20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63F3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63F3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63F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63F3A"/>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563F3A"/>
    <w:pPr>
      <w:spacing w:beforeLines="30"/>
    </w:pPr>
    <w:rPr>
      <w:rFonts w:ascii="仿宋_GB2312" w:eastAsia="仿宋_GB2312"/>
      <w:kern w:val="0"/>
      <w:sz w:val="30"/>
    </w:rPr>
  </w:style>
  <w:style w:type="character" w:customStyle="1" w:styleId="Char">
    <w:name w:val="正文文本 Char"/>
    <w:link w:val="a0"/>
    <w:uiPriority w:val="99"/>
    <w:qFormat/>
    <w:locked/>
    <w:rsid w:val="00563F3A"/>
    <w:rPr>
      <w:rFonts w:ascii="仿宋_GB2312" w:eastAsia="仿宋_GB2312" w:hAnsi="Times New Roman"/>
      <w:sz w:val="24"/>
    </w:rPr>
  </w:style>
  <w:style w:type="character" w:customStyle="1" w:styleId="1Char">
    <w:name w:val="标题 1 Char"/>
    <w:basedOn w:val="a1"/>
    <w:link w:val="1"/>
    <w:uiPriority w:val="9"/>
    <w:qFormat/>
    <w:rsid w:val="00563F3A"/>
    <w:rPr>
      <w:rFonts w:ascii="Times New Roman" w:hAnsi="Times New Roman"/>
      <w:b/>
      <w:bCs/>
      <w:kern w:val="44"/>
      <w:sz w:val="44"/>
      <w:szCs w:val="44"/>
    </w:rPr>
  </w:style>
  <w:style w:type="character" w:customStyle="1" w:styleId="2Char">
    <w:name w:val="标题 2 Char"/>
    <w:basedOn w:val="a1"/>
    <w:link w:val="2"/>
    <w:uiPriority w:val="9"/>
    <w:qFormat/>
    <w:rsid w:val="00563F3A"/>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sid w:val="00563F3A"/>
    <w:rPr>
      <w:rFonts w:ascii="Times New Roman" w:hAnsi="Times New Roman"/>
      <w:b/>
      <w:bCs/>
      <w:kern w:val="2"/>
      <w:sz w:val="32"/>
      <w:szCs w:val="32"/>
    </w:rPr>
  </w:style>
  <w:style w:type="paragraph" w:styleId="30">
    <w:name w:val="toc 3"/>
    <w:basedOn w:val="a"/>
    <w:next w:val="a"/>
    <w:uiPriority w:val="39"/>
    <w:unhideWhenUsed/>
    <w:qFormat/>
    <w:rsid w:val="00563F3A"/>
    <w:pPr>
      <w:tabs>
        <w:tab w:val="right" w:leader="dot" w:pos="8296"/>
      </w:tabs>
      <w:ind w:leftChars="400" w:left="840"/>
    </w:pPr>
  </w:style>
  <w:style w:type="paragraph" w:styleId="a4">
    <w:name w:val="Balloon Text"/>
    <w:basedOn w:val="a"/>
    <w:link w:val="Char0"/>
    <w:uiPriority w:val="99"/>
    <w:semiHidden/>
    <w:unhideWhenUsed/>
    <w:qFormat/>
    <w:rsid w:val="00563F3A"/>
    <w:rPr>
      <w:sz w:val="18"/>
      <w:szCs w:val="18"/>
    </w:rPr>
  </w:style>
  <w:style w:type="character" w:customStyle="1" w:styleId="Char0">
    <w:name w:val="批注框文本 Char"/>
    <w:basedOn w:val="a1"/>
    <w:link w:val="a4"/>
    <w:uiPriority w:val="99"/>
    <w:semiHidden/>
    <w:qFormat/>
    <w:rsid w:val="00563F3A"/>
    <w:rPr>
      <w:rFonts w:ascii="Times New Roman" w:hAnsi="Times New Roman"/>
      <w:kern w:val="2"/>
      <w:sz w:val="18"/>
      <w:szCs w:val="18"/>
    </w:rPr>
  </w:style>
  <w:style w:type="paragraph" w:styleId="a5">
    <w:name w:val="footer"/>
    <w:basedOn w:val="a"/>
    <w:link w:val="Char1"/>
    <w:uiPriority w:val="99"/>
    <w:qFormat/>
    <w:rsid w:val="00563F3A"/>
    <w:pPr>
      <w:tabs>
        <w:tab w:val="center" w:pos="4153"/>
        <w:tab w:val="right" w:pos="8306"/>
      </w:tabs>
      <w:snapToGrid w:val="0"/>
      <w:jc w:val="left"/>
    </w:pPr>
    <w:rPr>
      <w:rFonts w:ascii="Calibri" w:hAnsi="Calibri"/>
      <w:kern w:val="0"/>
      <w:sz w:val="18"/>
      <w:szCs w:val="18"/>
    </w:rPr>
  </w:style>
  <w:style w:type="character" w:customStyle="1" w:styleId="Char1">
    <w:name w:val="页脚 Char"/>
    <w:link w:val="a5"/>
    <w:uiPriority w:val="99"/>
    <w:qFormat/>
    <w:locked/>
    <w:rsid w:val="00563F3A"/>
    <w:rPr>
      <w:sz w:val="18"/>
    </w:rPr>
  </w:style>
  <w:style w:type="paragraph" w:styleId="a6">
    <w:name w:val="header"/>
    <w:basedOn w:val="a"/>
    <w:link w:val="Char2"/>
    <w:uiPriority w:val="99"/>
    <w:semiHidden/>
    <w:qFormat/>
    <w:rsid w:val="00563F3A"/>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2">
    <w:name w:val="页眉 Char"/>
    <w:link w:val="a6"/>
    <w:uiPriority w:val="99"/>
    <w:semiHidden/>
    <w:qFormat/>
    <w:locked/>
    <w:rsid w:val="00563F3A"/>
    <w:rPr>
      <w:sz w:val="18"/>
    </w:rPr>
  </w:style>
  <w:style w:type="paragraph" w:styleId="10">
    <w:name w:val="toc 1"/>
    <w:basedOn w:val="a"/>
    <w:next w:val="a"/>
    <w:uiPriority w:val="39"/>
    <w:unhideWhenUsed/>
    <w:qFormat/>
    <w:rsid w:val="00563F3A"/>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563F3A"/>
    <w:pPr>
      <w:tabs>
        <w:tab w:val="right" w:leader="dot" w:pos="8296"/>
      </w:tabs>
      <w:ind w:leftChars="200" w:left="420"/>
    </w:pPr>
  </w:style>
  <w:style w:type="character" w:styleId="a7">
    <w:name w:val="Strong"/>
    <w:basedOn w:val="a1"/>
    <w:uiPriority w:val="99"/>
    <w:qFormat/>
    <w:rsid w:val="00563F3A"/>
    <w:rPr>
      <w:b/>
    </w:rPr>
  </w:style>
  <w:style w:type="character" w:styleId="a8">
    <w:name w:val="Hyperlink"/>
    <w:basedOn w:val="a1"/>
    <w:uiPriority w:val="99"/>
    <w:unhideWhenUsed/>
    <w:qFormat/>
    <w:rsid w:val="00563F3A"/>
    <w:rPr>
      <w:color w:val="0000FF" w:themeColor="hyperlink"/>
      <w:u w:val="single"/>
    </w:rPr>
  </w:style>
  <w:style w:type="character" w:customStyle="1" w:styleId="HeaderChar">
    <w:name w:val="Header Char"/>
    <w:basedOn w:val="a1"/>
    <w:uiPriority w:val="99"/>
    <w:semiHidden/>
    <w:qFormat/>
    <w:rsid w:val="00563F3A"/>
    <w:rPr>
      <w:rFonts w:ascii="Times New Roman" w:hAnsi="Times New Roman"/>
      <w:sz w:val="18"/>
      <w:szCs w:val="18"/>
    </w:rPr>
  </w:style>
  <w:style w:type="character" w:customStyle="1" w:styleId="FooterChar">
    <w:name w:val="Footer Char"/>
    <w:basedOn w:val="a1"/>
    <w:uiPriority w:val="99"/>
    <w:semiHidden/>
    <w:qFormat/>
    <w:rsid w:val="00563F3A"/>
    <w:rPr>
      <w:rFonts w:ascii="Times New Roman" w:hAnsi="Times New Roman"/>
      <w:sz w:val="18"/>
      <w:szCs w:val="18"/>
    </w:rPr>
  </w:style>
  <w:style w:type="character" w:customStyle="1" w:styleId="BodyTextChar">
    <w:name w:val="Body Text Char"/>
    <w:basedOn w:val="a1"/>
    <w:uiPriority w:val="99"/>
    <w:semiHidden/>
    <w:qFormat/>
    <w:rsid w:val="00563F3A"/>
    <w:rPr>
      <w:rFonts w:ascii="Times New Roman" w:hAnsi="Times New Roman"/>
      <w:szCs w:val="24"/>
    </w:rPr>
  </w:style>
  <w:style w:type="paragraph" w:customStyle="1" w:styleId="Default">
    <w:name w:val="Default"/>
    <w:uiPriority w:val="99"/>
    <w:qFormat/>
    <w:rsid w:val="00563F3A"/>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563F3A"/>
    <w:pPr>
      <w:ind w:firstLineChars="200" w:firstLine="420"/>
    </w:pPr>
  </w:style>
  <w:style w:type="paragraph" w:customStyle="1" w:styleId="TOC1">
    <w:name w:val="TOC 标题1"/>
    <w:basedOn w:val="1"/>
    <w:next w:val="a"/>
    <w:uiPriority w:val="39"/>
    <w:unhideWhenUsed/>
    <w:qFormat/>
    <w:rsid w:val="00563F3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unhideWhenUsed/>
    <w:qFormat/>
    <w:rsid w:val="00563F3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WPSOffice1">
    <w:name w:val="WPSOffice手动目录 1"/>
    <w:rsid w:val="00563F3A"/>
  </w:style>
  <w:style w:type="paragraph" w:customStyle="1" w:styleId="WPSOffice2">
    <w:name w:val="WPSOffice手动目录 2"/>
    <w:qFormat/>
    <w:rsid w:val="00563F3A"/>
    <w:pPr>
      <w:ind w:leftChars="200" w:left="200"/>
    </w:pPr>
  </w:style>
</w:styles>
</file>

<file path=word/webSettings.xml><?xml version="1.0" encoding="utf-8"?>
<w:webSettings xmlns:r="http://schemas.openxmlformats.org/officeDocument/2006/relationships" xmlns:w="http://schemas.openxmlformats.org/wordprocessingml/2006/main">
  <w:divs>
    <w:div w:id="454182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36</Pages>
  <Words>2605</Words>
  <Characters>14854</Characters>
  <Application>Microsoft Office Word</Application>
  <DocSecurity>0</DocSecurity>
  <Lines>123</Lines>
  <Paragraphs>34</Paragraphs>
  <ScaleCrop>false</ScaleCrop>
  <Company>四川省财政厅</Company>
  <LinksUpToDate>false</LinksUpToDate>
  <CharactersWithSpaces>17425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微软用户</cp:lastModifiedBy>
  <cp:revision>10</cp:revision>
  <cp:lastPrinted>2023-07-31T10:35:00Z</cp:lastPrinted>
  <dcterms:created xsi:type="dcterms:W3CDTF">2020-08-05T09:49:00Z</dcterms:created>
  <dcterms:modified xsi:type="dcterms:W3CDTF">2023-10-18T02:05:00Z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6B70361D626A4593B4A9C4A901EC4F63</vt:lpwstr>
  </property>
</Properties>
</file>