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600" w:lineRule="exact"/>
        <w:jc w:val="left"/>
        <w:textAlignment w:val="auto"/>
        <w:outlineLvl w:val="9"/>
        <w:rPr>
          <w:rFonts w:ascii="Times New Roman" w:hAnsi="Times New Roman" w:eastAsia="方正小标宋简体"/>
          <w:szCs w:val="21"/>
        </w:rPr>
      </w:pPr>
      <w:bookmarkStart w:id="0" w:name="_Toc15306267"/>
    </w:p>
    <w:p>
      <w:pPr>
        <w:keepNext w:val="0"/>
        <w:keepLines w:val="0"/>
        <w:pageBreakBefore w:val="0"/>
        <w:kinsoku/>
        <w:wordWrap/>
        <w:overflowPunct/>
        <w:topLinePunct w:val="0"/>
        <w:autoSpaceDE/>
        <w:autoSpaceDN/>
        <w:bidi w:val="0"/>
        <w:adjustRightInd/>
        <w:snapToGrid/>
        <w:spacing w:line="600" w:lineRule="exact"/>
        <w:jc w:val="center"/>
        <w:textAlignment w:val="auto"/>
        <w:outlineLvl w:val="9"/>
        <w:rPr>
          <w:rFonts w:ascii="Times New Roman" w:hAnsi="Times New Roman" w:eastAsia="方正小标宋简体"/>
          <w:sz w:val="72"/>
          <w:szCs w:val="72"/>
        </w:rPr>
      </w:pPr>
    </w:p>
    <w:p>
      <w:pPr>
        <w:keepNext w:val="0"/>
        <w:keepLines w:val="0"/>
        <w:pageBreakBefore w:val="0"/>
        <w:kinsoku/>
        <w:wordWrap/>
        <w:overflowPunct/>
        <w:topLinePunct w:val="0"/>
        <w:autoSpaceDE/>
        <w:autoSpaceDN/>
        <w:bidi w:val="0"/>
        <w:adjustRightInd/>
        <w:snapToGrid/>
        <w:spacing w:line="600" w:lineRule="exact"/>
        <w:jc w:val="center"/>
        <w:textAlignment w:val="auto"/>
        <w:outlineLvl w:val="9"/>
        <w:rPr>
          <w:rFonts w:ascii="Times New Roman" w:hAnsi="Times New Roman" w:eastAsia="方正小标宋简体"/>
          <w:sz w:val="72"/>
          <w:szCs w:val="72"/>
        </w:rPr>
      </w:pPr>
    </w:p>
    <w:bookmarkEnd w:id="0"/>
    <w:p>
      <w:pPr>
        <w:keepNext w:val="0"/>
        <w:keepLines w:val="0"/>
        <w:pageBreakBefore w:val="0"/>
        <w:kinsoku/>
        <w:wordWrap/>
        <w:overflowPunct/>
        <w:topLinePunct w:val="0"/>
        <w:autoSpaceDE/>
        <w:autoSpaceDN/>
        <w:bidi w:val="0"/>
        <w:adjustRightInd/>
        <w:snapToGrid/>
        <w:spacing w:line="1320" w:lineRule="exact"/>
        <w:jc w:val="center"/>
        <w:textAlignment w:val="auto"/>
        <w:outlineLvl w:val="9"/>
        <w:rPr>
          <w:rFonts w:ascii="Times New Roman" w:hAnsi="Times New Roman" w:eastAsia="方正小标宋简体" w:cs="方正小标宋简体"/>
          <w:sz w:val="52"/>
          <w:szCs w:val="52"/>
        </w:rPr>
      </w:pPr>
      <w:bookmarkStart w:id="1" w:name="_Toc15377425"/>
      <w:bookmarkStart w:id="2" w:name="_Toc15377193"/>
      <w:bookmarkStart w:id="3" w:name="_Toc15396597"/>
      <w:bookmarkStart w:id="4" w:name="_Toc15378441"/>
      <w:bookmarkStart w:id="5" w:name="_Toc15396475"/>
      <w:bookmarkStart w:id="6" w:name="_Toc342"/>
      <w:bookmarkStart w:id="7" w:name="_Toc15396476"/>
      <w:bookmarkStart w:id="8" w:name="_Toc25468"/>
      <w:bookmarkStart w:id="9" w:name="_Toc15377426"/>
      <w:bookmarkStart w:id="10" w:name="_Toc15377194"/>
      <w:bookmarkStart w:id="11" w:name="_Toc15378442"/>
      <w:bookmarkStart w:id="12" w:name="_Toc15306268"/>
      <w:bookmarkStart w:id="13" w:name="_Toc15396598"/>
      <w:r>
        <w:rPr>
          <w:rFonts w:hint="eastAsia" w:ascii="Times New Roman" w:hAnsi="Times New Roman" w:eastAsia="方正小标宋简体" w:cs="方正小标宋简体"/>
          <w:sz w:val="52"/>
          <w:szCs w:val="52"/>
        </w:rPr>
        <w:t>2022年度</w:t>
      </w:r>
      <w:bookmarkEnd w:id="1"/>
      <w:bookmarkEnd w:id="2"/>
      <w:bookmarkEnd w:id="3"/>
      <w:bookmarkEnd w:id="4"/>
      <w:bookmarkEnd w:id="5"/>
      <w:bookmarkStart w:id="14" w:name="_Toc6308"/>
      <w:bookmarkStart w:id="15" w:name="_Toc19744"/>
      <w:bookmarkStart w:id="16" w:name="_Toc8681"/>
      <w:bookmarkStart w:id="17" w:name="_Toc27944"/>
      <w:bookmarkStart w:id="18" w:name="_Toc12406"/>
    </w:p>
    <w:p>
      <w:pPr>
        <w:keepNext w:val="0"/>
        <w:keepLines w:val="0"/>
        <w:pageBreakBefore w:val="0"/>
        <w:kinsoku/>
        <w:wordWrap/>
        <w:overflowPunct/>
        <w:topLinePunct w:val="0"/>
        <w:autoSpaceDE/>
        <w:autoSpaceDN/>
        <w:bidi w:val="0"/>
        <w:adjustRightInd/>
        <w:snapToGrid/>
        <w:spacing w:line="1320" w:lineRule="exact"/>
        <w:jc w:val="center"/>
        <w:textAlignment w:val="auto"/>
        <w:outlineLvl w:val="9"/>
        <w:rPr>
          <w:rFonts w:ascii="Times New Roman" w:hAnsi="Times New Roman" w:eastAsia="方正小标宋简体" w:cs="方正小标宋简体"/>
          <w:sz w:val="52"/>
          <w:szCs w:val="52"/>
        </w:rPr>
      </w:pPr>
      <w:r>
        <w:rPr>
          <w:rFonts w:hint="eastAsia" w:ascii="Times New Roman" w:hAnsi="Times New Roman" w:eastAsia="方正小标宋简体" w:cs="方正小标宋简体"/>
          <w:sz w:val="52"/>
          <w:szCs w:val="52"/>
        </w:rPr>
        <w:t>广元市食品药品检验检测中心</w:t>
      </w:r>
      <w:bookmarkEnd w:id="14"/>
      <w:bookmarkEnd w:id="15"/>
      <w:bookmarkEnd w:id="16"/>
      <w:bookmarkEnd w:id="17"/>
      <w:bookmarkEnd w:id="18"/>
    </w:p>
    <w:p>
      <w:pPr>
        <w:keepNext w:val="0"/>
        <w:keepLines w:val="0"/>
        <w:pageBreakBefore w:val="0"/>
        <w:kinsoku/>
        <w:wordWrap/>
        <w:overflowPunct/>
        <w:topLinePunct w:val="0"/>
        <w:autoSpaceDE/>
        <w:autoSpaceDN/>
        <w:bidi w:val="0"/>
        <w:adjustRightInd/>
        <w:snapToGrid/>
        <w:spacing w:line="1320" w:lineRule="exact"/>
        <w:jc w:val="center"/>
        <w:textAlignment w:val="auto"/>
        <w:outlineLvl w:val="9"/>
        <w:rPr>
          <w:rFonts w:ascii="Times New Roman" w:hAnsi="Times New Roman" w:eastAsia="方正小标宋简体" w:cs="方正小标宋简体"/>
          <w:sz w:val="52"/>
          <w:szCs w:val="52"/>
        </w:rPr>
      </w:pPr>
      <w:r>
        <w:rPr>
          <w:rFonts w:hint="eastAsia" w:ascii="Times New Roman" w:hAnsi="Times New Roman" w:eastAsia="方正小标宋简体" w:cs="方正小标宋简体"/>
          <w:sz w:val="52"/>
          <w:szCs w:val="52"/>
        </w:rPr>
        <w:t>单位决算</w:t>
      </w:r>
      <w:bookmarkEnd w:id="6"/>
      <w:bookmarkEnd w:id="7"/>
      <w:bookmarkEnd w:id="8"/>
      <w:bookmarkEnd w:id="9"/>
      <w:bookmarkEnd w:id="10"/>
      <w:bookmarkEnd w:id="11"/>
      <w:bookmarkEnd w:id="12"/>
      <w:bookmarkEnd w:id="13"/>
    </w:p>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ascii="Times New Roman" w:hAnsi="Times New Roman" w:eastAsia="仿宋"/>
          <w:b/>
          <w:sz w:val="24"/>
        </w:rPr>
      </w:pPr>
      <w:bookmarkStart w:id="19" w:name="_Toc15396599"/>
      <w:bookmarkStart w:id="20" w:name="_Toc15377196"/>
    </w:p>
    <w:p>
      <w:pPr>
        <w:bidi w:val="0"/>
        <w:rPr>
          <w:rFonts w:ascii="Times New Roman" w:hAnsi="Times New Roman" w:eastAsia="宋体" w:cs="Times New Roman"/>
          <w:kern w:val="2"/>
          <w:sz w:val="21"/>
          <w:szCs w:val="24"/>
          <w:lang w:val="en-US" w:eastAsia="zh-CN" w:bidi="ar-SA"/>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bookmarkStart w:id="92" w:name="_GoBack"/>
      <w:bookmarkEnd w:id="92"/>
    </w:p>
    <w:p>
      <w:pPr>
        <w:bidi w:val="0"/>
        <w:rPr>
          <w:lang w:val="en-US" w:eastAsia="zh-CN"/>
        </w:rPr>
      </w:pPr>
    </w:p>
    <w:p>
      <w:pPr>
        <w:bidi w:val="0"/>
        <w:rPr>
          <w:lang w:val="en-US" w:eastAsia="zh-CN"/>
        </w:rPr>
      </w:pPr>
    </w:p>
    <w:p>
      <w:pPr>
        <w:bidi w:val="0"/>
        <w:rPr>
          <w:lang w:val="en-US" w:eastAsia="zh-CN"/>
        </w:rPr>
      </w:pPr>
    </w:p>
    <w:p>
      <w:pPr>
        <w:tabs>
          <w:tab w:val="left" w:pos="6460"/>
        </w:tabs>
        <w:bidi w:val="0"/>
        <w:jc w:val="left"/>
        <w:rPr>
          <w:lang w:val="en-US" w:eastAsia="zh-CN"/>
        </w:rPr>
        <w:sectPr>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pPr>
      <w:r>
        <w:rPr>
          <w:rFonts w:hint="eastAsia"/>
          <w:lang w:val="en-US" w:eastAsia="zh-CN"/>
        </w:rPr>
        <w:tab/>
      </w:r>
    </w:p>
    <w:sdt>
      <w:sdtPr>
        <w:rPr>
          <w:rFonts w:ascii="Times New Roman" w:hAnsi="Times New Roman" w:eastAsia="宋体" w:cs="Times New Roman"/>
          <w:b w:val="0"/>
          <w:bCs/>
          <w:kern w:val="2"/>
          <w:sz w:val="28"/>
          <w:szCs w:val="28"/>
          <w:lang w:val="en-US" w:eastAsia="zh-CN" w:bidi="ar-SA"/>
        </w:rPr>
        <w:id w:val="147463145"/>
        <w15:color w:val="DBDBDB"/>
        <w:docPartObj>
          <w:docPartGallery w:val="Table of Contents"/>
          <w:docPartUnique/>
        </w:docPartObj>
      </w:sdtPr>
      <w:sdtEndPr>
        <w:rPr>
          <w:rFonts w:hint="eastAsia" w:ascii="Times New Roman" w:hAnsi="Times New Roman" w:eastAsia="宋体" w:cs="Times New Roman"/>
          <w:b w:val="0"/>
          <w:bCs/>
          <w:kern w:val="2"/>
          <w:sz w:val="28"/>
          <w:szCs w:val="28"/>
          <w:lang w:val="en-US" w:eastAsia="zh-CN" w:bidi="ar-SA"/>
        </w:rPr>
      </w:sdtEndPr>
      <w:sdtContent>
        <w:p>
          <w:pPr>
            <w:widowControl w:val="0"/>
            <w:kinsoku/>
            <w:wordWrap/>
            <w:overflowPunct/>
            <w:topLinePunct w:val="0"/>
            <w:autoSpaceDE/>
            <w:autoSpaceDN/>
            <w:bidi w:val="0"/>
            <w:adjustRightInd/>
            <w:snapToGrid/>
            <w:spacing w:line="576" w:lineRule="exact"/>
            <w:ind w:left="0" w:leftChars="0" w:right="0" w:rightChars="0" w:firstLine="0" w:firstLineChars="0"/>
            <w:jc w:val="center"/>
            <w:textAlignment w:val="auto"/>
            <w:rPr>
              <w:rFonts w:hint="eastAsia" w:ascii="Times New Roman" w:hAnsi="Times New Roman" w:eastAsia="黑体" w:cs="黑体"/>
              <w:b w:val="0"/>
              <w:bCs/>
              <w:sz w:val="44"/>
              <w:szCs w:val="44"/>
            </w:rPr>
          </w:pPr>
          <w:r>
            <w:rPr>
              <w:rFonts w:hint="eastAsia" w:ascii="Times New Roman" w:hAnsi="Times New Roman" w:eastAsia="黑体" w:cs="黑体"/>
              <w:b w:val="0"/>
              <w:bCs/>
              <w:sz w:val="44"/>
              <w:szCs w:val="44"/>
            </w:rPr>
            <w:t>目</w:t>
          </w:r>
          <w:r>
            <w:rPr>
              <w:rFonts w:hint="eastAsia" w:ascii="Times New Roman" w:hAnsi="Times New Roman" w:eastAsia="黑体" w:cs="黑体"/>
              <w:b w:val="0"/>
              <w:bCs/>
              <w:sz w:val="44"/>
              <w:szCs w:val="44"/>
              <w:lang w:val="en-US" w:eastAsia="zh-CN"/>
            </w:rPr>
            <w:t xml:space="preserve">  </w:t>
          </w:r>
          <w:r>
            <w:rPr>
              <w:rFonts w:hint="eastAsia" w:ascii="Times New Roman" w:hAnsi="Times New Roman" w:eastAsia="黑体" w:cs="黑体"/>
              <w:b w:val="0"/>
              <w:bCs/>
              <w:sz w:val="44"/>
              <w:szCs w:val="44"/>
            </w:rPr>
            <w:t>录</w:t>
          </w:r>
        </w:p>
        <w:p>
          <w:pPr>
            <w:pStyle w:val="2"/>
            <w:ind w:firstLine="1920" w:firstLineChars="600"/>
            <w:jc w:val="left"/>
            <w:rPr>
              <w:rFonts w:hint="eastAsia" w:ascii="Times New Roman" w:hAnsi="Times New Roman" w:eastAsia="黑体" w:cs="黑体"/>
              <w:lang w:val="en-US" w:eastAsia="zh-CN"/>
            </w:rPr>
          </w:pPr>
          <w:r>
            <w:rPr>
              <w:rFonts w:hint="eastAsia" w:ascii="Times New Roman" w:hAnsi="Times New Roman" w:eastAsia="黑体" w:cs="黑体"/>
              <w:lang w:val="en-US" w:eastAsia="zh-CN"/>
            </w:rPr>
            <w:t>公开时间：2023年10月17日</w:t>
          </w:r>
        </w:p>
        <w:p>
          <w:pPr>
            <w:pStyle w:val="10"/>
            <w:widowControl w:val="0"/>
            <w:tabs>
              <w:tab w:val="right" w:leader="dot" w:pos="8306"/>
              <w:tab w:val="clear" w:pos="8296"/>
            </w:tabs>
            <w:kinsoku/>
            <w:wordWrap/>
            <w:overflowPunct/>
            <w:topLinePunct w:val="0"/>
            <w:autoSpaceDE/>
            <w:autoSpaceDN/>
            <w:bidi w:val="0"/>
            <w:adjustRightInd/>
            <w:snapToGrid/>
            <w:spacing w:before="0" w:line="576" w:lineRule="exact"/>
            <w:textAlignment w:val="auto"/>
            <w:rPr>
              <w:rFonts w:ascii="Times New Roman" w:hAnsi="Times New Roman" w:eastAsia="宋体"/>
              <w:b w:val="0"/>
              <w:sz w:val="28"/>
            </w:rPr>
          </w:pPr>
          <w:r>
            <w:rPr>
              <w:rFonts w:hint="eastAsia" w:ascii="Times New Roman" w:hAnsi="Times New Roman" w:eastAsia="宋体"/>
              <w:b w:val="0"/>
              <w:sz w:val="28"/>
              <w:szCs w:val="28"/>
            </w:rPr>
            <w:fldChar w:fldCharType="begin"/>
          </w:r>
          <w:r>
            <w:rPr>
              <w:rFonts w:hint="eastAsia" w:ascii="Times New Roman" w:hAnsi="Times New Roman" w:eastAsia="宋体"/>
              <w:b w:val="0"/>
              <w:sz w:val="28"/>
              <w:szCs w:val="28"/>
            </w:rPr>
            <w:instrText xml:space="preserve">TOC \o "1-3" \h \u </w:instrText>
          </w:r>
          <w:r>
            <w:rPr>
              <w:rFonts w:hint="eastAsia" w:ascii="Times New Roman" w:hAnsi="Times New Roman" w:eastAsia="宋体"/>
              <w:b w:val="0"/>
              <w:sz w:val="28"/>
              <w:szCs w:val="28"/>
            </w:rPr>
            <w:fldChar w:fldCharType="separate"/>
          </w:r>
          <w:r>
            <w:rPr>
              <w:rFonts w:hint="eastAsia" w:ascii="Times New Roman" w:hAnsi="Times New Roman" w:eastAsia="宋体"/>
              <w:b w:val="0"/>
              <w:sz w:val="28"/>
              <w:szCs w:val="28"/>
            </w:rPr>
            <w:fldChar w:fldCharType="begin"/>
          </w:r>
          <w:r>
            <w:rPr>
              <w:rFonts w:hint="eastAsia" w:ascii="Times New Roman" w:hAnsi="Times New Roman" w:eastAsia="宋体"/>
              <w:b w:val="0"/>
              <w:sz w:val="28"/>
              <w:szCs w:val="28"/>
            </w:rPr>
            <w:instrText xml:space="preserve"> HYPERLINK \l _Toc23595 </w:instrText>
          </w:r>
          <w:r>
            <w:rPr>
              <w:rFonts w:hint="eastAsia" w:ascii="Times New Roman" w:hAnsi="Times New Roman" w:eastAsia="宋体"/>
              <w:b w:val="0"/>
              <w:sz w:val="28"/>
              <w:szCs w:val="28"/>
            </w:rPr>
            <w:fldChar w:fldCharType="separate"/>
          </w:r>
          <w:r>
            <w:rPr>
              <w:rFonts w:hint="eastAsia" w:ascii="Times New Roman" w:hAnsi="Times New Roman" w:eastAsia="宋体"/>
              <w:b w:val="0"/>
              <w:sz w:val="28"/>
            </w:rPr>
            <w:t>第一部分 单位概况</w:t>
          </w:r>
          <w:r>
            <w:rPr>
              <w:rFonts w:ascii="Times New Roman" w:hAnsi="Times New Roman" w:eastAsia="宋体"/>
              <w:b w:val="0"/>
              <w:sz w:val="28"/>
            </w:rPr>
            <w:tab/>
          </w:r>
          <w:r>
            <w:rPr>
              <w:rFonts w:ascii="Times New Roman" w:hAnsi="Times New Roman" w:eastAsia="宋体"/>
              <w:b w:val="0"/>
              <w:sz w:val="28"/>
            </w:rPr>
            <w:fldChar w:fldCharType="begin"/>
          </w:r>
          <w:r>
            <w:rPr>
              <w:rFonts w:ascii="Times New Roman" w:hAnsi="Times New Roman" w:eastAsia="宋体"/>
              <w:b w:val="0"/>
              <w:sz w:val="28"/>
            </w:rPr>
            <w:instrText xml:space="preserve"> PAGEREF _Toc23595 \h </w:instrText>
          </w:r>
          <w:r>
            <w:rPr>
              <w:rFonts w:ascii="Times New Roman" w:hAnsi="Times New Roman" w:eastAsia="宋体"/>
              <w:b w:val="0"/>
              <w:sz w:val="28"/>
            </w:rPr>
            <w:fldChar w:fldCharType="separate"/>
          </w:r>
          <w:r>
            <w:rPr>
              <w:rFonts w:ascii="Times New Roman" w:hAnsi="Times New Roman" w:eastAsia="宋体"/>
              <w:b w:val="0"/>
              <w:sz w:val="28"/>
            </w:rPr>
            <w:t>- 1 -</w:t>
          </w:r>
          <w:r>
            <w:rPr>
              <w:rFonts w:ascii="Times New Roman" w:hAnsi="Times New Roman" w:eastAsia="宋体"/>
              <w:b w:val="0"/>
              <w:sz w:val="28"/>
            </w:rPr>
            <w:fldChar w:fldCharType="end"/>
          </w:r>
          <w:r>
            <w:rPr>
              <w:rFonts w:hint="eastAsia" w:ascii="Times New Roman" w:hAnsi="Times New Roman" w:eastAsia="宋体"/>
              <w:b w:val="0"/>
              <w:sz w:val="28"/>
              <w:szCs w:val="28"/>
            </w:rPr>
            <w:fldChar w:fldCharType="end"/>
          </w:r>
        </w:p>
        <w:p>
          <w:pPr>
            <w:pStyle w:val="11"/>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ascii="Times New Roman" w:hAnsi="Times New Roman" w:eastAsia="宋体"/>
              <w:b w:val="0"/>
              <w:sz w:val="28"/>
            </w:rPr>
          </w:pPr>
          <w:r>
            <w:rPr>
              <w:rFonts w:hint="eastAsia" w:ascii="Times New Roman" w:hAnsi="Times New Roman" w:eastAsia="宋体"/>
              <w:b w:val="0"/>
              <w:sz w:val="28"/>
              <w:szCs w:val="28"/>
            </w:rPr>
            <w:fldChar w:fldCharType="begin"/>
          </w:r>
          <w:r>
            <w:rPr>
              <w:rFonts w:hint="eastAsia" w:ascii="Times New Roman" w:hAnsi="Times New Roman" w:eastAsia="宋体"/>
              <w:b w:val="0"/>
              <w:sz w:val="28"/>
              <w:szCs w:val="28"/>
            </w:rPr>
            <w:instrText xml:space="preserve"> HYPERLINK \l _Toc22415 </w:instrText>
          </w:r>
          <w:r>
            <w:rPr>
              <w:rFonts w:hint="eastAsia" w:ascii="Times New Roman" w:hAnsi="Times New Roman" w:eastAsia="宋体"/>
              <w:b w:val="0"/>
              <w:sz w:val="28"/>
              <w:szCs w:val="28"/>
            </w:rPr>
            <w:fldChar w:fldCharType="separate"/>
          </w:r>
          <w:r>
            <w:rPr>
              <w:rFonts w:hint="eastAsia" w:ascii="Times New Roman" w:hAnsi="Times New Roman" w:eastAsia="宋体"/>
              <w:b w:val="0"/>
              <w:sz w:val="28"/>
              <w:lang w:val="en-US" w:eastAsia="zh-CN"/>
            </w:rPr>
            <w:t>一、</w:t>
          </w:r>
          <w:r>
            <w:rPr>
              <w:rFonts w:hint="eastAsia" w:ascii="Times New Roman" w:hAnsi="Times New Roman" w:eastAsia="宋体"/>
              <w:b w:val="0"/>
              <w:sz w:val="28"/>
            </w:rPr>
            <w:t>主要职责</w:t>
          </w:r>
          <w:r>
            <w:rPr>
              <w:rFonts w:ascii="Times New Roman" w:hAnsi="Times New Roman" w:eastAsia="宋体"/>
              <w:b w:val="0"/>
              <w:sz w:val="28"/>
            </w:rPr>
            <w:tab/>
          </w:r>
          <w:r>
            <w:rPr>
              <w:rFonts w:ascii="Times New Roman" w:hAnsi="Times New Roman" w:eastAsia="宋体"/>
              <w:b w:val="0"/>
              <w:sz w:val="28"/>
            </w:rPr>
            <w:fldChar w:fldCharType="begin"/>
          </w:r>
          <w:r>
            <w:rPr>
              <w:rFonts w:ascii="Times New Roman" w:hAnsi="Times New Roman" w:eastAsia="宋体"/>
              <w:b w:val="0"/>
              <w:sz w:val="28"/>
            </w:rPr>
            <w:instrText xml:space="preserve"> PAGEREF _Toc22415 \h </w:instrText>
          </w:r>
          <w:r>
            <w:rPr>
              <w:rFonts w:ascii="Times New Roman" w:hAnsi="Times New Roman" w:eastAsia="宋体"/>
              <w:b w:val="0"/>
              <w:sz w:val="28"/>
            </w:rPr>
            <w:fldChar w:fldCharType="separate"/>
          </w:r>
          <w:r>
            <w:rPr>
              <w:rFonts w:ascii="Times New Roman" w:hAnsi="Times New Roman" w:eastAsia="宋体"/>
              <w:b w:val="0"/>
              <w:sz w:val="28"/>
            </w:rPr>
            <w:t>- 1 -</w:t>
          </w:r>
          <w:r>
            <w:rPr>
              <w:rFonts w:ascii="Times New Roman" w:hAnsi="Times New Roman" w:eastAsia="宋体"/>
              <w:b w:val="0"/>
              <w:sz w:val="28"/>
            </w:rPr>
            <w:fldChar w:fldCharType="end"/>
          </w:r>
          <w:r>
            <w:rPr>
              <w:rFonts w:hint="eastAsia" w:ascii="Times New Roman" w:hAnsi="Times New Roman" w:eastAsia="宋体"/>
              <w:b w:val="0"/>
              <w:sz w:val="28"/>
              <w:szCs w:val="28"/>
            </w:rPr>
            <w:fldChar w:fldCharType="end"/>
          </w:r>
        </w:p>
        <w:p>
          <w:pPr>
            <w:pStyle w:val="11"/>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ascii="Times New Roman" w:hAnsi="Times New Roman" w:eastAsia="宋体"/>
              <w:b w:val="0"/>
              <w:sz w:val="28"/>
            </w:rPr>
          </w:pPr>
          <w:r>
            <w:rPr>
              <w:rFonts w:hint="eastAsia" w:ascii="Times New Roman" w:hAnsi="Times New Roman" w:eastAsia="宋体"/>
              <w:b w:val="0"/>
              <w:sz w:val="28"/>
              <w:szCs w:val="28"/>
            </w:rPr>
            <w:fldChar w:fldCharType="begin"/>
          </w:r>
          <w:r>
            <w:rPr>
              <w:rFonts w:hint="eastAsia" w:ascii="Times New Roman" w:hAnsi="Times New Roman" w:eastAsia="宋体"/>
              <w:b w:val="0"/>
              <w:sz w:val="28"/>
              <w:szCs w:val="28"/>
            </w:rPr>
            <w:instrText xml:space="preserve"> HYPERLINK \l _Toc9739 </w:instrText>
          </w:r>
          <w:r>
            <w:rPr>
              <w:rFonts w:hint="eastAsia" w:ascii="Times New Roman" w:hAnsi="Times New Roman" w:eastAsia="宋体"/>
              <w:b w:val="0"/>
              <w:sz w:val="28"/>
              <w:szCs w:val="28"/>
            </w:rPr>
            <w:fldChar w:fldCharType="separate"/>
          </w:r>
          <w:r>
            <w:rPr>
              <w:rFonts w:hint="eastAsia" w:ascii="Times New Roman" w:hAnsi="Times New Roman" w:eastAsia="宋体"/>
              <w:b w:val="0"/>
              <w:sz w:val="28"/>
            </w:rPr>
            <w:t>二、机构设置</w:t>
          </w:r>
          <w:r>
            <w:rPr>
              <w:rFonts w:ascii="Times New Roman" w:hAnsi="Times New Roman" w:eastAsia="宋体"/>
              <w:b w:val="0"/>
              <w:sz w:val="28"/>
            </w:rPr>
            <w:tab/>
          </w:r>
          <w:r>
            <w:rPr>
              <w:rFonts w:ascii="Times New Roman" w:hAnsi="Times New Roman" w:eastAsia="宋体"/>
              <w:b w:val="0"/>
              <w:sz w:val="28"/>
            </w:rPr>
            <w:fldChar w:fldCharType="begin"/>
          </w:r>
          <w:r>
            <w:rPr>
              <w:rFonts w:ascii="Times New Roman" w:hAnsi="Times New Roman" w:eastAsia="宋体"/>
              <w:b w:val="0"/>
              <w:sz w:val="28"/>
            </w:rPr>
            <w:instrText xml:space="preserve"> PAGEREF _Toc9739 \h </w:instrText>
          </w:r>
          <w:r>
            <w:rPr>
              <w:rFonts w:ascii="Times New Roman" w:hAnsi="Times New Roman" w:eastAsia="宋体"/>
              <w:b w:val="0"/>
              <w:sz w:val="28"/>
            </w:rPr>
            <w:fldChar w:fldCharType="separate"/>
          </w:r>
          <w:r>
            <w:rPr>
              <w:rFonts w:ascii="Times New Roman" w:hAnsi="Times New Roman" w:eastAsia="宋体"/>
              <w:b w:val="0"/>
              <w:sz w:val="28"/>
            </w:rPr>
            <w:t>- 1 -</w:t>
          </w:r>
          <w:r>
            <w:rPr>
              <w:rFonts w:ascii="Times New Roman" w:hAnsi="Times New Roman" w:eastAsia="宋体"/>
              <w:b w:val="0"/>
              <w:sz w:val="28"/>
            </w:rPr>
            <w:fldChar w:fldCharType="end"/>
          </w:r>
          <w:r>
            <w:rPr>
              <w:rFonts w:hint="eastAsia" w:ascii="Times New Roman" w:hAnsi="Times New Roman" w:eastAsia="宋体"/>
              <w:b w:val="0"/>
              <w:sz w:val="28"/>
              <w:szCs w:val="28"/>
            </w:rPr>
            <w:fldChar w:fldCharType="end"/>
          </w:r>
        </w:p>
        <w:p>
          <w:pPr>
            <w:pStyle w:val="10"/>
            <w:widowControl w:val="0"/>
            <w:tabs>
              <w:tab w:val="right" w:leader="dot" w:pos="8306"/>
              <w:tab w:val="clear" w:pos="8296"/>
            </w:tabs>
            <w:kinsoku/>
            <w:wordWrap/>
            <w:overflowPunct/>
            <w:topLinePunct w:val="0"/>
            <w:autoSpaceDE/>
            <w:autoSpaceDN/>
            <w:bidi w:val="0"/>
            <w:adjustRightInd/>
            <w:snapToGrid/>
            <w:spacing w:before="0" w:line="576" w:lineRule="exact"/>
            <w:textAlignment w:val="auto"/>
            <w:rPr>
              <w:rFonts w:ascii="Times New Roman" w:hAnsi="Times New Roman" w:eastAsia="宋体"/>
              <w:b w:val="0"/>
              <w:sz w:val="28"/>
            </w:rPr>
          </w:pPr>
          <w:r>
            <w:rPr>
              <w:rFonts w:hint="eastAsia" w:ascii="Times New Roman" w:hAnsi="Times New Roman" w:eastAsia="宋体"/>
              <w:b w:val="0"/>
              <w:sz w:val="28"/>
              <w:szCs w:val="28"/>
            </w:rPr>
            <w:fldChar w:fldCharType="begin"/>
          </w:r>
          <w:r>
            <w:rPr>
              <w:rFonts w:hint="eastAsia" w:ascii="Times New Roman" w:hAnsi="Times New Roman" w:eastAsia="宋体"/>
              <w:b w:val="0"/>
              <w:sz w:val="28"/>
              <w:szCs w:val="28"/>
            </w:rPr>
            <w:instrText xml:space="preserve"> HYPERLINK \l _Toc6989 </w:instrText>
          </w:r>
          <w:r>
            <w:rPr>
              <w:rFonts w:hint="eastAsia" w:ascii="Times New Roman" w:hAnsi="Times New Roman" w:eastAsia="宋体"/>
              <w:b w:val="0"/>
              <w:sz w:val="28"/>
              <w:szCs w:val="28"/>
            </w:rPr>
            <w:fldChar w:fldCharType="separate"/>
          </w:r>
          <w:r>
            <w:rPr>
              <w:rFonts w:hint="eastAsia" w:ascii="Times New Roman" w:hAnsi="Times New Roman" w:eastAsia="宋体"/>
              <w:b w:val="0"/>
              <w:sz w:val="28"/>
            </w:rPr>
            <w:t>第二部分 2022年度单位决算情况说明</w:t>
          </w:r>
          <w:r>
            <w:rPr>
              <w:rFonts w:ascii="Times New Roman" w:hAnsi="Times New Roman" w:eastAsia="宋体"/>
              <w:b w:val="0"/>
              <w:sz w:val="28"/>
            </w:rPr>
            <w:tab/>
          </w:r>
          <w:r>
            <w:rPr>
              <w:rFonts w:ascii="Times New Roman" w:hAnsi="Times New Roman" w:eastAsia="宋体"/>
              <w:b w:val="0"/>
              <w:sz w:val="28"/>
            </w:rPr>
            <w:fldChar w:fldCharType="begin"/>
          </w:r>
          <w:r>
            <w:rPr>
              <w:rFonts w:ascii="Times New Roman" w:hAnsi="Times New Roman" w:eastAsia="宋体"/>
              <w:b w:val="0"/>
              <w:sz w:val="28"/>
            </w:rPr>
            <w:instrText xml:space="preserve"> PAGEREF _Toc6989 \h </w:instrText>
          </w:r>
          <w:r>
            <w:rPr>
              <w:rFonts w:ascii="Times New Roman" w:hAnsi="Times New Roman" w:eastAsia="宋体"/>
              <w:b w:val="0"/>
              <w:sz w:val="28"/>
            </w:rPr>
            <w:fldChar w:fldCharType="separate"/>
          </w:r>
          <w:r>
            <w:rPr>
              <w:rFonts w:ascii="Times New Roman" w:hAnsi="Times New Roman" w:eastAsia="宋体"/>
              <w:b w:val="0"/>
              <w:sz w:val="28"/>
            </w:rPr>
            <w:t>- 2 -</w:t>
          </w:r>
          <w:r>
            <w:rPr>
              <w:rFonts w:ascii="Times New Roman" w:hAnsi="Times New Roman" w:eastAsia="宋体"/>
              <w:b w:val="0"/>
              <w:sz w:val="28"/>
            </w:rPr>
            <w:fldChar w:fldCharType="end"/>
          </w:r>
          <w:r>
            <w:rPr>
              <w:rFonts w:hint="eastAsia" w:ascii="Times New Roman" w:hAnsi="Times New Roman" w:eastAsia="宋体"/>
              <w:b w:val="0"/>
              <w:sz w:val="28"/>
              <w:szCs w:val="28"/>
            </w:rPr>
            <w:fldChar w:fldCharType="end"/>
          </w:r>
        </w:p>
        <w:p>
          <w:pPr>
            <w:pStyle w:val="11"/>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ascii="Times New Roman" w:hAnsi="Times New Roman" w:eastAsia="宋体"/>
              <w:b w:val="0"/>
              <w:sz w:val="28"/>
            </w:rPr>
          </w:pPr>
          <w:r>
            <w:rPr>
              <w:rFonts w:hint="eastAsia" w:ascii="Times New Roman" w:hAnsi="Times New Roman" w:eastAsia="宋体"/>
              <w:b w:val="0"/>
              <w:sz w:val="28"/>
              <w:szCs w:val="28"/>
            </w:rPr>
            <w:fldChar w:fldCharType="begin"/>
          </w:r>
          <w:r>
            <w:rPr>
              <w:rFonts w:hint="eastAsia" w:ascii="Times New Roman" w:hAnsi="Times New Roman" w:eastAsia="宋体"/>
              <w:b w:val="0"/>
              <w:sz w:val="28"/>
              <w:szCs w:val="28"/>
            </w:rPr>
            <w:instrText xml:space="preserve"> HYPERLINK \l _Toc29016 </w:instrText>
          </w:r>
          <w:r>
            <w:rPr>
              <w:rFonts w:hint="eastAsia" w:ascii="Times New Roman" w:hAnsi="Times New Roman" w:eastAsia="宋体"/>
              <w:b w:val="0"/>
              <w:sz w:val="28"/>
              <w:szCs w:val="28"/>
            </w:rPr>
            <w:fldChar w:fldCharType="separate"/>
          </w:r>
          <w:r>
            <w:rPr>
              <w:rFonts w:hint="eastAsia" w:ascii="Times New Roman" w:hAnsi="Times New Roman" w:eastAsia="宋体"/>
              <w:b w:val="0"/>
              <w:sz w:val="28"/>
            </w:rPr>
            <w:t>一、 收入支出决算总体情况说明</w:t>
          </w:r>
          <w:r>
            <w:rPr>
              <w:rFonts w:ascii="Times New Roman" w:hAnsi="Times New Roman" w:eastAsia="宋体"/>
              <w:b w:val="0"/>
              <w:sz w:val="28"/>
            </w:rPr>
            <w:tab/>
          </w:r>
          <w:r>
            <w:rPr>
              <w:rFonts w:ascii="Times New Roman" w:hAnsi="Times New Roman" w:eastAsia="宋体"/>
              <w:b w:val="0"/>
              <w:sz w:val="28"/>
            </w:rPr>
            <w:fldChar w:fldCharType="begin"/>
          </w:r>
          <w:r>
            <w:rPr>
              <w:rFonts w:ascii="Times New Roman" w:hAnsi="Times New Roman" w:eastAsia="宋体"/>
              <w:b w:val="0"/>
              <w:sz w:val="28"/>
            </w:rPr>
            <w:instrText xml:space="preserve"> PAGEREF _Toc29016 \h </w:instrText>
          </w:r>
          <w:r>
            <w:rPr>
              <w:rFonts w:ascii="Times New Roman" w:hAnsi="Times New Roman" w:eastAsia="宋体"/>
              <w:b w:val="0"/>
              <w:sz w:val="28"/>
            </w:rPr>
            <w:fldChar w:fldCharType="separate"/>
          </w:r>
          <w:r>
            <w:rPr>
              <w:rFonts w:ascii="Times New Roman" w:hAnsi="Times New Roman" w:eastAsia="宋体"/>
              <w:b w:val="0"/>
              <w:sz w:val="28"/>
            </w:rPr>
            <w:t>- 2 -</w:t>
          </w:r>
          <w:r>
            <w:rPr>
              <w:rFonts w:ascii="Times New Roman" w:hAnsi="Times New Roman" w:eastAsia="宋体"/>
              <w:b w:val="0"/>
              <w:sz w:val="28"/>
            </w:rPr>
            <w:fldChar w:fldCharType="end"/>
          </w:r>
          <w:r>
            <w:rPr>
              <w:rFonts w:hint="eastAsia" w:ascii="Times New Roman" w:hAnsi="Times New Roman" w:eastAsia="宋体"/>
              <w:b w:val="0"/>
              <w:sz w:val="28"/>
              <w:szCs w:val="28"/>
            </w:rPr>
            <w:fldChar w:fldCharType="end"/>
          </w:r>
        </w:p>
        <w:p>
          <w:pPr>
            <w:pStyle w:val="11"/>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ascii="Times New Roman" w:hAnsi="Times New Roman" w:eastAsia="宋体"/>
              <w:b w:val="0"/>
              <w:sz w:val="28"/>
            </w:rPr>
          </w:pPr>
          <w:r>
            <w:rPr>
              <w:rFonts w:hint="eastAsia" w:ascii="Times New Roman" w:hAnsi="Times New Roman" w:eastAsia="宋体"/>
              <w:b w:val="0"/>
              <w:sz w:val="28"/>
              <w:szCs w:val="28"/>
            </w:rPr>
            <w:fldChar w:fldCharType="begin"/>
          </w:r>
          <w:r>
            <w:rPr>
              <w:rFonts w:hint="eastAsia" w:ascii="Times New Roman" w:hAnsi="Times New Roman" w:eastAsia="宋体"/>
              <w:b w:val="0"/>
              <w:sz w:val="28"/>
              <w:szCs w:val="28"/>
            </w:rPr>
            <w:instrText xml:space="preserve"> HYPERLINK \l _Toc1526 </w:instrText>
          </w:r>
          <w:r>
            <w:rPr>
              <w:rFonts w:hint="eastAsia" w:ascii="Times New Roman" w:hAnsi="Times New Roman" w:eastAsia="宋体"/>
              <w:b w:val="0"/>
              <w:sz w:val="28"/>
              <w:szCs w:val="28"/>
            </w:rPr>
            <w:fldChar w:fldCharType="separate"/>
          </w:r>
          <w:r>
            <w:rPr>
              <w:rFonts w:hint="eastAsia" w:ascii="Times New Roman" w:hAnsi="Times New Roman" w:eastAsia="宋体"/>
              <w:b w:val="0"/>
              <w:sz w:val="28"/>
            </w:rPr>
            <w:t>二、 收入决算情况说明</w:t>
          </w:r>
          <w:r>
            <w:rPr>
              <w:rFonts w:ascii="Times New Roman" w:hAnsi="Times New Roman" w:eastAsia="宋体"/>
              <w:b w:val="0"/>
              <w:sz w:val="28"/>
            </w:rPr>
            <w:tab/>
          </w:r>
          <w:r>
            <w:rPr>
              <w:rFonts w:ascii="Times New Roman" w:hAnsi="Times New Roman" w:eastAsia="宋体"/>
              <w:b w:val="0"/>
              <w:sz w:val="28"/>
            </w:rPr>
            <w:fldChar w:fldCharType="begin"/>
          </w:r>
          <w:r>
            <w:rPr>
              <w:rFonts w:ascii="Times New Roman" w:hAnsi="Times New Roman" w:eastAsia="宋体"/>
              <w:b w:val="0"/>
              <w:sz w:val="28"/>
            </w:rPr>
            <w:instrText xml:space="preserve"> PAGEREF _Toc1526 \h </w:instrText>
          </w:r>
          <w:r>
            <w:rPr>
              <w:rFonts w:ascii="Times New Roman" w:hAnsi="Times New Roman" w:eastAsia="宋体"/>
              <w:b w:val="0"/>
              <w:sz w:val="28"/>
            </w:rPr>
            <w:fldChar w:fldCharType="separate"/>
          </w:r>
          <w:r>
            <w:rPr>
              <w:rFonts w:ascii="Times New Roman" w:hAnsi="Times New Roman" w:eastAsia="宋体"/>
              <w:b w:val="0"/>
              <w:sz w:val="28"/>
            </w:rPr>
            <w:t>- 2 -</w:t>
          </w:r>
          <w:r>
            <w:rPr>
              <w:rFonts w:ascii="Times New Roman" w:hAnsi="Times New Roman" w:eastAsia="宋体"/>
              <w:b w:val="0"/>
              <w:sz w:val="28"/>
            </w:rPr>
            <w:fldChar w:fldCharType="end"/>
          </w:r>
          <w:r>
            <w:rPr>
              <w:rFonts w:hint="eastAsia" w:ascii="Times New Roman" w:hAnsi="Times New Roman" w:eastAsia="宋体"/>
              <w:b w:val="0"/>
              <w:sz w:val="28"/>
              <w:szCs w:val="28"/>
            </w:rPr>
            <w:fldChar w:fldCharType="end"/>
          </w:r>
        </w:p>
        <w:p>
          <w:pPr>
            <w:pStyle w:val="11"/>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ascii="Times New Roman" w:hAnsi="Times New Roman" w:eastAsia="宋体"/>
              <w:b w:val="0"/>
              <w:sz w:val="28"/>
            </w:rPr>
          </w:pPr>
          <w:r>
            <w:rPr>
              <w:rFonts w:hint="eastAsia" w:ascii="Times New Roman" w:hAnsi="Times New Roman" w:eastAsia="宋体"/>
              <w:b w:val="0"/>
              <w:sz w:val="28"/>
              <w:szCs w:val="28"/>
            </w:rPr>
            <w:fldChar w:fldCharType="begin"/>
          </w:r>
          <w:r>
            <w:rPr>
              <w:rFonts w:hint="eastAsia" w:ascii="Times New Roman" w:hAnsi="Times New Roman" w:eastAsia="宋体"/>
              <w:b w:val="0"/>
              <w:sz w:val="28"/>
              <w:szCs w:val="28"/>
            </w:rPr>
            <w:instrText xml:space="preserve"> HYPERLINK \l _Toc6991 </w:instrText>
          </w:r>
          <w:r>
            <w:rPr>
              <w:rFonts w:hint="eastAsia" w:ascii="Times New Roman" w:hAnsi="Times New Roman" w:eastAsia="宋体"/>
              <w:b w:val="0"/>
              <w:sz w:val="28"/>
              <w:szCs w:val="28"/>
            </w:rPr>
            <w:fldChar w:fldCharType="separate"/>
          </w:r>
          <w:r>
            <w:rPr>
              <w:rFonts w:hint="eastAsia" w:ascii="Times New Roman" w:hAnsi="Times New Roman" w:eastAsia="宋体"/>
              <w:b w:val="0"/>
              <w:sz w:val="28"/>
            </w:rPr>
            <w:t>三、 支出决算情况说明</w:t>
          </w:r>
          <w:r>
            <w:rPr>
              <w:rFonts w:ascii="Times New Roman" w:hAnsi="Times New Roman" w:eastAsia="宋体"/>
              <w:b w:val="0"/>
              <w:sz w:val="28"/>
            </w:rPr>
            <w:tab/>
          </w:r>
          <w:r>
            <w:rPr>
              <w:rFonts w:ascii="Times New Roman" w:hAnsi="Times New Roman" w:eastAsia="宋体"/>
              <w:b w:val="0"/>
              <w:sz w:val="28"/>
            </w:rPr>
            <w:fldChar w:fldCharType="begin"/>
          </w:r>
          <w:r>
            <w:rPr>
              <w:rFonts w:ascii="Times New Roman" w:hAnsi="Times New Roman" w:eastAsia="宋体"/>
              <w:b w:val="0"/>
              <w:sz w:val="28"/>
            </w:rPr>
            <w:instrText xml:space="preserve"> PAGEREF _Toc6991 \h </w:instrText>
          </w:r>
          <w:r>
            <w:rPr>
              <w:rFonts w:ascii="Times New Roman" w:hAnsi="Times New Roman" w:eastAsia="宋体"/>
              <w:b w:val="0"/>
              <w:sz w:val="28"/>
            </w:rPr>
            <w:fldChar w:fldCharType="separate"/>
          </w:r>
          <w:r>
            <w:rPr>
              <w:rFonts w:ascii="Times New Roman" w:hAnsi="Times New Roman" w:eastAsia="宋体"/>
              <w:b w:val="0"/>
              <w:sz w:val="28"/>
            </w:rPr>
            <w:t>- 3 -</w:t>
          </w:r>
          <w:r>
            <w:rPr>
              <w:rFonts w:ascii="Times New Roman" w:hAnsi="Times New Roman" w:eastAsia="宋体"/>
              <w:b w:val="0"/>
              <w:sz w:val="28"/>
            </w:rPr>
            <w:fldChar w:fldCharType="end"/>
          </w:r>
          <w:r>
            <w:rPr>
              <w:rFonts w:hint="eastAsia" w:ascii="Times New Roman" w:hAnsi="Times New Roman" w:eastAsia="宋体"/>
              <w:b w:val="0"/>
              <w:sz w:val="28"/>
              <w:szCs w:val="28"/>
            </w:rPr>
            <w:fldChar w:fldCharType="end"/>
          </w:r>
        </w:p>
        <w:p>
          <w:pPr>
            <w:pStyle w:val="11"/>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ascii="Times New Roman" w:hAnsi="Times New Roman" w:eastAsia="宋体"/>
              <w:b w:val="0"/>
              <w:sz w:val="28"/>
            </w:rPr>
          </w:pPr>
          <w:r>
            <w:rPr>
              <w:rFonts w:hint="eastAsia" w:ascii="Times New Roman" w:hAnsi="Times New Roman" w:eastAsia="宋体"/>
              <w:b w:val="0"/>
              <w:sz w:val="28"/>
              <w:szCs w:val="28"/>
            </w:rPr>
            <w:fldChar w:fldCharType="begin"/>
          </w:r>
          <w:r>
            <w:rPr>
              <w:rFonts w:hint="eastAsia" w:ascii="Times New Roman" w:hAnsi="Times New Roman" w:eastAsia="宋体"/>
              <w:b w:val="0"/>
              <w:sz w:val="28"/>
              <w:szCs w:val="28"/>
            </w:rPr>
            <w:instrText xml:space="preserve"> HYPERLINK \l _Toc23388 </w:instrText>
          </w:r>
          <w:r>
            <w:rPr>
              <w:rFonts w:hint="eastAsia" w:ascii="Times New Roman" w:hAnsi="Times New Roman" w:eastAsia="宋体"/>
              <w:b w:val="0"/>
              <w:sz w:val="28"/>
              <w:szCs w:val="28"/>
            </w:rPr>
            <w:fldChar w:fldCharType="separate"/>
          </w:r>
          <w:r>
            <w:rPr>
              <w:rFonts w:hint="eastAsia" w:ascii="Times New Roman" w:hAnsi="Times New Roman" w:eastAsia="宋体"/>
              <w:b w:val="0"/>
              <w:sz w:val="28"/>
            </w:rPr>
            <w:t>四、 财政拨款收入支出决算总体情况说明</w:t>
          </w:r>
          <w:r>
            <w:rPr>
              <w:rFonts w:ascii="Times New Roman" w:hAnsi="Times New Roman" w:eastAsia="宋体"/>
              <w:b w:val="0"/>
              <w:sz w:val="28"/>
            </w:rPr>
            <w:tab/>
          </w:r>
          <w:r>
            <w:rPr>
              <w:rFonts w:ascii="Times New Roman" w:hAnsi="Times New Roman" w:eastAsia="宋体"/>
              <w:b w:val="0"/>
              <w:sz w:val="28"/>
            </w:rPr>
            <w:fldChar w:fldCharType="begin"/>
          </w:r>
          <w:r>
            <w:rPr>
              <w:rFonts w:ascii="Times New Roman" w:hAnsi="Times New Roman" w:eastAsia="宋体"/>
              <w:b w:val="0"/>
              <w:sz w:val="28"/>
            </w:rPr>
            <w:instrText xml:space="preserve"> PAGEREF _Toc23388 \h </w:instrText>
          </w:r>
          <w:r>
            <w:rPr>
              <w:rFonts w:ascii="Times New Roman" w:hAnsi="Times New Roman" w:eastAsia="宋体"/>
              <w:b w:val="0"/>
              <w:sz w:val="28"/>
            </w:rPr>
            <w:fldChar w:fldCharType="separate"/>
          </w:r>
          <w:r>
            <w:rPr>
              <w:rFonts w:ascii="Times New Roman" w:hAnsi="Times New Roman" w:eastAsia="宋体"/>
              <w:b w:val="0"/>
              <w:sz w:val="28"/>
            </w:rPr>
            <w:t>- 3 -</w:t>
          </w:r>
          <w:r>
            <w:rPr>
              <w:rFonts w:ascii="Times New Roman" w:hAnsi="Times New Roman" w:eastAsia="宋体"/>
              <w:b w:val="0"/>
              <w:sz w:val="28"/>
            </w:rPr>
            <w:fldChar w:fldCharType="end"/>
          </w:r>
          <w:r>
            <w:rPr>
              <w:rFonts w:hint="eastAsia" w:ascii="Times New Roman" w:hAnsi="Times New Roman" w:eastAsia="宋体"/>
              <w:b w:val="0"/>
              <w:sz w:val="28"/>
              <w:szCs w:val="28"/>
            </w:rPr>
            <w:fldChar w:fldCharType="end"/>
          </w:r>
        </w:p>
        <w:p>
          <w:pPr>
            <w:pStyle w:val="11"/>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ascii="Times New Roman" w:hAnsi="Times New Roman" w:eastAsia="宋体"/>
              <w:b w:val="0"/>
              <w:sz w:val="28"/>
            </w:rPr>
          </w:pPr>
          <w:r>
            <w:rPr>
              <w:rFonts w:hint="eastAsia" w:ascii="Times New Roman" w:hAnsi="Times New Roman" w:eastAsia="宋体"/>
              <w:b w:val="0"/>
              <w:sz w:val="28"/>
              <w:szCs w:val="28"/>
            </w:rPr>
            <w:fldChar w:fldCharType="begin"/>
          </w:r>
          <w:r>
            <w:rPr>
              <w:rFonts w:hint="eastAsia" w:ascii="Times New Roman" w:hAnsi="Times New Roman" w:eastAsia="宋体"/>
              <w:b w:val="0"/>
              <w:sz w:val="28"/>
              <w:szCs w:val="28"/>
            </w:rPr>
            <w:instrText xml:space="preserve"> HYPERLINK \l _Toc28123 </w:instrText>
          </w:r>
          <w:r>
            <w:rPr>
              <w:rFonts w:hint="eastAsia" w:ascii="Times New Roman" w:hAnsi="Times New Roman" w:eastAsia="宋体"/>
              <w:b w:val="0"/>
              <w:sz w:val="28"/>
              <w:szCs w:val="28"/>
            </w:rPr>
            <w:fldChar w:fldCharType="separate"/>
          </w:r>
          <w:r>
            <w:rPr>
              <w:rFonts w:hint="eastAsia" w:ascii="Times New Roman" w:hAnsi="Times New Roman" w:eastAsia="宋体"/>
              <w:b w:val="0"/>
              <w:sz w:val="28"/>
            </w:rPr>
            <w:t>五、 一般公共预算财政拨款支出决算情况说明</w:t>
          </w:r>
          <w:r>
            <w:rPr>
              <w:rFonts w:ascii="Times New Roman" w:hAnsi="Times New Roman" w:eastAsia="宋体"/>
              <w:b w:val="0"/>
              <w:sz w:val="28"/>
            </w:rPr>
            <w:tab/>
          </w:r>
          <w:r>
            <w:rPr>
              <w:rFonts w:ascii="Times New Roman" w:hAnsi="Times New Roman" w:eastAsia="宋体"/>
              <w:b w:val="0"/>
              <w:sz w:val="28"/>
            </w:rPr>
            <w:fldChar w:fldCharType="begin"/>
          </w:r>
          <w:r>
            <w:rPr>
              <w:rFonts w:ascii="Times New Roman" w:hAnsi="Times New Roman" w:eastAsia="宋体"/>
              <w:b w:val="0"/>
              <w:sz w:val="28"/>
            </w:rPr>
            <w:instrText xml:space="preserve"> PAGEREF _Toc28123 \h </w:instrText>
          </w:r>
          <w:r>
            <w:rPr>
              <w:rFonts w:ascii="Times New Roman" w:hAnsi="Times New Roman" w:eastAsia="宋体"/>
              <w:b w:val="0"/>
              <w:sz w:val="28"/>
            </w:rPr>
            <w:fldChar w:fldCharType="separate"/>
          </w:r>
          <w:r>
            <w:rPr>
              <w:rFonts w:ascii="Times New Roman" w:hAnsi="Times New Roman" w:eastAsia="宋体"/>
              <w:b w:val="0"/>
              <w:sz w:val="28"/>
            </w:rPr>
            <w:t>- 4 -</w:t>
          </w:r>
          <w:r>
            <w:rPr>
              <w:rFonts w:ascii="Times New Roman" w:hAnsi="Times New Roman" w:eastAsia="宋体"/>
              <w:b w:val="0"/>
              <w:sz w:val="28"/>
            </w:rPr>
            <w:fldChar w:fldCharType="end"/>
          </w:r>
          <w:r>
            <w:rPr>
              <w:rFonts w:hint="eastAsia" w:ascii="Times New Roman" w:hAnsi="Times New Roman" w:eastAsia="宋体"/>
              <w:b w:val="0"/>
              <w:sz w:val="28"/>
              <w:szCs w:val="28"/>
            </w:rPr>
            <w:fldChar w:fldCharType="end"/>
          </w:r>
        </w:p>
        <w:p>
          <w:pPr>
            <w:pStyle w:val="11"/>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ascii="Times New Roman" w:hAnsi="Times New Roman" w:eastAsia="宋体"/>
              <w:b w:val="0"/>
              <w:sz w:val="28"/>
            </w:rPr>
          </w:pPr>
          <w:r>
            <w:rPr>
              <w:rFonts w:hint="eastAsia" w:ascii="Times New Roman" w:hAnsi="Times New Roman" w:eastAsia="宋体"/>
              <w:b w:val="0"/>
              <w:sz w:val="28"/>
              <w:szCs w:val="28"/>
            </w:rPr>
            <w:fldChar w:fldCharType="begin"/>
          </w:r>
          <w:r>
            <w:rPr>
              <w:rFonts w:hint="eastAsia" w:ascii="Times New Roman" w:hAnsi="Times New Roman" w:eastAsia="宋体"/>
              <w:b w:val="0"/>
              <w:sz w:val="28"/>
              <w:szCs w:val="28"/>
            </w:rPr>
            <w:instrText xml:space="preserve"> HYPERLINK \l _Toc1429 </w:instrText>
          </w:r>
          <w:r>
            <w:rPr>
              <w:rFonts w:hint="eastAsia" w:ascii="Times New Roman" w:hAnsi="Times New Roman" w:eastAsia="宋体"/>
              <w:b w:val="0"/>
              <w:sz w:val="28"/>
              <w:szCs w:val="28"/>
            </w:rPr>
            <w:fldChar w:fldCharType="separate"/>
          </w:r>
          <w:r>
            <w:rPr>
              <w:rFonts w:hint="eastAsia" w:ascii="Times New Roman" w:hAnsi="Times New Roman" w:eastAsia="宋体"/>
              <w:b w:val="0"/>
              <w:sz w:val="28"/>
            </w:rPr>
            <w:t>六、 一般公共预算财政拨款基本支出决算情况说明</w:t>
          </w:r>
          <w:r>
            <w:rPr>
              <w:rFonts w:ascii="Times New Roman" w:hAnsi="Times New Roman" w:eastAsia="宋体"/>
              <w:b w:val="0"/>
              <w:sz w:val="28"/>
            </w:rPr>
            <w:tab/>
          </w:r>
          <w:r>
            <w:rPr>
              <w:rFonts w:ascii="Times New Roman" w:hAnsi="Times New Roman" w:eastAsia="宋体"/>
              <w:b w:val="0"/>
              <w:sz w:val="28"/>
            </w:rPr>
            <w:fldChar w:fldCharType="begin"/>
          </w:r>
          <w:r>
            <w:rPr>
              <w:rFonts w:ascii="Times New Roman" w:hAnsi="Times New Roman" w:eastAsia="宋体"/>
              <w:b w:val="0"/>
              <w:sz w:val="28"/>
            </w:rPr>
            <w:instrText xml:space="preserve"> PAGEREF _Toc1429 \h </w:instrText>
          </w:r>
          <w:r>
            <w:rPr>
              <w:rFonts w:ascii="Times New Roman" w:hAnsi="Times New Roman" w:eastAsia="宋体"/>
              <w:b w:val="0"/>
              <w:sz w:val="28"/>
            </w:rPr>
            <w:fldChar w:fldCharType="separate"/>
          </w:r>
          <w:r>
            <w:rPr>
              <w:rFonts w:ascii="Times New Roman" w:hAnsi="Times New Roman" w:eastAsia="宋体"/>
              <w:b w:val="0"/>
              <w:sz w:val="28"/>
            </w:rPr>
            <w:t>- 6 -</w:t>
          </w:r>
          <w:r>
            <w:rPr>
              <w:rFonts w:ascii="Times New Roman" w:hAnsi="Times New Roman" w:eastAsia="宋体"/>
              <w:b w:val="0"/>
              <w:sz w:val="28"/>
            </w:rPr>
            <w:fldChar w:fldCharType="end"/>
          </w:r>
          <w:r>
            <w:rPr>
              <w:rFonts w:hint="eastAsia" w:ascii="Times New Roman" w:hAnsi="Times New Roman" w:eastAsia="宋体"/>
              <w:b w:val="0"/>
              <w:sz w:val="28"/>
              <w:szCs w:val="28"/>
            </w:rPr>
            <w:fldChar w:fldCharType="end"/>
          </w:r>
        </w:p>
        <w:p>
          <w:pPr>
            <w:pStyle w:val="11"/>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ascii="Times New Roman" w:hAnsi="Times New Roman" w:eastAsia="宋体"/>
              <w:b w:val="0"/>
              <w:sz w:val="28"/>
            </w:rPr>
          </w:pPr>
          <w:r>
            <w:rPr>
              <w:rFonts w:hint="eastAsia" w:ascii="Times New Roman" w:hAnsi="Times New Roman" w:eastAsia="宋体"/>
              <w:b w:val="0"/>
              <w:sz w:val="28"/>
              <w:szCs w:val="28"/>
            </w:rPr>
            <w:fldChar w:fldCharType="begin"/>
          </w:r>
          <w:r>
            <w:rPr>
              <w:rFonts w:hint="eastAsia" w:ascii="Times New Roman" w:hAnsi="Times New Roman" w:eastAsia="宋体"/>
              <w:b w:val="0"/>
              <w:sz w:val="28"/>
              <w:szCs w:val="28"/>
            </w:rPr>
            <w:instrText xml:space="preserve"> HYPERLINK \l _Toc15152 </w:instrText>
          </w:r>
          <w:r>
            <w:rPr>
              <w:rFonts w:hint="eastAsia" w:ascii="Times New Roman" w:hAnsi="Times New Roman" w:eastAsia="宋体"/>
              <w:b w:val="0"/>
              <w:sz w:val="28"/>
              <w:szCs w:val="28"/>
            </w:rPr>
            <w:fldChar w:fldCharType="separate"/>
          </w:r>
          <w:r>
            <w:rPr>
              <w:rFonts w:hint="eastAsia" w:ascii="Times New Roman" w:hAnsi="Times New Roman" w:eastAsia="宋体"/>
              <w:b w:val="0"/>
              <w:sz w:val="28"/>
            </w:rPr>
            <w:t>七、 财政拨款“三公”经费支出决算情况说明</w:t>
          </w:r>
          <w:r>
            <w:rPr>
              <w:rFonts w:ascii="Times New Roman" w:hAnsi="Times New Roman" w:eastAsia="宋体"/>
              <w:b w:val="0"/>
              <w:sz w:val="28"/>
            </w:rPr>
            <w:tab/>
          </w:r>
          <w:r>
            <w:rPr>
              <w:rFonts w:ascii="Times New Roman" w:hAnsi="Times New Roman" w:eastAsia="宋体"/>
              <w:b w:val="0"/>
              <w:sz w:val="28"/>
            </w:rPr>
            <w:fldChar w:fldCharType="begin"/>
          </w:r>
          <w:r>
            <w:rPr>
              <w:rFonts w:ascii="Times New Roman" w:hAnsi="Times New Roman" w:eastAsia="宋体"/>
              <w:b w:val="0"/>
              <w:sz w:val="28"/>
            </w:rPr>
            <w:instrText xml:space="preserve"> PAGEREF _Toc15152 \h </w:instrText>
          </w:r>
          <w:r>
            <w:rPr>
              <w:rFonts w:ascii="Times New Roman" w:hAnsi="Times New Roman" w:eastAsia="宋体"/>
              <w:b w:val="0"/>
              <w:sz w:val="28"/>
            </w:rPr>
            <w:fldChar w:fldCharType="separate"/>
          </w:r>
          <w:r>
            <w:rPr>
              <w:rFonts w:ascii="Times New Roman" w:hAnsi="Times New Roman" w:eastAsia="宋体"/>
              <w:b w:val="0"/>
              <w:sz w:val="28"/>
            </w:rPr>
            <w:t>- 6 -</w:t>
          </w:r>
          <w:r>
            <w:rPr>
              <w:rFonts w:ascii="Times New Roman" w:hAnsi="Times New Roman" w:eastAsia="宋体"/>
              <w:b w:val="0"/>
              <w:sz w:val="28"/>
            </w:rPr>
            <w:fldChar w:fldCharType="end"/>
          </w:r>
          <w:r>
            <w:rPr>
              <w:rFonts w:hint="eastAsia" w:ascii="Times New Roman" w:hAnsi="Times New Roman" w:eastAsia="宋体"/>
              <w:b w:val="0"/>
              <w:sz w:val="28"/>
              <w:szCs w:val="28"/>
            </w:rPr>
            <w:fldChar w:fldCharType="end"/>
          </w:r>
        </w:p>
        <w:p>
          <w:pPr>
            <w:pStyle w:val="11"/>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ascii="Times New Roman" w:hAnsi="Times New Roman" w:eastAsia="宋体"/>
              <w:b w:val="0"/>
              <w:sz w:val="28"/>
            </w:rPr>
          </w:pPr>
          <w:r>
            <w:rPr>
              <w:rFonts w:hint="eastAsia" w:ascii="Times New Roman" w:hAnsi="Times New Roman" w:eastAsia="宋体"/>
              <w:b w:val="0"/>
              <w:sz w:val="28"/>
              <w:szCs w:val="28"/>
            </w:rPr>
            <w:fldChar w:fldCharType="begin"/>
          </w:r>
          <w:r>
            <w:rPr>
              <w:rFonts w:hint="eastAsia" w:ascii="Times New Roman" w:hAnsi="Times New Roman" w:eastAsia="宋体"/>
              <w:b w:val="0"/>
              <w:sz w:val="28"/>
              <w:szCs w:val="28"/>
            </w:rPr>
            <w:instrText xml:space="preserve"> HYPERLINK \l _Toc9398 </w:instrText>
          </w:r>
          <w:r>
            <w:rPr>
              <w:rFonts w:hint="eastAsia" w:ascii="Times New Roman" w:hAnsi="Times New Roman" w:eastAsia="宋体"/>
              <w:b w:val="0"/>
              <w:sz w:val="28"/>
              <w:szCs w:val="28"/>
            </w:rPr>
            <w:fldChar w:fldCharType="separate"/>
          </w:r>
          <w:r>
            <w:rPr>
              <w:rFonts w:hint="eastAsia" w:ascii="Times New Roman" w:hAnsi="Times New Roman" w:eastAsia="宋体"/>
              <w:b w:val="0"/>
              <w:sz w:val="28"/>
            </w:rPr>
            <w:t>八、 政府性基金预算支出决算情况说明</w:t>
          </w:r>
          <w:r>
            <w:rPr>
              <w:rFonts w:ascii="Times New Roman" w:hAnsi="Times New Roman" w:eastAsia="宋体"/>
              <w:b w:val="0"/>
              <w:sz w:val="28"/>
            </w:rPr>
            <w:tab/>
          </w:r>
          <w:r>
            <w:rPr>
              <w:rFonts w:ascii="Times New Roman" w:hAnsi="Times New Roman" w:eastAsia="宋体"/>
              <w:b w:val="0"/>
              <w:sz w:val="28"/>
            </w:rPr>
            <w:fldChar w:fldCharType="begin"/>
          </w:r>
          <w:r>
            <w:rPr>
              <w:rFonts w:ascii="Times New Roman" w:hAnsi="Times New Roman" w:eastAsia="宋体"/>
              <w:b w:val="0"/>
              <w:sz w:val="28"/>
            </w:rPr>
            <w:instrText xml:space="preserve"> PAGEREF _Toc9398 \h </w:instrText>
          </w:r>
          <w:r>
            <w:rPr>
              <w:rFonts w:ascii="Times New Roman" w:hAnsi="Times New Roman" w:eastAsia="宋体"/>
              <w:b w:val="0"/>
              <w:sz w:val="28"/>
            </w:rPr>
            <w:fldChar w:fldCharType="separate"/>
          </w:r>
          <w:r>
            <w:rPr>
              <w:rFonts w:ascii="Times New Roman" w:hAnsi="Times New Roman" w:eastAsia="宋体"/>
              <w:b w:val="0"/>
              <w:sz w:val="28"/>
            </w:rPr>
            <w:t>- 8 -</w:t>
          </w:r>
          <w:r>
            <w:rPr>
              <w:rFonts w:ascii="Times New Roman" w:hAnsi="Times New Roman" w:eastAsia="宋体"/>
              <w:b w:val="0"/>
              <w:sz w:val="28"/>
            </w:rPr>
            <w:fldChar w:fldCharType="end"/>
          </w:r>
          <w:r>
            <w:rPr>
              <w:rFonts w:hint="eastAsia" w:ascii="Times New Roman" w:hAnsi="Times New Roman" w:eastAsia="宋体"/>
              <w:b w:val="0"/>
              <w:sz w:val="28"/>
              <w:szCs w:val="28"/>
            </w:rPr>
            <w:fldChar w:fldCharType="end"/>
          </w:r>
        </w:p>
        <w:p>
          <w:pPr>
            <w:pStyle w:val="11"/>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ascii="Times New Roman" w:hAnsi="Times New Roman" w:eastAsia="宋体"/>
              <w:b w:val="0"/>
              <w:sz w:val="28"/>
            </w:rPr>
          </w:pPr>
          <w:r>
            <w:rPr>
              <w:rFonts w:hint="eastAsia" w:ascii="Times New Roman" w:hAnsi="Times New Roman" w:eastAsia="宋体"/>
              <w:b w:val="0"/>
              <w:sz w:val="28"/>
              <w:szCs w:val="28"/>
            </w:rPr>
            <w:fldChar w:fldCharType="begin"/>
          </w:r>
          <w:r>
            <w:rPr>
              <w:rFonts w:hint="eastAsia" w:ascii="Times New Roman" w:hAnsi="Times New Roman" w:eastAsia="宋体"/>
              <w:b w:val="0"/>
              <w:sz w:val="28"/>
              <w:szCs w:val="28"/>
            </w:rPr>
            <w:instrText xml:space="preserve"> HYPERLINK \l _Toc1807 </w:instrText>
          </w:r>
          <w:r>
            <w:rPr>
              <w:rFonts w:hint="eastAsia" w:ascii="Times New Roman" w:hAnsi="Times New Roman" w:eastAsia="宋体"/>
              <w:b w:val="0"/>
              <w:sz w:val="28"/>
              <w:szCs w:val="28"/>
            </w:rPr>
            <w:fldChar w:fldCharType="separate"/>
          </w:r>
          <w:r>
            <w:rPr>
              <w:rFonts w:hint="eastAsia" w:ascii="Times New Roman" w:hAnsi="Times New Roman" w:eastAsia="宋体"/>
              <w:b w:val="0"/>
              <w:sz w:val="28"/>
            </w:rPr>
            <w:t>九、 国有资本经营预算支出决算情况说明</w:t>
          </w:r>
          <w:r>
            <w:rPr>
              <w:rFonts w:ascii="Times New Roman" w:hAnsi="Times New Roman" w:eastAsia="宋体"/>
              <w:b w:val="0"/>
              <w:sz w:val="28"/>
            </w:rPr>
            <w:tab/>
          </w:r>
          <w:r>
            <w:rPr>
              <w:rFonts w:ascii="Times New Roman" w:hAnsi="Times New Roman" w:eastAsia="宋体"/>
              <w:b w:val="0"/>
              <w:sz w:val="28"/>
            </w:rPr>
            <w:fldChar w:fldCharType="begin"/>
          </w:r>
          <w:r>
            <w:rPr>
              <w:rFonts w:ascii="Times New Roman" w:hAnsi="Times New Roman" w:eastAsia="宋体"/>
              <w:b w:val="0"/>
              <w:sz w:val="28"/>
            </w:rPr>
            <w:instrText xml:space="preserve"> PAGEREF _Toc1807 \h </w:instrText>
          </w:r>
          <w:r>
            <w:rPr>
              <w:rFonts w:ascii="Times New Roman" w:hAnsi="Times New Roman" w:eastAsia="宋体"/>
              <w:b w:val="0"/>
              <w:sz w:val="28"/>
            </w:rPr>
            <w:fldChar w:fldCharType="separate"/>
          </w:r>
          <w:r>
            <w:rPr>
              <w:rFonts w:ascii="Times New Roman" w:hAnsi="Times New Roman" w:eastAsia="宋体"/>
              <w:b w:val="0"/>
              <w:sz w:val="28"/>
            </w:rPr>
            <w:t>- 8 -</w:t>
          </w:r>
          <w:r>
            <w:rPr>
              <w:rFonts w:ascii="Times New Roman" w:hAnsi="Times New Roman" w:eastAsia="宋体"/>
              <w:b w:val="0"/>
              <w:sz w:val="28"/>
            </w:rPr>
            <w:fldChar w:fldCharType="end"/>
          </w:r>
          <w:r>
            <w:rPr>
              <w:rFonts w:hint="eastAsia" w:ascii="Times New Roman" w:hAnsi="Times New Roman" w:eastAsia="宋体"/>
              <w:b w:val="0"/>
              <w:sz w:val="28"/>
              <w:szCs w:val="28"/>
            </w:rPr>
            <w:fldChar w:fldCharType="end"/>
          </w:r>
        </w:p>
        <w:p>
          <w:pPr>
            <w:pStyle w:val="11"/>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ascii="Times New Roman" w:hAnsi="Times New Roman" w:eastAsia="宋体"/>
              <w:b w:val="0"/>
              <w:sz w:val="28"/>
            </w:rPr>
          </w:pPr>
          <w:r>
            <w:rPr>
              <w:rFonts w:hint="eastAsia" w:ascii="Times New Roman" w:hAnsi="Times New Roman" w:eastAsia="宋体"/>
              <w:b w:val="0"/>
              <w:sz w:val="28"/>
              <w:szCs w:val="28"/>
            </w:rPr>
            <w:fldChar w:fldCharType="begin"/>
          </w:r>
          <w:r>
            <w:rPr>
              <w:rFonts w:hint="eastAsia" w:ascii="Times New Roman" w:hAnsi="Times New Roman" w:eastAsia="宋体"/>
              <w:b w:val="0"/>
              <w:sz w:val="28"/>
              <w:szCs w:val="28"/>
            </w:rPr>
            <w:instrText xml:space="preserve"> HYPERLINK \l _Toc2417 </w:instrText>
          </w:r>
          <w:r>
            <w:rPr>
              <w:rFonts w:hint="eastAsia" w:ascii="Times New Roman" w:hAnsi="Times New Roman" w:eastAsia="宋体"/>
              <w:b w:val="0"/>
              <w:sz w:val="28"/>
              <w:szCs w:val="28"/>
            </w:rPr>
            <w:fldChar w:fldCharType="separate"/>
          </w:r>
          <w:r>
            <w:rPr>
              <w:rFonts w:hint="eastAsia" w:ascii="Times New Roman" w:hAnsi="Times New Roman" w:eastAsia="宋体"/>
              <w:b w:val="0"/>
              <w:sz w:val="28"/>
            </w:rPr>
            <w:t>十、 其他重要事项的情况说明</w:t>
          </w:r>
          <w:r>
            <w:rPr>
              <w:rFonts w:ascii="Times New Roman" w:hAnsi="Times New Roman" w:eastAsia="宋体"/>
              <w:b w:val="0"/>
              <w:sz w:val="28"/>
            </w:rPr>
            <w:tab/>
          </w:r>
          <w:r>
            <w:rPr>
              <w:rFonts w:ascii="Times New Roman" w:hAnsi="Times New Roman" w:eastAsia="宋体"/>
              <w:b w:val="0"/>
              <w:sz w:val="28"/>
            </w:rPr>
            <w:fldChar w:fldCharType="begin"/>
          </w:r>
          <w:r>
            <w:rPr>
              <w:rFonts w:ascii="Times New Roman" w:hAnsi="Times New Roman" w:eastAsia="宋体"/>
              <w:b w:val="0"/>
              <w:sz w:val="28"/>
            </w:rPr>
            <w:instrText xml:space="preserve"> PAGEREF _Toc2417 \h </w:instrText>
          </w:r>
          <w:r>
            <w:rPr>
              <w:rFonts w:ascii="Times New Roman" w:hAnsi="Times New Roman" w:eastAsia="宋体"/>
              <w:b w:val="0"/>
              <w:sz w:val="28"/>
            </w:rPr>
            <w:fldChar w:fldCharType="separate"/>
          </w:r>
          <w:r>
            <w:rPr>
              <w:rFonts w:ascii="Times New Roman" w:hAnsi="Times New Roman" w:eastAsia="宋体"/>
              <w:b w:val="0"/>
              <w:sz w:val="28"/>
            </w:rPr>
            <w:t>- 8 -</w:t>
          </w:r>
          <w:r>
            <w:rPr>
              <w:rFonts w:ascii="Times New Roman" w:hAnsi="Times New Roman" w:eastAsia="宋体"/>
              <w:b w:val="0"/>
              <w:sz w:val="28"/>
            </w:rPr>
            <w:fldChar w:fldCharType="end"/>
          </w:r>
          <w:r>
            <w:rPr>
              <w:rFonts w:hint="eastAsia" w:ascii="Times New Roman" w:hAnsi="Times New Roman" w:eastAsia="宋体"/>
              <w:b w:val="0"/>
              <w:sz w:val="28"/>
              <w:szCs w:val="28"/>
            </w:rPr>
            <w:fldChar w:fldCharType="end"/>
          </w:r>
        </w:p>
        <w:p>
          <w:pPr>
            <w:pStyle w:val="10"/>
            <w:widowControl w:val="0"/>
            <w:tabs>
              <w:tab w:val="right" w:leader="dot" w:pos="8306"/>
              <w:tab w:val="clear" w:pos="8296"/>
            </w:tabs>
            <w:kinsoku/>
            <w:wordWrap/>
            <w:overflowPunct/>
            <w:topLinePunct w:val="0"/>
            <w:autoSpaceDE/>
            <w:autoSpaceDN/>
            <w:bidi w:val="0"/>
            <w:adjustRightInd/>
            <w:snapToGrid/>
            <w:spacing w:before="0" w:line="576" w:lineRule="exact"/>
            <w:textAlignment w:val="auto"/>
            <w:rPr>
              <w:rFonts w:ascii="Times New Roman" w:hAnsi="Times New Roman" w:eastAsia="宋体"/>
              <w:b w:val="0"/>
              <w:sz w:val="28"/>
            </w:rPr>
          </w:pPr>
          <w:r>
            <w:rPr>
              <w:rFonts w:hint="eastAsia" w:ascii="Times New Roman" w:hAnsi="Times New Roman" w:eastAsia="宋体"/>
              <w:b w:val="0"/>
              <w:sz w:val="28"/>
              <w:szCs w:val="28"/>
            </w:rPr>
            <w:fldChar w:fldCharType="begin"/>
          </w:r>
          <w:r>
            <w:rPr>
              <w:rFonts w:hint="eastAsia" w:ascii="Times New Roman" w:hAnsi="Times New Roman" w:eastAsia="宋体"/>
              <w:b w:val="0"/>
              <w:sz w:val="28"/>
              <w:szCs w:val="28"/>
            </w:rPr>
            <w:instrText xml:space="preserve"> HYPERLINK \l _Toc13173 </w:instrText>
          </w:r>
          <w:r>
            <w:rPr>
              <w:rFonts w:hint="eastAsia" w:ascii="Times New Roman" w:hAnsi="Times New Roman" w:eastAsia="宋体"/>
              <w:b w:val="0"/>
              <w:sz w:val="28"/>
              <w:szCs w:val="28"/>
            </w:rPr>
            <w:fldChar w:fldCharType="separate"/>
          </w:r>
          <w:r>
            <w:rPr>
              <w:rFonts w:hint="eastAsia" w:ascii="Times New Roman" w:hAnsi="Times New Roman" w:eastAsia="宋体"/>
              <w:b w:val="0"/>
              <w:sz w:val="28"/>
              <w:lang w:val="en-US" w:eastAsia="zh-CN"/>
            </w:rPr>
            <w:t xml:space="preserve">第三部分 </w:t>
          </w:r>
          <w:r>
            <w:rPr>
              <w:rFonts w:hint="eastAsia" w:ascii="Times New Roman" w:hAnsi="Times New Roman" w:eastAsia="宋体"/>
              <w:b w:val="0"/>
              <w:sz w:val="28"/>
            </w:rPr>
            <w:t>名词解释</w:t>
          </w:r>
          <w:r>
            <w:rPr>
              <w:rFonts w:ascii="Times New Roman" w:hAnsi="Times New Roman" w:eastAsia="宋体"/>
              <w:b w:val="0"/>
              <w:sz w:val="28"/>
            </w:rPr>
            <w:tab/>
          </w:r>
          <w:r>
            <w:rPr>
              <w:rFonts w:ascii="Times New Roman" w:hAnsi="Times New Roman" w:eastAsia="宋体"/>
              <w:b w:val="0"/>
              <w:sz w:val="28"/>
            </w:rPr>
            <w:fldChar w:fldCharType="begin"/>
          </w:r>
          <w:r>
            <w:rPr>
              <w:rFonts w:ascii="Times New Roman" w:hAnsi="Times New Roman" w:eastAsia="宋体"/>
              <w:b w:val="0"/>
              <w:sz w:val="28"/>
            </w:rPr>
            <w:instrText xml:space="preserve"> PAGEREF _Toc13173 \h </w:instrText>
          </w:r>
          <w:r>
            <w:rPr>
              <w:rFonts w:ascii="Times New Roman" w:hAnsi="Times New Roman" w:eastAsia="宋体"/>
              <w:b w:val="0"/>
              <w:sz w:val="28"/>
            </w:rPr>
            <w:fldChar w:fldCharType="separate"/>
          </w:r>
          <w:r>
            <w:rPr>
              <w:rFonts w:ascii="Times New Roman" w:hAnsi="Times New Roman" w:eastAsia="宋体"/>
              <w:b w:val="0"/>
              <w:sz w:val="28"/>
            </w:rPr>
            <w:t>- 10 -</w:t>
          </w:r>
          <w:r>
            <w:rPr>
              <w:rFonts w:ascii="Times New Roman" w:hAnsi="Times New Roman" w:eastAsia="宋体"/>
              <w:b w:val="0"/>
              <w:sz w:val="28"/>
            </w:rPr>
            <w:fldChar w:fldCharType="end"/>
          </w:r>
          <w:r>
            <w:rPr>
              <w:rFonts w:hint="eastAsia" w:ascii="Times New Roman" w:hAnsi="Times New Roman" w:eastAsia="宋体"/>
              <w:b w:val="0"/>
              <w:sz w:val="28"/>
              <w:szCs w:val="28"/>
            </w:rPr>
            <w:fldChar w:fldCharType="end"/>
          </w:r>
        </w:p>
        <w:p>
          <w:pPr>
            <w:pStyle w:val="10"/>
            <w:widowControl w:val="0"/>
            <w:tabs>
              <w:tab w:val="right" w:leader="dot" w:pos="8306"/>
              <w:tab w:val="clear" w:pos="8296"/>
            </w:tabs>
            <w:kinsoku/>
            <w:wordWrap/>
            <w:overflowPunct/>
            <w:topLinePunct w:val="0"/>
            <w:autoSpaceDE/>
            <w:autoSpaceDN/>
            <w:bidi w:val="0"/>
            <w:adjustRightInd/>
            <w:snapToGrid/>
            <w:spacing w:before="0" w:line="576" w:lineRule="exact"/>
            <w:textAlignment w:val="auto"/>
            <w:rPr>
              <w:rFonts w:ascii="Times New Roman" w:hAnsi="Times New Roman" w:eastAsia="宋体"/>
              <w:b w:val="0"/>
              <w:sz w:val="28"/>
            </w:rPr>
          </w:pPr>
          <w:r>
            <w:rPr>
              <w:rFonts w:hint="eastAsia" w:ascii="Times New Roman" w:hAnsi="Times New Roman" w:eastAsia="宋体"/>
              <w:b w:val="0"/>
              <w:sz w:val="28"/>
              <w:szCs w:val="28"/>
            </w:rPr>
            <w:fldChar w:fldCharType="begin"/>
          </w:r>
          <w:r>
            <w:rPr>
              <w:rFonts w:hint="eastAsia" w:ascii="Times New Roman" w:hAnsi="Times New Roman" w:eastAsia="宋体"/>
              <w:b w:val="0"/>
              <w:sz w:val="28"/>
              <w:szCs w:val="28"/>
            </w:rPr>
            <w:instrText xml:space="preserve"> HYPERLINK \l _Toc22939 </w:instrText>
          </w:r>
          <w:r>
            <w:rPr>
              <w:rFonts w:hint="eastAsia" w:ascii="Times New Roman" w:hAnsi="Times New Roman" w:eastAsia="宋体"/>
              <w:b w:val="0"/>
              <w:sz w:val="28"/>
              <w:szCs w:val="28"/>
            </w:rPr>
            <w:fldChar w:fldCharType="separate"/>
          </w:r>
          <w:r>
            <w:rPr>
              <w:rFonts w:hint="eastAsia" w:ascii="Times New Roman" w:hAnsi="Times New Roman" w:eastAsia="宋体"/>
              <w:b w:val="0"/>
              <w:sz w:val="28"/>
            </w:rPr>
            <w:t>第四部分 附件</w:t>
          </w:r>
          <w:r>
            <w:rPr>
              <w:rFonts w:ascii="Times New Roman" w:hAnsi="Times New Roman" w:eastAsia="宋体"/>
              <w:b w:val="0"/>
              <w:sz w:val="28"/>
            </w:rPr>
            <w:tab/>
          </w:r>
          <w:r>
            <w:rPr>
              <w:rFonts w:ascii="Times New Roman" w:hAnsi="Times New Roman" w:eastAsia="宋体"/>
              <w:b w:val="0"/>
              <w:sz w:val="28"/>
            </w:rPr>
            <w:fldChar w:fldCharType="begin"/>
          </w:r>
          <w:r>
            <w:rPr>
              <w:rFonts w:ascii="Times New Roman" w:hAnsi="Times New Roman" w:eastAsia="宋体"/>
              <w:b w:val="0"/>
              <w:sz w:val="28"/>
            </w:rPr>
            <w:instrText xml:space="preserve"> PAGEREF _Toc22939 \h </w:instrText>
          </w:r>
          <w:r>
            <w:rPr>
              <w:rFonts w:ascii="Times New Roman" w:hAnsi="Times New Roman" w:eastAsia="宋体"/>
              <w:b w:val="0"/>
              <w:sz w:val="28"/>
            </w:rPr>
            <w:fldChar w:fldCharType="separate"/>
          </w:r>
          <w:r>
            <w:rPr>
              <w:rFonts w:ascii="Times New Roman" w:hAnsi="Times New Roman" w:eastAsia="宋体"/>
              <w:b w:val="0"/>
              <w:sz w:val="28"/>
            </w:rPr>
            <w:t>- 12 -</w:t>
          </w:r>
          <w:r>
            <w:rPr>
              <w:rFonts w:ascii="Times New Roman" w:hAnsi="Times New Roman" w:eastAsia="宋体"/>
              <w:b w:val="0"/>
              <w:sz w:val="28"/>
            </w:rPr>
            <w:fldChar w:fldCharType="end"/>
          </w:r>
          <w:r>
            <w:rPr>
              <w:rFonts w:hint="eastAsia" w:ascii="Times New Roman" w:hAnsi="Times New Roman" w:eastAsia="宋体"/>
              <w:b w:val="0"/>
              <w:sz w:val="28"/>
              <w:szCs w:val="28"/>
            </w:rPr>
            <w:fldChar w:fldCharType="end"/>
          </w:r>
        </w:p>
        <w:p>
          <w:pPr>
            <w:pStyle w:val="10"/>
            <w:widowControl w:val="0"/>
            <w:tabs>
              <w:tab w:val="right" w:leader="dot" w:pos="8306"/>
              <w:tab w:val="clear" w:pos="8296"/>
            </w:tabs>
            <w:kinsoku/>
            <w:wordWrap/>
            <w:overflowPunct/>
            <w:topLinePunct w:val="0"/>
            <w:autoSpaceDE/>
            <w:autoSpaceDN/>
            <w:bidi w:val="0"/>
            <w:adjustRightInd/>
            <w:snapToGrid/>
            <w:spacing w:before="0" w:line="576" w:lineRule="exact"/>
            <w:textAlignment w:val="auto"/>
            <w:rPr>
              <w:rFonts w:ascii="Times New Roman" w:hAnsi="Times New Roman" w:eastAsia="宋体"/>
              <w:b w:val="0"/>
              <w:sz w:val="28"/>
            </w:rPr>
          </w:pPr>
          <w:r>
            <w:rPr>
              <w:rFonts w:hint="eastAsia" w:ascii="Times New Roman" w:hAnsi="Times New Roman" w:eastAsia="宋体"/>
              <w:b w:val="0"/>
              <w:sz w:val="28"/>
              <w:szCs w:val="28"/>
            </w:rPr>
            <w:fldChar w:fldCharType="begin"/>
          </w:r>
          <w:r>
            <w:rPr>
              <w:rFonts w:hint="eastAsia" w:ascii="Times New Roman" w:hAnsi="Times New Roman" w:eastAsia="宋体"/>
              <w:b w:val="0"/>
              <w:sz w:val="28"/>
              <w:szCs w:val="28"/>
            </w:rPr>
            <w:instrText xml:space="preserve"> HYPERLINK \l _Toc4998 </w:instrText>
          </w:r>
          <w:r>
            <w:rPr>
              <w:rFonts w:hint="eastAsia" w:ascii="Times New Roman" w:hAnsi="Times New Roman" w:eastAsia="宋体"/>
              <w:b w:val="0"/>
              <w:sz w:val="28"/>
              <w:szCs w:val="28"/>
            </w:rPr>
            <w:fldChar w:fldCharType="separate"/>
          </w:r>
          <w:r>
            <w:rPr>
              <w:rFonts w:hint="eastAsia" w:ascii="Times New Roman" w:hAnsi="Times New Roman" w:eastAsia="宋体"/>
              <w:b w:val="0"/>
              <w:sz w:val="28"/>
            </w:rPr>
            <w:t>第五部分 附表</w:t>
          </w:r>
          <w:r>
            <w:rPr>
              <w:rFonts w:ascii="Times New Roman" w:hAnsi="Times New Roman" w:eastAsia="宋体"/>
              <w:b w:val="0"/>
              <w:sz w:val="28"/>
            </w:rPr>
            <w:tab/>
          </w:r>
          <w:r>
            <w:rPr>
              <w:rFonts w:ascii="Times New Roman" w:hAnsi="Times New Roman" w:eastAsia="宋体"/>
              <w:b w:val="0"/>
              <w:sz w:val="28"/>
            </w:rPr>
            <w:fldChar w:fldCharType="begin"/>
          </w:r>
          <w:r>
            <w:rPr>
              <w:rFonts w:ascii="Times New Roman" w:hAnsi="Times New Roman" w:eastAsia="宋体"/>
              <w:b w:val="0"/>
              <w:sz w:val="28"/>
            </w:rPr>
            <w:instrText xml:space="preserve"> PAGEREF _Toc4998 \h </w:instrText>
          </w:r>
          <w:r>
            <w:rPr>
              <w:rFonts w:ascii="Times New Roman" w:hAnsi="Times New Roman" w:eastAsia="宋体"/>
              <w:b w:val="0"/>
              <w:sz w:val="28"/>
            </w:rPr>
            <w:fldChar w:fldCharType="separate"/>
          </w:r>
          <w:r>
            <w:rPr>
              <w:rFonts w:ascii="Times New Roman" w:hAnsi="Times New Roman" w:eastAsia="宋体"/>
              <w:b w:val="0"/>
              <w:sz w:val="28"/>
            </w:rPr>
            <w:t>- 33 -</w:t>
          </w:r>
          <w:r>
            <w:rPr>
              <w:rFonts w:ascii="Times New Roman" w:hAnsi="Times New Roman" w:eastAsia="宋体"/>
              <w:b w:val="0"/>
              <w:sz w:val="28"/>
            </w:rPr>
            <w:fldChar w:fldCharType="end"/>
          </w:r>
          <w:r>
            <w:rPr>
              <w:rFonts w:hint="eastAsia" w:ascii="Times New Roman" w:hAnsi="Times New Roman" w:eastAsia="宋体"/>
              <w:b w:val="0"/>
              <w:sz w:val="28"/>
              <w:szCs w:val="28"/>
            </w:rPr>
            <w:fldChar w:fldCharType="end"/>
          </w:r>
        </w:p>
        <w:p>
          <w:pPr>
            <w:bidi w:val="0"/>
            <w:rPr>
              <w:rFonts w:hint="eastAsia" w:ascii="Times New Roman" w:hAnsi="Times New Roman"/>
            </w:rPr>
            <w:sectPr>
              <w:footerReference r:id="rId6" w:type="first"/>
              <w:footerReference r:id="rId5" w:type="default"/>
              <w:pgSz w:w="11906" w:h="16838"/>
              <w:pgMar w:top="1440" w:right="1800" w:bottom="1440" w:left="1800" w:header="851" w:footer="992" w:gutter="0"/>
              <w:pgNumType w:fmt="numberInDash" w:start="1"/>
              <w:cols w:space="425" w:num="1"/>
              <w:titlePg/>
              <w:docGrid w:type="lines" w:linePitch="312" w:charSpace="0"/>
            </w:sectPr>
          </w:pPr>
          <w:r>
            <w:rPr>
              <w:rFonts w:hint="eastAsia" w:ascii="Times New Roman" w:hAnsi="Times New Roman"/>
            </w:rPr>
            <w:fldChar w:fldCharType="end"/>
          </w:r>
        </w:p>
      </w:sdtContent>
    </w:sdt>
    <w:p>
      <w:pPr>
        <w:pStyle w:val="3"/>
        <w:bidi w:val="0"/>
        <w:rPr>
          <w:rFonts w:ascii="Times New Roman" w:hAnsi="Times New Roman"/>
        </w:rPr>
      </w:pPr>
      <w:bookmarkStart w:id="21" w:name="_Toc23595"/>
      <w:r>
        <w:rPr>
          <w:rFonts w:hint="eastAsia" w:ascii="Times New Roman" w:hAnsi="Times New Roman"/>
        </w:rPr>
        <w:t>第一部分 单位概况</w:t>
      </w:r>
      <w:bookmarkEnd w:id="19"/>
      <w:bookmarkEnd w:id="20"/>
      <w:bookmarkEnd w:id="21"/>
    </w:p>
    <w:p>
      <w:pPr>
        <w:pStyle w:val="2"/>
        <w:bidi w:val="0"/>
        <w:rPr>
          <w:rFonts w:ascii="Times New Roman" w:hAnsi="Times New Roman"/>
        </w:rPr>
      </w:pPr>
      <w:bookmarkStart w:id="22" w:name="_Toc22415"/>
      <w:bookmarkStart w:id="23" w:name="_Toc15377197"/>
      <w:bookmarkStart w:id="24" w:name="_Toc15396600"/>
      <w:r>
        <w:rPr>
          <w:rFonts w:hint="eastAsia" w:ascii="Times New Roman" w:hAnsi="Times New Roman"/>
          <w:lang w:val="en-US" w:eastAsia="zh-CN"/>
        </w:rPr>
        <w:t>一、</w:t>
      </w:r>
      <w:r>
        <w:rPr>
          <w:rFonts w:hint="eastAsia" w:ascii="Times New Roman" w:hAnsi="Times New Roman"/>
        </w:rPr>
        <w:t>主要职责</w:t>
      </w:r>
      <w:bookmarkEnd w:id="2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sz w:val="32"/>
        </w:rPr>
      </w:pPr>
      <w:r>
        <w:rPr>
          <w:rFonts w:ascii="Times New Roman" w:hAnsi="Times New Roman" w:eastAsia="仿宋_GB2312"/>
          <w:sz w:val="32"/>
        </w:rPr>
        <w:t>1.</w:t>
      </w:r>
      <w:r>
        <w:rPr>
          <w:rFonts w:hint="eastAsia" w:ascii="Times New Roman" w:hAnsi="Times New Roman" w:eastAsia="仿宋_GB2312"/>
          <w:sz w:val="32"/>
        </w:rPr>
        <w:t>承担上级下达的</w:t>
      </w:r>
      <w:r>
        <w:rPr>
          <w:rFonts w:ascii="Times New Roman" w:hAnsi="Times New Roman" w:eastAsia="仿宋_GB2312"/>
          <w:sz w:val="32"/>
        </w:rPr>
        <w:t>食品（</w:t>
      </w:r>
      <w:r>
        <w:rPr>
          <w:rFonts w:hint="eastAsia" w:ascii="Times New Roman" w:hAnsi="Times New Roman" w:eastAsia="仿宋_GB2312"/>
          <w:sz w:val="32"/>
        </w:rPr>
        <w:t>含</w:t>
      </w:r>
      <w:r>
        <w:rPr>
          <w:rFonts w:ascii="Times New Roman" w:hAnsi="Times New Roman" w:eastAsia="仿宋_GB2312"/>
          <w:sz w:val="32"/>
        </w:rPr>
        <w:t>保健食品）、药品、化妆品</w:t>
      </w:r>
      <w:r>
        <w:rPr>
          <w:rFonts w:hint="eastAsia" w:ascii="Times New Roman" w:hAnsi="Times New Roman" w:eastAsia="仿宋_GB2312"/>
          <w:sz w:val="32"/>
        </w:rPr>
        <w:t>等监督抽检，专项抽检</w:t>
      </w:r>
      <w:r>
        <w:rPr>
          <w:rFonts w:ascii="Times New Roman" w:hAnsi="Times New Roman" w:eastAsia="仿宋_GB2312"/>
          <w:sz w:val="32"/>
        </w:rPr>
        <w:t>，</w:t>
      </w:r>
      <w:r>
        <w:rPr>
          <w:rFonts w:hint="eastAsia" w:ascii="Times New Roman" w:hAnsi="Times New Roman" w:eastAsia="仿宋_GB2312"/>
          <w:sz w:val="32"/>
        </w:rPr>
        <w:t>风险监测等任务。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sz w:val="32"/>
        </w:rPr>
      </w:pPr>
      <w:r>
        <w:rPr>
          <w:rFonts w:hint="eastAsia" w:ascii="Times New Roman" w:hAnsi="Times New Roman" w:eastAsia="仿宋_GB2312"/>
          <w:sz w:val="32"/>
        </w:rPr>
        <w:t>2.</w:t>
      </w:r>
      <w:r>
        <w:rPr>
          <w:rFonts w:ascii="Times New Roman" w:hAnsi="Times New Roman" w:eastAsia="仿宋_GB2312"/>
          <w:sz w:val="32"/>
        </w:rPr>
        <w:t>负责辖区内食品（</w:t>
      </w:r>
      <w:r>
        <w:rPr>
          <w:rFonts w:hint="eastAsia" w:ascii="Times New Roman" w:hAnsi="Times New Roman" w:eastAsia="仿宋_GB2312"/>
          <w:sz w:val="32"/>
        </w:rPr>
        <w:t>含</w:t>
      </w:r>
      <w:r>
        <w:rPr>
          <w:rFonts w:ascii="Times New Roman" w:hAnsi="Times New Roman" w:eastAsia="仿宋_GB2312"/>
          <w:sz w:val="32"/>
        </w:rPr>
        <w:t>保健食品）</w:t>
      </w:r>
      <w:r>
        <w:rPr>
          <w:rFonts w:hint="eastAsia" w:ascii="Times New Roman" w:hAnsi="Times New Roman" w:eastAsia="仿宋_GB2312"/>
          <w:sz w:val="32"/>
        </w:rPr>
        <w:t>、药品（含医院制剂）、化妆品的执法检查、注册审批、风险研判、行政仲裁等检验工作</w:t>
      </w:r>
      <w:r>
        <w:rPr>
          <w:rFonts w:ascii="Times New Roman" w:hAnsi="Times New Roman" w:eastAsia="仿宋_GB2312"/>
          <w:sz w:val="32"/>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sz w:val="32"/>
        </w:rPr>
      </w:pPr>
      <w:r>
        <w:rPr>
          <w:rFonts w:hint="eastAsia" w:ascii="Times New Roman" w:hAnsi="Times New Roman" w:eastAsia="仿宋_GB2312"/>
          <w:sz w:val="32"/>
        </w:rPr>
        <w:t>3</w:t>
      </w:r>
      <w:r>
        <w:rPr>
          <w:rFonts w:ascii="Times New Roman" w:hAnsi="Times New Roman" w:eastAsia="仿宋_GB2312"/>
          <w:sz w:val="32"/>
        </w:rPr>
        <w:t>.负责辖区</w:t>
      </w:r>
      <w:r>
        <w:rPr>
          <w:rFonts w:hint="eastAsia" w:ascii="Times New Roman" w:hAnsi="Times New Roman" w:eastAsia="仿宋_GB2312"/>
          <w:sz w:val="32"/>
        </w:rPr>
        <w:t>洁净室（区）净化监测</w:t>
      </w:r>
      <w:r>
        <w:rPr>
          <w:rFonts w:ascii="Times New Roman" w:hAnsi="Times New Roman" w:eastAsia="仿宋_GB2312"/>
          <w:sz w:val="32"/>
        </w:rPr>
        <w:t>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sz w:val="32"/>
        </w:rPr>
      </w:pPr>
      <w:r>
        <w:rPr>
          <w:rFonts w:hint="eastAsia" w:ascii="Times New Roman" w:hAnsi="Times New Roman" w:eastAsia="仿宋_GB2312"/>
          <w:sz w:val="32"/>
        </w:rPr>
        <w:t>4</w:t>
      </w:r>
      <w:r>
        <w:rPr>
          <w:rFonts w:ascii="Times New Roman" w:hAnsi="Times New Roman" w:eastAsia="仿宋_GB2312"/>
          <w:sz w:val="32"/>
        </w:rPr>
        <w:t>.指导</w:t>
      </w:r>
      <w:r>
        <w:rPr>
          <w:rFonts w:hint="eastAsia" w:ascii="Times New Roman" w:hAnsi="Times New Roman" w:eastAsia="仿宋_GB2312"/>
          <w:sz w:val="32"/>
        </w:rPr>
        <w:t>帮助</w:t>
      </w:r>
      <w:r>
        <w:rPr>
          <w:rFonts w:ascii="Times New Roman" w:hAnsi="Times New Roman" w:eastAsia="仿宋_GB2312"/>
          <w:sz w:val="32"/>
        </w:rPr>
        <w:t>辖区食品（</w:t>
      </w:r>
      <w:r>
        <w:rPr>
          <w:rFonts w:hint="eastAsia" w:ascii="Times New Roman" w:hAnsi="Times New Roman" w:eastAsia="仿宋_GB2312"/>
          <w:sz w:val="32"/>
        </w:rPr>
        <w:t>含</w:t>
      </w:r>
      <w:r>
        <w:rPr>
          <w:rFonts w:ascii="Times New Roman" w:hAnsi="Times New Roman" w:eastAsia="仿宋_GB2312"/>
          <w:sz w:val="32"/>
        </w:rPr>
        <w:t>保健食品）</w:t>
      </w:r>
      <w:r>
        <w:rPr>
          <w:rFonts w:hint="eastAsia" w:ascii="Times New Roman" w:hAnsi="Times New Roman" w:eastAsia="仿宋_GB2312"/>
          <w:sz w:val="32"/>
        </w:rPr>
        <w:t>、</w:t>
      </w:r>
      <w:r>
        <w:rPr>
          <w:rFonts w:ascii="Times New Roman" w:hAnsi="Times New Roman" w:eastAsia="仿宋_GB2312"/>
          <w:sz w:val="32"/>
        </w:rPr>
        <w:t>药品</w:t>
      </w:r>
      <w:r>
        <w:rPr>
          <w:rFonts w:hint="eastAsia" w:ascii="Times New Roman" w:hAnsi="Times New Roman" w:eastAsia="仿宋_GB2312"/>
          <w:sz w:val="32"/>
        </w:rPr>
        <w:t>、化妆品等</w:t>
      </w:r>
      <w:r>
        <w:rPr>
          <w:rFonts w:ascii="Times New Roman" w:hAnsi="Times New Roman" w:eastAsia="仿宋_GB2312"/>
          <w:sz w:val="32"/>
        </w:rPr>
        <w:t>生产、经营、使用</w:t>
      </w:r>
      <w:r>
        <w:rPr>
          <w:rFonts w:hint="eastAsia" w:ascii="Times New Roman" w:hAnsi="Times New Roman" w:eastAsia="仿宋_GB2312"/>
          <w:sz w:val="32"/>
        </w:rPr>
        <w:t>企业开展</w:t>
      </w:r>
      <w:r>
        <w:rPr>
          <w:rFonts w:ascii="Times New Roman" w:hAnsi="Times New Roman" w:eastAsia="仿宋_GB2312"/>
          <w:sz w:val="32"/>
        </w:rPr>
        <w:t>质量</w:t>
      </w:r>
      <w:r>
        <w:rPr>
          <w:rFonts w:hint="eastAsia" w:ascii="Times New Roman" w:hAnsi="Times New Roman" w:eastAsia="仿宋_GB2312"/>
          <w:sz w:val="32"/>
        </w:rPr>
        <w:t>提升、</w:t>
      </w:r>
      <w:r>
        <w:rPr>
          <w:rFonts w:ascii="Times New Roman" w:hAnsi="Times New Roman" w:eastAsia="仿宋_GB2312"/>
          <w:sz w:val="32"/>
        </w:rPr>
        <w:t>解决技术难题</w:t>
      </w:r>
      <w:r>
        <w:rPr>
          <w:rFonts w:hint="eastAsia" w:ascii="Times New Roman" w:hAnsi="Times New Roman" w:eastAsia="仿宋_GB2312"/>
          <w:sz w:val="32"/>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sz w:val="32"/>
        </w:rPr>
      </w:pPr>
      <w:r>
        <w:rPr>
          <w:rFonts w:hint="eastAsia" w:ascii="Times New Roman" w:hAnsi="Times New Roman" w:eastAsia="仿宋_GB2312"/>
          <w:sz w:val="32"/>
        </w:rPr>
        <w:t>5</w:t>
      </w:r>
      <w:r>
        <w:rPr>
          <w:rFonts w:ascii="Times New Roman" w:hAnsi="Times New Roman" w:eastAsia="仿宋_GB2312"/>
          <w:sz w:val="32"/>
        </w:rPr>
        <w:t>.开展食品（</w:t>
      </w:r>
      <w:r>
        <w:rPr>
          <w:rFonts w:hint="eastAsia" w:ascii="Times New Roman" w:hAnsi="Times New Roman" w:eastAsia="仿宋_GB2312"/>
          <w:sz w:val="32"/>
        </w:rPr>
        <w:t>含</w:t>
      </w:r>
      <w:r>
        <w:rPr>
          <w:rFonts w:ascii="Times New Roman" w:hAnsi="Times New Roman" w:eastAsia="仿宋_GB2312"/>
          <w:sz w:val="32"/>
        </w:rPr>
        <w:t>保健食品）</w:t>
      </w:r>
      <w:r>
        <w:rPr>
          <w:rFonts w:hint="eastAsia" w:ascii="Times New Roman" w:hAnsi="Times New Roman" w:eastAsia="仿宋_GB2312"/>
          <w:sz w:val="32"/>
        </w:rPr>
        <w:t>、</w:t>
      </w:r>
      <w:r>
        <w:rPr>
          <w:rFonts w:ascii="Times New Roman" w:hAnsi="Times New Roman" w:eastAsia="仿宋_GB2312"/>
          <w:sz w:val="32"/>
        </w:rPr>
        <w:t>药品</w:t>
      </w:r>
      <w:r>
        <w:rPr>
          <w:rFonts w:hint="eastAsia" w:ascii="Times New Roman" w:hAnsi="Times New Roman" w:eastAsia="仿宋_GB2312"/>
          <w:sz w:val="32"/>
        </w:rPr>
        <w:t>、化妆品等</w:t>
      </w:r>
      <w:r>
        <w:rPr>
          <w:rFonts w:ascii="Times New Roman" w:hAnsi="Times New Roman" w:eastAsia="仿宋_GB2312"/>
          <w:sz w:val="32"/>
        </w:rPr>
        <w:t>科研工作。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sz w:val="32"/>
        </w:rPr>
      </w:pPr>
      <w:r>
        <w:rPr>
          <w:rFonts w:hint="eastAsia" w:ascii="Times New Roman" w:hAnsi="Times New Roman" w:eastAsia="仿宋_GB2312"/>
          <w:sz w:val="32"/>
        </w:rPr>
        <w:t>6</w:t>
      </w:r>
      <w:r>
        <w:rPr>
          <w:rFonts w:ascii="Times New Roman" w:hAnsi="Times New Roman" w:eastAsia="仿宋_GB2312"/>
          <w:sz w:val="32"/>
        </w:rPr>
        <w:t>.综合上报和反馈辖区内食品（</w:t>
      </w:r>
      <w:r>
        <w:rPr>
          <w:rFonts w:hint="eastAsia" w:ascii="Times New Roman" w:hAnsi="Times New Roman" w:eastAsia="仿宋_GB2312"/>
          <w:sz w:val="32"/>
        </w:rPr>
        <w:t>含</w:t>
      </w:r>
      <w:r>
        <w:rPr>
          <w:rFonts w:ascii="Times New Roman" w:hAnsi="Times New Roman" w:eastAsia="仿宋_GB2312"/>
          <w:sz w:val="32"/>
        </w:rPr>
        <w:t>保健食品）</w:t>
      </w:r>
      <w:r>
        <w:rPr>
          <w:rFonts w:hint="eastAsia" w:ascii="Times New Roman" w:hAnsi="Times New Roman" w:eastAsia="仿宋_GB2312"/>
          <w:sz w:val="32"/>
        </w:rPr>
        <w:t>、</w:t>
      </w:r>
      <w:r>
        <w:rPr>
          <w:rFonts w:ascii="Times New Roman" w:hAnsi="Times New Roman" w:eastAsia="仿宋_GB2312"/>
          <w:sz w:val="32"/>
        </w:rPr>
        <w:t>药品</w:t>
      </w:r>
      <w:r>
        <w:rPr>
          <w:rFonts w:hint="eastAsia" w:ascii="Times New Roman" w:hAnsi="Times New Roman" w:eastAsia="仿宋_GB2312"/>
          <w:sz w:val="32"/>
        </w:rPr>
        <w:t>、化妆品等</w:t>
      </w:r>
      <w:r>
        <w:rPr>
          <w:rFonts w:ascii="Times New Roman" w:hAnsi="Times New Roman" w:eastAsia="仿宋_GB2312"/>
          <w:sz w:val="32"/>
        </w:rPr>
        <w:t>质量信息。</w:t>
      </w:r>
    </w:p>
    <w:p>
      <w:pPr>
        <w:pStyle w:val="2"/>
        <w:bidi w:val="0"/>
        <w:rPr>
          <w:rFonts w:ascii="Times New Roman" w:hAnsi="Times New Roman"/>
        </w:rPr>
      </w:pPr>
      <w:bookmarkStart w:id="25" w:name="_Toc9739"/>
      <w:r>
        <w:rPr>
          <w:rFonts w:hint="eastAsia" w:ascii="Times New Roman" w:hAnsi="Times New Roman"/>
        </w:rPr>
        <w:t>二、机构设置</w:t>
      </w:r>
      <w:bookmarkEnd w:id="25"/>
    </w:p>
    <w:bookmarkEnd w:id="23"/>
    <w:bookmarkEnd w:id="24"/>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ascii="Times New Roman" w:hAnsi="Times New Roman" w:eastAsia="仿宋_GB2312" w:cs="Times New Roman"/>
          <w:sz w:val="32"/>
        </w:rPr>
        <w:t>广元市食品药品检验检测中心为</w:t>
      </w:r>
      <w:r>
        <w:rPr>
          <w:rFonts w:hint="eastAsia" w:ascii="Times New Roman" w:hAnsi="Times New Roman" w:eastAsia="仿宋_GB2312" w:cs="Times New Roman"/>
          <w:sz w:val="32"/>
        </w:rPr>
        <w:t>广元市市场监督管理局的直属技术机构，</w:t>
      </w:r>
      <w:r>
        <w:rPr>
          <w:rFonts w:ascii="Times New Roman" w:hAnsi="Times New Roman" w:eastAsia="仿宋_GB2312" w:cs="Times New Roman"/>
          <w:sz w:val="32"/>
        </w:rPr>
        <w:t>独立核算的</w:t>
      </w:r>
      <w:r>
        <w:rPr>
          <w:rFonts w:hint="eastAsia" w:ascii="Times New Roman" w:hAnsi="Times New Roman" w:eastAsia="仿宋_GB2312" w:cs="Times New Roman"/>
          <w:sz w:val="32"/>
        </w:rPr>
        <w:t>公益一类全额拨款事业单位</w:t>
      </w:r>
      <w:r>
        <w:rPr>
          <w:rFonts w:ascii="Times New Roman" w:hAnsi="Times New Roman" w:eastAsia="仿宋_GB2312" w:cs="Times New Roman"/>
          <w:sz w:val="32"/>
        </w:rPr>
        <w:t>。</w:t>
      </w:r>
      <w:r>
        <w:rPr>
          <w:rFonts w:ascii="Times New Roman" w:hAnsi="Times New Roman" w:eastAsia="仿宋_GB2312" w:cs="Times New Roman"/>
          <w:sz w:val="32"/>
        </w:rPr>
        <w:br w:type="page"/>
      </w:r>
    </w:p>
    <w:p>
      <w:pPr>
        <w:pStyle w:val="3"/>
        <w:bidi w:val="0"/>
        <w:rPr>
          <w:rFonts w:ascii="Times New Roman" w:hAnsi="Times New Roman"/>
        </w:rPr>
      </w:pPr>
      <w:bookmarkStart w:id="26" w:name="_Toc6989"/>
      <w:bookmarkStart w:id="27" w:name="_Toc15396602"/>
      <w:bookmarkStart w:id="28" w:name="_Toc15377204"/>
      <w:r>
        <w:rPr>
          <w:rFonts w:hint="eastAsia" w:ascii="Times New Roman" w:hAnsi="Times New Roman"/>
        </w:rPr>
        <w:t>第二部分 2022年度单位决算情况说明</w:t>
      </w:r>
      <w:bookmarkEnd w:id="26"/>
      <w:bookmarkEnd w:id="27"/>
      <w:bookmarkEnd w:id="28"/>
    </w:p>
    <w:p>
      <w:pPr>
        <w:pStyle w:val="2"/>
        <w:numPr>
          <w:ilvl w:val="0"/>
          <w:numId w:val="1"/>
        </w:numPr>
        <w:bidi w:val="0"/>
        <w:rPr>
          <w:rFonts w:ascii="Times New Roman" w:hAnsi="Times New Roman"/>
        </w:rPr>
      </w:pPr>
      <w:bookmarkStart w:id="29" w:name="_Toc15377205"/>
      <w:bookmarkStart w:id="30" w:name="_Toc15396603"/>
      <w:bookmarkStart w:id="31" w:name="_Toc29016"/>
      <w:r>
        <w:rPr>
          <w:rFonts w:hint="eastAsia" w:ascii="Times New Roman" w:hAnsi="Times New Roman"/>
        </w:rPr>
        <w:t>收入支出决算总体情况说明</w:t>
      </w:r>
      <w:bookmarkEnd w:id="29"/>
      <w:bookmarkEnd w:id="30"/>
      <w:bookmarkEnd w:id="3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hint="eastAsia" w:ascii="Times New Roman" w:hAnsi="Times New Roman" w:eastAsia="仿宋_GB2312" w:cs="Times New Roman"/>
          <w:sz w:val="32"/>
        </w:rPr>
        <w:t>2022年度收、支总计1080.66万元。与2021年相比，收、支总计</w:t>
      </w:r>
      <w:r>
        <w:rPr>
          <w:rFonts w:hint="eastAsia" w:ascii="Times New Roman" w:hAnsi="Times New Roman" w:eastAsia="仿宋_GB2312" w:cs="Times New Roman"/>
          <w:sz w:val="32"/>
          <w:lang w:eastAsia="zh-CN"/>
        </w:rPr>
        <w:t>各</w:t>
      </w:r>
      <w:r>
        <w:rPr>
          <w:rFonts w:hint="eastAsia" w:ascii="Times New Roman" w:hAnsi="Times New Roman" w:eastAsia="仿宋_GB2312" w:cs="Times New Roman"/>
          <w:sz w:val="32"/>
        </w:rPr>
        <w:t>增加45.12万元，增长4.36</w:t>
      </w:r>
      <w:r>
        <w:rPr>
          <w:rFonts w:ascii="Times New Roman" w:hAnsi="Times New Roman" w:eastAsia="仿宋_GB2312" w:cs="Times New Roman"/>
          <w:sz w:val="32"/>
        </w:rPr>
        <w:t>%</w:t>
      </w:r>
      <w:r>
        <w:rPr>
          <w:rFonts w:hint="eastAsia" w:ascii="Times New Roman" w:hAnsi="Times New Roman" w:eastAsia="仿宋_GB2312" w:cs="Times New Roman"/>
          <w:sz w:val="32"/>
        </w:rPr>
        <w:t>。主要变动原因是：</w:t>
      </w:r>
      <w:r>
        <w:rPr>
          <w:rFonts w:hint="eastAsia" w:ascii="Times New Roman" w:hAnsi="Times New Roman" w:eastAsia="仿宋_GB2312" w:cs="Times New Roman"/>
          <w:sz w:val="32"/>
          <w:lang w:eastAsia="zh-CN"/>
        </w:rPr>
        <w:t>一是</w:t>
      </w:r>
      <w:r>
        <w:rPr>
          <w:rFonts w:hint="eastAsia" w:ascii="Times New Roman" w:hAnsi="Times New Roman" w:eastAsia="仿宋_GB2312" w:cs="Times New Roman"/>
          <w:sz w:val="32"/>
        </w:rPr>
        <w:t>人员经费和项目经费预算数增加；</w:t>
      </w:r>
      <w:r>
        <w:rPr>
          <w:rFonts w:hint="eastAsia" w:ascii="Times New Roman" w:hAnsi="Times New Roman" w:eastAsia="仿宋_GB2312" w:cs="Times New Roman"/>
          <w:sz w:val="32"/>
          <w:lang w:eastAsia="zh-CN"/>
        </w:rPr>
        <w:t>二是</w:t>
      </w:r>
      <w:r>
        <w:rPr>
          <w:rFonts w:hint="eastAsia" w:ascii="Times New Roman" w:hAnsi="Times New Roman" w:eastAsia="仿宋_GB2312" w:cs="Times New Roman"/>
          <w:sz w:val="32"/>
        </w:rPr>
        <w:t>2022年上年度项目工作未结束，年初结转结余资金增加。</w:t>
      </w:r>
    </w:p>
    <w:p>
      <w:pPr>
        <w:jc w:val="center"/>
        <w:rPr>
          <w:rFonts w:ascii="Times New Roman" w:hAnsi="Times New Roman"/>
        </w:rPr>
      </w:pPr>
      <w:r>
        <w:rPr>
          <w:rFonts w:ascii="Times New Roman" w:hAnsi="Times New Roman"/>
        </w:rPr>
        <w:drawing>
          <wp:inline distT="0" distB="0" distL="114300" distR="114300">
            <wp:extent cx="4192905" cy="2520315"/>
            <wp:effectExtent l="0" t="0" r="17145" b="133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4192905" cy="2520315"/>
                    </a:xfrm>
                    <a:prstGeom prst="rect">
                      <a:avLst/>
                    </a:prstGeom>
                    <a:noFill/>
                    <a:ln>
                      <a:noFill/>
                    </a:ln>
                  </pic:spPr>
                </pic:pic>
              </a:graphicData>
            </a:graphic>
          </wp:inline>
        </w:drawing>
      </w:r>
    </w:p>
    <w:p>
      <w:pPr>
        <w:jc w:val="center"/>
        <w:rPr>
          <w:rFonts w:hint="eastAsia" w:ascii="Times New Roman" w:hAnsi="Times New Roman" w:cs="Times New Roman"/>
          <w:sz w:val="24"/>
        </w:rPr>
      </w:pPr>
      <w:r>
        <w:rPr>
          <w:rFonts w:hint="eastAsia" w:ascii="Times New Roman" w:hAnsi="Times New Roman" w:cs="Times New Roman"/>
          <w:sz w:val="24"/>
        </w:rPr>
        <w:t>（图1：收、支决算总计变动情况图）（柱状图）</w:t>
      </w:r>
    </w:p>
    <w:p>
      <w:pPr>
        <w:pStyle w:val="2"/>
        <w:numPr>
          <w:ilvl w:val="0"/>
          <w:numId w:val="1"/>
        </w:numPr>
        <w:bidi w:val="0"/>
        <w:rPr>
          <w:rFonts w:ascii="Times New Roman" w:hAnsi="Times New Roman"/>
        </w:rPr>
      </w:pPr>
      <w:bookmarkStart w:id="32" w:name="_Toc1526"/>
      <w:bookmarkStart w:id="33" w:name="_Toc15396604"/>
      <w:bookmarkStart w:id="34" w:name="_Toc15377206"/>
      <w:r>
        <w:rPr>
          <w:rFonts w:hint="eastAsia" w:ascii="Times New Roman" w:hAnsi="Times New Roman"/>
        </w:rPr>
        <w:t>收入决算情况说明</w:t>
      </w:r>
      <w:bookmarkEnd w:id="32"/>
      <w:bookmarkEnd w:id="33"/>
      <w:bookmarkEnd w:id="3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ascii="Times New Roman" w:hAnsi="Times New Roman" w:eastAsia="仿宋_GB2312" w:cs="Times New Roman"/>
          <w:sz w:val="32"/>
        </w:rPr>
        <w:t>20</w:t>
      </w:r>
      <w:r>
        <w:rPr>
          <w:rFonts w:hint="eastAsia" w:ascii="Times New Roman" w:hAnsi="Times New Roman" w:eastAsia="仿宋_GB2312" w:cs="Times New Roman"/>
          <w:sz w:val="32"/>
        </w:rPr>
        <w:t>22年本年收入合计1024.82万元，其中：一般公共预算财政拨款收入1024.49万元，占99.97</w:t>
      </w:r>
      <w:r>
        <w:rPr>
          <w:rFonts w:ascii="Times New Roman" w:hAnsi="Times New Roman" w:eastAsia="仿宋_GB2312" w:cs="Times New Roman"/>
          <w:sz w:val="32"/>
        </w:rPr>
        <w:t>%</w:t>
      </w:r>
      <w:r>
        <w:rPr>
          <w:rFonts w:hint="eastAsia" w:ascii="Times New Roman" w:hAnsi="Times New Roman" w:eastAsia="仿宋_GB2312" w:cs="Times New Roman"/>
          <w:sz w:val="32"/>
        </w:rPr>
        <w:t>；其他收入0.33万元，占0.03</w:t>
      </w:r>
      <w:r>
        <w:rPr>
          <w:rFonts w:ascii="Times New Roman" w:hAnsi="Times New Roman" w:eastAsia="仿宋_GB2312" w:cs="Times New Roman"/>
          <w:sz w:val="32"/>
        </w:rPr>
        <w:t>%</w:t>
      </w:r>
      <w:r>
        <w:rPr>
          <w:rFonts w:hint="eastAsia" w:ascii="Times New Roman" w:hAnsi="Times New Roman" w:eastAsia="仿宋_GB2312" w:cs="Times New Roman"/>
          <w:sz w:val="32"/>
        </w:rPr>
        <w:t>。</w:t>
      </w:r>
    </w:p>
    <w:p>
      <w:pPr>
        <w:jc w:val="center"/>
        <w:rPr>
          <w:rFonts w:ascii="Times New Roman" w:hAnsi="Times New Roman"/>
        </w:rPr>
      </w:pPr>
      <w:r>
        <w:rPr>
          <w:rFonts w:ascii="Times New Roman" w:hAnsi="Times New Roman"/>
        </w:rPr>
        <w:drawing>
          <wp:inline distT="0" distB="0" distL="114300" distR="114300">
            <wp:extent cx="4192905" cy="2520315"/>
            <wp:effectExtent l="0" t="0" r="17145" b="133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4192905" cy="2520315"/>
                    </a:xfrm>
                    <a:prstGeom prst="rect">
                      <a:avLst/>
                    </a:prstGeom>
                    <a:noFill/>
                    <a:ln>
                      <a:noFill/>
                    </a:ln>
                  </pic:spPr>
                </pic:pic>
              </a:graphicData>
            </a:graphic>
          </wp:inline>
        </w:drawing>
      </w:r>
    </w:p>
    <w:p>
      <w:pPr>
        <w:jc w:val="center"/>
        <w:rPr>
          <w:rFonts w:ascii="Times New Roman" w:hAnsi="Times New Roman"/>
          <w:sz w:val="24"/>
        </w:rPr>
      </w:pPr>
      <w:r>
        <w:rPr>
          <w:rFonts w:hint="eastAsia" w:ascii="Times New Roman" w:hAnsi="Times New Roman"/>
          <w:sz w:val="24"/>
        </w:rPr>
        <w:t>（图2：收入决算结构图）（饼状图）</w:t>
      </w:r>
    </w:p>
    <w:p>
      <w:pPr>
        <w:pStyle w:val="2"/>
        <w:numPr>
          <w:ilvl w:val="0"/>
          <w:numId w:val="1"/>
        </w:numPr>
        <w:bidi w:val="0"/>
        <w:rPr>
          <w:rFonts w:ascii="Times New Roman" w:hAnsi="Times New Roman"/>
        </w:rPr>
      </w:pPr>
      <w:bookmarkStart w:id="35" w:name="_Toc6991"/>
      <w:bookmarkStart w:id="36" w:name="_Toc15377207"/>
      <w:bookmarkStart w:id="37" w:name="_Toc15396605"/>
      <w:r>
        <w:rPr>
          <w:rFonts w:hint="eastAsia" w:ascii="Times New Roman" w:hAnsi="Times New Roman"/>
        </w:rPr>
        <w:t>支出决算情况说明</w:t>
      </w:r>
      <w:bookmarkEnd w:id="35"/>
      <w:bookmarkEnd w:id="36"/>
      <w:bookmarkEnd w:id="3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ascii="Times New Roman" w:hAnsi="Times New Roman" w:eastAsia="仿宋_GB2312" w:cs="Times New Roman"/>
          <w:sz w:val="32"/>
        </w:rPr>
        <w:t>20</w:t>
      </w:r>
      <w:r>
        <w:rPr>
          <w:rFonts w:hint="eastAsia" w:ascii="Times New Roman" w:hAnsi="Times New Roman" w:eastAsia="仿宋_GB2312" w:cs="Times New Roman"/>
          <w:sz w:val="32"/>
        </w:rPr>
        <w:t>22年本年支出合计1080.66万元，其中：基本支出900.75万元，占83.35</w:t>
      </w:r>
      <w:r>
        <w:rPr>
          <w:rFonts w:ascii="Times New Roman" w:hAnsi="Times New Roman" w:eastAsia="仿宋_GB2312" w:cs="Times New Roman"/>
          <w:sz w:val="32"/>
        </w:rPr>
        <w:t>%</w:t>
      </w:r>
      <w:r>
        <w:rPr>
          <w:rFonts w:hint="eastAsia" w:ascii="Times New Roman" w:hAnsi="Times New Roman" w:eastAsia="仿宋_GB2312" w:cs="Times New Roman"/>
          <w:sz w:val="32"/>
        </w:rPr>
        <w:t>；项目支出179.91万元，占16.65</w:t>
      </w:r>
      <w:r>
        <w:rPr>
          <w:rFonts w:ascii="Times New Roman" w:hAnsi="Times New Roman" w:eastAsia="仿宋_GB2312" w:cs="Times New Roman"/>
          <w:sz w:val="32"/>
        </w:rPr>
        <w:t>%</w:t>
      </w:r>
      <w:r>
        <w:rPr>
          <w:rFonts w:hint="eastAsia" w:ascii="Times New Roman" w:hAnsi="Times New Roman" w:eastAsia="仿宋_GB2312" w:cs="Times New Roman"/>
          <w:sz w:val="32"/>
        </w:rPr>
        <w:t>。</w:t>
      </w:r>
    </w:p>
    <w:p>
      <w:pPr>
        <w:jc w:val="center"/>
        <w:rPr>
          <w:rFonts w:ascii="Times New Roman" w:hAnsi="Times New Roman"/>
        </w:rPr>
      </w:pPr>
      <w:r>
        <w:rPr>
          <w:rFonts w:ascii="Times New Roman" w:hAnsi="Times New Roman"/>
        </w:rPr>
        <w:drawing>
          <wp:inline distT="0" distB="0" distL="114300" distR="114300">
            <wp:extent cx="4192905" cy="2520315"/>
            <wp:effectExtent l="0" t="0" r="17145" b="133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4192905" cy="2520315"/>
                    </a:xfrm>
                    <a:prstGeom prst="rect">
                      <a:avLst/>
                    </a:prstGeom>
                    <a:noFill/>
                    <a:ln>
                      <a:noFill/>
                    </a:ln>
                  </pic:spPr>
                </pic:pic>
              </a:graphicData>
            </a:graphic>
          </wp:inline>
        </w:drawing>
      </w:r>
    </w:p>
    <w:p>
      <w:pPr>
        <w:jc w:val="center"/>
        <w:rPr>
          <w:rFonts w:hint="eastAsia" w:ascii="Times New Roman" w:hAnsi="Times New Roman" w:cs="Times New Roman"/>
          <w:sz w:val="24"/>
        </w:rPr>
      </w:pPr>
      <w:r>
        <w:rPr>
          <w:rFonts w:hint="eastAsia" w:ascii="Times New Roman" w:hAnsi="Times New Roman" w:cs="Times New Roman"/>
          <w:sz w:val="24"/>
        </w:rPr>
        <w:t>（图3：支出决算结构图）（饼状图）</w:t>
      </w:r>
    </w:p>
    <w:p>
      <w:pPr>
        <w:pStyle w:val="2"/>
        <w:numPr>
          <w:ilvl w:val="0"/>
          <w:numId w:val="1"/>
        </w:numPr>
        <w:bidi w:val="0"/>
        <w:rPr>
          <w:rFonts w:ascii="Times New Roman" w:hAnsi="Times New Roman"/>
        </w:rPr>
      </w:pPr>
      <w:bookmarkStart w:id="38" w:name="_Toc15396606"/>
      <w:bookmarkStart w:id="39" w:name="_Toc23388"/>
      <w:bookmarkStart w:id="40" w:name="_Toc15377208"/>
      <w:r>
        <w:rPr>
          <w:rFonts w:hint="eastAsia" w:ascii="Times New Roman" w:hAnsi="Times New Roman"/>
        </w:rPr>
        <w:t>财政拨款收入支出决算总体情况说明</w:t>
      </w:r>
      <w:bookmarkEnd w:id="38"/>
      <w:bookmarkEnd w:id="39"/>
      <w:bookmarkEnd w:id="4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ascii="Times New Roman" w:hAnsi="Times New Roman" w:eastAsia="仿宋_GB2312" w:cs="Times New Roman"/>
          <w:sz w:val="32"/>
        </w:rPr>
        <w:t>20</w:t>
      </w:r>
      <w:r>
        <w:rPr>
          <w:rFonts w:hint="eastAsia" w:ascii="Times New Roman" w:hAnsi="Times New Roman" w:eastAsia="仿宋_GB2312" w:cs="Times New Roman"/>
          <w:sz w:val="32"/>
        </w:rPr>
        <w:t>22年财政拨款收、支总计1078.88万元。与</w:t>
      </w:r>
      <w:r>
        <w:rPr>
          <w:rFonts w:ascii="Times New Roman" w:hAnsi="Times New Roman" w:eastAsia="仿宋_GB2312" w:cs="Times New Roman"/>
          <w:sz w:val="32"/>
        </w:rPr>
        <w:t>20</w:t>
      </w:r>
      <w:r>
        <w:rPr>
          <w:rFonts w:hint="eastAsia" w:ascii="Times New Roman" w:hAnsi="Times New Roman" w:eastAsia="仿宋_GB2312" w:cs="Times New Roman"/>
          <w:sz w:val="32"/>
        </w:rPr>
        <w:t>21年相比，财政拨款收、支总计</w:t>
      </w:r>
      <w:r>
        <w:rPr>
          <w:rFonts w:hint="eastAsia" w:ascii="Times New Roman" w:hAnsi="Times New Roman" w:eastAsia="仿宋_GB2312" w:cs="Times New Roman"/>
          <w:sz w:val="32"/>
          <w:lang w:eastAsia="zh-CN"/>
        </w:rPr>
        <w:t>各</w:t>
      </w:r>
      <w:r>
        <w:rPr>
          <w:rFonts w:hint="eastAsia" w:ascii="Times New Roman" w:hAnsi="Times New Roman" w:eastAsia="仿宋_GB2312" w:cs="Times New Roman"/>
          <w:sz w:val="32"/>
        </w:rPr>
        <w:t>增加226.16万元，增长26.52</w:t>
      </w:r>
      <w:r>
        <w:rPr>
          <w:rFonts w:ascii="Times New Roman" w:hAnsi="Times New Roman" w:eastAsia="仿宋_GB2312" w:cs="Times New Roman"/>
          <w:sz w:val="32"/>
        </w:rPr>
        <w:t>%</w:t>
      </w:r>
      <w:r>
        <w:rPr>
          <w:rFonts w:hint="eastAsia" w:ascii="Times New Roman" w:hAnsi="Times New Roman" w:eastAsia="仿宋_GB2312" w:cs="Times New Roman"/>
          <w:sz w:val="32"/>
        </w:rPr>
        <w:t>。主要变动原因：</w:t>
      </w:r>
      <w:r>
        <w:rPr>
          <w:rFonts w:hint="eastAsia" w:ascii="Times New Roman" w:hAnsi="Times New Roman" w:eastAsia="仿宋_GB2312" w:cs="Times New Roman"/>
          <w:sz w:val="32"/>
          <w:lang w:eastAsia="zh-CN"/>
        </w:rPr>
        <w:t>一是</w:t>
      </w:r>
      <w:r>
        <w:rPr>
          <w:rFonts w:hint="eastAsia" w:ascii="Times New Roman" w:hAnsi="Times New Roman" w:eastAsia="仿宋_GB2312" w:cs="Times New Roman"/>
          <w:sz w:val="32"/>
        </w:rPr>
        <w:t>人员经费和项目经费预算数增加；</w:t>
      </w:r>
      <w:r>
        <w:rPr>
          <w:rFonts w:hint="eastAsia" w:ascii="Times New Roman" w:hAnsi="Times New Roman" w:eastAsia="仿宋_GB2312" w:cs="Times New Roman"/>
          <w:sz w:val="32"/>
          <w:lang w:eastAsia="zh-CN"/>
        </w:rPr>
        <w:t>二是</w:t>
      </w:r>
      <w:r>
        <w:rPr>
          <w:rFonts w:hint="eastAsia" w:ascii="Times New Roman" w:hAnsi="Times New Roman" w:eastAsia="仿宋_GB2312" w:cs="Times New Roman"/>
          <w:sz w:val="32"/>
          <w:lang w:val="en-US" w:eastAsia="zh-CN"/>
        </w:rPr>
        <w:t>2</w:t>
      </w:r>
      <w:r>
        <w:rPr>
          <w:rFonts w:hint="eastAsia" w:ascii="Times New Roman" w:hAnsi="Times New Roman" w:eastAsia="仿宋_GB2312" w:cs="Times New Roman"/>
          <w:sz w:val="32"/>
        </w:rPr>
        <w:t>022年上年度项目工作未结束，年初结转结余资金增加。</w:t>
      </w:r>
    </w:p>
    <w:p>
      <w:pPr>
        <w:jc w:val="center"/>
        <w:rPr>
          <w:rFonts w:ascii="Times New Roman" w:hAnsi="Times New Roman"/>
        </w:rPr>
      </w:pPr>
      <w:r>
        <w:rPr>
          <w:rFonts w:ascii="Times New Roman" w:hAnsi="Times New Roman"/>
        </w:rPr>
        <w:drawing>
          <wp:inline distT="0" distB="0" distL="114300" distR="114300">
            <wp:extent cx="4192905" cy="2520315"/>
            <wp:effectExtent l="0" t="0" r="17145" b="133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3"/>
                    <a:stretch>
                      <a:fillRect/>
                    </a:stretch>
                  </pic:blipFill>
                  <pic:spPr>
                    <a:xfrm>
                      <a:off x="0" y="0"/>
                      <a:ext cx="4192905" cy="2520315"/>
                    </a:xfrm>
                    <a:prstGeom prst="rect">
                      <a:avLst/>
                    </a:prstGeom>
                    <a:noFill/>
                    <a:ln>
                      <a:noFill/>
                    </a:ln>
                  </pic:spPr>
                </pic:pic>
              </a:graphicData>
            </a:graphic>
          </wp:inline>
        </w:drawing>
      </w:r>
    </w:p>
    <w:p>
      <w:pPr>
        <w:jc w:val="center"/>
        <w:rPr>
          <w:rFonts w:hint="eastAsia" w:ascii="Times New Roman" w:hAnsi="Times New Roman" w:cs="Times New Roman"/>
          <w:sz w:val="24"/>
        </w:rPr>
      </w:pPr>
      <w:r>
        <w:rPr>
          <w:rFonts w:hint="eastAsia" w:ascii="Times New Roman" w:hAnsi="Times New Roman" w:cs="Times New Roman"/>
          <w:sz w:val="24"/>
        </w:rPr>
        <w:t>（图4：财政拨款收、支决算总计变动情况）（柱状图）</w:t>
      </w:r>
    </w:p>
    <w:p>
      <w:pPr>
        <w:pStyle w:val="2"/>
        <w:numPr>
          <w:ilvl w:val="0"/>
          <w:numId w:val="1"/>
        </w:numPr>
        <w:bidi w:val="0"/>
        <w:rPr>
          <w:rFonts w:ascii="Times New Roman" w:hAnsi="Times New Roman"/>
        </w:rPr>
      </w:pPr>
      <w:bookmarkStart w:id="41" w:name="_Toc28123"/>
      <w:bookmarkStart w:id="42" w:name="_Toc15396607"/>
      <w:bookmarkStart w:id="43" w:name="_Toc15377209"/>
      <w:r>
        <w:rPr>
          <w:rFonts w:hint="eastAsia" w:ascii="Times New Roman" w:hAnsi="Times New Roman"/>
        </w:rPr>
        <w:t>一般公共预算财政拨款支出决算情况说明</w:t>
      </w:r>
      <w:bookmarkEnd w:id="41"/>
      <w:bookmarkEnd w:id="42"/>
      <w:bookmarkEnd w:id="43"/>
    </w:p>
    <w:p>
      <w:pPr>
        <w:keepNext w:val="0"/>
        <w:keepLines w:val="0"/>
        <w:pageBreakBefore w:val="0"/>
        <w:kinsoku/>
        <w:wordWrap/>
        <w:overflowPunct/>
        <w:autoSpaceDE/>
        <w:autoSpaceDN/>
        <w:bidi w:val="0"/>
        <w:adjustRightInd/>
        <w:snapToGrid/>
        <w:spacing w:line="576" w:lineRule="exact"/>
        <w:ind w:firstLine="640" w:firstLineChars="200"/>
        <w:textAlignment w:val="auto"/>
        <w:rPr>
          <w:rFonts w:hint="eastAsia" w:ascii="Times New Roman" w:hAnsi="Times New Roman" w:eastAsia="楷体" w:cs="楷体"/>
          <w:sz w:val="32"/>
          <w:szCs w:val="32"/>
        </w:rPr>
      </w:pPr>
      <w:bookmarkStart w:id="44" w:name="_Toc15377210"/>
      <w:r>
        <w:rPr>
          <w:rFonts w:hint="eastAsia" w:ascii="Times New Roman" w:hAnsi="Times New Roman" w:eastAsia="楷体" w:cs="楷体"/>
          <w:sz w:val="32"/>
          <w:szCs w:val="32"/>
        </w:rPr>
        <w:t>（一）一般公共预算财政拨款支出决算总体情况</w:t>
      </w:r>
      <w:bookmarkEnd w:id="4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ascii="Times New Roman" w:hAnsi="Times New Roman" w:eastAsia="仿宋_GB2312" w:cs="Times New Roman"/>
          <w:sz w:val="32"/>
        </w:rPr>
        <w:t>20</w:t>
      </w:r>
      <w:r>
        <w:rPr>
          <w:rFonts w:hint="eastAsia" w:ascii="Times New Roman" w:hAnsi="Times New Roman" w:eastAsia="仿宋_GB2312" w:cs="Times New Roman"/>
          <w:sz w:val="32"/>
        </w:rPr>
        <w:t>22年一般公共预算财政拨款支出1078.88万元，占本年支出合计的99.84</w:t>
      </w:r>
      <w:r>
        <w:rPr>
          <w:rFonts w:ascii="Times New Roman" w:hAnsi="Times New Roman" w:eastAsia="仿宋_GB2312" w:cs="Times New Roman"/>
          <w:sz w:val="32"/>
        </w:rPr>
        <w:t>%</w:t>
      </w:r>
      <w:r>
        <w:rPr>
          <w:rFonts w:hint="eastAsia" w:ascii="Times New Roman" w:hAnsi="Times New Roman" w:eastAsia="仿宋_GB2312" w:cs="Times New Roman"/>
          <w:sz w:val="32"/>
        </w:rPr>
        <w:t>。与</w:t>
      </w:r>
      <w:r>
        <w:rPr>
          <w:rFonts w:ascii="Times New Roman" w:hAnsi="Times New Roman" w:eastAsia="仿宋_GB2312" w:cs="Times New Roman"/>
          <w:sz w:val="32"/>
        </w:rPr>
        <w:t>20</w:t>
      </w:r>
      <w:r>
        <w:rPr>
          <w:rFonts w:hint="eastAsia" w:ascii="Times New Roman" w:hAnsi="Times New Roman" w:eastAsia="仿宋_GB2312" w:cs="Times New Roman"/>
          <w:sz w:val="32"/>
        </w:rPr>
        <w:t>21年相比，一般公共预算财政拨款支出增加281.59万元，增长35.32</w:t>
      </w:r>
      <w:r>
        <w:rPr>
          <w:rFonts w:ascii="Times New Roman" w:hAnsi="Times New Roman" w:eastAsia="仿宋_GB2312" w:cs="Times New Roman"/>
          <w:sz w:val="32"/>
        </w:rPr>
        <w:t>%</w:t>
      </w:r>
      <w:r>
        <w:rPr>
          <w:rFonts w:hint="eastAsia" w:ascii="Times New Roman" w:hAnsi="Times New Roman" w:eastAsia="仿宋_GB2312" w:cs="Times New Roman"/>
          <w:sz w:val="32"/>
        </w:rPr>
        <w:t>。主要变动原因：</w:t>
      </w:r>
      <w:r>
        <w:rPr>
          <w:rFonts w:hint="eastAsia" w:ascii="Times New Roman" w:hAnsi="Times New Roman" w:eastAsia="仿宋_GB2312" w:cs="Times New Roman"/>
          <w:sz w:val="32"/>
          <w:lang w:eastAsia="zh-CN"/>
        </w:rPr>
        <w:t>一是</w:t>
      </w:r>
      <w:r>
        <w:rPr>
          <w:rFonts w:hint="eastAsia" w:ascii="Times New Roman" w:hAnsi="Times New Roman" w:eastAsia="仿宋_GB2312" w:cs="Times New Roman"/>
          <w:sz w:val="32"/>
        </w:rPr>
        <w:t>人员经费和项目经费预算数增加；</w:t>
      </w:r>
      <w:r>
        <w:rPr>
          <w:rFonts w:hint="eastAsia" w:ascii="Times New Roman" w:hAnsi="Times New Roman" w:eastAsia="仿宋_GB2312" w:cs="Times New Roman"/>
          <w:sz w:val="32"/>
          <w:lang w:eastAsia="zh-CN"/>
        </w:rPr>
        <w:t>二是</w:t>
      </w:r>
      <w:r>
        <w:rPr>
          <w:rFonts w:hint="eastAsia" w:ascii="Times New Roman" w:hAnsi="Times New Roman" w:eastAsia="仿宋_GB2312" w:cs="Times New Roman"/>
          <w:sz w:val="32"/>
        </w:rPr>
        <w:t>2022年上年度项目工作未结束，年初结转结余资金增加。</w:t>
      </w:r>
    </w:p>
    <w:p>
      <w:pPr>
        <w:keepNext/>
        <w:keepLines w:val="0"/>
        <w:pageBreakBefore w:val="0"/>
        <w:widowControl w:val="0"/>
        <w:kinsoku/>
        <w:wordWrap/>
        <w:overflowPunct/>
        <w:topLinePunct w:val="0"/>
        <w:autoSpaceDE/>
        <w:autoSpaceDN/>
        <w:bidi w:val="0"/>
        <w:adjustRightInd/>
        <w:snapToGrid/>
        <w:jc w:val="center"/>
        <w:textAlignment w:val="auto"/>
        <w:rPr>
          <w:rFonts w:ascii="Times New Roman" w:hAnsi="Times New Roman"/>
        </w:rPr>
      </w:pPr>
      <w:r>
        <w:rPr>
          <w:rFonts w:ascii="Times New Roman" w:hAnsi="Times New Roman"/>
        </w:rPr>
        <w:drawing>
          <wp:inline distT="0" distB="0" distL="114300" distR="114300">
            <wp:extent cx="4192905" cy="2520315"/>
            <wp:effectExtent l="0" t="0" r="17145" b="133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stretch>
                      <a:fillRect/>
                    </a:stretch>
                  </pic:blipFill>
                  <pic:spPr>
                    <a:xfrm>
                      <a:off x="0" y="0"/>
                      <a:ext cx="4192905" cy="2520315"/>
                    </a:xfrm>
                    <a:prstGeom prst="rect">
                      <a:avLst/>
                    </a:prstGeom>
                    <a:noFill/>
                    <a:ln>
                      <a:noFill/>
                    </a:ln>
                  </pic:spPr>
                </pic:pic>
              </a:graphicData>
            </a:graphic>
          </wp:inline>
        </w:drawing>
      </w:r>
    </w:p>
    <w:p>
      <w:pPr>
        <w:jc w:val="center"/>
        <w:rPr>
          <w:rFonts w:hint="eastAsia" w:ascii="Times New Roman" w:hAnsi="Times New Roman" w:cs="Times New Roman"/>
          <w:sz w:val="24"/>
        </w:rPr>
      </w:pPr>
      <w:r>
        <w:rPr>
          <w:rFonts w:hint="eastAsia" w:ascii="Times New Roman" w:hAnsi="Times New Roman" w:cs="Times New Roman"/>
          <w:sz w:val="24"/>
        </w:rPr>
        <w:t>（图5：一般公共预算财政拨款支出决算变动情况）（柱状图）</w:t>
      </w:r>
    </w:p>
    <w:p>
      <w:pPr>
        <w:keepNext w:val="0"/>
        <w:keepLines w:val="0"/>
        <w:pageBreakBefore w:val="0"/>
        <w:kinsoku/>
        <w:wordWrap/>
        <w:overflowPunct/>
        <w:autoSpaceDE/>
        <w:autoSpaceDN/>
        <w:bidi w:val="0"/>
        <w:adjustRightInd/>
        <w:snapToGrid/>
        <w:spacing w:line="576" w:lineRule="exact"/>
        <w:ind w:firstLine="640" w:firstLineChars="200"/>
        <w:textAlignment w:val="auto"/>
        <w:rPr>
          <w:rFonts w:hint="eastAsia" w:ascii="Times New Roman" w:hAnsi="Times New Roman" w:eastAsia="楷体" w:cs="楷体"/>
          <w:sz w:val="32"/>
          <w:szCs w:val="32"/>
        </w:rPr>
      </w:pPr>
      <w:bookmarkStart w:id="45" w:name="_Toc15377211"/>
      <w:r>
        <w:rPr>
          <w:rFonts w:hint="eastAsia" w:ascii="Times New Roman" w:hAnsi="Times New Roman" w:eastAsia="楷体" w:cs="楷体"/>
          <w:sz w:val="32"/>
          <w:szCs w:val="32"/>
        </w:rPr>
        <w:t>（二）一般公共预算财政拨款支出决算结构情况</w:t>
      </w:r>
      <w:bookmarkEnd w:id="4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ascii="Times New Roman" w:hAnsi="Times New Roman" w:eastAsia="仿宋_GB2312" w:cs="Times New Roman"/>
          <w:sz w:val="32"/>
        </w:rPr>
        <w:t>20</w:t>
      </w:r>
      <w:r>
        <w:rPr>
          <w:rFonts w:hint="eastAsia" w:ascii="Times New Roman" w:hAnsi="Times New Roman" w:eastAsia="仿宋_GB2312" w:cs="Times New Roman"/>
          <w:sz w:val="32"/>
        </w:rPr>
        <w:t>22年一般公共预算财政拨款支出1078.88万元，主要用于以下方面</w:t>
      </w:r>
      <w:r>
        <w:rPr>
          <w:rFonts w:hint="eastAsia" w:ascii="Times New Roman" w:hAnsi="Times New Roman" w:eastAsia="仿宋_GB2312" w:cs="Times New Roman"/>
          <w:sz w:val="32"/>
          <w:lang w:eastAsia="zh-CN"/>
        </w:rPr>
        <w:t>：</w:t>
      </w:r>
      <w:r>
        <w:rPr>
          <w:rFonts w:hint="eastAsia" w:ascii="Times New Roman" w:hAnsi="Times New Roman" w:eastAsia="仿宋_GB2312" w:cs="Times New Roman"/>
          <w:sz w:val="32"/>
        </w:rPr>
        <w:t>一般公共服务支出915.20万元，占84.83</w:t>
      </w:r>
      <w:r>
        <w:rPr>
          <w:rFonts w:ascii="Times New Roman" w:hAnsi="Times New Roman" w:eastAsia="仿宋_GB2312" w:cs="Times New Roman"/>
          <w:sz w:val="32"/>
        </w:rPr>
        <w:t>%</w:t>
      </w:r>
      <w:r>
        <w:rPr>
          <w:rFonts w:hint="eastAsia" w:ascii="Times New Roman" w:hAnsi="Times New Roman" w:eastAsia="仿宋_GB2312" w:cs="Times New Roman"/>
          <w:sz w:val="32"/>
        </w:rPr>
        <w:t>；社会保障和就业支出60.25万元，占5.58</w:t>
      </w:r>
      <w:r>
        <w:rPr>
          <w:rFonts w:ascii="Times New Roman" w:hAnsi="Times New Roman" w:eastAsia="仿宋_GB2312" w:cs="Times New Roman"/>
          <w:sz w:val="32"/>
        </w:rPr>
        <w:t>%</w:t>
      </w:r>
      <w:r>
        <w:rPr>
          <w:rFonts w:hint="eastAsia" w:ascii="Times New Roman" w:hAnsi="Times New Roman" w:eastAsia="仿宋_GB2312" w:cs="Times New Roman"/>
          <w:sz w:val="32"/>
        </w:rPr>
        <w:t>；卫生健康支出30.38万元，占2.82</w:t>
      </w:r>
      <w:r>
        <w:rPr>
          <w:rFonts w:ascii="Times New Roman" w:hAnsi="Times New Roman" w:eastAsia="仿宋_GB2312" w:cs="Times New Roman"/>
          <w:sz w:val="32"/>
        </w:rPr>
        <w:t>%</w:t>
      </w:r>
      <w:r>
        <w:rPr>
          <w:rFonts w:hint="eastAsia" w:ascii="Times New Roman" w:hAnsi="Times New Roman" w:eastAsia="仿宋_GB2312" w:cs="Times New Roman"/>
          <w:sz w:val="32"/>
        </w:rPr>
        <w:t>；住房保障支出73.05万元，占6.77</w:t>
      </w:r>
      <w:r>
        <w:rPr>
          <w:rFonts w:ascii="Times New Roman" w:hAnsi="Times New Roman" w:eastAsia="仿宋_GB2312" w:cs="Times New Roman"/>
          <w:sz w:val="32"/>
        </w:rPr>
        <w:t>%</w:t>
      </w:r>
      <w:r>
        <w:rPr>
          <w:rFonts w:hint="eastAsia" w:ascii="Times New Roman" w:hAnsi="Times New Roman" w:eastAsia="仿宋_GB2312" w:cs="Times New Roman"/>
          <w:sz w:val="32"/>
        </w:rPr>
        <w:t>。</w:t>
      </w:r>
    </w:p>
    <w:p>
      <w:pPr>
        <w:jc w:val="center"/>
        <w:rPr>
          <w:rFonts w:ascii="Times New Roman" w:hAnsi="Times New Roman"/>
        </w:rPr>
      </w:pPr>
      <w:r>
        <w:rPr>
          <w:rFonts w:ascii="Times New Roman" w:hAnsi="Times New Roman"/>
        </w:rPr>
        <w:drawing>
          <wp:inline distT="0" distB="0" distL="114300" distR="114300">
            <wp:extent cx="4192905" cy="2520315"/>
            <wp:effectExtent l="0" t="0" r="17145" b="133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a:stretch>
                      <a:fillRect/>
                    </a:stretch>
                  </pic:blipFill>
                  <pic:spPr>
                    <a:xfrm>
                      <a:off x="0" y="0"/>
                      <a:ext cx="4192905" cy="2520315"/>
                    </a:xfrm>
                    <a:prstGeom prst="rect">
                      <a:avLst/>
                    </a:prstGeom>
                    <a:noFill/>
                    <a:ln>
                      <a:noFill/>
                    </a:ln>
                  </pic:spPr>
                </pic:pic>
              </a:graphicData>
            </a:graphic>
          </wp:inline>
        </w:drawing>
      </w:r>
    </w:p>
    <w:p>
      <w:pPr>
        <w:jc w:val="center"/>
        <w:rPr>
          <w:rFonts w:hint="eastAsia" w:ascii="Times New Roman" w:hAnsi="Times New Roman" w:cs="Times New Roman"/>
          <w:sz w:val="24"/>
        </w:rPr>
      </w:pPr>
      <w:r>
        <w:rPr>
          <w:rFonts w:hint="eastAsia" w:ascii="Times New Roman" w:hAnsi="Times New Roman" w:cs="Times New Roman"/>
          <w:sz w:val="24"/>
        </w:rPr>
        <w:t>（图6：一般公共预算财政拨款支出决算结构）（饼状图）</w:t>
      </w:r>
    </w:p>
    <w:p>
      <w:pPr>
        <w:keepNext w:val="0"/>
        <w:keepLines w:val="0"/>
        <w:pageBreakBefore w:val="0"/>
        <w:kinsoku/>
        <w:wordWrap/>
        <w:overflowPunct/>
        <w:autoSpaceDE/>
        <w:autoSpaceDN/>
        <w:bidi w:val="0"/>
        <w:adjustRightInd/>
        <w:snapToGrid/>
        <w:spacing w:line="576" w:lineRule="exact"/>
        <w:ind w:firstLine="640" w:firstLineChars="200"/>
        <w:textAlignment w:val="auto"/>
        <w:rPr>
          <w:rFonts w:hint="eastAsia" w:ascii="Times New Roman" w:hAnsi="Times New Roman" w:eastAsia="楷体" w:cs="楷体"/>
          <w:sz w:val="32"/>
          <w:szCs w:val="32"/>
        </w:rPr>
      </w:pPr>
      <w:bookmarkStart w:id="46" w:name="_Toc15377212"/>
      <w:r>
        <w:rPr>
          <w:rFonts w:hint="eastAsia" w:ascii="Times New Roman" w:hAnsi="Times New Roman" w:eastAsia="楷体" w:cs="楷体"/>
          <w:sz w:val="32"/>
          <w:szCs w:val="32"/>
        </w:rPr>
        <w:t>（三）一般公共预算财政拨款支出决算具体情况</w:t>
      </w:r>
      <w:bookmarkEnd w:id="4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bookmarkStart w:id="47" w:name="_Toc15378460"/>
      <w:bookmarkStart w:id="48" w:name="_Toc15377213"/>
      <w:bookmarkStart w:id="49" w:name="_Toc15377444"/>
      <w:r>
        <w:rPr>
          <w:rFonts w:hint="eastAsia" w:ascii="Times New Roman" w:hAnsi="Times New Roman" w:eastAsia="仿宋_GB2312" w:cs="Times New Roman"/>
          <w:sz w:val="32"/>
        </w:rPr>
        <w:t>2022年一般公共预算支出决算数为1078.88</w:t>
      </w:r>
      <w:r>
        <w:rPr>
          <w:rFonts w:hint="eastAsia" w:ascii="Times New Roman" w:hAnsi="Times New Roman" w:eastAsia="仿宋_GB2312" w:cs="Times New Roman"/>
          <w:sz w:val="32"/>
          <w:lang w:eastAsia="zh-CN"/>
        </w:rPr>
        <w:t>万元</w:t>
      </w:r>
      <w:r>
        <w:rPr>
          <w:rFonts w:hint="eastAsia" w:ascii="Times New Roman" w:hAnsi="Times New Roman" w:eastAsia="仿宋_GB2312" w:cs="Times New Roman"/>
          <w:sz w:val="32"/>
        </w:rPr>
        <w:t>，完成预算100</w:t>
      </w:r>
      <w:r>
        <w:rPr>
          <w:rFonts w:ascii="Times New Roman" w:hAnsi="Times New Roman" w:eastAsia="仿宋_GB2312" w:cs="Times New Roman"/>
          <w:sz w:val="32"/>
        </w:rPr>
        <w:t>%</w:t>
      </w:r>
      <w:r>
        <w:rPr>
          <w:rFonts w:hint="eastAsia" w:ascii="Times New Roman" w:hAnsi="Times New Roman" w:eastAsia="仿宋_GB2312" w:cs="Times New Roman"/>
          <w:sz w:val="32"/>
        </w:rPr>
        <w:t>。其中：</w:t>
      </w:r>
      <w:bookmarkEnd w:id="47"/>
      <w:bookmarkEnd w:id="48"/>
      <w:bookmarkEnd w:id="4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ascii="Times New Roman" w:hAnsi="Times New Roman" w:eastAsia="仿宋_GB2312" w:cs="Times New Roman"/>
          <w:sz w:val="32"/>
        </w:rPr>
        <w:t>1.</w:t>
      </w:r>
      <w:r>
        <w:rPr>
          <w:rFonts w:hint="eastAsia" w:ascii="Times New Roman" w:hAnsi="Times New Roman" w:eastAsia="仿宋_GB2312" w:cs="Times New Roman"/>
          <w:sz w:val="32"/>
        </w:rPr>
        <w:t>一般公共服务（类）市场监督管理事务（款）药品事务（项）</w:t>
      </w:r>
      <w:r>
        <w:rPr>
          <w:rFonts w:hint="eastAsia" w:ascii="Times New Roman" w:hAnsi="Times New Roman" w:eastAsia="仿宋_GB2312" w:cs="Times New Roman"/>
          <w:sz w:val="32"/>
          <w:lang w:eastAsia="zh-CN"/>
        </w:rPr>
        <w:t>：</w:t>
      </w:r>
      <w:r>
        <w:rPr>
          <w:rFonts w:hint="eastAsia" w:ascii="Times New Roman" w:hAnsi="Times New Roman" w:eastAsia="仿宋_GB2312" w:cs="Times New Roman"/>
          <w:sz w:val="32"/>
        </w:rPr>
        <w:t xml:space="preserve"> 支出决算为123.30万元，完成预算100%。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ascii="Times New Roman" w:hAnsi="Times New Roman" w:eastAsia="仿宋_GB2312" w:cs="Times New Roman"/>
          <w:sz w:val="32"/>
        </w:rPr>
        <w:t>2.</w:t>
      </w:r>
      <w:r>
        <w:rPr>
          <w:rFonts w:hint="eastAsia" w:ascii="Times New Roman" w:hAnsi="Times New Roman" w:eastAsia="仿宋_GB2312" w:cs="Times New Roman"/>
          <w:sz w:val="32"/>
        </w:rPr>
        <w:t>一般公共服务（类）市场监督管理事务（款）事业运行（项）</w:t>
      </w:r>
      <w:r>
        <w:rPr>
          <w:rFonts w:hint="eastAsia" w:ascii="Times New Roman" w:hAnsi="Times New Roman" w:eastAsia="仿宋_GB2312" w:cs="Times New Roman"/>
          <w:sz w:val="32"/>
          <w:lang w:eastAsia="zh-CN"/>
        </w:rPr>
        <w:t>：</w:t>
      </w:r>
      <w:r>
        <w:rPr>
          <w:rFonts w:hint="eastAsia" w:ascii="Times New Roman" w:hAnsi="Times New Roman" w:eastAsia="仿宋_GB2312" w:cs="Times New Roman"/>
          <w:sz w:val="32"/>
        </w:rPr>
        <w:t xml:space="preserve"> 支出决算数为735.29万元，完成预算100%。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ascii="Times New Roman" w:hAnsi="Times New Roman" w:eastAsia="仿宋_GB2312" w:cs="Times New Roman"/>
          <w:sz w:val="32"/>
        </w:rPr>
        <w:t>3.</w:t>
      </w:r>
      <w:r>
        <w:rPr>
          <w:rFonts w:hint="eastAsia" w:ascii="Times New Roman" w:hAnsi="Times New Roman" w:eastAsia="仿宋_GB2312" w:cs="Times New Roman"/>
          <w:sz w:val="32"/>
        </w:rPr>
        <w:t>一般公共服务（类）市场监督管理事务（款）其他市场监督管理事务（项）</w:t>
      </w:r>
      <w:r>
        <w:rPr>
          <w:rFonts w:hint="eastAsia" w:ascii="Times New Roman" w:hAnsi="Times New Roman" w:eastAsia="仿宋_GB2312" w:cs="Times New Roman"/>
          <w:sz w:val="32"/>
          <w:lang w:eastAsia="zh-CN"/>
        </w:rPr>
        <w:t>：</w:t>
      </w:r>
      <w:r>
        <w:rPr>
          <w:rFonts w:hint="eastAsia" w:ascii="Times New Roman" w:hAnsi="Times New Roman" w:eastAsia="仿宋_GB2312" w:cs="Times New Roman"/>
          <w:sz w:val="32"/>
        </w:rPr>
        <w:t xml:space="preserve"> 支出决算数为56.61万元，完成预算100%。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ascii="Times New Roman" w:hAnsi="Times New Roman" w:eastAsia="仿宋_GB2312" w:cs="Times New Roman"/>
          <w:sz w:val="32"/>
        </w:rPr>
        <w:t>4.</w:t>
      </w:r>
      <w:r>
        <w:rPr>
          <w:rFonts w:hint="eastAsia" w:ascii="Times New Roman" w:hAnsi="Times New Roman" w:eastAsia="仿宋_GB2312" w:cs="Times New Roman"/>
          <w:sz w:val="32"/>
        </w:rPr>
        <w:t>社会保障和就业（类）行政事业单位养老支出（款）机关事业单位基本养老保险缴费支出（项）</w:t>
      </w:r>
      <w:r>
        <w:rPr>
          <w:rFonts w:hint="eastAsia" w:ascii="Times New Roman" w:hAnsi="Times New Roman" w:eastAsia="仿宋_GB2312" w:cs="Times New Roman"/>
          <w:sz w:val="32"/>
          <w:lang w:eastAsia="zh-CN"/>
        </w:rPr>
        <w:t>：</w:t>
      </w:r>
      <w:r>
        <w:rPr>
          <w:rFonts w:hint="eastAsia" w:ascii="Times New Roman" w:hAnsi="Times New Roman" w:eastAsia="仿宋_GB2312" w:cs="Times New Roman"/>
          <w:sz w:val="32"/>
        </w:rPr>
        <w:t xml:space="preserve"> 支出决算数为54.81万元，完成预算100%。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ascii="Times New Roman" w:hAnsi="Times New Roman" w:eastAsia="仿宋_GB2312" w:cs="Times New Roman"/>
          <w:sz w:val="32"/>
        </w:rPr>
        <w:t>5.</w:t>
      </w:r>
      <w:r>
        <w:rPr>
          <w:rFonts w:hint="eastAsia" w:ascii="Times New Roman" w:hAnsi="Times New Roman" w:eastAsia="仿宋_GB2312" w:cs="Times New Roman"/>
          <w:sz w:val="32"/>
        </w:rPr>
        <w:t>社会保障和就业（类）行政事业单位养老支出（款）机关事业单位职业年金缴费支出（项）</w:t>
      </w:r>
      <w:r>
        <w:rPr>
          <w:rFonts w:hint="eastAsia" w:ascii="Times New Roman" w:hAnsi="Times New Roman" w:eastAsia="仿宋_GB2312" w:cs="Times New Roman"/>
          <w:sz w:val="32"/>
          <w:lang w:eastAsia="zh-CN"/>
        </w:rPr>
        <w:t>：</w:t>
      </w:r>
      <w:r>
        <w:rPr>
          <w:rFonts w:hint="eastAsia" w:ascii="Times New Roman" w:hAnsi="Times New Roman" w:eastAsia="仿宋_GB2312" w:cs="Times New Roman"/>
          <w:sz w:val="32"/>
        </w:rPr>
        <w:t xml:space="preserve"> 支出决算数为5.44万元，完成预算100%。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ascii="Times New Roman" w:hAnsi="Times New Roman" w:eastAsia="仿宋_GB2312" w:cs="Times New Roman"/>
          <w:sz w:val="32"/>
        </w:rPr>
        <w:t>6.</w:t>
      </w:r>
      <w:r>
        <w:rPr>
          <w:rFonts w:hint="eastAsia" w:ascii="Times New Roman" w:hAnsi="Times New Roman" w:eastAsia="仿宋_GB2312" w:cs="Times New Roman"/>
          <w:sz w:val="32"/>
        </w:rPr>
        <w:t>卫生健康（类）行政事业单位医疗（款）事业单位医疗（项）</w:t>
      </w:r>
      <w:r>
        <w:rPr>
          <w:rFonts w:hint="eastAsia" w:ascii="Times New Roman" w:hAnsi="Times New Roman" w:eastAsia="仿宋_GB2312" w:cs="Times New Roman"/>
          <w:sz w:val="32"/>
          <w:lang w:eastAsia="zh-CN"/>
        </w:rPr>
        <w:t>：</w:t>
      </w:r>
      <w:r>
        <w:rPr>
          <w:rFonts w:hint="eastAsia" w:ascii="Times New Roman" w:hAnsi="Times New Roman" w:eastAsia="仿宋_GB2312" w:cs="Times New Roman"/>
          <w:sz w:val="32"/>
        </w:rPr>
        <w:t>支出决算数为30.38万元，完成预算100%。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hint="eastAsia" w:ascii="Times New Roman" w:hAnsi="Times New Roman" w:eastAsia="仿宋_GB2312" w:cs="Times New Roman"/>
          <w:sz w:val="32"/>
        </w:rPr>
        <w:t>7.住房保障支出（类）住房改革支出（款）住房公积金（项）：支出决算数为73.05万元，完成预算100%。</w:t>
      </w:r>
    </w:p>
    <w:p>
      <w:pPr>
        <w:pStyle w:val="2"/>
        <w:numPr>
          <w:ilvl w:val="0"/>
          <w:numId w:val="1"/>
        </w:numPr>
        <w:bidi w:val="0"/>
        <w:rPr>
          <w:rFonts w:ascii="Times New Roman" w:hAnsi="Times New Roman"/>
        </w:rPr>
      </w:pPr>
      <w:bookmarkStart w:id="50" w:name="_Toc15377214"/>
      <w:bookmarkStart w:id="51" w:name="_Toc15396608"/>
      <w:bookmarkStart w:id="52" w:name="_Toc1429"/>
      <w:r>
        <w:rPr>
          <w:rFonts w:hint="eastAsia" w:ascii="Times New Roman" w:hAnsi="Times New Roman"/>
        </w:rPr>
        <w:t>一般公共预算财政拨款基本支出决算情况说明</w:t>
      </w:r>
      <w:bookmarkEnd w:id="50"/>
      <w:bookmarkEnd w:id="51"/>
      <w:bookmarkEnd w:id="52"/>
      <w:r>
        <w:rPr>
          <w:rFonts w:ascii="Times New Roman" w:hAnsi="Times New Roman"/>
        </w:rPr>
        <w:tab/>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ascii="Times New Roman" w:hAnsi="Times New Roman" w:eastAsia="仿宋_GB2312" w:cs="Times New Roman"/>
          <w:sz w:val="32"/>
        </w:rPr>
        <w:t>20</w:t>
      </w:r>
      <w:r>
        <w:rPr>
          <w:rFonts w:hint="eastAsia" w:ascii="Times New Roman" w:hAnsi="Times New Roman" w:eastAsia="仿宋_GB2312" w:cs="Times New Roman"/>
          <w:sz w:val="32"/>
        </w:rPr>
        <w:t>22年一般公共预算财政拨款基本支出898.97万元，其中：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hint="eastAsia" w:ascii="Times New Roman" w:hAnsi="Times New Roman" w:eastAsia="仿宋_GB2312" w:cs="Times New Roman"/>
          <w:sz w:val="32"/>
        </w:rPr>
        <w:t>人员经费829.88万元，主要包括：基本工资、津贴补贴、奖金、伙食补助费、绩效工资、机关事业单位基本养老保险缴费、职业年金缴费、职工基本医疗保险缴费、其他社会保障缴费、住房公积金、其他工资福利支出、生活补助、奖励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hint="eastAsia" w:ascii="Times New Roman" w:hAnsi="Times New Roman" w:eastAsia="仿宋_GB2312" w:cs="Times New Roman"/>
          <w:sz w:val="32"/>
        </w:rPr>
        <w:t>公用经费69.09万元，主要包括：办公费、印刷费、水费、电费、邮电费、差旅费、维修（护）费、培训费、公务接待费、劳务费、工会经费、福利费、其他交通费</w:t>
      </w:r>
      <w:r>
        <w:rPr>
          <w:rFonts w:hint="eastAsia" w:ascii="Times New Roman" w:hAnsi="Times New Roman" w:eastAsia="仿宋_GB2312" w:cs="Times New Roman"/>
          <w:sz w:val="32"/>
          <w:lang w:val="en-US" w:eastAsia="zh-CN"/>
        </w:rPr>
        <w:t>用</w:t>
      </w:r>
      <w:r>
        <w:rPr>
          <w:rFonts w:hint="eastAsia" w:ascii="Times New Roman" w:hAnsi="Times New Roman" w:eastAsia="仿宋_GB2312" w:cs="Times New Roman"/>
          <w:sz w:val="32"/>
        </w:rPr>
        <w:t>、其他商品和服务支出。</w:t>
      </w:r>
    </w:p>
    <w:p>
      <w:pPr>
        <w:pStyle w:val="2"/>
        <w:numPr>
          <w:ilvl w:val="0"/>
          <w:numId w:val="1"/>
        </w:numPr>
        <w:bidi w:val="0"/>
        <w:rPr>
          <w:rFonts w:ascii="Times New Roman" w:hAnsi="Times New Roman"/>
        </w:rPr>
      </w:pPr>
      <w:bookmarkStart w:id="53" w:name="_Toc15152"/>
      <w:bookmarkStart w:id="54" w:name="_Toc15396609"/>
      <w:bookmarkStart w:id="55" w:name="_Toc15377215"/>
      <w:r>
        <w:rPr>
          <w:rFonts w:hint="eastAsia" w:ascii="Times New Roman" w:hAnsi="Times New Roman"/>
        </w:rPr>
        <w:t>财政拨款“三公”经费支出决算情况说明</w:t>
      </w:r>
      <w:bookmarkEnd w:id="53"/>
      <w:bookmarkEnd w:id="54"/>
      <w:bookmarkEnd w:id="55"/>
    </w:p>
    <w:p>
      <w:pPr>
        <w:keepNext w:val="0"/>
        <w:keepLines w:val="0"/>
        <w:pageBreakBefore w:val="0"/>
        <w:kinsoku/>
        <w:wordWrap/>
        <w:overflowPunct/>
        <w:autoSpaceDE/>
        <w:autoSpaceDN/>
        <w:bidi w:val="0"/>
        <w:adjustRightInd/>
        <w:snapToGrid/>
        <w:spacing w:line="576" w:lineRule="exact"/>
        <w:ind w:firstLine="640" w:firstLineChars="200"/>
        <w:textAlignment w:val="auto"/>
        <w:rPr>
          <w:rFonts w:hint="eastAsia" w:ascii="Times New Roman" w:hAnsi="Times New Roman" w:eastAsia="楷体" w:cs="楷体"/>
          <w:sz w:val="32"/>
          <w:szCs w:val="32"/>
        </w:rPr>
      </w:pPr>
      <w:bookmarkStart w:id="56" w:name="_Toc15377216"/>
      <w:r>
        <w:rPr>
          <w:rFonts w:hint="eastAsia" w:ascii="Times New Roman" w:hAnsi="Times New Roman" w:eastAsia="楷体" w:cs="楷体"/>
          <w:sz w:val="32"/>
          <w:szCs w:val="32"/>
        </w:rPr>
        <w:t>（一）“三公”经费财政拨款支出决算总体情况说明</w:t>
      </w:r>
      <w:bookmarkEnd w:id="5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ascii="Times New Roman" w:hAnsi="Times New Roman" w:eastAsia="仿宋_GB2312" w:cs="Times New Roman"/>
          <w:sz w:val="32"/>
        </w:rPr>
        <w:t>20</w:t>
      </w:r>
      <w:r>
        <w:rPr>
          <w:rFonts w:hint="eastAsia" w:ascii="Times New Roman" w:hAnsi="Times New Roman" w:eastAsia="仿宋_GB2312" w:cs="Times New Roman"/>
          <w:sz w:val="32"/>
        </w:rPr>
        <w:t>22年“三公”经费财政拨款支出决算为0.52万元，完成预算72.22</w:t>
      </w:r>
      <w:r>
        <w:rPr>
          <w:rFonts w:ascii="Times New Roman" w:hAnsi="Times New Roman" w:eastAsia="仿宋_GB2312" w:cs="Times New Roman"/>
          <w:sz w:val="32"/>
        </w:rPr>
        <w:t>%</w:t>
      </w:r>
      <w:r>
        <w:rPr>
          <w:rFonts w:hint="eastAsia" w:ascii="Times New Roman" w:hAnsi="Times New Roman" w:eastAsia="仿宋_GB2312" w:cs="Times New Roman"/>
          <w:sz w:val="32"/>
        </w:rPr>
        <w:t>，较上年减少0.19万元，下降26.76%。决算数小于预算数的主要原因是厉行节约，压减支出。</w:t>
      </w:r>
    </w:p>
    <w:p>
      <w:pPr>
        <w:jc w:val="center"/>
        <w:rPr>
          <w:rFonts w:ascii="Times New Roman" w:hAnsi="Times New Roman"/>
        </w:rPr>
      </w:pPr>
      <w:r>
        <w:rPr>
          <w:rFonts w:ascii="Times New Roman" w:hAnsi="Times New Roman"/>
        </w:rPr>
        <w:drawing>
          <wp:inline distT="0" distB="0" distL="114300" distR="114300">
            <wp:extent cx="4192905" cy="2520315"/>
            <wp:effectExtent l="0" t="0" r="17145" b="133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6"/>
                    <a:stretch>
                      <a:fillRect/>
                    </a:stretch>
                  </pic:blipFill>
                  <pic:spPr>
                    <a:xfrm>
                      <a:off x="0" y="0"/>
                      <a:ext cx="4192905" cy="2520315"/>
                    </a:xfrm>
                    <a:prstGeom prst="rect">
                      <a:avLst/>
                    </a:prstGeom>
                    <a:noFill/>
                    <a:ln>
                      <a:noFill/>
                    </a:ln>
                  </pic:spPr>
                </pic:pic>
              </a:graphicData>
            </a:graphic>
          </wp:inline>
        </w:drawing>
      </w:r>
    </w:p>
    <w:p>
      <w:pPr>
        <w:jc w:val="center"/>
        <w:rPr>
          <w:rFonts w:hint="eastAsia" w:ascii="Times New Roman" w:hAnsi="Times New Roman" w:cs="Times New Roman"/>
          <w:sz w:val="24"/>
        </w:rPr>
      </w:pPr>
      <w:r>
        <w:rPr>
          <w:rFonts w:hint="eastAsia" w:ascii="Times New Roman" w:hAnsi="Times New Roman" w:cs="Times New Roman"/>
          <w:sz w:val="24"/>
        </w:rPr>
        <w:t>（注：上述“预算”口径为全年预算数，包括一般公共预算和政府性基金预算财政拨款支出决算情况。）</w:t>
      </w:r>
    </w:p>
    <w:p>
      <w:pPr>
        <w:keepNext w:val="0"/>
        <w:keepLines w:val="0"/>
        <w:pageBreakBefore w:val="0"/>
        <w:kinsoku/>
        <w:wordWrap/>
        <w:overflowPunct/>
        <w:autoSpaceDE/>
        <w:autoSpaceDN/>
        <w:bidi w:val="0"/>
        <w:adjustRightInd/>
        <w:snapToGrid/>
        <w:spacing w:line="576" w:lineRule="exact"/>
        <w:ind w:firstLine="640" w:firstLineChars="200"/>
        <w:textAlignment w:val="auto"/>
        <w:rPr>
          <w:rFonts w:hint="eastAsia" w:ascii="Times New Roman" w:hAnsi="Times New Roman" w:eastAsia="楷体" w:cs="楷体"/>
          <w:sz w:val="32"/>
          <w:szCs w:val="32"/>
        </w:rPr>
      </w:pPr>
      <w:bookmarkStart w:id="57" w:name="_Toc15377217"/>
      <w:r>
        <w:rPr>
          <w:rFonts w:hint="eastAsia" w:ascii="Times New Roman" w:hAnsi="Times New Roman" w:eastAsia="楷体" w:cs="楷体"/>
          <w:sz w:val="32"/>
          <w:szCs w:val="32"/>
        </w:rPr>
        <w:t>（二）“三公”经费财政拨款支出决算具体情况说明</w:t>
      </w:r>
      <w:bookmarkEnd w:id="5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ascii="Times New Roman" w:hAnsi="Times New Roman" w:eastAsia="仿宋_GB2312" w:cs="Times New Roman"/>
          <w:sz w:val="32"/>
        </w:rPr>
        <w:t>20</w:t>
      </w:r>
      <w:r>
        <w:rPr>
          <w:rFonts w:hint="eastAsia" w:ascii="Times New Roman" w:hAnsi="Times New Roman" w:eastAsia="仿宋_GB2312" w:cs="Times New Roman"/>
          <w:sz w:val="32"/>
        </w:rPr>
        <w:t>22年“三公”经费财政拨款支出决算中，因公出国（境）费支出决算0万元，占0</w:t>
      </w:r>
      <w:r>
        <w:rPr>
          <w:rFonts w:ascii="Times New Roman" w:hAnsi="Times New Roman" w:eastAsia="仿宋_GB2312" w:cs="Times New Roman"/>
          <w:sz w:val="32"/>
        </w:rPr>
        <w:t>%</w:t>
      </w:r>
      <w:r>
        <w:rPr>
          <w:rFonts w:hint="eastAsia" w:ascii="Times New Roman" w:hAnsi="Times New Roman" w:eastAsia="仿宋_GB2312" w:cs="Times New Roman"/>
          <w:sz w:val="32"/>
        </w:rPr>
        <w:t>；公务用车购置及运行维护费支出决算0万元，占0</w:t>
      </w:r>
      <w:r>
        <w:rPr>
          <w:rFonts w:ascii="Times New Roman" w:hAnsi="Times New Roman" w:eastAsia="仿宋_GB2312" w:cs="Times New Roman"/>
          <w:sz w:val="32"/>
        </w:rPr>
        <w:t>%</w:t>
      </w:r>
      <w:r>
        <w:rPr>
          <w:rFonts w:hint="eastAsia" w:ascii="Times New Roman" w:hAnsi="Times New Roman" w:eastAsia="仿宋_GB2312" w:cs="Times New Roman"/>
          <w:sz w:val="32"/>
        </w:rPr>
        <w:t>；公务接待费支出决算0.52万元，占100</w:t>
      </w:r>
      <w:r>
        <w:rPr>
          <w:rFonts w:ascii="Times New Roman" w:hAnsi="Times New Roman" w:eastAsia="仿宋_GB2312" w:cs="Times New Roman"/>
          <w:sz w:val="32"/>
        </w:rPr>
        <w:t>%</w:t>
      </w:r>
      <w:r>
        <w:rPr>
          <w:rFonts w:hint="eastAsia" w:ascii="Times New Roman" w:hAnsi="Times New Roman" w:eastAsia="仿宋_GB2312" w:cs="Times New Roman"/>
          <w:sz w:val="32"/>
        </w:rPr>
        <w:t>。具体情况如下：</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ascii="Times New Roman" w:hAnsi="Times New Roman" w:eastAsia="仿宋_GB2312" w:cs="Times New Roman"/>
          <w:sz w:val="32"/>
        </w:rPr>
        <w:t>1.</w:t>
      </w:r>
      <w:r>
        <w:rPr>
          <w:rFonts w:hint="eastAsia" w:ascii="Times New Roman" w:hAnsi="Times New Roman" w:eastAsia="仿宋_GB2312" w:cs="Times New Roman"/>
          <w:sz w:val="32"/>
        </w:rPr>
        <w:t>因公出国（境）经费支出0万元，年初未安排预算，因公出国（境）支出决算较2021年无变化。</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ascii="Times New Roman" w:hAnsi="Times New Roman" w:eastAsia="仿宋_GB2312" w:cs="Times New Roman"/>
          <w:sz w:val="32"/>
        </w:rPr>
        <w:t>2.</w:t>
      </w:r>
      <w:r>
        <w:rPr>
          <w:rFonts w:hint="eastAsia" w:ascii="Times New Roman" w:hAnsi="Times New Roman" w:eastAsia="仿宋_GB2312" w:cs="Times New Roman"/>
          <w:sz w:val="32"/>
        </w:rPr>
        <w:t>公务用车购置及运行维护费支出0万元</w:t>
      </w:r>
      <w:r>
        <w:rPr>
          <w:rFonts w:hint="eastAsia" w:ascii="Times New Roman" w:hAnsi="Times New Roman" w:eastAsia="仿宋_GB2312" w:cs="Times New Roman"/>
          <w:sz w:val="32"/>
          <w:lang w:eastAsia="zh-CN"/>
        </w:rPr>
        <w:t>，</w:t>
      </w:r>
      <w:r>
        <w:rPr>
          <w:rFonts w:hint="eastAsia" w:ascii="Times New Roman" w:hAnsi="Times New Roman" w:eastAsia="仿宋_GB2312" w:cs="Times New Roman"/>
          <w:sz w:val="32"/>
        </w:rPr>
        <w:t>年初未安排预算。公务用车购置及运行维护费支出决算较2021年无变化。</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hint="eastAsia" w:ascii="Times New Roman" w:hAnsi="Times New Roman" w:eastAsia="仿宋_GB2312" w:cs="Times New Roman"/>
          <w:sz w:val="32"/>
        </w:rPr>
        <w:t>其中：公务用车购置支出0万元。全年未购置公务用车。截至</w:t>
      </w:r>
      <w:r>
        <w:rPr>
          <w:rFonts w:ascii="Times New Roman" w:hAnsi="Times New Roman" w:eastAsia="仿宋_GB2312" w:cs="Times New Roman"/>
          <w:sz w:val="32"/>
        </w:rPr>
        <w:t>20</w:t>
      </w:r>
      <w:r>
        <w:rPr>
          <w:rFonts w:hint="eastAsia" w:ascii="Times New Roman" w:hAnsi="Times New Roman" w:eastAsia="仿宋_GB2312" w:cs="Times New Roman"/>
          <w:sz w:val="32"/>
        </w:rPr>
        <w:t>22年</w:t>
      </w:r>
      <w:r>
        <w:rPr>
          <w:rFonts w:ascii="Times New Roman" w:hAnsi="Times New Roman" w:eastAsia="仿宋_GB2312" w:cs="Times New Roman"/>
          <w:sz w:val="32"/>
        </w:rPr>
        <w:t>12</w:t>
      </w:r>
      <w:r>
        <w:rPr>
          <w:rFonts w:hint="eastAsia" w:ascii="Times New Roman" w:hAnsi="Times New Roman" w:eastAsia="仿宋_GB2312" w:cs="Times New Roman"/>
          <w:sz w:val="32"/>
        </w:rPr>
        <w:t>月底，单位共有公务用车0辆。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hint="eastAsia" w:ascii="Times New Roman" w:hAnsi="Times New Roman" w:eastAsia="仿宋_GB2312" w:cs="Times New Roman"/>
          <w:sz w:val="32"/>
        </w:rPr>
        <w:t>公务用车运行维护费支出0万元。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ascii="Times New Roman" w:hAnsi="Times New Roman" w:eastAsia="仿宋_GB2312" w:cs="Times New Roman"/>
          <w:sz w:val="32"/>
        </w:rPr>
        <w:t>3.</w:t>
      </w:r>
      <w:r>
        <w:rPr>
          <w:rFonts w:hint="eastAsia" w:ascii="Times New Roman" w:hAnsi="Times New Roman" w:eastAsia="仿宋_GB2312" w:cs="Times New Roman"/>
          <w:sz w:val="32"/>
        </w:rPr>
        <w:t>公务接待费支出0.52万元，完成预算72.22</w:t>
      </w:r>
      <w:r>
        <w:rPr>
          <w:rFonts w:ascii="Times New Roman" w:hAnsi="Times New Roman" w:eastAsia="仿宋_GB2312" w:cs="Times New Roman"/>
          <w:sz w:val="32"/>
        </w:rPr>
        <w:t>%</w:t>
      </w:r>
      <w:r>
        <w:rPr>
          <w:rFonts w:hint="eastAsia" w:ascii="Times New Roman" w:hAnsi="Times New Roman" w:eastAsia="仿宋_GB2312" w:cs="Times New Roman"/>
          <w:sz w:val="32"/>
        </w:rPr>
        <w:t>。公务接待费支出决算比</w:t>
      </w:r>
      <w:r>
        <w:rPr>
          <w:rFonts w:ascii="Times New Roman" w:hAnsi="Times New Roman" w:eastAsia="仿宋_GB2312" w:cs="Times New Roman"/>
          <w:sz w:val="32"/>
        </w:rPr>
        <w:t>20</w:t>
      </w:r>
      <w:r>
        <w:rPr>
          <w:rFonts w:hint="eastAsia" w:ascii="Times New Roman" w:hAnsi="Times New Roman" w:eastAsia="仿宋_GB2312" w:cs="Times New Roman"/>
          <w:sz w:val="32"/>
        </w:rPr>
        <w:t>21年减少0.19万元，下降26.76%。决算数小于预算数的主要原因是厉行节约，压减支出。其中：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hint="eastAsia" w:ascii="Times New Roman" w:hAnsi="Times New Roman" w:eastAsia="仿宋_GB2312" w:cs="Times New Roman"/>
          <w:sz w:val="32"/>
        </w:rPr>
        <w:t>国内公务接待支出0.52万元，主要用于开展接待食品药品</w:t>
      </w:r>
      <w:r>
        <w:rPr>
          <w:rFonts w:hint="eastAsia" w:ascii="Times New Roman" w:hAnsi="Times New Roman" w:eastAsia="仿宋_GB2312" w:cs="Times New Roman"/>
          <w:sz w:val="32"/>
          <w:lang w:eastAsia="zh-CN"/>
        </w:rPr>
        <w:t>业务工作</w:t>
      </w:r>
      <w:r>
        <w:rPr>
          <w:rFonts w:hint="eastAsia" w:ascii="Times New Roman" w:hAnsi="Times New Roman" w:eastAsia="仿宋_GB2312" w:cs="Times New Roman"/>
          <w:sz w:val="32"/>
        </w:rPr>
        <w:t>及乡村振兴工作用餐费。国内公务接待5批次，49人次（不包括陪同人员），共计支出0.52万元，具体内容包括：县区食品药品检验工作交流学习0.34万元、省局检查0.09万元、商议乡村振兴工作0.09万元。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hint="eastAsia" w:ascii="Times New Roman" w:hAnsi="Times New Roman" w:eastAsia="仿宋_GB2312" w:cs="Times New Roman"/>
          <w:sz w:val="32"/>
        </w:rPr>
        <w:t>外事接待支出0万元。</w:t>
      </w:r>
      <w:bookmarkStart w:id="58" w:name="_Toc15396610"/>
      <w:bookmarkStart w:id="59" w:name="_Toc15377218"/>
    </w:p>
    <w:p>
      <w:pPr>
        <w:pStyle w:val="2"/>
        <w:numPr>
          <w:ilvl w:val="0"/>
          <w:numId w:val="1"/>
        </w:numPr>
        <w:bidi w:val="0"/>
        <w:rPr>
          <w:rFonts w:ascii="Times New Roman" w:hAnsi="Times New Roman"/>
        </w:rPr>
      </w:pPr>
      <w:bookmarkStart w:id="60" w:name="_Toc9398"/>
      <w:r>
        <w:rPr>
          <w:rFonts w:hint="eastAsia" w:ascii="Times New Roman" w:hAnsi="Times New Roman"/>
        </w:rPr>
        <w:t>政府性基金预算支出决算情况说明</w:t>
      </w:r>
      <w:bookmarkEnd w:id="58"/>
      <w:bookmarkEnd w:id="59"/>
      <w:bookmarkEnd w:id="6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ascii="Times New Roman" w:hAnsi="Times New Roman" w:eastAsia="仿宋_GB2312" w:cs="Times New Roman"/>
          <w:sz w:val="32"/>
        </w:rPr>
        <w:t>20</w:t>
      </w:r>
      <w:r>
        <w:rPr>
          <w:rFonts w:hint="eastAsia" w:ascii="Times New Roman" w:hAnsi="Times New Roman" w:eastAsia="仿宋_GB2312" w:cs="Times New Roman"/>
          <w:sz w:val="32"/>
        </w:rPr>
        <w:t>22年政府性基金预算财政拨款支出0万元。</w:t>
      </w:r>
    </w:p>
    <w:p>
      <w:pPr>
        <w:pStyle w:val="2"/>
        <w:numPr>
          <w:ilvl w:val="0"/>
          <w:numId w:val="1"/>
        </w:numPr>
        <w:bidi w:val="0"/>
        <w:rPr>
          <w:rFonts w:hint="eastAsia" w:ascii="Times New Roman" w:hAnsi="Times New Roman"/>
        </w:rPr>
      </w:pPr>
      <w:bookmarkStart w:id="61" w:name="_Toc15396611"/>
      <w:bookmarkStart w:id="62" w:name="_Toc15377219"/>
      <w:bookmarkStart w:id="63" w:name="_Toc1807"/>
      <w:r>
        <w:rPr>
          <w:rFonts w:hint="eastAsia" w:ascii="Times New Roman" w:hAnsi="Times New Roman"/>
        </w:rPr>
        <w:t>国有资本经营预算支出决算情况说明</w:t>
      </w:r>
      <w:bookmarkEnd w:id="61"/>
      <w:bookmarkEnd w:id="62"/>
      <w:bookmarkEnd w:id="6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ascii="Times New Roman" w:hAnsi="Times New Roman" w:eastAsia="仿宋_GB2312" w:cs="Times New Roman"/>
          <w:sz w:val="32"/>
        </w:rPr>
        <w:t>20</w:t>
      </w:r>
      <w:r>
        <w:rPr>
          <w:rFonts w:hint="eastAsia" w:ascii="Times New Roman" w:hAnsi="Times New Roman" w:eastAsia="仿宋_GB2312" w:cs="Times New Roman"/>
          <w:sz w:val="32"/>
        </w:rPr>
        <w:t>22年国有资本经营预算财政拨款支出0万元。</w:t>
      </w:r>
    </w:p>
    <w:p>
      <w:pPr>
        <w:pStyle w:val="2"/>
        <w:numPr>
          <w:ilvl w:val="0"/>
          <w:numId w:val="1"/>
        </w:numPr>
        <w:bidi w:val="0"/>
        <w:rPr>
          <w:rFonts w:hint="eastAsia" w:ascii="Times New Roman" w:hAnsi="Times New Roman"/>
        </w:rPr>
      </w:pPr>
      <w:bookmarkStart w:id="64" w:name="_Toc2417"/>
      <w:bookmarkStart w:id="65" w:name="_Toc15396612"/>
      <w:bookmarkStart w:id="66" w:name="_Toc15377221"/>
      <w:r>
        <w:rPr>
          <w:rFonts w:hint="eastAsia" w:ascii="Times New Roman" w:hAnsi="Times New Roman"/>
        </w:rPr>
        <w:t>其他重要事项的情况说明</w:t>
      </w:r>
      <w:bookmarkEnd w:id="64"/>
      <w:bookmarkEnd w:id="65"/>
      <w:bookmarkEnd w:id="66"/>
    </w:p>
    <w:p>
      <w:pPr>
        <w:keepNext w:val="0"/>
        <w:keepLines w:val="0"/>
        <w:pageBreakBefore w:val="0"/>
        <w:kinsoku/>
        <w:wordWrap/>
        <w:overflowPunct/>
        <w:autoSpaceDE/>
        <w:autoSpaceDN/>
        <w:bidi w:val="0"/>
        <w:adjustRightInd/>
        <w:snapToGrid/>
        <w:spacing w:line="576" w:lineRule="exact"/>
        <w:ind w:firstLine="640" w:firstLineChars="200"/>
        <w:textAlignment w:val="auto"/>
        <w:rPr>
          <w:rFonts w:hint="eastAsia" w:ascii="Times New Roman" w:hAnsi="Times New Roman" w:eastAsia="楷体" w:cs="楷体"/>
          <w:sz w:val="32"/>
          <w:szCs w:val="32"/>
        </w:rPr>
      </w:pPr>
      <w:bookmarkStart w:id="67" w:name="_Toc15377222"/>
      <w:r>
        <w:rPr>
          <w:rFonts w:hint="eastAsia" w:ascii="Times New Roman" w:hAnsi="Times New Roman" w:eastAsia="楷体" w:cs="楷体"/>
          <w:sz w:val="32"/>
          <w:szCs w:val="32"/>
        </w:rPr>
        <w:t>（一）机关运行经费支出情况</w:t>
      </w:r>
      <w:bookmarkEnd w:id="6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2022年，广元市食品药品检验检测中心未发生机关运行经费支出，与2021年决算数持平。</w:t>
      </w:r>
    </w:p>
    <w:p>
      <w:pPr>
        <w:keepNext w:val="0"/>
        <w:keepLines w:val="0"/>
        <w:pageBreakBefore w:val="0"/>
        <w:kinsoku/>
        <w:wordWrap/>
        <w:overflowPunct/>
        <w:autoSpaceDE/>
        <w:autoSpaceDN/>
        <w:bidi w:val="0"/>
        <w:adjustRightInd/>
        <w:snapToGrid/>
        <w:spacing w:line="576" w:lineRule="exact"/>
        <w:ind w:firstLine="640" w:firstLineChars="200"/>
        <w:textAlignment w:val="auto"/>
        <w:rPr>
          <w:rFonts w:hint="eastAsia" w:ascii="Times New Roman" w:hAnsi="Times New Roman" w:eastAsia="楷体" w:cs="楷体"/>
          <w:sz w:val="32"/>
          <w:szCs w:val="32"/>
        </w:rPr>
      </w:pPr>
      <w:bookmarkStart w:id="68" w:name="_Toc15377223"/>
      <w:r>
        <w:rPr>
          <w:rFonts w:hint="eastAsia" w:ascii="Times New Roman" w:hAnsi="Times New Roman" w:eastAsia="楷体" w:cs="楷体"/>
          <w:sz w:val="32"/>
          <w:szCs w:val="32"/>
        </w:rPr>
        <w:t>（二）政府采购支出情况</w:t>
      </w:r>
      <w:bookmarkEnd w:id="6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2022年，广元市食品药品检验检测中心政府采购支出总额48.9</w:t>
      </w:r>
      <w:r>
        <w:rPr>
          <w:rFonts w:hint="eastAsia" w:ascii="Times New Roman" w:hAnsi="Times New Roman" w:eastAsia="仿宋_GB2312" w:cs="Times New Roman"/>
          <w:sz w:val="32"/>
          <w:lang w:val="en-US" w:eastAsia="zh-CN"/>
        </w:rPr>
        <w:t>6</w:t>
      </w:r>
      <w:r>
        <w:rPr>
          <w:rFonts w:hint="eastAsia" w:ascii="Times New Roman" w:hAnsi="Times New Roman" w:eastAsia="仿宋_GB2312" w:cs="Times New Roman"/>
          <w:sz w:val="32"/>
        </w:rPr>
        <w:t>万元，其中：政府采购货物支出48.9</w:t>
      </w:r>
      <w:r>
        <w:rPr>
          <w:rFonts w:hint="eastAsia" w:ascii="Times New Roman" w:hAnsi="Times New Roman" w:eastAsia="仿宋_GB2312" w:cs="Times New Roman"/>
          <w:sz w:val="32"/>
          <w:lang w:val="en-US" w:eastAsia="zh-CN"/>
        </w:rPr>
        <w:t>6</w:t>
      </w:r>
      <w:r>
        <w:rPr>
          <w:rFonts w:hint="eastAsia" w:ascii="Times New Roman" w:hAnsi="Times New Roman" w:eastAsia="仿宋_GB2312" w:cs="Times New Roman"/>
          <w:sz w:val="32"/>
        </w:rPr>
        <w:t>万元，主要用于开展药品检验检测工作。授予中小企业合同金额0万元，占政府采购支出总额的0%。</w:t>
      </w:r>
    </w:p>
    <w:p>
      <w:pPr>
        <w:keepNext w:val="0"/>
        <w:keepLines w:val="0"/>
        <w:pageBreakBefore w:val="0"/>
        <w:kinsoku/>
        <w:wordWrap/>
        <w:overflowPunct/>
        <w:autoSpaceDE/>
        <w:autoSpaceDN/>
        <w:bidi w:val="0"/>
        <w:adjustRightInd/>
        <w:snapToGrid/>
        <w:spacing w:line="576" w:lineRule="exact"/>
        <w:ind w:firstLine="640" w:firstLineChars="200"/>
        <w:textAlignment w:val="auto"/>
        <w:rPr>
          <w:rFonts w:hint="eastAsia" w:ascii="Times New Roman" w:hAnsi="Times New Roman" w:eastAsia="楷体" w:cs="楷体"/>
          <w:sz w:val="32"/>
          <w:szCs w:val="32"/>
        </w:rPr>
      </w:pPr>
      <w:bookmarkStart w:id="69" w:name="_Toc15377224"/>
      <w:r>
        <w:rPr>
          <w:rFonts w:hint="eastAsia" w:ascii="Times New Roman" w:hAnsi="Times New Roman" w:eastAsia="楷体" w:cs="楷体"/>
          <w:sz w:val="32"/>
          <w:szCs w:val="32"/>
        </w:rPr>
        <w:t>（三）国有资产占有使用情况</w:t>
      </w:r>
      <w:bookmarkEnd w:id="6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截至2022年12月31日，广元市食品药品检验检测中心共有车辆0辆，单价100万元以上专用设备2台。</w:t>
      </w:r>
    </w:p>
    <w:p>
      <w:pPr>
        <w:keepNext w:val="0"/>
        <w:keepLines w:val="0"/>
        <w:pageBreakBefore w:val="0"/>
        <w:kinsoku/>
        <w:wordWrap/>
        <w:overflowPunct/>
        <w:autoSpaceDE/>
        <w:autoSpaceDN/>
        <w:bidi w:val="0"/>
        <w:adjustRightInd/>
        <w:snapToGrid/>
        <w:spacing w:line="576" w:lineRule="exact"/>
        <w:ind w:firstLine="640" w:firstLineChars="200"/>
        <w:textAlignment w:val="auto"/>
        <w:rPr>
          <w:rFonts w:hint="eastAsia" w:ascii="Times New Roman" w:hAnsi="Times New Roman" w:eastAsia="楷体" w:cs="楷体"/>
          <w:sz w:val="32"/>
          <w:szCs w:val="32"/>
        </w:rPr>
      </w:pPr>
      <w:r>
        <w:rPr>
          <w:rFonts w:hint="eastAsia" w:ascii="Times New Roman" w:hAnsi="Times New Roman" w:eastAsia="楷体" w:cs="楷体"/>
          <w:sz w:val="32"/>
          <w:szCs w:val="32"/>
        </w:rPr>
        <w:t>（四）预算绩效管理情况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根据预算绩效管理要求，本单位在2022年度预算编制阶段，组织对16项目（项目名称）等16个项目开展了预算事前绩效评估，对16个项目编制了绩效目标，预算执行过程中，选取16个项目开展绩效监控，组织对16个项目开展绩效自评，绩效自评表详见第四部分附件。</w:t>
      </w:r>
      <w:r>
        <w:rPr>
          <w:rFonts w:hint="eastAsia" w:ascii="Times New Roman" w:hAnsi="Times New Roman" w:eastAsia="仿宋_GB2312" w:cs="Times New Roman"/>
          <w:sz w:val="32"/>
        </w:rPr>
        <w:br w:type="page"/>
      </w:r>
    </w:p>
    <w:p>
      <w:pPr>
        <w:pStyle w:val="3"/>
        <w:bidi w:val="0"/>
        <w:rPr>
          <w:rFonts w:ascii="Times New Roman" w:hAnsi="Times New Roman"/>
        </w:rPr>
      </w:pPr>
      <w:bookmarkStart w:id="70" w:name="_Toc15377225"/>
      <w:bookmarkStart w:id="71" w:name="_Toc13173"/>
      <w:bookmarkStart w:id="72" w:name="_Toc15396613"/>
      <w:r>
        <w:rPr>
          <w:rFonts w:hint="eastAsia" w:ascii="Times New Roman" w:hAnsi="Times New Roman"/>
          <w:lang w:val="en-US" w:eastAsia="zh-CN"/>
        </w:rPr>
        <w:t xml:space="preserve">第三部分 </w:t>
      </w:r>
      <w:r>
        <w:rPr>
          <w:rFonts w:hint="eastAsia" w:ascii="Times New Roman" w:hAnsi="Times New Roman"/>
        </w:rPr>
        <w:t>名词解释</w:t>
      </w:r>
      <w:bookmarkEnd w:id="70"/>
      <w:bookmarkEnd w:id="71"/>
      <w:bookmarkEnd w:id="7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1.财政拨款收入：指单位从同级财政部门取得的财政预算资金。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2.其他收入：指单位取得的除上述收入以外的各项收入。主要是市市场监管局返拨党费、银行利息收入等。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3.使用非财政拨款结余：指事业单位使用以前年度积累的非财政拨款结余弥补当年收支差额的金额。</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4.年初结转和结余：指以前年度尚未完成、结转到本年按有关规定继续使用的资金。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5.一般公共服务（类）市场监督管理事务（款）药品事务（项）：指单位用于药品监管、药品抽验、药品开展科研项目工作等方面的支出。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6.一般公共服务（类）市场监督管理事务（款）事业运行（项）：指单位用于工资福利、对个人及家庭补助和公用经费等基本支出。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7.一般公共服务（类）市场监督管理事务（款）其他市场监督管理事务（项）：指单位用于食品抽验、药品委托检验、乡村振兴、仪器设备维修维护、实验室危废处置及地方食品药品能力建设等支出。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 xml:space="preserve">8.社会保障和就业支出（类）行政事业单位养老支出（款）机关事业单位基本养老保险缴费支出（项）：指单位用于实施养老保险制度由单位缴纳的基本养老保险费支出。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 xml:space="preserve">9.社会保障和就业支出（类）行政事业单位养老支出（款）职业年金缴费（项）：指单位用于职工实际缴纳的职业年金支出。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10.卫生健康支出（类）行政事业单位医疗（款）事业单位医疗（项）：指单位用于事业单位基本医疗保险缴费。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 xml:space="preserve">11.住房保障支出（类）住房改革支出（款）住房公积金（项）：指单位用于按规定的工资基数以及规定比例为职工缴纳的住房公积金。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12.基本支出：指为保障机构正常运转、完成日常工作任务而发生的人员支出和公用支出。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 xml:space="preserve">13.项目支出：指在基本支出之外为完成特定行政任务和事业发展目标所发生的支出。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14.“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3"/>
        <w:bidi w:val="0"/>
        <w:rPr>
          <w:rFonts w:hint="eastAsia" w:ascii="Times New Roman" w:hAnsi="Times New Roman"/>
        </w:rPr>
        <w:sectPr>
          <w:footerReference r:id="rId8" w:type="first"/>
          <w:footerReference r:id="rId7" w:type="default"/>
          <w:pgSz w:w="11906" w:h="16838"/>
          <w:pgMar w:top="1440" w:right="1800" w:bottom="1440" w:left="1800" w:header="851" w:footer="992" w:gutter="0"/>
          <w:pgNumType w:fmt="numberInDash" w:start="1"/>
          <w:cols w:space="425" w:num="1"/>
          <w:docGrid w:type="lines" w:linePitch="312" w:charSpace="0"/>
        </w:sectPr>
      </w:pPr>
      <w:bookmarkStart w:id="73" w:name="_Toc15396614"/>
      <w:bookmarkStart w:id="74" w:name="_Toc22939"/>
      <w:bookmarkStart w:id="75" w:name="_Toc15377226"/>
    </w:p>
    <w:p>
      <w:pPr>
        <w:pStyle w:val="3"/>
        <w:bidi w:val="0"/>
        <w:rPr>
          <w:rFonts w:hint="eastAsia" w:ascii="Times New Roman" w:hAnsi="Times New Roman"/>
        </w:rPr>
      </w:pPr>
      <w:r>
        <w:rPr>
          <w:rFonts w:hint="eastAsia" w:ascii="Times New Roman" w:hAnsi="Times New Roman"/>
        </w:rPr>
        <w:t>第四部分 附件</w:t>
      </w:r>
      <w:bookmarkEnd w:id="73"/>
      <w:bookmarkEnd w:id="74"/>
    </w:p>
    <w:p>
      <w:pPr>
        <w:keepNext w:val="0"/>
        <w:keepLines w:val="0"/>
        <w:pageBreakBefore w:val="0"/>
        <w:widowControl w:val="0"/>
        <w:kinsoku/>
        <w:wordWrap/>
        <w:overflowPunct/>
        <w:topLinePunct w:val="0"/>
        <w:autoSpaceDE/>
        <w:autoSpaceDN/>
        <w:bidi w:val="0"/>
        <w:adjustRightInd/>
        <w:snapToGrid/>
        <w:spacing w:line="572" w:lineRule="exact"/>
        <w:ind w:firstLine="960" w:firstLineChars="300"/>
        <w:jc w:val="left"/>
        <w:textAlignment w:val="auto"/>
        <w:outlineLvl w:val="9"/>
        <w:rPr>
          <w:rFonts w:ascii="Times New Roman" w:hAnsi="Times New Roman" w:eastAsia="仿宋_GB2312" w:cs="仿宋_GB2312"/>
          <w:sz w:val="32"/>
          <w:szCs w:val="32"/>
        </w:rPr>
      </w:pPr>
      <w:bookmarkStart w:id="76" w:name="_Toc147676473"/>
      <w:r>
        <w:rPr>
          <w:rFonts w:hint="eastAsia" w:ascii="Times New Roman" w:hAnsi="Times New Roman" w:eastAsia="仿宋_GB2312" w:cs="仿宋_GB2312"/>
          <w:sz w:val="32"/>
          <w:szCs w:val="32"/>
        </w:rPr>
        <w:t>附表1：</w:t>
      </w:r>
      <w:bookmarkEnd w:id="76"/>
    </w:p>
    <w:tbl>
      <w:tblPr>
        <w:tblStyle w:val="12"/>
        <w:tblW w:w="5000" w:type="pct"/>
        <w:tblInd w:w="0" w:type="dxa"/>
        <w:tblLayout w:type="autofit"/>
        <w:tblCellMar>
          <w:top w:w="0" w:type="dxa"/>
          <w:left w:w="28" w:type="dxa"/>
          <w:bottom w:w="0" w:type="dxa"/>
          <w:right w:w="28" w:type="dxa"/>
        </w:tblCellMar>
      </w:tblPr>
      <w:tblGrid>
        <w:gridCol w:w="456"/>
        <w:gridCol w:w="1856"/>
        <w:gridCol w:w="1209"/>
        <w:gridCol w:w="1918"/>
        <w:gridCol w:w="319"/>
        <w:gridCol w:w="1143"/>
        <w:gridCol w:w="314"/>
        <w:gridCol w:w="739"/>
        <w:gridCol w:w="406"/>
        <w:gridCol w:w="406"/>
        <w:gridCol w:w="1744"/>
      </w:tblGrid>
      <w:tr>
        <w:tblPrEx>
          <w:tblCellMar>
            <w:top w:w="0" w:type="dxa"/>
            <w:left w:w="28" w:type="dxa"/>
            <w:bottom w:w="0" w:type="dxa"/>
            <w:right w:w="28" w:type="dxa"/>
          </w:tblCellMar>
        </w:tblPrEx>
        <w:trPr>
          <w:trHeight w:val="62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黑体" w:cs="宋体"/>
                <w:b/>
                <w:bCs/>
                <w:color w:val="000000"/>
                <w:kern w:val="0"/>
                <w:sz w:val="30"/>
                <w:szCs w:val="30"/>
              </w:rPr>
            </w:pPr>
            <w:r>
              <w:rPr>
                <w:rFonts w:hint="eastAsia" w:ascii="Times New Roman" w:hAnsi="Times New Roman" w:eastAsia="黑体" w:cs="宋体"/>
                <w:b/>
                <w:bCs/>
                <w:color w:val="000000"/>
                <w:kern w:val="0"/>
                <w:sz w:val="30"/>
                <w:szCs w:val="30"/>
              </w:rPr>
              <w:t>部门预算项目支出绩效自评表（2022年度）</w:t>
            </w:r>
          </w:p>
        </w:tc>
      </w:tr>
      <w:tr>
        <w:tblPrEx>
          <w:tblCellMar>
            <w:top w:w="0" w:type="dxa"/>
            <w:left w:w="28" w:type="dxa"/>
            <w:bottom w:w="0" w:type="dxa"/>
            <w:right w:w="28" w:type="dxa"/>
          </w:tblCellMar>
        </w:tblPrEx>
        <w:trPr>
          <w:trHeight w:val="285" w:hRule="atLeast"/>
        </w:trPr>
        <w:tc>
          <w:tcPr>
            <w:tcW w:w="8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项目名称</w:t>
            </w:r>
          </w:p>
        </w:tc>
        <w:tc>
          <w:tcPr>
            <w:tcW w:w="4178" w:type="pct"/>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51000021R000000019951-工资性支出</w:t>
            </w:r>
          </w:p>
        </w:tc>
      </w:tr>
      <w:tr>
        <w:tblPrEx>
          <w:tblCellMar>
            <w:top w:w="0" w:type="dxa"/>
            <w:left w:w="28" w:type="dxa"/>
            <w:bottom w:w="0" w:type="dxa"/>
            <w:right w:w="28" w:type="dxa"/>
          </w:tblCellMar>
        </w:tblPrEx>
        <w:trPr>
          <w:trHeight w:val="514" w:hRule="atLeast"/>
        </w:trPr>
        <w:tc>
          <w:tcPr>
            <w:tcW w:w="8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主管部门</w:t>
            </w:r>
          </w:p>
        </w:tc>
        <w:tc>
          <w:tcPr>
            <w:tcW w:w="2490"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广元市市场监督管理局部门</w:t>
            </w:r>
          </w:p>
        </w:tc>
        <w:tc>
          <w:tcPr>
            <w:tcW w:w="381"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实施单位 （盖章）</w:t>
            </w:r>
          </w:p>
        </w:tc>
        <w:tc>
          <w:tcPr>
            <w:tcW w:w="130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spacing w:val="-6"/>
                <w:kern w:val="0"/>
                <w:sz w:val="20"/>
                <w:szCs w:val="20"/>
              </w:rPr>
              <w:t>广元市食品药品检验检测中心</w:t>
            </w:r>
          </w:p>
        </w:tc>
      </w:tr>
      <w:tr>
        <w:tblPrEx>
          <w:tblCellMar>
            <w:top w:w="0" w:type="dxa"/>
            <w:left w:w="28" w:type="dxa"/>
            <w:bottom w:w="0" w:type="dxa"/>
            <w:right w:w="28" w:type="dxa"/>
          </w:tblCellMar>
        </w:tblPrEx>
        <w:trPr>
          <w:trHeight w:val="285" w:hRule="atLeast"/>
        </w:trPr>
        <w:tc>
          <w:tcPr>
            <w:tcW w:w="242"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项目基本情况</w:t>
            </w: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1.项目年度目标完成情况</w:t>
            </w:r>
          </w:p>
        </w:tc>
        <w:tc>
          <w:tcPr>
            <w:tcW w:w="2490"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项目年度目标</w:t>
            </w:r>
          </w:p>
        </w:tc>
        <w:tc>
          <w:tcPr>
            <w:tcW w:w="1687" w:type="pct"/>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年度目标完成情况</w:t>
            </w:r>
          </w:p>
        </w:tc>
      </w:tr>
      <w:tr>
        <w:tblPrEx>
          <w:tblCellMar>
            <w:top w:w="0" w:type="dxa"/>
            <w:left w:w="28" w:type="dxa"/>
            <w:bottom w:w="0" w:type="dxa"/>
            <w:right w:w="28" w:type="dxa"/>
          </w:tblCellMar>
        </w:tblPrEx>
        <w:trPr>
          <w:trHeight w:val="709" w:hRule="atLeast"/>
        </w:trPr>
        <w:tc>
          <w:tcPr>
            <w:tcW w:w="242"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2490"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严格执行相关政策，保障工资及时发放、足额发放，预算编制科学合理，减少结余资金。</w:t>
            </w:r>
          </w:p>
        </w:tc>
        <w:tc>
          <w:tcPr>
            <w:tcW w:w="1687" w:type="pct"/>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2022年，我中心严格执行相关政策，保障工资及时发放、足额发放，预算编制科学合理，无结余资金。</w:t>
            </w:r>
          </w:p>
        </w:tc>
      </w:tr>
      <w:tr>
        <w:tblPrEx>
          <w:tblCellMar>
            <w:top w:w="0" w:type="dxa"/>
            <w:left w:w="28" w:type="dxa"/>
            <w:bottom w:w="0" w:type="dxa"/>
            <w:right w:w="28" w:type="dxa"/>
          </w:tblCellMar>
        </w:tblPrEx>
        <w:trPr>
          <w:trHeight w:val="694" w:hRule="atLeast"/>
        </w:trPr>
        <w:tc>
          <w:tcPr>
            <w:tcW w:w="242"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2.项目实施内容及过程概述</w:t>
            </w:r>
          </w:p>
        </w:tc>
        <w:tc>
          <w:tcPr>
            <w:tcW w:w="4178" w:type="pct"/>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“工资性支出”项目由办公室负责组织实施，通过制定专项工作计划方案、确定工作目标、明确组织实施措施和策略，有效地指导工作的正常有序开展。</w:t>
            </w:r>
          </w:p>
        </w:tc>
      </w:tr>
      <w:tr>
        <w:tblPrEx>
          <w:tblCellMar>
            <w:top w:w="0" w:type="dxa"/>
            <w:left w:w="28" w:type="dxa"/>
            <w:bottom w:w="0" w:type="dxa"/>
            <w:right w:w="28" w:type="dxa"/>
          </w:tblCellMar>
        </w:tblPrEx>
        <w:trPr>
          <w:trHeight w:val="360" w:hRule="atLeast"/>
        </w:trPr>
        <w:tc>
          <w:tcPr>
            <w:tcW w:w="242"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预算执行情况（10分）</w:t>
            </w:r>
          </w:p>
        </w:tc>
        <w:tc>
          <w:tcPr>
            <w:tcW w:w="579" w:type="pct"/>
            <w:tcBorders>
              <w:top w:val="nil"/>
              <w:left w:val="nil"/>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年度预算数（万元）</w:t>
            </w:r>
          </w:p>
        </w:tc>
        <w:tc>
          <w:tcPr>
            <w:tcW w:w="61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年初预算</w:t>
            </w:r>
          </w:p>
        </w:tc>
        <w:tc>
          <w:tcPr>
            <w:tcW w:w="94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调整后预算数</w:t>
            </w:r>
          </w:p>
        </w:tc>
        <w:tc>
          <w:tcPr>
            <w:tcW w:w="935"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预算执行数</w:t>
            </w:r>
          </w:p>
        </w:tc>
        <w:tc>
          <w:tcPr>
            <w:tcW w:w="3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预算执行率</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7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原因</w:t>
            </w:r>
          </w:p>
        </w:tc>
      </w:tr>
      <w:tr>
        <w:tblPrEx>
          <w:tblCellMar>
            <w:top w:w="0" w:type="dxa"/>
            <w:left w:w="28" w:type="dxa"/>
            <w:bottom w:w="0" w:type="dxa"/>
            <w:right w:w="28" w:type="dxa"/>
          </w:tblCellMar>
        </w:tblPrEx>
        <w:trPr>
          <w:trHeight w:val="387" w:hRule="atLeast"/>
        </w:trPr>
        <w:tc>
          <w:tcPr>
            <w:tcW w:w="242"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总额</w:t>
            </w:r>
          </w:p>
        </w:tc>
        <w:tc>
          <w:tcPr>
            <w:tcW w:w="61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236.10</w:t>
            </w:r>
          </w:p>
        </w:tc>
        <w:tc>
          <w:tcPr>
            <w:tcW w:w="94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298.60</w:t>
            </w:r>
          </w:p>
        </w:tc>
        <w:tc>
          <w:tcPr>
            <w:tcW w:w="935"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273.10</w:t>
            </w:r>
          </w:p>
        </w:tc>
        <w:tc>
          <w:tcPr>
            <w:tcW w:w="3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91.46%</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9.1</w:t>
            </w:r>
          </w:p>
        </w:tc>
        <w:tc>
          <w:tcPr>
            <w:tcW w:w="875"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hint="eastAsia" w:ascii="Times New Roman" w:hAnsi="Times New Roman" w:cs="宋体"/>
                <w:color w:val="000000"/>
                <w:kern w:val="0"/>
                <w:sz w:val="20"/>
                <w:szCs w:val="20"/>
                <w:lang w:val="en-US" w:eastAsia="zh-CN"/>
              </w:rPr>
              <w:t>1.</w:t>
            </w:r>
            <w:r>
              <w:rPr>
                <w:rFonts w:hint="eastAsia" w:ascii="Times New Roman" w:hAnsi="Times New Roman" w:cs="宋体"/>
                <w:color w:val="000000"/>
                <w:kern w:val="0"/>
                <w:sz w:val="20"/>
                <w:szCs w:val="20"/>
              </w:rPr>
              <w:t>调整追加预算62.5万元，主要是由于追加了基本工资和基础绩效奖预算。</w:t>
            </w:r>
            <w:r>
              <w:rPr>
                <w:rFonts w:hint="eastAsia" w:ascii="Times New Roman" w:hAnsi="Times New Roman" w:cs="宋体"/>
                <w:color w:val="000000"/>
                <w:kern w:val="0"/>
                <w:sz w:val="20"/>
                <w:szCs w:val="20"/>
                <w:lang w:val="en-US" w:eastAsia="zh-CN"/>
              </w:rPr>
              <w:t>2.结转资金为基础绩效奖计提资金。</w:t>
            </w:r>
          </w:p>
        </w:tc>
      </w:tr>
      <w:tr>
        <w:tblPrEx>
          <w:tblCellMar>
            <w:top w:w="0" w:type="dxa"/>
            <w:left w:w="28" w:type="dxa"/>
            <w:bottom w:w="0" w:type="dxa"/>
            <w:right w:w="28" w:type="dxa"/>
          </w:tblCellMar>
        </w:tblPrEx>
        <w:trPr>
          <w:trHeight w:val="432" w:hRule="atLeast"/>
        </w:trPr>
        <w:tc>
          <w:tcPr>
            <w:tcW w:w="242"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其中：财政资金</w:t>
            </w:r>
          </w:p>
        </w:tc>
        <w:tc>
          <w:tcPr>
            <w:tcW w:w="61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236.10</w:t>
            </w:r>
          </w:p>
        </w:tc>
        <w:tc>
          <w:tcPr>
            <w:tcW w:w="94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298.60</w:t>
            </w:r>
          </w:p>
        </w:tc>
        <w:tc>
          <w:tcPr>
            <w:tcW w:w="935"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273.10</w:t>
            </w:r>
          </w:p>
        </w:tc>
        <w:tc>
          <w:tcPr>
            <w:tcW w:w="3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91.46%</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tblPrEx>
          <w:tblCellMar>
            <w:top w:w="0" w:type="dxa"/>
            <w:left w:w="28" w:type="dxa"/>
            <w:bottom w:w="0" w:type="dxa"/>
            <w:right w:w="28" w:type="dxa"/>
          </w:tblCellMar>
        </w:tblPrEx>
        <w:trPr>
          <w:trHeight w:val="447" w:hRule="atLeast"/>
        </w:trPr>
        <w:tc>
          <w:tcPr>
            <w:tcW w:w="242"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财政专户管理资金</w:t>
            </w:r>
          </w:p>
        </w:tc>
        <w:tc>
          <w:tcPr>
            <w:tcW w:w="61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35"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tblPrEx>
          <w:tblCellMar>
            <w:top w:w="0" w:type="dxa"/>
            <w:left w:w="28" w:type="dxa"/>
            <w:bottom w:w="0" w:type="dxa"/>
            <w:right w:w="28" w:type="dxa"/>
          </w:tblCellMar>
        </w:tblPrEx>
        <w:trPr>
          <w:trHeight w:val="402" w:hRule="atLeast"/>
        </w:trPr>
        <w:tc>
          <w:tcPr>
            <w:tcW w:w="242"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单位资金</w:t>
            </w:r>
          </w:p>
        </w:tc>
        <w:tc>
          <w:tcPr>
            <w:tcW w:w="61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35"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tblPrEx>
          <w:tblCellMar>
            <w:top w:w="0" w:type="dxa"/>
            <w:left w:w="28" w:type="dxa"/>
            <w:bottom w:w="0" w:type="dxa"/>
            <w:right w:w="28" w:type="dxa"/>
          </w:tblCellMar>
        </w:tblPrEx>
        <w:trPr>
          <w:trHeight w:val="379" w:hRule="atLeast"/>
        </w:trPr>
        <w:tc>
          <w:tcPr>
            <w:tcW w:w="242"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其他资金</w:t>
            </w:r>
          </w:p>
        </w:tc>
        <w:tc>
          <w:tcPr>
            <w:tcW w:w="61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4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35"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3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tblPrEx>
          <w:tblCellMar>
            <w:top w:w="0" w:type="dxa"/>
            <w:left w:w="28" w:type="dxa"/>
            <w:bottom w:w="0" w:type="dxa"/>
            <w:right w:w="28" w:type="dxa"/>
          </w:tblCellMar>
        </w:tblPrEx>
        <w:trPr>
          <w:trHeight w:val="454" w:hRule="atLeast"/>
        </w:trPr>
        <w:tc>
          <w:tcPr>
            <w:tcW w:w="242"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绩效指标（90分）</w:t>
            </w: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一级指标</w:t>
            </w:r>
          </w:p>
        </w:tc>
        <w:tc>
          <w:tcPr>
            <w:tcW w:w="61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二级指标</w:t>
            </w:r>
          </w:p>
        </w:tc>
        <w:tc>
          <w:tcPr>
            <w:tcW w:w="94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三级指标</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指标性质</w:t>
            </w:r>
          </w:p>
        </w:tc>
        <w:tc>
          <w:tcPr>
            <w:tcW w:w="57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指标值</w:t>
            </w:r>
          </w:p>
        </w:tc>
        <w:tc>
          <w:tcPr>
            <w:tcW w:w="18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度量单位</w:t>
            </w:r>
          </w:p>
        </w:tc>
        <w:tc>
          <w:tcPr>
            <w:tcW w:w="3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完成值</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7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未完成原因分析</w:t>
            </w:r>
          </w:p>
        </w:tc>
      </w:tr>
      <w:tr>
        <w:tblPrEx>
          <w:tblCellMar>
            <w:top w:w="0" w:type="dxa"/>
            <w:left w:w="28" w:type="dxa"/>
            <w:bottom w:w="0" w:type="dxa"/>
            <w:right w:w="28" w:type="dxa"/>
          </w:tblCellMar>
        </w:tblPrEx>
        <w:trPr>
          <w:trHeight w:val="338" w:hRule="atLeast"/>
        </w:trPr>
        <w:tc>
          <w:tcPr>
            <w:tcW w:w="242"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产出指标</w:t>
            </w:r>
          </w:p>
        </w:tc>
        <w:tc>
          <w:tcPr>
            <w:tcW w:w="611"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数量指标</w:t>
            </w:r>
          </w:p>
        </w:tc>
        <w:tc>
          <w:tcPr>
            <w:tcW w:w="94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足额保障率</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8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87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tblPrEx>
          <w:tblCellMar>
            <w:top w:w="0" w:type="dxa"/>
            <w:left w:w="28" w:type="dxa"/>
            <w:bottom w:w="0" w:type="dxa"/>
            <w:right w:w="28" w:type="dxa"/>
          </w:tblCellMar>
        </w:tblPrEx>
        <w:trPr>
          <w:trHeight w:val="338" w:hRule="atLeast"/>
        </w:trPr>
        <w:tc>
          <w:tcPr>
            <w:tcW w:w="242"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11"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94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科目调整次数</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8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次</w:t>
            </w:r>
          </w:p>
        </w:tc>
        <w:tc>
          <w:tcPr>
            <w:tcW w:w="3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87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tblPrEx>
          <w:tblCellMar>
            <w:top w:w="0" w:type="dxa"/>
            <w:left w:w="28" w:type="dxa"/>
            <w:bottom w:w="0" w:type="dxa"/>
            <w:right w:w="28" w:type="dxa"/>
          </w:tblCellMar>
        </w:tblPrEx>
        <w:trPr>
          <w:trHeight w:val="338" w:hRule="atLeast"/>
        </w:trPr>
        <w:tc>
          <w:tcPr>
            <w:tcW w:w="242"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1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时效指标</w:t>
            </w:r>
          </w:p>
        </w:tc>
        <w:tc>
          <w:tcPr>
            <w:tcW w:w="94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按时发放率</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8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87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tblPrEx>
          <w:tblCellMar>
            <w:top w:w="0" w:type="dxa"/>
            <w:left w:w="28" w:type="dxa"/>
            <w:bottom w:w="0" w:type="dxa"/>
            <w:right w:w="28" w:type="dxa"/>
          </w:tblCellMar>
        </w:tblPrEx>
        <w:trPr>
          <w:trHeight w:val="454" w:hRule="atLeast"/>
        </w:trPr>
        <w:tc>
          <w:tcPr>
            <w:tcW w:w="242"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效益指标</w:t>
            </w:r>
          </w:p>
        </w:tc>
        <w:tc>
          <w:tcPr>
            <w:tcW w:w="61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经济效益指标</w:t>
            </w:r>
          </w:p>
        </w:tc>
        <w:tc>
          <w:tcPr>
            <w:tcW w:w="94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结余率（计算方法为：结余数/预算数）</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w:t>
            </w:r>
          </w:p>
        </w:tc>
        <w:tc>
          <w:tcPr>
            <w:tcW w:w="18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8.54</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87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tblPrEx>
          <w:tblCellMar>
            <w:top w:w="0" w:type="dxa"/>
            <w:left w:w="28" w:type="dxa"/>
            <w:bottom w:w="0" w:type="dxa"/>
            <w:right w:w="28" w:type="dxa"/>
          </w:tblCellMar>
        </w:tblPrEx>
        <w:trPr>
          <w:trHeight w:val="285" w:hRule="atLeast"/>
        </w:trPr>
        <w:tc>
          <w:tcPr>
            <w:tcW w:w="369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合计</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99.1</w:t>
            </w:r>
          </w:p>
        </w:tc>
        <w:tc>
          <w:tcPr>
            <w:tcW w:w="87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tblPrEx>
          <w:tblCellMar>
            <w:top w:w="0" w:type="dxa"/>
            <w:left w:w="28" w:type="dxa"/>
            <w:bottom w:w="0" w:type="dxa"/>
            <w:right w:w="28" w:type="dxa"/>
          </w:tblCellMar>
        </w:tblPrEx>
        <w:trPr>
          <w:trHeight w:val="604" w:hRule="atLeast"/>
        </w:trPr>
        <w:tc>
          <w:tcPr>
            <w:tcW w:w="242" w:type="pct"/>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评价结论</w:t>
            </w:r>
          </w:p>
        </w:tc>
        <w:tc>
          <w:tcPr>
            <w:tcW w:w="4757"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“工资性支出”项目自评得分99.1分，该项目按时顺利开展，保障了人员工资、保险、绩效及时足额发放。</w:t>
            </w:r>
          </w:p>
        </w:tc>
      </w:tr>
      <w:tr>
        <w:tblPrEx>
          <w:tblCellMar>
            <w:top w:w="0" w:type="dxa"/>
            <w:left w:w="28" w:type="dxa"/>
            <w:bottom w:w="0" w:type="dxa"/>
            <w:right w:w="28" w:type="dxa"/>
          </w:tblCellMar>
        </w:tblPrEx>
        <w:trPr>
          <w:trHeight w:val="574" w:hRule="atLeast"/>
        </w:trPr>
        <w:tc>
          <w:tcPr>
            <w:tcW w:w="2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存在问题</w:t>
            </w:r>
          </w:p>
        </w:tc>
        <w:tc>
          <w:tcPr>
            <w:tcW w:w="4757"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预算执行效率未达100%，预算执行存在一定偏差。</w:t>
            </w:r>
          </w:p>
        </w:tc>
      </w:tr>
      <w:tr>
        <w:tblPrEx>
          <w:tblCellMar>
            <w:top w:w="0" w:type="dxa"/>
            <w:left w:w="28" w:type="dxa"/>
            <w:bottom w:w="0" w:type="dxa"/>
            <w:right w:w="28" w:type="dxa"/>
          </w:tblCellMar>
        </w:tblPrEx>
        <w:trPr>
          <w:trHeight w:val="634" w:hRule="atLeast"/>
        </w:trPr>
        <w:tc>
          <w:tcPr>
            <w:tcW w:w="2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改进措施</w:t>
            </w:r>
          </w:p>
        </w:tc>
        <w:tc>
          <w:tcPr>
            <w:tcW w:w="4757"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加强预算资金管理，加大对预算编制与执行的监督管理力度，提高预算资金使用效率。</w:t>
            </w:r>
          </w:p>
        </w:tc>
      </w:tr>
      <w:tr>
        <w:tblPrEx>
          <w:tblCellMar>
            <w:top w:w="0" w:type="dxa"/>
            <w:left w:w="28" w:type="dxa"/>
            <w:bottom w:w="0" w:type="dxa"/>
            <w:right w:w="28" w:type="dxa"/>
          </w:tblCellMar>
        </w:tblPrEx>
        <w:trPr>
          <w:trHeight w:val="285" w:hRule="atLeast"/>
        </w:trPr>
        <w:tc>
          <w:tcPr>
            <w:tcW w:w="255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项目负责人：张慧萍</w:t>
            </w:r>
          </w:p>
        </w:tc>
        <w:tc>
          <w:tcPr>
            <w:tcW w:w="2442" w:type="pct"/>
            <w:gridSpan w:val="6"/>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财务负责人：辜炯益</w:t>
            </w:r>
          </w:p>
        </w:tc>
      </w:tr>
    </w:tbl>
    <w:p>
      <w:pPr>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br w:type="page"/>
      </w:r>
    </w:p>
    <w:p>
      <w:pPr>
        <w:pStyle w:val="5"/>
        <w:ind w:firstLine="960" w:firstLineChars="3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附表2:</w:t>
      </w:r>
    </w:p>
    <w:tbl>
      <w:tblPr>
        <w:tblStyle w:val="12"/>
        <w:tblW w:w="5000" w:type="pct"/>
        <w:tblInd w:w="0" w:type="dxa"/>
        <w:tblLayout w:type="autofit"/>
        <w:tblCellMar>
          <w:top w:w="0" w:type="dxa"/>
          <w:left w:w="28" w:type="dxa"/>
          <w:bottom w:w="0" w:type="dxa"/>
          <w:right w:w="28" w:type="dxa"/>
        </w:tblCellMar>
      </w:tblPr>
      <w:tblGrid>
        <w:gridCol w:w="456"/>
        <w:gridCol w:w="1856"/>
        <w:gridCol w:w="1209"/>
        <w:gridCol w:w="1918"/>
        <w:gridCol w:w="319"/>
        <w:gridCol w:w="1145"/>
        <w:gridCol w:w="314"/>
        <w:gridCol w:w="773"/>
        <w:gridCol w:w="406"/>
        <w:gridCol w:w="406"/>
        <w:gridCol w:w="1708"/>
      </w:tblGrid>
      <w:tr>
        <w:tblPrEx>
          <w:tblCellMar>
            <w:top w:w="0" w:type="dxa"/>
            <w:left w:w="28" w:type="dxa"/>
            <w:bottom w:w="0" w:type="dxa"/>
            <w:right w:w="28" w:type="dxa"/>
          </w:tblCellMar>
        </w:tblPrEx>
        <w:trPr>
          <w:trHeight w:val="62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黑体" w:cs="宋体"/>
                <w:b/>
                <w:bCs/>
                <w:color w:val="000000"/>
                <w:kern w:val="0"/>
                <w:sz w:val="30"/>
                <w:szCs w:val="30"/>
              </w:rPr>
            </w:pPr>
            <w:r>
              <w:rPr>
                <w:rFonts w:hint="eastAsia" w:ascii="Times New Roman" w:hAnsi="Times New Roman" w:eastAsia="黑体" w:cs="宋体"/>
                <w:b/>
                <w:bCs/>
                <w:color w:val="000000"/>
                <w:kern w:val="0"/>
                <w:sz w:val="30"/>
                <w:szCs w:val="30"/>
              </w:rPr>
              <w:t>部门预算项目支出绩效自评表（2022年度）</w:t>
            </w:r>
          </w:p>
        </w:tc>
      </w:tr>
      <w:tr>
        <w:tblPrEx>
          <w:tblCellMar>
            <w:top w:w="0" w:type="dxa"/>
            <w:left w:w="28" w:type="dxa"/>
            <w:bottom w:w="0" w:type="dxa"/>
            <w:right w:w="28" w:type="dxa"/>
          </w:tblCellMar>
        </w:tblPrEx>
        <w:trPr>
          <w:trHeight w:val="285" w:hRule="atLeast"/>
        </w:trPr>
        <w:tc>
          <w:tcPr>
            <w:tcW w:w="8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项目名称</w:t>
            </w:r>
          </w:p>
        </w:tc>
        <w:tc>
          <w:tcPr>
            <w:tcW w:w="4177" w:type="pct"/>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51000021R000000019956-离退休费支出</w:t>
            </w:r>
          </w:p>
        </w:tc>
      </w:tr>
      <w:tr>
        <w:tblPrEx>
          <w:tblCellMar>
            <w:top w:w="0" w:type="dxa"/>
            <w:left w:w="28" w:type="dxa"/>
            <w:bottom w:w="0" w:type="dxa"/>
            <w:right w:w="28" w:type="dxa"/>
          </w:tblCellMar>
        </w:tblPrEx>
        <w:trPr>
          <w:trHeight w:val="514" w:hRule="atLeast"/>
        </w:trPr>
        <w:tc>
          <w:tcPr>
            <w:tcW w:w="8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主管部门</w:t>
            </w:r>
          </w:p>
        </w:tc>
        <w:tc>
          <w:tcPr>
            <w:tcW w:w="2490"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广元市市场监督管理局部门</w:t>
            </w:r>
          </w:p>
        </w:tc>
        <w:tc>
          <w:tcPr>
            <w:tcW w:w="381"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ascii="Times New Roman" w:hAnsi="Times New Roman" w:eastAsia="宋体" w:cs="宋体"/>
                <w:color w:val="000000"/>
                <w:kern w:val="0"/>
                <w:sz w:val="20"/>
                <w:szCs w:val="20"/>
              </w:rPr>
              <w:t>实施单位 （盖章）</w:t>
            </w:r>
          </w:p>
        </w:tc>
        <w:tc>
          <w:tcPr>
            <w:tcW w:w="130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spacing w:val="-6"/>
                <w:kern w:val="0"/>
                <w:sz w:val="20"/>
                <w:szCs w:val="20"/>
              </w:rPr>
            </w:pPr>
            <w:r>
              <w:rPr>
                <w:rFonts w:hint="eastAsia" w:ascii="Times New Roman" w:hAnsi="Times New Roman" w:eastAsia="宋体" w:cs="宋体"/>
                <w:color w:val="000000"/>
                <w:spacing w:val="-6"/>
                <w:kern w:val="0"/>
                <w:sz w:val="20"/>
                <w:szCs w:val="20"/>
              </w:rPr>
              <w:t>广元市食品药品检验检测中心</w:t>
            </w:r>
          </w:p>
        </w:tc>
      </w:tr>
      <w:tr>
        <w:tblPrEx>
          <w:tblCellMar>
            <w:top w:w="0" w:type="dxa"/>
            <w:left w:w="28" w:type="dxa"/>
            <w:bottom w:w="0" w:type="dxa"/>
            <w:right w:w="28" w:type="dxa"/>
          </w:tblCellMar>
        </w:tblPrEx>
        <w:trPr>
          <w:trHeight w:val="285"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项目基本情况</w:t>
            </w: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1.项目年度目标完成情况</w:t>
            </w:r>
          </w:p>
        </w:tc>
        <w:tc>
          <w:tcPr>
            <w:tcW w:w="2490"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项目年度目标</w:t>
            </w:r>
          </w:p>
        </w:tc>
        <w:tc>
          <w:tcPr>
            <w:tcW w:w="1686" w:type="pct"/>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ascii="Times New Roman" w:hAnsi="Times New Roman" w:eastAsia="宋体" w:cs="宋体"/>
                <w:color w:val="000000"/>
                <w:kern w:val="0"/>
                <w:sz w:val="20"/>
                <w:szCs w:val="20"/>
              </w:rPr>
              <w:t>年度目标完成情况</w:t>
            </w:r>
          </w:p>
        </w:tc>
      </w:tr>
      <w:tr>
        <w:tblPrEx>
          <w:tblCellMar>
            <w:top w:w="0" w:type="dxa"/>
            <w:left w:w="28" w:type="dxa"/>
            <w:bottom w:w="0" w:type="dxa"/>
            <w:right w:w="28" w:type="dxa"/>
          </w:tblCellMar>
        </w:tblPrEx>
        <w:trPr>
          <w:trHeight w:val="709"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p>
        </w:tc>
        <w:tc>
          <w:tcPr>
            <w:tcW w:w="2490"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严格执行相关政策，保障退休人员福利，预算编制科学合理，减少结余资金。</w:t>
            </w:r>
          </w:p>
        </w:tc>
        <w:tc>
          <w:tcPr>
            <w:tcW w:w="1686" w:type="pct"/>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eastAsia="宋体" w:cs="宋体"/>
                <w:color w:val="000000"/>
                <w:kern w:val="0"/>
                <w:sz w:val="20"/>
                <w:szCs w:val="20"/>
              </w:rPr>
            </w:pPr>
            <w:r>
              <w:rPr>
                <w:rFonts w:ascii="Times New Roman" w:hAnsi="Times New Roman" w:eastAsia="宋体" w:cs="宋体"/>
                <w:color w:val="000000"/>
                <w:kern w:val="0"/>
                <w:sz w:val="20"/>
                <w:szCs w:val="20"/>
              </w:rPr>
              <w:t>2022年，我中心按时、足额发放了12名退休人员的生活补助。</w:t>
            </w:r>
          </w:p>
        </w:tc>
      </w:tr>
      <w:tr>
        <w:tblPrEx>
          <w:tblCellMar>
            <w:top w:w="0" w:type="dxa"/>
            <w:left w:w="28" w:type="dxa"/>
            <w:bottom w:w="0" w:type="dxa"/>
            <w:right w:w="28" w:type="dxa"/>
          </w:tblCellMar>
        </w:tblPrEx>
        <w:trPr>
          <w:trHeight w:val="694"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2.项目实施内容及过程概述</w:t>
            </w:r>
          </w:p>
        </w:tc>
        <w:tc>
          <w:tcPr>
            <w:tcW w:w="4177" w:type="pct"/>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“离退休费支出”项目由办公室负责组织实施，通过制定专项工作计划方案、确定工作目标、明确组织实施措施和策略，有效地指导工作的正常有序开展。</w:t>
            </w:r>
          </w:p>
        </w:tc>
      </w:tr>
      <w:tr>
        <w:tblPrEx>
          <w:tblCellMar>
            <w:top w:w="0" w:type="dxa"/>
            <w:left w:w="28" w:type="dxa"/>
            <w:bottom w:w="0" w:type="dxa"/>
            <w:right w:w="28" w:type="dxa"/>
          </w:tblCellMar>
        </w:tblPrEx>
        <w:trPr>
          <w:trHeight w:val="360"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预算执行情况（10分）</w:t>
            </w:r>
          </w:p>
        </w:tc>
        <w:tc>
          <w:tcPr>
            <w:tcW w:w="579" w:type="pct"/>
            <w:tcBorders>
              <w:top w:val="nil"/>
              <w:left w:val="nil"/>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年度预算数（万元）</w:t>
            </w:r>
          </w:p>
        </w:tc>
        <w:tc>
          <w:tcPr>
            <w:tcW w:w="61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年初预算</w:t>
            </w:r>
          </w:p>
        </w:tc>
        <w:tc>
          <w:tcPr>
            <w:tcW w:w="94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调整后预算数</w:t>
            </w:r>
          </w:p>
        </w:tc>
        <w:tc>
          <w:tcPr>
            <w:tcW w:w="936"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预算执行数</w:t>
            </w:r>
          </w:p>
        </w:tc>
        <w:tc>
          <w:tcPr>
            <w:tcW w:w="3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预算执行率</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权重</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得分</w:t>
            </w:r>
          </w:p>
        </w:tc>
        <w:tc>
          <w:tcPr>
            <w:tcW w:w="87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原因</w:t>
            </w:r>
          </w:p>
        </w:tc>
      </w:tr>
      <w:tr>
        <w:tblPrEx>
          <w:tblCellMar>
            <w:top w:w="0" w:type="dxa"/>
            <w:left w:w="28" w:type="dxa"/>
            <w:bottom w:w="0" w:type="dxa"/>
            <w:right w:w="28" w:type="dxa"/>
          </w:tblCellMar>
        </w:tblPrEx>
        <w:trPr>
          <w:trHeight w:val="387"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总额</w:t>
            </w:r>
          </w:p>
        </w:tc>
        <w:tc>
          <w:tcPr>
            <w:tcW w:w="61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16.80</w:t>
            </w:r>
          </w:p>
        </w:tc>
        <w:tc>
          <w:tcPr>
            <w:tcW w:w="94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16.80</w:t>
            </w:r>
          </w:p>
        </w:tc>
        <w:tc>
          <w:tcPr>
            <w:tcW w:w="936"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16.80</w:t>
            </w:r>
          </w:p>
        </w:tc>
        <w:tc>
          <w:tcPr>
            <w:tcW w:w="3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100.00%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10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10</w:t>
            </w:r>
          </w:p>
        </w:tc>
        <w:tc>
          <w:tcPr>
            <w:tcW w:w="874"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i/>
                <w:iCs/>
                <w:color w:val="000000"/>
                <w:kern w:val="0"/>
                <w:sz w:val="20"/>
                <w:szCs w:val="20"/>
              </w:rPr>
            </w:pPr>
            <w:r>
              <w:rPr>
                <w:rFonts w:ascii="Times New Roman" w:hAnsi="Times New Roman" w:eastAsia="宋体" w:cs="宋体"/>
                <w:i/>
                <w:iCs/>
                <w:color w:val="000000"/>
                <w:kern w:val="0"/>
                <w:sz w:val="20"/>
                <w:szCs w:val="20"/>
              </w:rPr>
              <w:t>无</w:t>
            </w:r>
          </w:p>
        </w:tc>
      </w:tr>
      <w:tr>
        <w:tblPrEx>
          <w:tblCellMar>
            <w:top w:w="0" w:type="dxa"/>
            <w:left w:w="28" w:type="dxa"/>
            <w:bottom w:w="0" w:type="dxa"/>
            <w:right w:w="28" w:type="dxa"/>
          </w:tblCellMar>
        </w:tblPrEx>
        <w:trPr>
          <w:trHeight w:val="432"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其中：财政资金</w:t>
            </w:r>
          </w:p>
        </w:tc>
        <w:tc>
          <w:tcPr>
            <w:tcW w:w="61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16.80</w:t>
            </w:r>
          </w:p>
        </w:tc>
        <w:tc>
          <w:tcPr>
            <w:tcW w:w="94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16.80</w:t>
            </w:r>
          </w:p>
        </w:tc>
        <w:tc>
          <w:tcPr>
            <w:tcW w:w="936"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16.80</w:t>
            </w:r>
          </w:p>
        </w:tc>
        <w:tc>
          <w:tcPr>
            <w:tcW w:w="3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100.00%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w:t>
            </w:r>
          </w:p>
        </w:tc>
        <w:tc>
          <w:tcPr>
            <w:tcW w:w="874"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i/>
                <w:iCs/>
                <w:color w:val="000000"/>
                <w:kern w:val="0"/>
                <w:sz w:val="20"/>
                <w:szCs w:val="20"/>
              </w:rPr>
            </w:pPr>
          </w:p>
        </w:tc>
      </w:tr>
      <w:tr>
        <w:tblPrEx>
          <w:tblCellMar>
            <w:top w:w="0" w:type="dxa"/>
            <w:left w:w="28" w:type="dxa"/>
            <w:bottom w:w="0" w:type="dxa"/>
            <w:right w:w="28" w:type="dxa"/>
          </w:tblCellMar>
        </w:tblPrEx>
        <w:trPr>
          <w:trHeight w:val="447"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财政专户管理资金</w:t>
            </w:r>
          </w:p>
        </w:tc>
        <w:tc>
          <w:tcPr>
            <w:tcW w:w="61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0.00</w:t>
            </w:r>
          </w:p>
        </w:tc>
        <w:tc>
          <w:tcPr>
            <w:tcW w:w="94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0.00</w:t>
            </w:r>
          </w:p>
        </w:tc>
        <w:tc>
          <w:tcPr>
            <w:tcW w:w="936"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0.00</w:t>
            </w:r>
          </w:p>
        </w:tc>
        <w:tc>
          <w:tcPr>
            <w:tcW w:w="3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0.00%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w:t>
            </w:r>
          </w:p>
        </w:tc>
        <w:tc>
          <w:tcPr>
            <w:tcW w:w="874"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i/>
                <w:iCs/>
                <w:color w:val="000000"/>
                <w:kern w:val="0"/>
                <w:sz w:val="20"/>
                <w:szCs w:val="20"/>
              </w:rPr>
            </w:pPr>
          </w:p>
        </w:tc>
      </w:tr>
      <w:tr>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单位资金</w:t>
            </w:r>
          </w:p>
        </w:tc>
        <w:tc>
          <w:tcPr>
            <w:tcW w:w="61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0.00</w:t>
            </w:r>
          </w:p>
        </w:tc>
        <w:tc>
          <w:tcPr>
            <w:tcW w:w="94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0.00</w:t>
            </w:r>
          </w:p>
        </w:tc>
        <w:tc>
          <w:tcPr>
            <w:tcW w:w="936"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0.00</w:t>
            </w:r>
          </w:p>
        </w:tc>
        <w:tc>
          <w:tcPr>
            <w:tcW w:w="3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0.00%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w:t>
            </w:r>
          </w:p>
        </w:tc>
        <w:tc>
          <w:tcPr>
            <w:tcW w:w="874"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i/>
                <w:iCs/>
                <w:color w:val="000000"/>
                <w:kern w:val="0"/>
                <w:sz w:val="20"/>
                <w:szCs w:val="20"/>
              </w:rPr>
            </w:pPr>
          </w:p>
        </w:tc>
      </w:tr>
      <w:tr>
        <w:tblPrEx>
          <w:tblCellMar>
            <w:top w:w="0" w:type="dxa"/>
            <w:left w:w="28" w:type="dxa"/>
            <w:bottom w:w="0" w:type="dxa"/>
            <w:right w:w="28" w:type="dxa"/>
          </w:tblCellMar>
        </w:tblPrEx>
        <w:trPr>
          <w:trHeight w:val="379"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其他资金</w:t>
            </w:r>
          </w:p>
        </w:tc>
        <w:tc>
          <w:tcPr>
            <w:tcW w:w="61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i/>
                <w:iCs/>
                <w:color w:val="000000"/>
                <w:kern w:val="0"/>
                <w:sz w:val="20"/>
                <w:szCs w:val="20"/>
              </w:rPr>
            </w:pPr>
          </w:p>
        </w:tc>
        <w:tc>
          <w:tcPr>
            <w:tcW w:w="94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i/>
                <w:iCs/>
                <w:color w:val="000000"/>
                <w:kern w:val="0"/>
                <w:sz w:val="20"/>
                <w:szCs w:val="20"/>
              </w:rPr>
            </w:pPr>
          </w:p>
        </w:tc>
        <w:tc>
          <w:tcPr>
            <w:tcW w:w="936"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i/>
                <w:iCs/>
                <w:color w:val="000000"/>
                <w:kern w:val="0"/>
                <w:sz w:val="20"/>
                <w:szCs w:val="20"/>
              </w:rPr>
            </w:pPr>
          </w:p>
        </w:tc>
        <w:tc>
          <w:tcPr>
            <w:tcW w:w="3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i/>
                <w:iCs/>
                <w:color w:val="000000"/>
                <w:kern w:val="0"/>
                <w:sz w:val="20"/>
                <w:szCs w:val="20"/>
              </w:rPr>
            </w:pP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w:t>
            </w:r>
          </w:p>
        </w:tc>
        <w:tc>
          <w:tcPr>
            <w:tcW w:w="874"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i/>
                <w:iCs/>
                <w:color w:val="000000"/>
                <w:kern w:val="0"/>
                <w:sz w:val="20"/>
                <w:szCs w:val="20"/>
              </w:rPr>
            </w:pPr>
          </w:p>
        </w:tc>
      </w:tr>
      <w:tr>
        <w:tblPrEx>
          <w:tblCellMar>
            <w:top w:w="0" w:type="dxa"/>
            <w:left w:w="28" w:type="dxa"/>
            <w:bottom w:w="0" w:type="dxa"/>
            <w:right w:w="28" w:type="dxa"/>
          </w:tblCellMar>
        </w:tblPrEx>
        <w:trPr>
          <w:trHeight w:val="454"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绩效指标（90分）</w:t>
            </w: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一级指标</w:t>
            </w:r>
          </w:p>
        </w:tc>
        <w:tc>
          <w:tcPr>
            <w:tcW w:w="61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二级指标</w:t>
            </w:r>
          </w:p>
        </w:tc>
        <w:tc>
          <w:tcPr>
            <w:tcW w:w="94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三级指标</w:t>
            </w:r>
          </w:p>
        </w:tc>
        <w:tc>
          <w:tcPr>
            <w:tcW w:w="18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指标性质</w:t>
            </w:r>
          </w:p>
        </w:tc>
        <w:tc>
          <w:tcPr>
            <w:tcW w:w="57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指标值</w:t>
            </w:r>
          </w:p>
        </w:tc>
        <w:tc>
          <w:tcPr>
            <w:tcW w:w="18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度量单位</w:t>
            </w:r>
          </w:p>
        </w:tc>
        <w:tc>
          <w:tcPr>
            <w:tcW w:w="3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完成值</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权重</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得分</w:t>
            </w:r>
          </w:p>
        </w:tc>
        <w:tc>
          <w:tcPr>
            <w:tcW w:w="87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未完成原因分析</w:t>
            </w:r>
          </w:p>
        </w:tc>
      </w:tr>
      <w:tr>
        <w:tblPrEx>
          <w:tblCellMar>
            <w:top w:w="0" w:type="dxa"/>
            <w:left w:w="28" w:type="dxa"/>
            <w:bottom w:w="0" w:type="dxa"/>
            <w:right w:w="28" w:type="dxa"/>
          </w:tblCellMar>
        </w:tblPrEx>
        <w:trPr>
          <w:trHeight w:val="338"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产出指标</w:t>
            </w:r>
          </w:p>
        </w:tc>
        <w:tc>
          <w:tcPr>
            <w:tcW w:w="610"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数量指标</w:t>
            </w:r>
          </w:p>
        </w:tc>
        <w:tc>
          <w:tcPr>
            <w:tcW w:w="94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足额保障率</w:t>
            </w:r>
          </w:p>
        </w:tc>
        <w:tc>
          <w:tcPr>
            <w:tcW w:w="18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w:t>
            </w:r>
          </w:p>
        </w:tc>
        <w:tc>
          <w:tcPr>
            <w:tcW w:w="57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100</w:t>
            </w:r>
          </w:p>
        </w:tc>
        <w:tc>
          <w:tcPr>
            <w:tcW w:w="18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w:t>
            </w:r>
          </w:p>
        </w:tc>
        <w:tc>
          <w:tcPr>
            <w:tcW w:w="3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100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22.5</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22.5</w:t>
            </w:r>
          </w:p>
        </w:tc>
        <w:tc>
          <w:tcPr>
            <w:tcW w:w="87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i/>
                <w:iCs/>
                <w:color w:val="000000"/>
                <w:kern w:val="0"/>
                <w:sz w:val="20"/>
                <w:szCs w:val="20"/>
              </w:rPr>
            </w:pPr>
          </w:p>
        </w:tc>
      </w:tr>
      <w:tr>
        <w:tblPrEx>
          <w:tblCellMar>
            <w:top w:w="0" w:type="dxa"/>
            <w:left w:w="28" w:type="dxa"/>
            <w:bottom w:w="0" w:type="dxa"/>
            <w:right w:w="28" w:type="dxa"/>
          </w:tblCellMar>
        </w:tblPrEx>
        <w:trPr>
          <w:trHeight w:val="338"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p>
        </w:tc>
        <w:tc>
          <w:tcPr>
            <w:tcW w:w="61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p>
        </w:tc>
        <w:tc>
          <w:tcPr>
            <w:tcW w:w="94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科目调整次数</w:t>
            </w:r>
          </w:p>
        </w:tc>
        <w:tc>
          <w:tcPr>
            <w:tcW w:w="18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w:t>
            </w:r>
          </w:p>
        </w:tc>
        <w:tc>
          <w:tcPr>
            <w:tcW w:w="57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10</w:t>
            </w:r>
          </w:p>
        </w:tc>
        <w:tc>
          <w:tcPr>
            <w:tcW w:w="18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次</w:t>
            </w:r>
          </w:p>
        </w:tc>
        <w:tc>
          <w:tcPr>
            <w:tcW w:w="3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22.5</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22.5</w:t>
            </w:r>
          </w:p>
        </w:tc>
        <w:tc>
          <w:tcPr>
            <w:tcW w:w="87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i/>
                <w:iCs/>
                <w:color w:val="000000"/>
                <w:kern w:val="0"/>
                <w:sz w:val="20"/>
                <w:szCs w:val="20"/>
              </w:rPr>
            </w:pPr>
          </w:p>
        </w:tc>
      </w:tr>
      <w:tr>
        <w:tblPrEx>
          <w:tblCellMar>
            <w:top w:w="0" w:type="dxa"/>
            <w:left w:w="28" w:type="dxa"/>
            <w:bottom w:w="0" w:type="dxa"/>
            <w:right w:w="28" w:type="dxa"/>
          </w:tblCellMar>
        </w:tblPrEx>
        <w:trPr>
          <w:trHeight w:val="338"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p>
        </w:tc>
        <w:tc>
          <w:tcPr>
            <w:tcW w:w="61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时效指标</w:t>
            </w:r>
          </w:p>
        </w:tc>
        <w:tc>
          <w:tcPr>
            <w:tcW w:w="94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按时发放率</w:t>
            </w:r>
          </w:p>
        </w:tc>
        <w:tc>
          <w:tcPr>
            <w:tcW w:w="18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w:t>
            </w:r>
          </w:p>
        </w:tc>
        <w:tc>
          <w:tcPr>
            <w:tcW w:w="57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100</w:t>
            </w:r>
          </w:p>
        </w:tc>
        <w:tc>
          <w:tcPr>
            <w:tcW w:w="18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w:t>
            </w:r>
          </w:p>
        </w:tc>
        <w:tc>
          <w:tcPr>
            <w:tcW w:w="3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100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22.5</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22.5</w:t>
            </w:r>
          </w:p>
        </w:tc>
        <w:tc>
          <w:tcPr>
            <w:tcW w:w="87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i/>
                <w:iCs/>
                <w:color w:val="000000"/>
                <w:kern w:val="0"/>
                <w:sz w:val="20"/>
                <w:szCs w:val="20"/>
              </w:rPr>
            </w:pPr>
          </w:p>
        </w:tc>
      </w:tr>
      <w:tr>
        <w:tblPrEx>
          <w:tblCellMar>
            <w:top w:w="0" w:type="dxa"/>
            <w:left w:w="28" w:type="dxa"/>
            <w:bottom w:w="0" w:type="dxa"/>
            <w:right w:w="28" w:type="dxa"/>
          </w:tblCellMar>
        </w:tblPrEx>
        <w:trPr>
          <w:trHeight w:val="454"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效益指标</w:t>
            </w:r>
          </w:p>
        </w:tc>
        <w:tc>
          <w:tcPr>
            <w:tcW w:w="61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经济效益指标</w:t>
            </w:r>
          </w:p>
        </w:tc>
        <w:tc>
          <w:tcPr>
            <w:tcW w:w="94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结余率（计算方法为：结余数/预算数）</w:t>
            </w:r>
          </w:p>
        </w:tc>
        <w:tc>
          <w:tcPr>
            <w:tcW w:w="18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w:t>
            </w:r>
          </w:p>
        </w:tc>
        <w:tc>
          <w:tcPr>
            <w:tcW w:w="57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5</w:t>
            </w:r>
          </w:p>
        </w:tc>
        <w:tc>
          <w:tcPr>
            <w:tcW w:w="18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w:t>
            </w:r>
          </w:p>
        </w:tc>
        <w:tc>
          <w:tcPr>
            <w:tcW w:w="3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22.5</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22.5</w:t>
            </w:r>
          </w:p>
        </w:tc>
        <w:tc>
          <w:tcPr>
            <w:tcW w:w="87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i/>
                <w:iCs/>
                <w:color w:val="000000"/>
                <w:kern w:val="0"/>
                <w:sz w:val="20"/>
                <w:szCs w:val="20"/>
              </w:rPr>
            </w:pPr>
          </w:p>
        </w:tc>
      </w:tr>
      <w:tr>
        <w:tblPrEx>
          <w:tblCellMar>
            <w:top w:w="0" w:type="dxa"/>
            <w:left w:w="28" w:type="dxa"/>
            <w:bottom w:w="0" w:type="dxa"/>
            <w:right w:w="28" w:type="dxa"/>
          </w:tblCellMar>
        </w:tblPrEx>
        <w:trPr>
          <w:trHeight w:val="285" w:hRule="atLeast"/>
        </w:trPr>
        <w:tc>
          <w:tcPr>
            <w:tcW w:w="369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合计</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100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100</w:t>
            </w:r>
          </w:p>
        </w:tc>
        <w:tc>
          <w:tcPr>
            <w:tcW w:w="87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p>
        </w:tc>
      </w:tr>
      <w:tr>
        <w:tblPrEx>
          <w:tblCellMar>
            <w:top w:w="0" w:type="dxa"/>
            <w:left w:w="28" w:type="dxa"/>
            <w:bottom w:w="0" w:type="dxa"/>
            <w:right w:w="28" w:type="dxa"/>
          </w:tblCellMar>
        </w:tblPrEx>
        <w:trPr>
          <w:trHeight w:val="604" w:hRule="atLeast"/>
        </w:trPr>
        <w:tc>
          <w:tcPr>
            <w:tcW w:w="24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评价结论</w:t>
            </w:r>
          </w:p>
        </w:tc>
        <w:tc>
          <w:tcPr>
            <w:tcW w:w="4756"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eastAsia="宋体" w:cs="宋体"/>
                <w:i/>
                <w:iCs/>
                <w:color w:val="000000"/>
                <w:kern w:val="0"/>
                <w:sz w:val="20"/>
                <w:szCs w:val="20"/>
              </w:rPr>
            </w:pPr>
            <w:r>
              <w:rPr>
                <w:rFonts w:hint="eastAsia" w:ascii="Times New Roman" w:hAnsi="Times New Roman" w:eastAsia="宋体" w:cs="宋体"/>
                <w:color w:val="000000"/>
                <w:kern w:val="0"/>
                <w:sz w:val="20"/>
                <w:szCs w:val="20"/>
              </w:rPr>
              <w:t>“离退休费支出”项目按时顺利开展，保障了</w:t>
            </w:r>
            <w:r>
              <w:rPr>
                <w:rFonts w:hint="eastAsia" w:ascii="Times New Roman" w:hAnsi="Times New Roman" w:eastAsia="宋体" w:cs="宋体"/>
                <w:color w:val="000000"/>
                <w:kern w:val="0"/>
                <w:sz w:val="20"/>
                <w:szCs w:val="20"/>
                <w:lang w:val="en-US" w:eastAsia="zh-CN"/>
              </w:rPr>
              <w:t>12</w:t>
            </w:r>
            <w:r>
              <w:rPr>
                <w:rFonts w:hint="eastAsia" w:ascii="Times New Roman" w:hAnsi="Times New Roman" w:eastAsia="宋体" w:cs="宋体"/>
                <w:color w:val="000000"/>
                <w:kern w:val="0"/>
                <w:sz w:val="20"/>
                <w:szCs w:val="20"/>
              </w:rPr>
              <w:t>名退休人员的生活补助按时足额发放，自评得分100分。</w:t>
            </w:r>
          </w:p>
        </w:tc>
      </w:tr>
      <w:tr>
        <w:tblPrEx>
          <w:tblCellMar>
            <w:top w:w="0" w:type="dxa"/>
            <w:left w:w="28" w:type="dxa"/>
            <w:bottom w:w="0" w:type="dxa"/>
            <w:right w:w="28" w:type="dxa"/>
          </w:tblCellMar>
        </w:tblPrEx>
        <w:trPr>
          <w:trHeight w:val="574" w:hRule="atLeast"/>
        </w:trPr>
        <w:tc>
          <w:tcPr>
            <w:tcW w:w="24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存在问题</w:t>
            </w:r>
          </w:p>
        </w:tc>
        <w:tc>
          <w:tcPr>
            <w:tcW w:w="4756"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eastAsia="宋体" w:cs="宋体"/>
                <w:i/>
                <w:iCs/>
                <w:color w:val="000000"/>
                <w:kern w:val="0"/>
                <w:sz w:val="20"/>
                <w:szCs w:val="20"/>
              </w:rPr>
            </w:pPr>
            <w:r>
              <w:rPr>
                <w:rFonts w:hint="eastAsia" w:ascii="Times New Roman" w:hAnsi="Times New Roman" w:eastAsia="宋体" w:cs="宋体"/>
                <w:i/>
                <w:iCs/>
                <w:color w:val="000000"/>
                <w:kern w:val="0"/>
                <w:sz w:val="20"/>
                <w:szCs w:val="20"/>
              </w:rPr>
              <w:t>无。</w:t>
            </w:r>
          </w:p>
        </w:tc>
      </w:tr>
      <w:tr>
        <w:tblPrEx>
          <w:tblCellMar>
            <w:top w:w="0" w:type="dxa"/>
            <w:left w:w="28" w:type="dxa"/>
            <w:bottom w:w="0" w:type="dxa"/>
            <w:right w:w="28" w:type="dxa"/>
          </w:tblCellMar>
        </w:tblPrEx>
        <w:trPr>
          <w:trHeight w:val="634" w:hRule="atLeast"/>
        </w:trPr>
        <w:tc>
          <w:tcPr>
            <w:tcW w:w="24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改进措施</w:t>
            </w:r>
          </w:p>
        </w:tc>
        <w:tc>
          <w:tcPr>
            <w:tcW w:w="4756"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eastAsia="宋体" w:cs="宋体"/>
                <w:i/>
                <w:iCs/>
                <w:color w:val="000000"/>
                <w:kern w:val="0"/>
                <w:sz w:val="20"/>
                <w:szCs w:val="20"/>
              </w:rPr>
            </w:pPr>
            <w:r>
              <w:rPr>
                <w:rFonts w:hint="eastAsia" w:ascii="Times New Roman" w:hAnsi="Times New Roman" w:eastAsia="宋体" w:cs="宋体"/>
                <w:i/>
                <w:iCs/>
                <w:color w:val="000000"/>
                <w:kern w:val="0"/>
                <w:sz w:val="20"/>
                <w:szCs w:val="20"/>
              </w:rPr>
              <w:t>无。</w:t>
            </w:r>
          </w:p>
        </w:tc>
      </w:tr>
      <w:tr>
        <w:tblPrEx>
          <w:tblCellMar>
            <w:top w:w="0" w:type="dxa"/>
            <w:left w:w="28" w:type="dxa"/>
            <w:bottom w:w="0" w:type="dxa"/>
            <w:right w:w="28" w:type="dxa"/>
          </w:tblCellMar>
        </w:tblPrEx>
        <w:trPr>
          <w:trHeight w:val="285" w:hRule="atLeast"/>
        </w:trPr>
        <w:tc>
          <w:tcPr>
            <w:tcW w:w="255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ascii="Times New Roman" w:hAnsi="Times New Roman" w:eastAsia="宋体" w:cs="宋体"/>
                <w:color w:val="000000"/>
                <w:kern w:val="0"/>
                <w:sz w:val="20"/>
                <w:szCs w:val="20"/>
              </w:rPr>
              <w:t>项目负责人：张慧萍</w:t>
            </w:r>
          </w:p>
        </w:tc>
        <w:tc>
          <w:tcPr>
            <w:tcW w:w="2442" w:type="pct"/>
            <w:gridSpan w:val="6"/>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ascii="Times New Roman" w:hAnsi="Times New Roman" w:eastAsia="宋体" w:cs="宋体"/>
                <w:color w:val="000000"/>
                <w:kern w:val="0"/>
                <w:sz w:val="20"/>
                <w:szCs w:val="20"/>
              </w:rPr>
              <w:t>财务负责人：辜炯益</w:t>
            </w:r>
          </w:p>
        </w:tc>
      </w:tr>
    </w:tbl>
    <w:p>
      <w:pPr>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br w:type="page"/>
      </w:r>
    </w:p>
    <w:p>
      <w:pPr>
        <w:pStyle w:val="5"/>
        <w:ind w:firstLine="960" w:firstLineChars="3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附表3:</w:t>
      </w:r>
    </w:p>
    <w:tbl>
      <w:tblPr>
        <w:tblStyle w:val="12"/>
        <w:tblW w:w="5000" w:type="pct"/>
        <w:jc w:val="center"/>
        <w:tblLayout w:type="autofit"/>
        <w:tblCellMar>
          <w:top w:w="0" w:type="dxa"/>
          <w:left w:w="28" w:type="dxa"/>
          <w:bottom w:w="0" w:type="dxa"/>
          <w:right w:w="28" w:type="dxa"/>
        </w:tblCellMar>
      </w:tblPr>
      <w:tblGrid>
        <w:gridCol w:w="456"/>
        <w:gridCol w:w="1856"/>
        <w:gridCol w:w="1208"/>
        <w:gridCol w:w="1895"/>
        <w:gridCol w:w="323"/>
        <w:gridCol w:w="1137"/>
        <w:gridCol w:w="326"/>
        <w:gridCol w:w="773"/>
        <w:gridCol w:w="406"/>
        <w:gridCol w:w="406"/>
        <w:gridCol w:w="1724"/>
      </w:tblGrid>
      <w:tr>
        <w:tblPrEx>
          <w:tblCellMar>
            <w:top w:w="0" w:type="dxa"/>
            <w:left w:w="28" w:type="dxa"/>
            <w:bottom w:w="0" w:type="dxa"/>
            <w:right w:w="28" w:type="dxa"/>
          </w:tblCellMar>
        </w:tblPrEx>
        <w:trPr>
          <w:trHeight w:val="624"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黑体" w:cs="宋体"/>
                <w:b/>
                <w:bCs/>
                <w:color w:val="000000"/>
                <w:kern w:val="0"/>
                <w:sz w:val="30"/>
                <w:szCs w:val="30"/>
              </w:rPr>
            </w:pPr>
            <w:r>
              <w:rPr>
                <w:rFonts w:hint="eastAsia" w:ascii="Times New Roman" w:hAnsi="Times New Roman" w:eastAsia="黑体" w:cs="宋体"/>
                <w:b/>
                <w:bCs/>
                <w:color w:val="000000"/>
                <w:kern w:val="0"/>
                <w:sz w:val="30"/>
                <w:szCs w:val="30"/>
              </w:rPr>
              <w:t>部门预算项目支出绩效自评表（2022年度）</w:t>
            </w:r>
          </w:p>
        </w:tc>
      </w:tr>
      <w:tr>
        <w:tblPrEx>
          <w:tblCellMar>
            <w:top w:w="0" w:type="dxa"/>
            <w:left w:w="28" w:type="dxa"/>
            <w:bottom w:w="0" w:type="dxa"/>
            <w:right w:w="28" w:type="dxa"/>
          </w:tblCellMar>
        </w:tblPrEx>
        <w:trPr>
          <w:trHeight w:val="285" w:hRule="atLeast"/>
          <w:jc w:val="center"/>
        </w:trPr>
        <w:tc>
          <w:tcPr>
            <w:tcW w:w="8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项目名称</w:t>
            </w:r>
          </w:p>
        </w:tc>
        <w:tc>
          <w:tcPr>
            <w:tcW w:w="4116" w:type="pct"/>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51000021R000000019958-其他支出</w:t>
            </w:r>
          </w:p>
        </w:tc>
      </w:tr>
      <w:tr>
        <w:tblPrEx>
          <w:tblCellMar>
            <w:top w:w="0" w:type="dxa"/>
            <w:left w:w="28" w:type="dxa"/>
            <w:bottom w:w="0" w:type="dxa"/>
            <w:right w:w="28" w:type="dxa"/>
          </w:tblCellMar>
        </w:tblPrEx>
        <w:trPr>
          <w:trHeight w:val="514" w:hRule="atLeast"/>
          <w:jc w:val="center"/>
        </w:trPr>
        <w:tc>
          <w:tcPr>
            <w:tcW w:w="8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主管部门</w:t>
            </w:r>
          </w:p>
        </w:tc>
        <w:tc>
          <w:tcPr>
            <w:tcW w:w="2448"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广元市市场监督管理局部门</w:t>
            </w:r>
          </w:p>
        </w:tc>
        <w:tc>
          <w:tcPr>
            <w:tcW w:w="379"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实施单位 （盖章）</w:t>
            </w:r>
          </w:p>
        </w:tc>
        <w:tc>
          <w:tcPr>
            <w:tcW w:w="128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spacing w:val="-6"/>
                <w:kern w:val="0"/>
                <w:sz w:val="20"/>
                <w:szCs w:val="20"/>
              </w:rPr>
              <w:t>广元市食品药品检验检测中心</w:t>
            </w:r>
          </w:p>
        </w:tc>
      </w:tr>
      <w:tr>
        <w:tblPrEx>
          <w:tblCellMar>
            <w:top w:w="0" w:type="dxa"/>
            <w:left w:w="28" w:type="dxa"/>
            <w:bottom w:w="0" w:type="dxa"/>
            <w:right w:w="28" w:type="dxa"/>
          </w:tblCellMar>
        </w:tblPrEx>
        <w:trPr>
          <w:trHeight w:val="285" w:hRule="atLeast"/>
          <w:jc w:val="center"/>
        </w:trPr>
        <w:tc>
          <w:tcPr>
            <w:tcW w:w="240"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项目基本情况</w:t>
            </w:r>
          </w:p>
        </w:tc>
        <w:tc>
          <w:tcPr>
            <w:tcW w:w="642"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1.项目年度目标完成情况</w:t>
            </w:r>
          </w:p>
        </w:tc>
        <w:tc>
          <w:tcPr>
            <w:tcW w:w="2448"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项目年度目标</w:t>
            </w:r>
          </w:p>
        </w:tc>
        <w:tc>
          <w:tcPr>
            <w:tcW w:w="1667" w:type="pct"/>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年度目标完成情况</w:t>
            </w:r>
          </w:p>
        </w:tc>
      </w:tr>
      <w:tr>
        <w:tblPrEx>
          <w:tblCellMar>
            <w:top w:w="0" w:type="dxa"/>
            <w:left w:w="28" w:type="dxa"/>
            <w:bottom w:w="0" w:type="dxa"/>
            <w:right w:w="28" w:type="dxa"/>
          </w:tblCellMar>
        </w:tblPrEx>
        <w:trPr>
          <w:trHeight w:val="709" w:hRule="atLeast"/>
          <w:jc w:val="center"/>
        </w:trPr>
        <w:tc>
          <w:tcPr>
            <w:tcW w:w="24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2"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2448"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行</w:t>
            </w:r>
            <w:r>
              <w:rPr>
                <w:rFonts w:hint="eastAsia" w:ascii="Times New Roman" w:hAnsi="Times New Roman" w:cs="宋体"/>
                <w:color w:val="auto"/>
                <w:kern w:val="0"/>
                <w:sz w:val="20"/>
                <w:szCs w:val="20"/>
              </w:rPr>
              <w:t>相关政策，保障遗属人员的生活补助及时足额发放。</w:t>
            </w:r>
          </w:p>
        </w:tc>
        <w:tc>
          <w:tcPr>
            <w:tcW w:w="1667" w:type="pct"/>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2022年，我中心保障了3名遗属人员的生活补助及时足额发放。</w:t>
            </w:r>
          </w:p>
        </w:tc>
      </w:tr>
      <w:tr>
        <w:tblPrEx>
          <w:tblCellMar>
            <w:top w:w="0" w:type="dxa"/>
            <w:left w:w="28" w:type="dxa"/>
            <w:bottom w:w="0" w:type="dxa"/>
            <w:right w:w="28" w:type="dxa"/>
          </w:tblCellMar>
        </w:tblPrEx>
        <w:trPr>
          <w:trHeight w:val="694" w:hRule="atLeast"/>
          <w:jc w:val="center"/>
        </w:trPr>
        <w:tc>
          <w:tcPr>
            <w:tcW w:w="24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2.项目实施内容及过程概述</w:t>
            </w:r>
          </w:p>
        </w:tc>
        <w:tc>
          <w:tcPr>
            <w:tcW w:w="4116" w:type="pct"/>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“其他支出”项目由办公室负责组织实施，通过制定专项工作计划方案、确定工作目标、明确组织实施措施和策略，有效地指导工作的正常有序开展。</w:t>
            </w:r>
          </w:p>
        </w:tc>
      </w:tr>
      <w:tr>
        <w:tblPrEx>
          <w:tblCellMar>
            <w:top w:w="0" w:type="dxa"/>
            <w:left w:w="28" w:type="dxa"/>
            <w:bottom w:w="0" w:type="dxa"/>
            <w:right w:w="28" w:type="dxa"/>
          </w:tblCellMar>
        </w:tblPrEx>
        <w:trPr>
          <w:trHeight w:val="360" w:hRule="atLeast"/>
          <w:jc w:val="center"/>
        </w:trPr>
        <w:tc>
          <w:tcPr>
            <w:tcW w:w="240"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预算执行情况（10分）</w:t>
            </w:r>
          </w:p>
        </w:tc>
        <w:tc>
          <w:tcPr>
            <w:tcW w:w="642" w:type="pct"/>
            <w:tcBorders>
              <w:top w:val="nil"/>
              <w:left w:val="nil"/>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年度预算数（万元）</w:t>
            </w:r>
          </w:p>
        </w:tc>
        <w:tc>
          <w:tcPr>
            <w:tcW w:w="60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年初预算</w:t>
            </w:r>
          </w:p>
        </w:tc>
        <w:tc>
          <w:tcPr>
            <w:tcW w:w="926"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调整后预算数</w:t>
            </w:r>
          </w:p>
        </w:tc>
        <w:tc>
          <w:tcPr>
            <w:tcW w:w="922"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预算执行数</w:t>
            </w:r>
          </w:p>
        </w:tc>
        <w:tc>
          <w:tcPr>
            <w:tcW w:w="3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预算执行率</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5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原因</w:t>
            </w:r>
          </w:p>
        </w:tc>
      </w:tr>
      <w:tr>
        <w:tblPrEx>
          <w:tblCellMar>
            <w:top w:w="0" w:type="dxa"/>
            <w:left w:w="28" w:type="dxa"/>
            <w:bottom w:w="0" w:type="dxa"/>
            <w:right w:w="28" w:type="dxa"/>
          </w:tblCellMar>
        </w:tblPrEx>
        <w:trPr>
          <w:trHeight w:val="387" w:hRule="atLeast"/>
          <w:jc w:val="center"/>
        </w:trPr>
        <w:tc>
          <w:tcPr>
            <w:tcW w:w="24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总额</w:t>
            </w:r>
          </w:p>
        </w:tc>
        <w:tc>
          <w:tcPr>
            <w:tcW w:w="60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2.69</w:t>
            </w:r>
          </w:p>
        </w:tc>
        <w:tc>
          <w:tcPr>
            <w:tcW w:w="926"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2.69</w:t>
            </w:r>
          </w:p>
        </w:tc>
        <w:tc>
          <w:tcPr>
            <w:tcW w:w="922"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2.69</w:t>
            </w:r>
          </w:p>
        </w:tc>
        <w:tc>
          <w:tcPr>
            <w:tcW w:w="3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100.00%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57"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r>
              <w:rPr>
                <w:rFonts w:ascii="Times New Roman" w:hAnsi="Times New Roman" w:cs="宋体"/>
                <w:i/>
                <w:iCs/>
                <w:color w:val="000000"/>
                <w:kern w:val="0"/>
                <w:sz w:val="20"/>
                <w:szCs w:val="20"/>
              </w:rPr>
              <w:t>无</w:t>
            </w:r>
          </w:p>
        </w:tc>
      </w:tr>
      <w:tr>
        <w:tblPrEx>
          <w:tblCellMar>
            <w:top w:w="0" w:type="dxa"/>
            <w:left w:w="28" w:type="dxa"/>
            <w:bottom w:w="0" w:type="dxa"/>
            <w:right w:w="28" w:type="dxa"/>
          </w:tblCellMar>
        </w:tblPrEx>
        <w:trPr>
          <w:trHeight w:val="432" w:hRule="atLeast"/>
          <w:jc w:val="center"/>
        </w:trPr>
        <w:tc>
          <w:tcPr>
            <w:tcW w:w="24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其中：财政资金</w:t>
            </w:r>
          </w:p>
        </w:tc>
        <w:tc>
          <w:tcPr>
            <w:tcW w:w="60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2.69</w:t>
            </w:r>
          </w:p>
        </w:tc>
        <w:tc>
          <w:tcPr>
            <w:tcW w:w="926"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2.69</w:t>
            </w:r>
          </w:p>
        </w:tc>
        <w:tc>
          <w:tcPr>
            <w:tcW w:w="922"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2.69</w:t>
            </w:r>
          </w:p>
        </w:tc>
        <w:tc>
          <w:tcPr>
            <w:tcW w:w="3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100.00%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57"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tblPrEx>
          <w:tblCellMar>
            <w:top w:w="0" w:type="dxa"/>
            <w:left w:w="28" w:type="dxa"/>
            <w:bottom w:w="0" w:type="dxa"/>
            <w:right w:w="28" w:type="dxa"/>
          </w:tblCellMar>
        </w:tblPrEx>
        <w:trPr>
          <w:trHeight w:val="447" w:hRule="atLeast"/>
          <w:jc w:val="center"/>
        </w:trPr>
        <w:tc>
          <w:tcPr>
            <w:tcW w:w="24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财政专户管理资金</w:t>
            </w:r>
          </w:p>
        </w:tc>
        <w:tc>
          <w:tcPr>
            <w:tcW w:w="60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26"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22"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57"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tblPrEx>
          <w:tblCellMar>
            <w:top w:w="0" w:type="dxa"/>
            <w:left w:w="28" w:type="dxa"/>
            <w:bottom w:w="0" w:type="dxa"/>
            <w:right w:w="28" w:type="dxa"/>
          </w:tblCellMar>
        </w:tblPrEx>
        <w:trPr>
          <w:trHeight w:val="402" w:hRule="atLeast"/>
          <w:jc w:val="center"/>
        </w:trPr>
        <w:tc>
          <w:tcPr>
            <w:tcW w:w="24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单位资金</w:t>
            </w:r>
          </w:p>
        </w:tc>
        <w:tc>
          <w:tcPr>
            <w:tcW w:w="60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26"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22"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57"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tblPrEx>
          <w:tblCellMar>
            <w:top w:w="0" w:type="dxa"/>
            <w:left w:w="28" w:type="dxa"/>
            <w:bottom w:w="0" w:type="dxa"/>
            <w:right w:w="28" w:type="dxa"/>
          </w:tblCellMar>
        </w:tblPrEx>
        <w:trPr>
          <w:trHeight w:val="379" w:hRule="atLeast"/>
          <w:jc w:val="center"/>
        </w:trPr>
        <w:tc>
          <w:tcPr>
            <w:tcW w:w="24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其他资金</w:t>
            </w:r>
          </w:p>
        </w:tc>
        <w:tc>
          <w:tcPr>
            <w:tcW w:w="60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26"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22"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3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57"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tblPrEx>
          <w:tblCellMar>
            <w:top w:w="0" w:type="dxa"/>
            <w:left w:w="28" w:type="dxa"/>
            <w:bottom w:w="0" w:type="dxa"/>
            <w:right w:w="28" w:type="dxa"/>
          </w:tblCellMar>
        </w:tblPrEx>
        <w:trPr>
          <w:trHeight w:val="454" w:hRule="atLeast"/>
          <w:jc w:val="center"/>
        </w:trPr>
        <w:tc>
          <w:tcPr>
            <w:tcW w:w="240"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绩效指标（90分）</w:t>
            </w:r>
          </w:p>
        </w:tc>
        <w:tc>
          <w:tcPr>
            <w:tcW w:w="64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一级指标</w:t>
            </w:r>
          </w:p>
        </w:tc>
        <w:tc>
          <w:tcPr>
            <w:tcW w:w="60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二级指标</w:t>
            </w:r>
          </w:p>
        </w:tc>
        <w:tc>
          <w:tcPr>
            <w:tcW w:w="926"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三级指标</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指标性质</w:t>
            </w:r>
          </w:p>
        </w:tc>
        <w:tc>
          <w:tcPr>
            <w:tcW w:w="56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指标值</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度量单位</w:t>
            </w:r>
          </w:p>
        </w:tc>
        <w:tc>
          <w:tcPr>
            <w:tcW w:w="3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完成值</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5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未完成原因分析</w:t>
            </w:r>
          </w:p>
        </w:tc>
      </w:tr>
      <w:tr>
        <w:tblPrEx>
          <w:tblCellMar>
            <w:top w:w="0" w:type="dxa"/>
            <w:left w:w="28" w:type="dxa"/>
            <w:bottom w:w="0" w:type="dxa"/>
            <w:right w:w="28" w:type="dxa"/>
          </w:tblCellMar>
        </w:tblPrEx>
        <w:trPr>
          <w:trHeight w:val="338" w:hRule="atLeast"/>
          <w:jc w:val="center"/>
        </w:trPr>
        <w:tc>
          <w:tcPr>
            <w:tcW w:w="24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2"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产出指标</w:t>
            </w:r>
          </w:p>
        </w:tc>
        <w:tc>
          <w:tcPr>
            <w:tcW w:w="600"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数量指标</w:t>
            </w:r>
          </w:p>
        </w:tc>
        <w:tc>
          <w:tcPr>
            <w:tcW w:w="926"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足额保障率</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6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85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tblPrEx>
          <w:tblCellMar>
            <w:top w:w="0" w:type="dxa"/>
            <w:left w:w="28" w:type="dxa"/>
            <w:bottom w:w="0" w:type="dxa"/>
            <w:right w:w="28" w:type="dxa"/>
          </w:tblCellMar>
        </w:tblPrEx>
        <w:trPr>
          <w:trHeight w:val="338" w:hRule="atLeast"/>
          <w:jc w:val="center"/>
        </w:trPr>
        <w:tc>
          <w:tcPr>
            <w:tcW w:w="24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2"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926"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科目调整次数</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6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次</w:t>
            </w:r>
          </w:p>
        </w:tc>
        <w:tc>
          <w:tcPr>
            <w:tcW w:w="3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85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tblPrEx>
          <w:tblCellMar>
            <w:top w:w="0" w:type="dxa"/>
            <w:left w:w="28" w:type="dxa"/>
            <w:bottom w:w="0" w:type="dxa"/>
            <w:right w:w="28" w:type="dxa"/>
          </w:tblCellMar>
        </w:tblPrEx>
        <w:trPr>
          <w:trHeight w:val="338" w:hRule="atLeast"/>
          <w:jc w:val="center"/>
        </w:trPr>
        <w:tc>
          <w:tcPr>
            <w:tcW w:w="24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2"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时效指标</w:t>
            </w:r>
          </w:p>
        </w:tc>
        <w:tc>
          <w:tcPr>
            <w:tcW w:w="926"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按时发放率</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6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85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tblPrEx>
          <w:tblCellMar>
            <w:top w:w="0" w:type="dxa"/>
            <w:left w:w="28" w:type="dxa"/>
            <w:bottom w:w="0" w:type="dxa"/>
            <w:right w:w="28" w:type="dxa"/>
          </w:tblCellMar>
        </w:tblPrEx>
        <w:trPr>
          <w:trHeight w:val="454" w:hRule="atLeast"/>
          <w:jc w:val="center"/>
        </w:trPr>
        <w:tc>
          <w:tcPr>
            <w:tcW w:w="24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效益指标</w:t>
            </w:r>
          </w:p>
        </w:tc>
        <w:tc>
          <w:tcPr>
            <w:tcW w:w="60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经济效益指标</w:t>
            </w:r>
          </w:p>
        </w:tc>
        <w:tc>
          <w:tcPr>
            <w:tcW w:w="926"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结余率（计算方法为：结余数/预算数）</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6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85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tblPrEx>
          <w:tblCellMar>
            <w:top w:w="0" w:type="dxa"/>
            <w:left w:w="28" w:type="dxa"/>
            <w:bottom w:w="0" w:type="dxa"/>
            <w:right w:w="28" w:type="dxa"/>
          </w:tblCellMar>
        </w:tblPrEx>
        <w:trPr>
          <w:trHeight w:val="285" w:hRule="atLeast"/>
          <w:jc w:val="center"/>
        </w:trPr>
        <w:tc>
          <w:tcPr>
            <w:tcW w:w="3711"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合计</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85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tblPrEx>
          <w:tblCellMar>
            <w:top w:w="0" w:type="dxa"/>
            <w:left w:w="28" w:type="dxa"/>
            <w:bottom w:w="0" w:type="dxa"/>
            <w:right w:w="28" w:type="dxa"/>
          </w:tblCellMar>
        </w:tblPrEx>
        <w:trPr>
          <w:trHeight w:val="604" w:hRule="atLeast"/>
          <w:jc w:val="center"/>
        </w:trPr>
        <w:tc>
          <w:tcPr>
            <w:tcW w:w="240"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评价结论</w:t>
            </w:r>
          </w:p>
        </w:tc>
        <w:tc>
          <w:tcPr>
            <w:tcW w:w="4759"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“其他支出”项目按时顺利开展，保障了3名遗属人员的生活补助及时足额发放，自评得分100分。</w:t>
            </w:r>
          </w:p>
        </w:tc>
      </w:tr>
      <w:tr>
        <w:tblPrEx>
          <w:tblCellMar>
            <w:top w:w="0" w:type="dxa"/>
            <w:left w:w="28" w:type="dxa"/>
            <w:bottom w:w="0" w:type="dxa"/>
            <w:right w:w="28" w:type="dxa"/>
          </w:tblCellMar>
        </w:tblPrEx>
        <w:trPr>
          <w:trHeight w:val="574" w:hRule="atLeast"/>
          <w:jc w:val="center"/>
        </w:trPr>
        <w:tc>
          <w:tcPr>
            <w:tcW w:w="240"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存在问题</w:t>
            </w:r>
          </w:p>
        </w:tc>
        <w:tc>
          <w:tcPr>
            <w:tcW w:w="4759"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无。</w:t>
            </w:r>
          </w:p>
        </w:tc>
      </w:tr>
      <w:tr>
        <w:tblPrEx>
          <w:tblCellMar>
            <w:top w:w="0" w:type="dxa"/>
            <w:left w:w="28" w:type="dxa"/>
            <w:bottom w:w="0" w:type="dxa"/>
            <w:right w:w="28" w:type="dxa"/>
          </w:tblCellMar>
        </w:tblPrEx>
        <w:trPr>
          <w:trHeight w:val="634" w:hRule="atLeast"/>
          <w:jc w:val="center"/>
        </w:trPr>
        <w:tc>
          <w:tcPr>
            <w:tcW w:w="240"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改进措施</w:t>
            </w:r>
          </w:p>
        </w:tc>
        <w:tc>
          <w:tcPr>
            <w:tcW w:w="4759"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无。</w:t>
            </w:r>
          </w:p>
        </w:tc>
      </w:tr>
      <w:tr>
        <w:tblPrEx>
          <w:tblCellMar>
            <w:top w:w="0" w:type="dxa"/>
            <w:left w:w="28" w:type="dxa"/>
            <w:bottom w:w="0" w:type="dxa"/>
            <w:right w:w="28" w:type="dxa"/>
          </w:tblCellMar>
        </w:tblPrEx>
        <w:trPr>
          <w:trHeight w:val="379" w:hRule="atLeast"/>
          <w:jc w:val="center"/>
        </w:trPr>
        <w:tc>
          <w:tcPr>
            <w:tcW w:w="258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项目负责人：张慧萍</w:t>
            </w:r>
          </w:p>
        </w:tc>
        <w:tc>
          <w:tcPr>
            <w:tcW w:w="2412" w:type="pct"/>
            <w:gridSpan w:val="6"/>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财务负责人：辜炯益</w:t>
            </w:r>
          </w:p>
        </w:tc>
      </w:tr>
    </w:tbl>
    <w:p>
      <w:pPr>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br w:type="page"/>
      </w:r>
    </w:p>
    <w:p>
      <w:pPr>
        <w:pStyle w:val="5"/>
        <w:ind w:firstLine="960" w:firstLineChars="3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附表4:</w:t>
      </w:r>
    </w:p>
    <w:tbl>
      <w:tblPr>
        <w:tblStyle w:val="12"/>
        <w:tblW w:w="5000" w:type="pct"/>
        <w:tblInd w:w="0" w:type="dxa"/>
        <w:tblLayout w:type="autofit"/>
        <w:tblCellMar>
          <w:top w:w="0" w:type="dxa"/>
          <w:left w:w="28" w:type="dxa"/>
          <w:bottom w:w="0" w:type="dxa"/>
          <w:right w:w="28" w:type="dxa"/>
        </w:tblCellMar>
      </w:tblPr>
      <w:tblGrid>
        <w:gridCol w:w="456"/>
        <w:gridCol w:w="1856"/>
        <w:gridCol w:w="1229"/>
        <w:gridCol w:w="1931"/>
        <w:gridCol w:w="329"/>
        <w:gridCol w:w="1160"/>
        <w:gridCol w:w="325"/>
        <w:gridCol w:w="774"/>
        <w:gridCol w:w="357"/>
        <w:gridCol w:w="304"/>
        <w:gridCol w:w="1789"/>
      </w:tblGrid>
      <w:tr>
        <w:tblPrEx>
          <w:tblCellMar>
            <w:top w:w="0" w:type="dxa"/>
            <w:left w:w="28" w:type="dxa"/>
            <w:bottom w:w="0" w:type="dxa"/>
            <w:right w:w="28" w:type="dxa"/>
          </w:tblCellMar>
        </w:tblPrEx>
        <w:trPr>
          <w:trHeight w:val="62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黑体" w:cs="宋体"/>
                <w:b/>
                <w:bCs/>
                <w:color w:val="000000"/>
                <w:kern w:val="0"/>
                <w:sz w:val="20"/>
                <w:szCs w:val="20"/>
              </w:rPr>
            </w:pPr>
            <w:r>
              <w:rPr>
                <w:rFonts w:hint="eastAsia" w:ascii="Times New Roman" w:hAnsi="Times New Roman" w:eastAsia="黑体" w:cs="宋体"/>
                <w:b/>
                <w:bCs/>
                <w:color w:val="000000"/>
                <w:kern w:val="0"/>
                <w:sz w:val="30"/>
                <w:szCs w:val="30"/>
              </w:rPr>
              <w:t>部门预算项目支出绩效自评表（2022年度）</w:t>
            </w:r>
          </w:p>
        </w:tc>
      </w:tr>
      <w:tr>
        <w:tblPrEx>
          <w:tblCellMar>
            <w:top w:w="0" w:type="dxa"/>
            <w:left w:w="28" w:type="dxa"/>
            <w:bottom w:w="0" w:type="dxa"/>
            <w:right w:w="28" w:type="dxa"/>
          </w:tblCellMar>
        </w:tblPrEx>
        <w:trPr>
          <w:trHeight w:val="285" w:hRule="atLeast"/>
        </w:trPr>
        <w:tc>
          <w:tcPr>
            <w:tcW w:w="8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项目名称</w:t>
            </w:r>
          </w:p>
        </w:tc>
        <w:tc>
          <w:tcPr>
            <w:tcW w:w="4116" w:type="pct"/>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51080021T000000072237-市场监管项目</w:t>
            </w:r>
          </w:p>
        </w:tc>
      </w:tr>
      <w:tr>
        <w:tblPrEx>
          <w:tblCellMar>
            <w:top w:w="0" w:type="dxa"/>
            <w:left w:w="28" w:type="dxa"/>
            <w:bottom w:w="0" w:type="dxa"/>
            <w:right w:w="28" w:type="dxa"/>
          </w:tblCellMar>
        </w:tblPrEx>
        <w:trPr>
          <w:trHeight w:val="514" w:hRule="atLeast"/>
        </w:trPr>
        <w:tc>
          <w:tcPr>
            <w:tcW w:w="8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主管部门</w:t>
            </w:r>
          </w:p>
        </w:tc>
        <w:tc>
          <w:tcPr>
            <w:tcW w:w="2488"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广元市市场监督管理局部门</w:t>
            </w:r>
          </w:p>
        </w:tc>
        <w:tc>
          <w:tcPr>
            <w:tcW w:w="380"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实施单位 （盖章）</w:t>
            </w:r>
          </w:p>
        </w:tc>
        <w:tc>
          <w:tcPr>
            <w:tcW w:w="124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广元市食品药品检验检测中心</w:t>
            </w:r>
          </w:p>
        </w:tc>
      </w:tr>
      <w:tr>
        <w:tblPrEx>
          <w:tblCellMar>
            <w:top w:w="0" w:type="dxa"/>
            <w:left w:w="28" w:type="dxa"/>
            <w:bottom w:w="0" w:type="dxa"/>
            <w:right w:w="28" w:type="dxa"/>
          </w:tblCellMar>
        </w:tblPrEx>
        <w:trPr>
          <w:trHeight w:val="285" w:hRule="atLeast"/>
        </w:trPr>
        <w:tc>
          <w:tcPr>
            <w:tcW w:w="241"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项目基本情况</w:t>
            </w:r>
          </w:p>
        </w:tc>
        <w:tc>
          <w:tcPr>
            <w:tcW w:w="641"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1.项目年度目标完成情况</w:t>
            </w:r>
          </w:p>
        </w:tc>
        <w:tc>
          <w:tcPr>
            <w:tcW w:w="2488"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项目年度目标</w:t>
            </w:r>
          </w:p>
        </w:tc>
        <w:tc>
          <w:tcPr>
            <w:tcW w:w="1627" w:type="pct"/>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年度目标完成情况</w:t>
            </w:r>
          </w:p>
        </w:tc>
      </w:tr>
      <w:tr>
        <w:tblPrEx>
          <w:tblCellMar>
            <w:top w:w="0" w:type="dxa"/>
            <w:left w:w="28" w:type="dxa"/>
            <w:bottom w:w="0" w:type="dxa"/>
            <w:right w:w="28" w:type="dxa"/>
          </w:tblCellMar>
        </w:tblPrEx>
        <w:trPr>
          <w:trHeight w:val="709" w:hRule="atLeast"/>
        </w:trPr>
        <w:tc>
          <w:tcPr>
            <w:tcW w:w="241"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1"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2488"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2022年度接受食品生产企业、食品经营企业及社会第三方食品委托检测，委托检测检验费用收入20万元。</w:t>
            </w:r>
          </w:p>
        </w:tc>
        <w:tc>
          <w:tcPr>
            <w:tcW w:w="1627" w:type="pct"/>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2022年，中心接受食品生产企业、食品经营企业及社会第三方食品委托检测，委托检测检验费用收入20万元。</w:t>
            </w:r>
          </w:p>
        </w:tc>
      </w:tr>
      <w:tr>
        <w:tblPrEx>
          <w:tblCellMar>
            <w:top w:w="0" w:type="dxa"/>
            <w:left w:w="28" w:type="dxa"/>
            <w:bottom w:w="0" w:type="dxa"/>
            <w:right w:w="28" w:type="dxa"/>
          </w:tblCellMar>
        </w:tblPrEx>
        <w:trPr>
          <w:trHeight w:val="694" w:hRule="atLeast"/>
        </w:trPr>
        <w:tc>
          <w:tcPr>
            <w:tcW w:w="241"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2.项目实施内容及过程概述</w:t>
            </w:r>
          </w:p>
        </w:tc>
        <w:tc>
          <w:tcPr>
            <w:tcW w:w="4116" w:type="pct"/>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中心实施市场监管项目，通过开展食品委托检验和指导企业检验工作，能够为行政执法部门提供了检测技术支持，提高企业对自身产品质量把关能力，从而提高企业自身检测能力和产品质量。项目由中心食品业务分管领导负责项目实施，食品检验由食品检验科室实施，食品业务科负责食品抽样、样品登记和出具报告。</w:t>
            </w:r>
          </w:p>
        </w:tc>
      </w:tr>
      <w:tr>
        <w:tblPrEx>
          <w:tblCellMar>
            <w:top w:w="0" w:type="dxa"/>
            <w:left w:w="28" w:type="dxa"/>
            <w:bottom w:w="0" w:type="dxa"/>
            <w:right w:w="28" w:type="dxa"/>
          </w:tblCellMar>
        </w:tblPrEx>
        <w:trPr>
          <w:trHeight w:val="379" w:hRule="atLeast"/>
        </w:trPr>
        <w:tc>
          <w:tcPr>
            <w:tcW w:w="241"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预算执行情况（10分）</w:t>
            </w:r>
          </w:p>
        </w:tc>
        <w:tc>
          <w:tcPr>
            <w:tcW w:w="641" w:type="pct"/>
            <w:tcBorders>
              <w:top w:val="nil"/>
              <w:left w:val="nil"/>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年度预算数（万元）</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年初预算</w:t>
            </w:r>
          </w:p>
        </w:tc>
        <w:tc>
          <w:tcPr>
            <w:tcW w:w="94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调整后预算数</w:t>
            </w:r>
          </w:p>
        </w:tc>
        <w:tc>
          <w:tcPr>
            <w:tcW w:w="935"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预算执行数</w:t>
            </w:r>
          </w:p>
        </w:tc>
        <w:tc>
          <w:tcPr>
            <w:tcW w:w="38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预算执行率</w:t>
            </w:r>
          </w:p>
        </w:tc>
        <w:tc>
          <w:tcPr>
            <w:tcW w:w="18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19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7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原因</w:t>
            </w:r>
          </w:p>
        </w:tc>
      </w:tr>
      <w:tr>
        <w:tblPrEx>
          <w:tblCellMar>
            <w:top w:w="0" w:type="dxa"/>
            <w:left w:w="28" w:type="dxa"/>
            <w:bottom w:w="0" w:type="dxa"/>
            <w:right w:w="28" w:type="dxa"/>
          </w:tblCellMar>
        </w:tblPrEx>
        <w:trPr>
          <w:trHeight w:val="282" w:hRule="atLeast"/>
        </w:trPr>
        <w:tc>
          <w:tcPr>
            <w:tcW w:w="241"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总额</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20.00</w:t>
            </w:r>
          </w:p>
        </w:tc>
        <w:tc>
          <w:tcPr>
            <w:tcW w:w="94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20.00</w:t>
            </w:r>
          </w:p>
        </w:tc>
        <w:tc>
          <w:tcPr>
            <w:tcW w:w="935"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20.00</w:t>
            </w:r>
          </w:p>
        </w:tc>
        <w:tc>
          <w:tcPr>
            <w:tcW w:w="38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100.00%</w:t>
            </w:r>
          </w:p>
        </w:tc>
        <w:tc>
          <w:tcPr>
            <w:tcW w:w="18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74"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r>
              <w:rPr>
                <w:rFonts w:ascii="Times New Roman" w:hAnsi="Times New Roman" w:cs="宋体"/>
                <w:i/>
                <w:iCs/>
                <w:color w:val="000000"/>
                <w:kern w:val="0"/>
                <w:sz w:val="20"/>
                <w:szCs w:val="20"/>
              </w:rPr>
              <w:t>无</w:t>
            </w:r>
          </w:p>
        </w:tc>
      </w:tr>
      <w:tr>
        <w:tblPrEx>
          <w:tblCellMar>
            <w:top w:w="0" w:type="dxa"/>
            <w:left w:w="28" w:type="dxa"/>
            <w:bottom w:w="0" w:type="dxa"/>
            <w:right w:w="28" w:type="dxa"/>
          </w:tblCellMar>
        </w:tblPrEx>
        <w:trPr>
          <w:trHeight w:val="282" w:hRule="atLeast"/>
        </w:trPr>
        <w:tc>
          <w:tcPr>
            <w:tcW w:w="241"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其中：财政资金</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20.00</w:t>
            </w:r>
          </w:p>
        </w:tc>
        <w:tc>
          <w:tcPr>
            <w:tcW w:w="94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20.00</w:t>
            </w:r>
          </w:p>
        </w:tc>
        <w:tc>
          <w:tcPr>
            <w:tcW w:w="935"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20.00</w:t>
            </w:r>
          </w:p>
        </w:tc>
        <w:tc>
          <w:tcPr>
            <w:tcW w:w="38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100.00%</w:t>
            </w:r>
          </w:p>
        </w:tc>
        <w:tc>
          <w:tcPr>
            <w:tcW w:w="18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4"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tblPrEx>
          <w:tblCellMar>
            <w:top w:w="0" w:type="dxa"/>
            <w:left w:w="28" w:type="dxa"/>
            <w:bottom w:w="0" w:type="dxa"/>
            <w:right w:w="28" w:type="dxa"/>
          </w:tblCellMar>
        </w:tblPrEx>
        <w:trPr>
          <w:trHeight w:val="282" w:hRule="atLeast"/>
        </w:trPr>
        <w:tc>
          <w:tcPr>
            <w:tcW w:w="241"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财政专户管理资金</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35"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8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18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4"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tblPrEx>
          <w:tblCellMar>
            <w:top w:w="0" w:type="dxa"/>
            <w:left w:w="28" w:type="dxa"/>
            <w:bottom w:w="0" w:type="dxa"/>
            <w:right w:w="28" w:type="dxa"/>
          </w:tblCellMar>
        </w:tblPrEx>
        <w:trPr>
          <w:trHeight w:val="282" w:hRule="atLeast"/>
        </w:trPr>
        <w:tc>
          <w:tcPr>
            <w:tcW w:w="241"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单位资金</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35"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8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18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4"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tblPrEx>
          <w:tblCellMar>
            <w:top w:w="0" w:type="dxa"/>
            <w:left w:w="28" w:type="dxa"/>
            <w:bottom w:w="0" w:type="dxa"/>
            <w:right w:w="28" w:type="dxa"/>
          </w:tblCellMar>
        </w:tblPrEx>
        <w:trPr>
          <w:trHeight w:val="542" w:hRule="atLeast"/>
        </w:trPr>
        <w:tc>
          <w:tcPr>
            <w:tcW w:w="241"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其他资金</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4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35"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38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18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4"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tblPrEx>
          <w:tblCellMar>
            <w:top w:w="0" w:type="dxa"/>
            <w:left w:w="28" w:type="dxa"/>
            <w:bottom w:w="0" w:type="dxa"/>
            <w:right w:w="28" w:type="dxa"/>
          </w:tblCellMar>
        </w:tblPrEx>
        <w:trPr>
          <w:trHeight w:val="454" w:hRule="atLeast"/>
        </w:trPr>
        <w:tc>
          <w:tcPr>
            <w:tcW w:w="241"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绩效指标（90分）</w:t>
            </w:r>
          </w:p>
        </w:tc>
        <w:tc>
          <w:tcPr>
            <w:tcW w:w="64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一级指标</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二级指标</w:t>
            </w:r>
          </w:p>
        </w:tc>
        <w:tc>
          <w:tcPr>
            <w:tcW w:w="94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三级指标</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指标性质</w:t>
            </w:r>
          </w:p>
        </w:tc>
        <w:tc>
          <w:tcPr>
            <w:tcW w:w="576"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指标值</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度量单位</w:t>
            </w:r>
          </w:p>
        </w:tc>
        <w:tc>
          <w:tcPr>
            <w:tcW w:w="38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完成值</w:t>
            </w:r>
          </w:p>
        </w:tc>
        <w:tc>
          <w:tcPr>
            <w:tcW w:w="18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19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7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未完成原因分析</w:t>
            </w:r>
          </w:p>
        </w:tc>
      </w:tr>
      <w:tr>
        <w:tblPrEx>
          <w:tblCellMar>
            <w:top w:w="0" w:type="dxa"/>
            <w:left w:w="28" w:type="dxa"/>
            <w:bottom w:w="0" w:type="dxa"/>
            <w:right w:w="28" w:type="dxa"/>
          </w:tblCellMar>
        </w:tblPrEx>
        <w:trPr>
          <w:trHeight w:val="282" w:hRule="atLeast"/>
        </w:trPr>
        <w:tc>
          <w:tcPr>
            <w:tcW w:w="241"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1"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产出指标</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数量指标</w:t>
            </w:r>
          </w:p>
        </w:tc>
        <w:tc>
          <w:tcPr>
            <w:tcW w:w="94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食品委托检验批次</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6"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200</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批次</w:t>
            </w:r>
          </w:p>
        </w:tc>
        <w:tc>
          <w:tcPr>
            <w:tcW w:w="38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252</w:t>
            </w:r>
          </w:p>
        </w:tc>
        <w:tc>
          <w:tcPr>
            <w:tcW w:w="180"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7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tblPrEx>
          <w:tblCellMar>
            <w:top w:w="0" w:type="dxa"/>
            <w:left w:w="28" w:type="dxa"/>
            <w:bottom w:w="0" w:type="dxa"/>
            <w:right w:w="28" w:type="dxa"/>
          </w:tblCellMar>
        </w:tblPrEx>
        <w:trPr>
          <w:trHeight w:val="282" w:hRule="atLeast"/>
        </w:trPr>
        <w:tc>
          <w:tcPr>
            <w:tcW w:w="241"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1"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质量指标</w:t>
            </w:r>
          </w:p>
        </w:tc>
        <w:tc>
          <w:tcPr>
            <w:tcW w:w="94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食品委托检验任务完成率</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6"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80"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126</w:t>
            </w:r>
          </w:p>
        </w:tc>
        <w:tc>
          <w:tcPr>
            <w:tcW w:w="180"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2"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7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tblPrEx>
          <w:tblCellMar>
            <w:top w:w="0" w:type="dxa"/>
            <w:left w:w="28" w:type="dxa"/>
            <w:bottom w:w="0" w:type="dxa"/>
            <w:right w:w="28" w:type="dxa"/>
          </w:tblCellMar>
        </w:tblPrEx>
        <w:trPr>
          <w:trHeight w:val="282" w:hRule="atLeast"/>
        </w:trPr>
        <w:tc>
          <w:tcPr>
            <w:tcW w:w="241"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1"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时效指标</w:t>
            </w:r>
          </w:p>
        </w:tc>
        <w:tc>
          <w:tcPr>
            <w:tcW w:w="94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任务完成时间</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6"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2022</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w:t>
            </w:r>
          </w:p>
        </w:tc>
        <w:tc>
          <w:tcPr>
            <w:tcW w:w="380"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按时完成</w:t>
            </w:r>
          </w:p>
        </w:tc>
        <w:tc>
          <w:tcPr>
            <w:tcW w:w="51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41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7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tblPrEx>
          <w:tblCellMar>
            <w:top w:w="0" w:type="dxa"/>
            <w:left w:w="28" w:type="dxa"/>
            <w:bottom w:w="0" w:type="dxa"/>
            <w:right w:w="28" w:type="dxa"/>
          </w:tblCellMar>
        </w:tblPrEx>
        <w:trPr>
          <w:trHeight w:val="282" w:hRule="atLeast"/>
        </w:trPr>
        <w:tc>
          <w:tcPr>
            <w:tcW w:w="241"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1"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9"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成本指标</w:t>
            </w:r>
          </w:p>
        </w:tc>
        <w:tc>
          <w:tcPr>
            <w:tcW w:w="94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差旅费</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6"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50000</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元</w:t>
            </w:r>
          </w:p>
        </w:tc>
        <w:tc>
          <w:tcPr>
            <w:tcW w:w="380"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按标准执行</w:t>
            </w:r>
          </w:p>
        </w:tc>
        <w:tc>
          <w:tcPr>
            <w:tcW w:w="51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20"/>
                <w:szCs w:val="20"/>
              </w:rPr>
            </w:pPr>
            <w:r>
              <w:rPr>
                <w:rFonts w:hint="eastAsia" w:ascii="Times New Roman" w:hAnsi="Times New Roman" w:cs="宋体"/>
                <w:color w:val="auto"/>
                <w:kern w:val="0"/>
                <w:sz w:val="20"/>
                <w:szCs w:val="20"/>
              </w:rPr>
              <w:t>10</w:t>
            </w:r>
          </w:p>
        </w:tc>
        <w:tc>
          <w:tcPr>
            <w:tcW w:w="41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20"/>
                <w:szCs w:val="20"/>
              </w:rPr>
            </w:pPr>
            <w:r>
              <w:rPr>
                <w:rFonts w:hint="eastAsia" w:ascii="Times New Roman" w:hAnsi="Times New Roman" w:cs="宋体"/>
                <w:color w:val="auto"/>
                <w:kern w:val="0"/>
                <w:sz w:val="20"/>
                <w:szCs w:val="20"/>
              </w:rPr>
              <w:t>10</w:t>
            </w:r>
          </w:p>
        </w:tc>
        <w:tc>
          <w:tcPr>
            <w:tcW w:w="87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tblPrEx>
          <w:tblCellMar>
            <w:top w:w="0" w:type="dxa"/>
            <w:left w:w="28" w:type="dxa"/>
            <w:bottom w:w="0" w:type="dxa"/>
            <w:right w:w="28" w:type="dxa"/>
          </w:tblCellMar>
        </w:tblPrEx>
        <w:trPr>
          <w:trHeight w:val="282" w:hRule="atLeast"/>
        </w:trPr>
        <w:tc>
          <w:tcPr>
            <w:tcW w:w="241"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1"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94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劳务费和其他费用</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6"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60000</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元</w:t>
            </w:r>
          </w:p>
        </w:tc>
        <w:tc>
          <w:tcPr>
            <w:tcW w:w="380"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按标准执行</w:t>
            </w:r>
          </w:p>
        </w:tc>
        <w:tc>
          <w:tcPr>
            <w:tcW w:w="51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20"/>
                <w:szCs w:val="20"/>
              </w:rPr>
            </w:pPr>
            <w:r>
              <w:rPr>
                <w:rFonts w:hint="eastAsia" w:ascii="Times New Roman" w:hAnsi="Times New Roman" w:cs="宋体"/>
                <w:color w:val="auto"/>
                <w:kern w:val="0"/>
                <w:sz w:val="20"/>
                <w:szCs w:val="20"/>
              </w:rPr>
              <w:t>10</w:t>
            </w:r>
          </w:p>
        </w:tc>
        <w:tc>
          <w:tcPr>
            <w:tcW w:w="41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20"/>
                <w:szCs w:val="20"/>
              </w:rPr>
            </w:pPr>
            <w:r>
              <w:rPr>
                <w:rFonts w:hint="eastAsia" w:ascii="Times New Roman" w:hAnsi="Times New Roman" w:cs="宋体"/>
                <w:color w:val="auto"/>
                <w:kern w:val="0"/>
                <w:sz w:val="20"/>
                <w:szCs w:val="20"/>
              </w:rPr>
              <w:t>8</w:t>
            </w:r>
          </w:p>
        </w:tc>
        <w:tc>
          <w:tcPr>
            <w:tcW w:w="87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tblPrEx>
          <w:tblCellMar>
            <w:top w:w="0" w:type="dxa"/>
            <w:left w:w="28" w:type="dxa"/>
            <w:bottom w:w="0" w:type="dxa"/>
            <w:right w:w="28" w:type="dxa"/>
          </w:tblCellMar>
        </w:tblPrEx>
        <w:trPr>
          <w:trHeight w:val="282" w:hRule="atLeast"/>
        </w:trPr>
        <w:tc>
          <w:tcPr>
            <w:tcW w:w="241"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1"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94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车辆运行维护费</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6"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25000</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元</w:t>
            </w:r>
          </w:p>
        </w:tc>
        <w:tc>
          <w:tcPr>
            <w:tcW w:w="380"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按标准执行</w:t>
            </w:r>
          </w:p>
        </w:tc>
        <w:tc>
          <w:tcPr>
            <w:tcW w:w="51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20"/>
                <w:szCs w:val="20"/>
              </w:rPr>
            </w:pPr>
            <w:r>
              <w:rPr>
                <w:rFonts w:hint="eastAsia" w:ascii="Times New Roman" w:hAnsi="Times New Roman" w:cs="宋体"/>
                <w:color w:val="auto"/>
                <w:kern w:val="0"/>
                <w:sz w:val="20"/>
                <w:szCs w:val="20"/>
              </w:rPr>
              <w:t>3</w:t>
            </w:r>
          </w:p>
        </w:tc>
        <w:tc>
          <w:tcPr>
            <w:tcW w:w="41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20"/>
                <w:szCs w:val="20"/>
              </w:rPr>
            </w:pPr>
            <w:r>
              <w:rPr>
                <w:rFonts w:hint="eastAsia" w:ascii="Times New Roman" w:hAnsi="Times New Roman" w:cs="宋体"/>
                <w:color w:val="auto"/>
                <w:kern w:val="0"/>
                <w:sz w:val="20"/>
                <w:szCs w:val="20"/>
              </w:rPr>
              <w:t>3</w:t>
            </w:r>
          </w:p>
        </w:tc>
        <w:tc>
          <w:tcPr>
            <w:tcW w:w="87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tblPrEx>
          <w:tblCellMar>
            <w:top w:w="0" w:type="dxa"/>
            <w:left w:w="28" w:type="dxa"/>
            <w:bottom w:w="0" w:type="dxa"/>
            <w:right w:w="28" w:type="dxa"/>
          </w:tblCellMar>
        </w:tblPrEx>
        <w:trPr>
          <w:trHeight w:val="282" w:hRule="atLeast"/>
        </w:trPr>
        <w:tc>
          <w:tcPr>
            <w:tcW w:w="241"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1"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94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样品购置费</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6"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15000</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元</w:t>
            </w:r>
          </w:p>
        </w:tc>
        <w:tc>
          <w:tcPr>
            <w:tcW w:w="380"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按标准执行</w:t>
            </w:r>
          </w:p>
        </w:tc>
        <w:tc>
          <w:tcPr>
            <w:tcW w:w="51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20"/>
                <w:szCs w:val="20"/>
              </w:rPr>
            </w:pPr>
            <w:r>
              <w:rPr>
                <w:rFonts w:hint="eastAsia" w:ascii="Times New Roman" w:hAnsi="Times New Roman" w:cs="宋体"/>
                <w:color w:val="auto"/>
                <w:kern w:val="0"/>
                <w:sz w:val="20"/>
                <w:szCs w:val="20"/>
              </w:rPr>
              <w:t>2</w:t>
            </w:r>
          </w:p>
        </w:tc>
        <w:tc>
          <w:tcPr>
            <w:tcW w:w="41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20"/>
                <w:szCs w:val="20"/>
              </w:rPr>
            </w:pPr>
            <w:r>
              <w:rPr>
                <w:rFonts w:hint="eastAsia" w:ascii="Times New Roman" w:hAnsi="Times New Roman" w:cs="宋体"/>
                <w:color w:val="auto"/>
                <w:kern w:val="0"/>
                <w:sz w:val="20"/>
                <w:szCs w:val="20"/>
              </w:rPr>
              <w:t>2</w:t>
            </w:r>
          </w:p>
        </w:tc>
        <w:tc>
          <w:tcPr>
            <w:tcW w:w="87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tblPrEx>
          <w:tblCellMar>
            <w:top w:w="0" w:type="dxa"/>
            <w:left w:w="28" w:type="dxa"/>
            <w:bottom w:w="0" w:type="dxa"/>
            <w:right w:w="28" w:type="dxa"/>
          </w:tblCellMar>
        </w:tblPrEx>
        <w:trPr>
          <w:trHeight w:val="282" w:hRule="atLeast"/>
        </w:trPr>
        <w:tc>
          <w:tcPr>
            <w:tcW w:w="241"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1"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94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标准物资及实验耗材</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6"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50000</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元</w:t>
            </w:r>
          </w:p>
        </w:tc>
        <w:tc>
          <w:tcPr>
            <w:tcW w:w="380"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按标准执行</w:t>
            </w:r>
          </w:p>
        </w:tc>
        <w:tc>
          <w:tcPr>
            <w:tcW w:w="180"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w:t>
            </w:r>
          </w:p>
        </w:tc>
        <w:tc>
          <w:tcPr>
            <w:tcW w:w="192" w:type="pct"/>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8</w:t>
            </w:r>
          </w:p>
        </w:tc>
        <w:tc>
          <w:tcPr>
            <w:tcW w:w="87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tblPrEx>
          <w:tblCellMar>
            <w:top w:w="0" w:type="dxa"/>
            <w:left w:w="28" w:type="dxa"/>
            <w:bottom w:w="0" w:type="dxa"/>
            <w:right w:w="28" w:type="dxa"/>
          </w:tblCellMar>
        </w:tblPrEx>
        <w:trPr>
          <w:trHeight w:val="282" w:hRule="atLeast"/>
        </w:trPr>
        <w:tc>
          <w:tcPr>
            <w:tcW w:w="241"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1"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效益指标</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社会效益指标</w:t>
            </w:r>
          </w:p>
        </w:tc>
        <w:tc>
          <w:tcPr>
            <w:tcW w:w="94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满足社会第三方食品检测需求</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定性</w:t>
            </w:r>
          </w:p>
        </w:tc>
        <w:tc>
          <w:tcPr>
            <w:tcW w:w="576"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优良差</w:t>
            </w:r>
          </w:p>
        </w:tc>
        <w:tc>
          <w:tcPr>
            <w:tcW w:w="17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级</w:t>
            </w:r>
          </w:p>
        </w:tc>
        <w:tc>
          <w:tcPr>
            <w:tcW w:w="380"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优</w:t>
            </w:r>
          </w:p>
        </w:tc>
        <w:tc>
          <w:tcPr>
            <w:tcW w:w="180"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7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tblPrEx>
          <w:tblCellMar>
            <w:top w:w="0" w:type="dxa"/>
            <w:left w:w="28" w:type="dxa"/>
            <w:bottom w:w="0" w:type="dxa"/>
            <w:right w:w="28" w:type="dxa"/>
          </w:tblCellMar>
        </w:tblPrEx>
        <w:trPr>
          <w:trHeight w:val="820" w:hRule="atLeast"/>
        </w:trPr>
        <w:tc>
          <w:tcPr>
            <w:tcW w:w="241"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1"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可持续影响指标</w:t>
            </w:r>
          </w:p>
        </w:tc>
        <w:tc>
          <w:tcPr>
            <w:tcW w:w="94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提高企业产品质量</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定性</w:t>
            </w:r>
          </w:p>
        </w:tc>
        <w:tc>
          <w:tcPr>
            <w:tcW w:w="576"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优良差</w:t>
            </w:r>
          </w:p>
        </w:tc>
        <w:tc>
          <w:tcPr>
            <w:tcW w:w="179"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级</w:t>
            </w:r>
          </w:p>
        </w:tc>
        <w:tc>
          <w:tcPr>
            <w:tcW w:w="380"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良</w:t>
            </w:r>
          </w:p>
        </w:tc>
        <w:tc>
          <w:tcPr>
            <w:tcW w:w="180"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2"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8</w:t>
            </w:r>
          </w:p>
        </w:tc>
        <w:tc>
          <w:tcPr>
            <w:tcW w:w="87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tblPrEx>
          <w:tblCellMar>
            <w:top w:w="0" w:type="dxa"/>
            <w:left w:w="28" w:type="dxa"/>
            <w:bottom w:w="0" w:type="dxa"/>
            <w:right w:w="28" w:type="dxa"/>
          </w:tblCellMar>
        </w:tblPrEx>
        <w:trPr>
          <w:trHeight w:val="282" w:hRule="atLeast"/>
        </w:trPr>
        <w:tc>
          <w:tcPr>
            <w:tcW w:w="241"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满意度指标</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服务对象满意度指标</w:t>
            </w:r>
          </w:p>
        </w:tc>
        <w:tc>
          <w:tcPr>
            <w:tcW w:w="94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社会第三方食品委托检验满意度</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6"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95</w:t>
            </w:r>
          </w:p>
        </w:tc>
        <w:tc>
          <w:tcPr>
            <w:tcW w:w="179"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80"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80"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2"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7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tblPrEx>
          <w:tblCellMar>
            <w:top w:w="0" w:type="dxa"/>
            <w:left w:w="28" w:type="dxa"/>
            <w:bottom w:w="0" w:type="dxa"/>
            <w:right w:w="28" w:type="dxa"/>
          </w:tblCellMar>
        </w:tblPrEx>
        <w:trPr>
          <w:trHeight w:val="259" w:hRule="atLeast"/>
        </w:trPr>
        <w:tc>
          <w:tcPr>
            <w:tcW w:w="375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合计</w:t>
            </w:r>
          </w:p>
        </w:tc>
        <w:tc>
          <w:tcPr>
            <w:tcW w:w="18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92"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96</w:t>
            </w:r>
          </w:p>
        </w:tc>
        <w:tc>
          <w:tcPr>
            <w:tcW w:w="87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tblPrEx>
          <w:tblCellMar>
            <w:top w:w="0" w:type="dxa"/>
            <w:left w:w="28" w:type="dxa"/>
            <w:bottom w:w="0" w:type="dxa"/>
            <w:right w:w="28" w:type="dxa"/>
          </w:tblCellMar>
        </w:tblPrEx>
        <w:trPr>
          <w:trHeight w:val="522" w:hRule="atLeast"/>
        </w:trPr>
        <w:tc>
          <w:tcPr>
            <w:tcW w:w="24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评价结论</w:t>
            </w:r>
          </w:p>
        </w:tc>
        <w:tc>
          <w:tcPr>
            <w:tcW w:w="4758"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自评得分96分，扣分主要是成本指标劳务费和其他费用超过指标值，项目总体运行良好。中心通过开展食品委托检验和指导企业检验工作，为行政执法部门提供了检测技术支持，提高了企业对自身产品质量把关能力，对食品企业产品质量提升起到了技术保障作用，对于我市食品饮料产业发展起到了积极的推动作用，为食品安全提供了技术支撑。</w:t>
            </w:r>
          </w:p>
        </w:tc>
      </w:tr>
      <w:tr>
        <w:tblPrEx>
          <w:tblCellMar>
            <w:top w:w="0" w:type="dxa"/>
            <w:left w:w="28" w:type="dxa"/>
            <w:bottom w:w="0" w:type="dxa"/>
            <w:right w:w="28" w:type="dxa"/>
          </w:tblCellMar>
        </w:tblPrEx>
        <w:trPr>
          <w:trHeight w:val="522" w:hRule="atLeast"/>
        </w:trPr>
        <w:tc>
          <w:tcPr>
            <w:tcW w:w="24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存在问题</w:t>
            </w:r>
          </w:p>
        </w:tc>
        <w:tc>
          <w:tcPr>
            <w:tcW w:w="4758"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劳务费超出成本目标，主要是检验任务较目标任务增加了26%，超额完成了目标任务。该项目主要是承担食品生产企业和行政执法部门委托送检，中心按照职能职责，积极服务食品饮料产业发展，符合市委、市政府产业发展政策要求。</w:t>
            </w:r>
          </w:p>
        </w:tc>
      </w:tr>
      <w:tr>
        <w:tblPrEx>
          <w:tblCellMar>
            <w:top w:w="0" w:type="dxa"/>
            <w:left w:w="28" w:type="dxa"/>
            <w:bottom w:w="0" w:type="dxa"/>
            <w:right w:w="28" w:type="dxa"/>
          </w:tblCellMar>
        </w:tblPrEx>
        <w:trPr>
          <w:trHeight w:val="522" w:hRule="atLeast"/>
        </w:trPr>
        <w:tc>
          <w:tcPr>
            <w:tcW w:w="24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改进措施</w:t>
            </w:r>
          </w:p>
        </w:tc>
        <w:tc>
          <w:tcPr>
            <w:tcW w:w="4758"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下一步改进措施，仔细测算各项指标，严格控制各项支出，提前考虑可能由于工作变化导致对各项指标的影响，合理调整相应的指标，确保绩效指标按照目标完成。</w:t>
            </w:r>
          </w:p>
        </w:tc>
      </w:tr>
      <w:tr>
        <w:tblPrEx>
          <w:tblCellMar>
            <w:top w:w="0" w:type="dxa"/>
            <w:left w:w="28" w:type="dxa"/>
            <w:bottom w:w="0" w:type="dxa"/>
            <w:right w:w="28" w:type="dxa"/>
          </w:tblCellMar>
        </w:tblPrEx>
        <w:trPr>
          <w:trHeight w:val="285" w:hRule="atLeast"/>
        </w:trPr>
        <w:tc>
          <w:tcPr>
            <w:tcW w:w="261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项目负责人：张勇</w:t>
            </w:r>
          </w:p>
        </w:tc>
        <w:tc>
          <w:tcPr>
            <w:tcW w:w="2383" w:type="pct"/>
            <w:gridSpan w:val="6"/>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财务负责人：辜炯益</w:t>
            </w:r>
          </w:p>
        </w:tc>
      </w:tr>
    </w:tbl>
    <w:p>
      <w:pPr>
        <w:pStyle w:val="5"/>
        <w:rPr>
          <w:rFonts w:ascii="Times New Roman" w:hAnsi="Times New Roman" w:eastAsia="仿宋"/>
          <w:sz w:val="20"/>
          <w:szCs w:val="20"/>
        </w:rPr>
      </w:pPr>
    </w:p>
    <w:p>
      <w:pPr>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br w:type="page"/>
      </w:r>
    </w:p>
    <w:p>
      <w:pPr>
        <w:pStyle w:val="5"/>
        <w:ind w:firstLine="960" w:firstLineChars="3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附表5:</w:t>
      </w:r>
    </w:p>
    <w:tbl>
      <w:tblPr>
        <w:tblStyle w:val="12"/>
        <w:tblW w:w="5000" w:type="pct"/>
        <w:tblInd w:w="0" w:type="dxa"/>
        <w:tblLayout w:type="autofit"/>
        <w:tblCellMar>
          <w:top w:w="0" w:type="dxa"/>
          <w:left w:w="28" w:type="dxa"/>
          <w:bottom w:w="0" w:type="dxa"/>
          <w:right w:w="28" w:type="dxa"/>
        </w:tblCellMar>
      </w:tblPr>
      <w:tblGrid>
        <w:gridCol w:w="456"/>
        <w:gridCol w:w="1856"/>
        <w:gridCol w:w="1207"/>
        <w:gridCol w:w="1927"/>
        <w:gridCol w:w="316"/>
        <w:gridCol w:w="1140"/>
        <w:gridCol w:w="316"/>
        <w:gridCol w:w="774"/>
        <w:gridCol w:w="407"/>
        <w:gridCol w:w="407"/>
        <w:gridCol w:w="1704"/>
      </w:tblGrid>
      <w:tr>
        <w:tblPrEx>
          <w:tblCellMar>
            <w:top w:w="0" w:type="dxa"/>
            <w:left w:w="28" w:type="dxa"/>
            <w:bottom w:w="0" w:type="dxa"/>
            <w:right w:w="28" w:type="dxa"/>
          </w:tblCellMar>
        </w:tblPrEx>
        <w:trPr>
          <w:trHeight w:val="62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黑体" w:cs="宋体"/>
                <w:b/>
                <w:bCs/>
                <w:color w:val="000000"/>
                <w:kern w:val="0"/>
                <w:sz w:val="20"/>
                <w:szCs w:val="20"/>
              </w:rPr>
            </w:pPr>
            <w:r>
              <w:rPr>
                <w:rFonts w:hint="eastAsia" w:ascii="Times New Roman" w:hAnsi="Times New Roman" w:eastAsia="黑体" w:cs="宋体"/>
                <w:b/>
                <w:bCs/>
                <w:color w:val="000000"/>
                <w:kern w:val="0"/>
                <w:sz w:val="30"/>
                <w:szCs w:val="30"/>
              </w:rPr>
              <w:t>部门预算项目支出绩效自评表（2022年度）</w:t>
            </w:r>
          </w:p>
        </w:tc>
      </w:tr>
      <w:tr>
        <w:tblPrEx>
          <w:tblCellMar>
            <w:top w:w="0" w:type="dxa"/>
            <w:left w:w="28" w:type="dxa"/>
            <w:bottom w:w="0" w:type="dxa"/>
            <w:right w:w="28" w:type="dxa"/>
          </w:tblCellMar>
        </w:tblPrEx>
        <w:trPr>
          <w:trHeight w:val="285" w:hRule="atLeast"/>
        </w:trPr>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项目名称</w:t>
            </w:r>
          </w:p>
        </w:tc>
        <w:tc>
          <w:tcPr>
            <w:tcW w:w="4176" w:type="pct"/>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51080021Y000000176770-其他公用经费（福利、工会、公车补贴、党建、退休活动）</w:t>
            </w:r>
          </w:p>
        </w:tc>
      </w:tr>
      <w:tr>
        <w:tblPrEx>
          <w:tblCellMar>
            <w:top w:w="0" w:type="dxa"/>
            <w:left w:w="28" w:type="dxa"/>
            <w:bottom w:w="0" w:type="dxa"/>
            <w:right w:w="28" w:type="dxa"/>
          </w:tblCellMar>
        </w:tblPrEx>
        <w:trPr>
          <w:trHeight w:val="514" w:hRule="atLeast"/>
        </w:trPr>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主管部门</w:t>
            </w:r>
          </w:p>
        </w:tc>
        <w:tc>
          <w:tcPr>
            <w:tcW w:w="2491"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广元市市场监督管理局部门</w:t>
            </w:r>
          </w:p>
        </w:tc>
        <w:tc>
          <w:tcPr>
            <w:tcW w:w="381"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实施单位 （盖章）</w:t>
            </w:r>
          </w:p>
        </w:tc>
        <w:tc>
          <w:tcPr>
            <w:tcW w:w="130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广元市食品药品检验检测中心</w:t>
            </w:r>
          </w:p>
        </w:tc>
      </w:tr>
      <w:tr>
        <w:tblPrEx>
          <w:tblCellMar>
            <w:top w:w="0" w:type="dxa"/>
            <w:left w:w="28" w:type="dxa"/>
            <w:bottom w:w="0" w:type="dxa"/>
            <w:right w:w="28" w:type="dxa"/>
          </w:tblCellMar>
        </w:tblPrEx>
        <w:trPr>
          <w:trHeight w:val="285"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项目基本情况</w:t>
            </w: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1.项目年度目标完成情况</w:t>
            </w:r>
          </w:p>
        </w:tc>
        <w:tc>
          <w:tcPr>
            <w:tcW w:w="2491"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项目年度目标</w:t>
            </w:r>
          </w:p>
        </w:tc>
        <w:tc>
          <w:tcPr>
            <w:tcW w:w="1685" w:type="pct"/>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年度目标完成情况</w:t>
            </w:r>
          </w:p>
        </w:tc>
      </w:tr>
      <w:tr>
        <w:tblPrEx>
          <w:tblCellMar>
            <w:top w:w="0" w:type="dxa"/>
            <w:left w:w="28" w:type="dxa"/>
            <w:bottom w:w="0" w:type="dxa"/>
            <w:right w:w="28" w:type="dxa"/>
          </w:tblCellMar>
        </w:tblPrEx>
        <w:trPr>
          <w:trHeight w:val="709"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2491"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保障单位日常运转，提高预算编制质量，严格执行预算</w:t>
            </w:r>
          </w:p>
        </w:tc>
        <w:tc>
          <w:tcPr>
            <w:tcW w:w="1685" w:type="pct"/>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2022年，我中心严格执行预算，保障单位日常运转。</w:t>
            </w:r>
          </w:p>
        </w:tc>
      </w:tr>
      <w:tr>
        <w:tblPrEx>
          <w:tblCellMar>
            <w:top w:w="0" w:type="dxa"/>
            <w:left w:w="28" w:type="dxa"/>
            <w:bottom w:w="0" w:type="dxa"/>
            <w:right w:w="28" w:type="dxa"/>
          </w:tblCellMar>
        </w:tblPrEx>
        <w:trPr>
          <w:trHeight w:val="694"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2.项目实施内容及过程概述</w:t>
            </w:r>
          </w:p>
        </w:tc>
        <w:tc>
          <w:tcPr>
            <w:tcW w:w="4176" w:type="pct"/>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“其他公用经费（福利、工会、公车补贴、党建、退休活动）”项目由办公室负责组织实施，通过制定专项工作计划方案、确定工作目标、明确组织实施措施和策略，有效地指导工作的正常有序开展。</w:t>
            </w:r>
          </w:p>
        </w:tc>
      </w:tr>
      <w:tr>
        <w:tblPrEx>
          <w:tblCellMar>
            <w:top w:w="0" w:type="dxa"/>
            <w:left w:w="28" w:type="dxa"/>
            <w:bottom w:w="0" w:type="dxa"/>
            <w:right w:w="28" w:type="dxa"/>
          </w:tblCellMar>
        </w:tblPrEx>
        <w:trPr>
          <w:trHeight w:val="360"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预算执行情况（10分）</w:t>
            </w:r>
          </w:p>
        </w:tc>
        <w:tc>
          <w:tcPr>
            <w:tcW w:w="579" w:type="pct"/>
            <w:tcBorders>
              <w:top w:val="nil"/>
              <w:left w:val="nil"/>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年度预算数（万元）</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年初预算</w:t>
            </w:r>
          </w:p>
        </w:tc>
        <w:tc>
          <w:tcPr>
            <w:tcW w:w="94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调整后预算数</w:t>
            </w:r>
          </w:p>
        </w:tc>
        <w:tc>
          <w:tcPr>
            <w:tcW w:w="934"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预算执行数</w:t>
            </w:r>
          </w:p>
        </w:tc>
        <w:tc>
          <w:tcPr>
            <w:tcW w:w="3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预算执行率</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7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原因</w:t>
            </w:r>
          </w:p>
        </w:tc>
      </w:tr>
      <w:tr>
        <w:tblPrEx>
          <w:tblCellMar>
            <w:top w:w="0" w:type="dxa"/>
            <w:left w:w="28" w:type="dxa"/>
            <w:bottom w:w="0" w:type="dxa"/>
            <w:right w:w="28" w:type="dxa"/>
          </w:tblCellMar>
        </w:tblPrEx>
        <w:trPr>
          <w:trHeight w:val="360"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总额</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18.67</w:t>
            </w:r>
          </w:p>
        </w:tc>
        <w:tc>
          <w:tcPr>
            <w:tcW w:w="94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18.67</w:t>
            </w:r>
          </w:p>
        </w:tc>
        <w:tc>
          <w:tcPr>
            <w:tcW w:w="934"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18.67</w:t>
            </w:r>
          </w:p>
        </w:tc>
        <w:tc>
          <w:tcPr>
            <w:tcW w:w="3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100.00%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72"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r>
              <w:rPr>
                <w:rFonts w:ascii="Times New Roman" w:hAnsi="Times New Roman" w:cs="宋体"/>
                <w:i/>
                <w:iCs/>
                <w:color w:val="000000"/>
                <w:kern w:val="0"/>
                <w:sz w:val="20"/>
                <w:szCs w:val="20"/>
              </w:rPr>
              <w:t>无</w:t>
            </w:r>
          </w:p>
        </w:tc>
      </w:tr>
      <w:tr>
        <w:tblPrEx>
          <w:tblCellMar>
            <w:top w:w="0" w:type="dxa"/>
            <w:left w:w="28" w:type="dxa"/>
            <w:bottom w:w="0" w:type="dxa"/>
            <w:right w:w="28" w:type="dxa"/>
          </w:tblCellMar>
        </w:tblPrEx>
        <w:trPr>
          <w:trHeight w:val="360"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其中：财政资金</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18.67</w:t>
            </w:r>
          </w:p>
        </w:tc>
        <w:tc>
          <w:tcPr>
            <w:tcW w:w="94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18.67</w:t>
            </w:r>
          </w:p>
        </w:tc>
        <w:tc>
          <w:tcPr>
            <w:tcW w:w="934"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18.67</w:t>
            </w:r>
          </w:p>
        </w:tc>
        <w:tc>
          <w:tcPr>
            <w:tcW w:w="3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100.00%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2"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tblPrEx>
          <w:tblCellMar>
            <w:top w:w="0" w:type="dxa"/>
            <w:left w:w="28" w:type="dxa"/>
            <w:bottom w:w="0" w:type="dxa"/>
            <w:right w:w="28" w:type="dxa"/>
          </w:tblCellMar>
        </w:tblPrEx>
        <w:trPr>
          <w:trHeight w:val="360"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财政专户管理资金</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34"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2"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tblPrEx>
          <w:tblCellMar>
            <w:top w:w="0" w:type="dxa"/>
            <w:left w:w="28" w:type="dxa"/>
            <w:bottom w:w="0" w:type="dxa"/>
            <w:right w:w="28" w:type="dxa"/>
          </w:tblCellMar>
        </w:tblPrEx>
        <w:trPr>
          <w:trHeight w:val="360"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单位资金</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34"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2"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tblPrEx>
          <w:tblCellMar>
            <w:top w:w="0" w:type="dxa"/>
            <w:left w:w="28" w:type="dxa"/>
            <w:bottom w:w="0" w:type="dxa"/>
            <w:right w:w="28" w:type="dxa"/>
          </w:tblCellMar>
        </w:tblPrEx>
        <w:trPr>
          <w:trHeight w:val="360"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其他资金</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4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34"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3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2"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tblPrEx>
          <w:tblCellMar>
            <w:top w:w="0" w:type="dxa"/>
            <w:left w:w="28" w:type="dxa"/>
            <w:bottom w:w="0" w:type="dxa"/>
            <w:right w:w="28" w:type="dxa"/>
          </w:tblCellMar>
        </w:tblPrEx>
        <w:trPr>
          <w:trHeight w:val="454"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绩效指标（90分）</w:t>
            </w: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一级指标</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二级指标</w:t>
            </w:r>
          </w:p>
        </w:tc>
        <w:tc>
          <w:tcPr>
            <w:tcW w:w="94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三级指标</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指标性质</w:t>
            </w:r>
          </w:p>
        </w:tc>
        <w:tc>
          <w:tcPr>
            <w:tcW w:w="57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指标值</w:t>
            </w:r>
          </w:p>
        </w:tc>
        <w:tc>
          <w:tcPr>
            <w:tcW w:w="18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度量单位</w:t>
            </w:r>
          </w:p>
        </w:tc>
        <w:tc>
          <w:tcPr>
            <w:tcW w:w="3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完成值</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7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未完成原因分析</w:t>
            </w:r>
          </w:p>
        </w:tc>
      </w:tr>
      <w:tr>
        <w:tblPrEx>
          <w:tblCellMar>
            <w:top w:w="0" w:type="dxa"/>
            <w:left w:w="28" w:type="dxa"/>
            <w:bottom w:w="0" w:type="dxa"/>
            <w:right w:w="28" w:type="dxa"/>
          </w:tblCellMar>
        </w:tblPrEx>
        <w:trPr>
          <w:trHeight w:val="338"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产出指标</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数量指标</w:t>
            </w:r>
          </w:p>
        </w:tc>
        <w:tc>
          <w:tcPr>
            <w:tcW w:w="94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科目调整次数</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8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次</w:t>
            </w:r>
          </w:p>
        </w:tc>
        <w:tc>
          <w:tcPr>
            <w:tcW w:w="3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87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tblPrEx>
          <w:tblCellMar>
            <w:top w:w="0" w:type="dxa"/>
            <w:left w:w="28" w:type="dxa"/>
            <w:bottom w:w="0" w:type="dxa"/>
            <w:right w:w="28" w:type="dxa"/>
          </w:tblCellMar>
        </w:tblPrEx>
        <w:trPr>
          <w:trHeight w:val="679"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质量指标</w:t>
            </w:r>
          </w:p>
        </w:tc>
        <w:tc>
          <w:tcPr>
            <w:tcW w:w="94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预算编制准确率（计算方法为：∣（执行数-预算数）/预算数∣）</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w:t>
            </w:r>
          </w:p>
        </w:tc>
        <w:tc>
          <w:tcPr>
            <w:tcW w:w="18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87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tblPrEx>
          <w:tblCellMar>
            <w:top w:w="0" w:type="dxa"/>
            <w:left w:w="28" w:type="dxa"/>
            <w:bottom w:w="0" w:type="dxa"/>
            <w:right w:w="28" w:type="dxa"/>
          </w:tblCellMar>
        </w:tblPrEx>
        <w:trPr>
          <w:trHeight w:val="338"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效益指标</w:t>
            </w:r>
          </w:p>
        </w:tc>
        <w:tc>
          <w:tcPr>
            <w:tcW w:w="609"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经济效益指标</w:t>
            </w:r>
          </w:p>
        </w:tc>
        <w:tc>
          <w:tcPr>
            <w:tcW w:w="94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运转保障率</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8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87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tblPrEx>
          <w:tblCellMar>
            <w:top w:w="0" w:type="dxa"/>
            <w:left w:w="28" w:type="dxa"/>
            <w:bottom w:w="0" w:type="dxa"/>
            <w:right w:w="28" w:type="dxa"/>
          </w:tblCellMar>
        </w:tblPrEx>
        <w:trPr>
          <w:trHeight w:val="822"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94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“三公经费”控制率[计算方法为：（三公经费实际支出数/预算安排数]×100%）</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8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72.22</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87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tblPrEx>
          <w:tblCellMar>
            <w:top w:w="0" w:type="dxa"/>
            <w:left w:w="28" w:type="dxa"/>
            <w:bottom w:w="0" w:type="dxa"/>
            <w:right w:w="28" w:type="dxa"/>
          </w:tblCellMar>
        </w:tblPrEx>
        <w:trPr>
          <w:trHeight w:val="285" w:hRule="atLeast"/>
        </w:trPr>
        <w:tc>
          <w:tcPr>
            <w:tcW w:w="3696"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合计</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87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tblPrEx>
          <w:tblCellMar>
            <w:top w:w="0" w:type="dxa"/>
            <w:left w:w="28" w:type="dxa"/>
            <w:bottom w:w="0" w:type="dxa"/>
            <w:right w:w="28" w:type="dxa"/>
          </w:tblCellMar>
        </w:tblPrEx>
        <w:trPr>
          <w:trHeight w:val="604" w:hRule="atLeast"/>
        </w:trPr>
        <w:tc>
          <w:tcPr>
            <w:tcW w:w="24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评价结论</w:t>
            </w:r>
          </w:p>
        </w:tc>
        <w:tc>
          <w:tcPr>
            <w:tcW w:w="4756"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该项目保障了46名在职人员工会经费、职工福利费、其他交通费等所需的支出，保障了12名退休职工所需的活动费等支出，自评得分100分。</w:t>
            </w:r>
          </w:p>
        </w:tc>
      </w:tr>
      <w:tr>
        <w:tblPrEx>
          <w:tblCellMar>
            <w:top w:w="0" w:type="dxa"/>
            <w:left w:w="28" w:type="dxa"/>
            <w:bottom w:w="0" w:type="dxa"/>
            <w:right w:w="28" w:type="dxa"/>
          </w:tblCellMar>
        </w:tblPrEx>
        <w:trPr>
          <w:trHeight w:val="574" w:hRule="atLeast"/>
        </w:trPr>
        <w:tc>
          <w:tcPr>
            <w:tcW w:w="24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存在问题</w:t>
            </w:r>
          </w:p>
        </w:tc>
        <w:tc>
          <w:tcPr>
            <w:tcW w:w="4756"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无。</w:t>
            </w:r>
          </w:p>
        </w:tc>
      </w:tr>
      <w:tr>
        <w:tblPrEx>
          <w:tblCellMar>
            <w:top w:w="0" w:type="dxa"/>
            <w:left w:w="28" w:type="dxa"/>
            <w:bottom w:w="0" w:type="dxa"/>
            <w:right w:w="28" w:type="dxa"/>
          </w:tblCellMar>
        </w:tblPrEx>
        <w:trPr>
          <w:trHeight w:val="634" w:hRule="atLeast"/>
        </w:trPr>
        <w:tc>
          <w:tcPr>
            <w:tcW w:w="24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改进措施</w:t>
            </w:r>
          </w:p>
        </w:tc>
        <w:tc>
          <w:tcPr>
            <w:tcW w:w="4756"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无。</w:t>
            </w:r>
          </w:p>
        </w:tc>
      </w:tr>
      <w:tr>
        <w:tblPrEx>
          <w:tblCellMar>
            <w:top w:w="0" w:type="dxa"/>
            <w:left w:w="28" w:type="dxa"/>
            <w:bottom w:w="0" w:type="dxa"/>
            <w:right w:w="28" w:type="dxa"/>
          </w:tblCellMar>
        </w:tblPrEx>
        <w:trPr>
          <w:trHeight w:val="285" w:hRule="atLeast"/>
        </w:trPr>
        <w:tc>
          <w:tcPr>
            <w:tcW w:w="256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项目负责人：张慧萍</w:t>
            </w:r>
          </w:p>
        </w:tc>
        <w:tc>
          <w:tcPr>
            <w:tcW w:w="2439" w:type="pct"/>
            <w:gridSpan w:val="6"/>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财务负责人：辜炯益</w:t>
            </w:r>
          </w:p>
        </w:tc>
      </w:tr>
    </w:tbl>
    <w:p>
      <w:pPr>
        <w:pStyle w:val="5"/>
        <w:rPr>
          <w:rFonts w:ascii="Times New Roman" w:hAnsi="Times New Roman" w:eastAsia="仿宋"/>
          <w:sz w:val="20"/>
          <w:szCs w:val="20"/>
        </w:rPr>
      </w:pPr>
    </w:p>
    <w:p>
      <w:pPr>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br w:type="page"/>
      </w:r>
    </w:p>
    <w:p>
      <w:pPr>
        <w:pStyle w:val="5"/>
        <w:ind w:firstLine="960" w:firstLineChars="3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附表6:</w:t>
      </w:r>
    </w:p>
    <w:tbl>
      <w:tblPr>
        <w:tblStyle w:val="12"/>
        <w:tblW w:w="5000" w:type="pct"/>
        <w:tblInd w:w="0" w:type="dxa"/>
        <w:tblLayout w:type="autofit"/>
        <w:tblCellMar>
          <w:top w:w="0" w:type="dxa"/>
          <w:left w:w="28" w:type="dxa"/>
          <w:bottom w:w="0" w:type="dxa"/>
          <w:right w:w="28" w:type="dxa"/>
        </w:tblCellMar>
      </w:tblPr>
      <w:tblGrid>
        <w:gridCol w:w="456"/>
        <w:gridCol w:w="1856"/>
        <w:gridCol w:w="1209"/>
        <w:gridCol w:w="1916"/>
        <w:gridCol w:w="316"/>
        <w:gridCol w:w="1140"/>
        <w:gridCol w:w="316"/>
        <w:gridCol w:w="773"/>
        <w:gridCol w:w="407"/>
        <w:gridCol w:w="407"/>
        <w:gridCol w:w="1714"/>
      </w:tblGrid>
      <w:tr>
        <w:tblPrEx>
          <w:tblCellMar>
            <w:top w:w="0" w:type="dxa"/>
            <w:left w:w="28" w:type="dxa"/>
            <w:bottom w:w="0" w:type="dxa"/>
            <w:right w:w="28" w:type="dxa"/>
          </w:tblCellMar>
        </w:tblPrEx>
        <w:trPr>
          <w:trHeight w:val="62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黑体" w:cs="宋体"/>
                <w:b/>
                <w:bCs/>
                <w:color w:val="000000"/>
                <w:kern w:val="0"/>
                <w:sz w:val="20"/>
                <w:szCs w:val="20"/>
              </w:rPr>
            </w:pPr>
            <w:r>
              <w:rPr>
                <w:rFonts w:hint="eastAsia" w:ascii="Times New Roman" w:hAnsi="Times New Roman" w:eastAsia="黑体" w:cs="宋体"/>
                <w:b/>
                <w:bCs/>
                <w:color w:val="000000"/>
                <w:kern w:val="0"/>
                <w:sz w:val="30"/>
                <w:szCs w:val="30"/>
              </w:rPr>
              <w:t>部门预算项目支出绩效自评表（2022年度）</w:t>
            </w:r>
          </w:p>
        </w:tc>
      </w:tr>
      <w:tr>
        <w:tblPrEx>
          <w:tblCellMar>
            <w:top w:w="0" w:type="dxa"/>
            <w:left w:w="28" w:type="dxa"/>
            <w:bottom w:w="0" w:type="dxa"/>
            <w:right w:w="28" w:type="dxa"/>
          </w:tblCellMar>
        </w:tblPrEx>
        <w:trPr>
          <w:trHeight w:val="285" w:hRule="atLeast"/>
        </w:trPr>
        <w:tc>
          <w:tcPr>
            <w:tcW w:w="8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项目名称</w:t>
            </w:r>
          </w:p>
        </w:tc>
        <w:tc>
          <w:tcPr>
            <w:tcW w:w="4177" w:type="pct"/>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51080022R000000267546-工资性支出（事业）</w:t>
            </w:r>
          </w:p>
        </w:tc>
      </w:tr>
      <w:tr>
        <w:tblPrEx>
          <w:tblCellMar>
            <w:top w:w="0" w:type="dxa"/>
            <w:left w:w="28" w:type="dxa"/>
            <w:bottom w:w="0" w:type="dxa"/>
            <w:right w:w="28" w:type="dxa"/>
          </w:tblCellMar>
        </w:tblPrEx>
        <w:trPr>
          <w:trHeight w:val="514" w:hRule="atLeast"/>
        </w:trPr>
        <w:tc>
          <w:tcPr>
            <w:tcW w:w="8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主管部门</w:t>
            </w:r>
          </w:p>
        </w:tc>
        <w:tc>
          <w:tcPr>
            <w:tcW w:w="2487"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广元市市场监督管理局部门</w:t>
            </w:r>
          </w:p>
        </w:tc>
        <w:tc>
          <w:tcPr>
            <w:tcW w:w="381"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实施单位 （盖章）</w:t>
            </w:r>
          </w:p>
        </w:tc>
        <w:tc>
          <w:tcPr>
            <w:tcW w:w="130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广元市食品药品检验检测中心</w:t>
            </w:r>
          </w:p>
        </w:tc>
      </w:tr>
      <w:tr>
        <w:tblPrEx>
          <w:tblCellMar>
            <w:top w:w="0" w:type="dxa"/>
            <w:left w:w="28" w:type="dxa"/>
            <w:bottom w:w="0" w:type="dxa"/>
            <w:right w:w="28" w:type="dxa"/>
          </w:tblCellMar>
        </w:tblPrEx>
        <w:trPr>
          <w:trHeight w:val="285"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项目基本情况</w:t>
            </w: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1.项目年度目标完成情况</w:t>
            </w:r>
          </w:p>
        </w:tc>
        <w:tc>
          <w:tcPr>
            <w:tcW w:w="2487"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项目年度目标</w:t>
            </w:r>
          </w:p>
        </w:tc>
        <w:tc>
          <w:tcPr>
            <w:tcW w:w="1689" w:type="pct"/>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年度目标完成情况</w:t>
            </w:r>
          </w:p>
        </w:tc>
      </w:tr>
      <w:tr>
        <w:tblPrEx>
          <w:tblCellMar>
            <w:top w:w="0" w:type="dxa"/>
            <w:left w:w="28" w:type="dxa"/>
            <w:bottom w:w="0" w:type="dxa"/>
            <w:right w:w="28" w:type="dxa"/>
          </w:tblCellMar>
        </w:tblPrEx>
        <w:trPr>
          <w:trHeight w:val="709"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2487"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严格执行相关政策，保障工资及时发放、足额发放，预算编制科学合理，减少结余资金。</w:t>
            </w:r>
          </w:p>
        </w:tc>
        <w:tc>
          <w:tcPr>
            <w:tcW w:w="1689" w:type="pct"/>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保障了人员工资、保险、绩效及时足额发放。</w:t>
            </w:r>
          </w:p>
        </w:tc>
      </w:tr>
      <w:tr>
        <w:tblPrEx>
          <w:tblCellMar>
            <w:top w:w="0" w:type="dxa"/>
            <w:left w:w="28" w:type="dxa"/>
            <w:bottom w:w="0" w:type="dxa"/>
            <w:right w:w="28" w:type="dxa"/>
          </w:tblCellMar>
        </w:tblPrEx>
        <w:trPr>
          <w:trHeight w:val="694"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2.项目实施内容及过程概述</w:t>
            </w:r>
          </w:p>
        </w:tc>
        <w:tc>
          <w:tcPr>
            <w:tcW w:w="4177" w:type="pct"/>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该项目由办公室负责组织实施，通过制定专项工作计划方案、确定工作目标、明确组织实施措施和策略，有效地指导工作的正常有序开展。</w:t>
            </w:r>
          </w:p>
        </w:tc>
      </w:tr>
      <w:tr>
        <w:tblPrEx>
          <w:tblCellMar>
            <w:top w:w="0" w:type="dxa"/>
            <w:left w:w="28" w:type="dxa"/>
            <w:bottom w:w="0" w:type="dxa"/>
            <w:right w:w="28" w:type="dxa"/>
          </w:tblCellMar>
        </w:tblPrEx>
        <w:trPr>
          <w:trHeight w:val="360"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预算执行情况（10分）</w:t>
            </w:r>
          </w:p>
        </w:tc>
        <w:tc>
          <w:tcPr>
            <w:tcW w:w="579" w:type="pct"/>
            <w:tcBorders>
              <w:top w:val="nil"/>
              <w:left w:val="nil"/>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年度预算数（万元）</w:t>
            </w:r>
          </w:p>
        </w:tc>
        <w:tc>
          <w:tcPr>
            <w:tcW w:w="61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年初预算</w:t>
            </w:r>
          </w:p>
        </w:tc>
        <w:tc>
          <w:tcPr>
            <w:tcW w:w="94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调整后预算数</w:t>
            </w:r>
          </w:p>
        </w:tc>
        <w:tc>
          <w:tcPr>
            <w:tcW w:w="934"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预算执行数</w:t>
            </w:r>
          </w:p>
        </w:tc>
        <w:tc>
          <w:tcPr>
            <w:tcW w:w="3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预算执行率</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76"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原因</w:t>
            </w:r>
          </w:p>
        </w:tc>
      </w:tr>
      <w:tr>
        <w:tblPrEx>
          <w:tblCellMar>
            <w:top w:w="0" w:type="dxa"/>
            <w:left w:w="28" w:type="dxa"/>
            <w:bottom w:w="0" w:type="dxa"/>
            <w:right w:w="28" w:type="dxa"/>
          </w:tblCellMar>
        </w:tblPrEx>
        <w:trPr>
          <w:trHeight w:val="387"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总额</w:t>
            </w:r>
          </w:p>
        </w:tc>
        <w:tc>
          <w:tcPr>
            <w:tcW w:w="61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334.13</w:t>
            </w:r>
          </w:p>
        </w:tc>
        <w:tc>
          <w:tcPr>
            <w:tcW w:w="94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485.22</w:t>
            </w:r>
          </w:p>
        </w:tc>
        <w:tc>
          <w:tcPr>
            <w:tcW w:w="934"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485.22</w:t>
            </w:r>
          </w:p>
        </w:tc>
        <w:tc>
          <w:tcPr>
            <w:tcW w:w="3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100.00%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76"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调整追加预算151.09万元，主要是由于追加了基本工资和基础绩效奖预算。</w:t>
            </w:r>
          </w:p>
        </w:tc>
      </w:tr>
      <w:tr>
        <w:tblPrEx>
          <w:tblCellMar>
            <w:top w:w="0" w:type="dxa"/>
            <w:left w:w="28" w:type="dxa"/>
            <w:bottom w:w="0" w:type="dxa"/>
            <w:right w:w="28" w:type="dxa"/>
          </w:tblCellMar>
        </w:tblPrEx>
        <w:trPr>
          <w:trHeight w:val="432"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其中：财政资金</w:t>
            </w:r>
          </w:p>
        </w:tc>
        <w:tc>
          <w:tcPr>
            <w:tcW w:w="61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334.13</w:t>
            </w:r>
          </w:p>
        </w:tc>
        <w:tc>
          <w:tcPr>
            <w:tcW w:w="94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485.22</w:t>
            </w:r>
          </w:p>
        </w:tc>
        <w:tc>
          <w:tcPr>
            <w:tcW w:w="934"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485.22</w:t>
            </w:r>
          </w:p>
        </w:tc>
        <w:tc>
          <w:tcPr>
            <w:tcW w:w="3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100.00%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6"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p>
        </w:tc>
      </w:tr>
      <w:tr>
        <w:tblPrEx>
          <w:tblCellMar>
            <w:top w:w="0" w:type="dxa"/>
            <w:left w:w="28" w:type="dxa"/>
            <w:bottom w:w="0" w:type="dxa"/>
            <w:right w:w="28" w:type="dxa"/>
          </w:tblCellMar>
        </w:tblPrEx>
        <w:trPr>
          <w:trHeight w:val="447"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财政专户管理资金</w:t>
            </w:r>
          </w:p>
        </w:tc>
        <w:tc>
          <w:tcPr>
            <w:tcW w:w="61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34"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6"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p>
        </w:tc>
      </w:tr>
      <w:tr>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单位资金</w:t>
            </w:r>
          </w:p>
        </w:tc>
        <w:tc>
          <w:tcPr>
            <w:tcW w:w="61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34"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6"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p>
        </w:tc>
      </w:tr>
      <w:tr>
        <w:tblPrEx>
          <w:tblCellMar>
            <w:top w:w="0" w:type="dxa"/>
            <w:left w:w="28" w:type="dxa"/>
            <w:bottom w:w="0" w:type="dxa"/>
            <w:right w:w="28" w:type="dxa"/>
          </w:tblCellMar>
        </w:tblPrEx>
        <w:trPr>
          <w:trHeight w:val="379"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其他资金</w:t>
            </w:r>
          </w:p>
        </w:tc>
        <w:tc>
          <w:tcPr>
            <w:tcW w:w="61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4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34"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3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6"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p>
        </w:tc>
      </w:tr>
      <w:tr>
        <w:tblPrEx>
          <w:tblCellMar>
            <w:top w:w="0" w:type="dxa"/>
            <w:left w:w="28" w:type="dxa"/>
            <w:bottom w:w="0" w:type="dxa"/>
            <w:right w:w="28" w:type="dxa"/>
          </w:tblCellMar>
        </w:tblPrEx>
        <w:trPr>
          <w:trHeight w:val="454"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绩效指标（90分）</w:t>
            </w: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一级指标</w:t>
            </w:r>
          </w:p>
        </w:tc>
        <w:tc>
          <w:tcPr>
            <w:tcW w:w="61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二级指标</w:t>
            </w:r>
          </w:p>
        </w:tc>
        <w:tc>
          <w:tcPr>
            <w:tcW w:w="94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三级指标</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指标性质</w:t>
            </w:r>
          </w:p>
        </w:tc>
        <w:tc>
          <w:tcPr>
            <w:tcW w:w="57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指标值</w:t>
            </w:r>
          </w:p>
        </w:tc>
        <w:tc>
          <w:tcPr>
            <w:tcW w:w="18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度量单位</w:t>
            </w:r>
          </w:p>
        </w:tc>
        <w:tc>
          <w:tcPr>
            <w:tcW w:w="3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完成值</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76"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未完成原因分析</w:t>
            </w:r>
          </w:p>
        </w:tc>
      </w:tr>
      <w:tr>
        <w:tblPrEx>
          <w:tblCellMar>
            <w:top w:w="0" w:type="dxa"/>
            <w:left w:w="28" w:type="dxa"/>
            <w:bottom w:w="0" w:type="dxa"/>
            <w:right w:w="28" w:type="dxa"/>
          </w:tblCellMar>
        </w:tblPrEx>
        <w:trPr>
          <w:trHeight w:val="338"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产出指标</w:t>
            </w:r>
          </w:p>
        </w:tc>
        <w:tc>
          <w:tcPr>
            <w:tcW w:w="610"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数量指标</w:t>
            </w:r>
          </w:p>
        </w:tc>
        <w:tc>
          <w:tcPr>
            <w:tcW w:w="94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足额保障率</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8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876"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tblPrEx>
          <w:tblCellMar>
            <w:top w:w="0" w:type="dxa"/>
            <w:left w:w="28" w:type="dxa"/>
            <w:bottom w:w="0" w:type="dxa"/>
            <w:right w:w="28" w:type="dxa"/>
          </w:tblCellMar>
        </w:tblPrEx>
        <w:trPr>
          <w:trHeight w:val="338"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1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94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科目调整次数</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8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次</w:t>
            </w:r>
          </w:p>
        </w:tc>
        <w:tc>
          <w:tcPr>
            <w:tcW w:w="3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876"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tblPrEx>
          <w:tblCellMar>
            <w:top w:w="0" w:type="dxa"/>
            <w:left w:w="28" w:type="dxa"/>
            <w:bottom w:w="0" w:type="dxa"/>
            <w:right w:w="28" w:type="dxa"/>
          </w:tblCellMar>
        </w:tblPrEx>
        <w:trPr>
          <w:trHeight w:val="338"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1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时效指标</w:t>
            </w:r>
          </w:p>
        </w:tc>
        <w:tc>
          <w:tcPr>
            <w:tcW w:w="94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按时发放率</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8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876"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tblPrEx>
          <w:tblCellMar>
            <w:top w:w="0" w:type="dxa"/>
            <w:left w:w="28" w:type="dxa"/>
            <w:bottom w:w="0" w:type="dxa"/>
            <w:right w:w="28" w:type="dxa"/>
          </w:tblCellMar>
        </w:tblPrEx>
        <w:trPr>
          <w:trHeight w:val="454"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效益指标</w:t>
            </w:r>
          </w:p>
        </w:tc>
        <w:tc>
          <w:tcPr>
            <w:tcW w:w="61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经济效益指标</w:t>
            </w:r>
          </w:p>
        </w:tc>
        <w:tc>
          <w:tcPr>
            <w:tcW w:w="94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结余率（计算方法为：结余数/预算数）</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w:t>
            </w:r>
          </w:p>
        </w:tc>
        <w:tc>
          <w:tcPr>
            <w:tcW w:w="18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876"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tblPrEx>
          <w:tblCellMar>
            <w:top w:w="0" w:type="dxa"/>
            <w:left w:w="28" w:type="dxa"/>
            <w:bottom w:w="0" w:type="dxa"/>
            <w:right w:w="28" w:type="dxa"/>
          </w:tblCellMar>
        </w:tblPrEx>
        <w:trPr>
          <w:trHeight w:val="285" w:hRule="atLeast"/>
        </w:trPr>
        <w:tc>
          <w:tcPr>
            <w:tcW w:w="369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合计</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21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876"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tblPrEx>
          <w:tblCellMar>
            <w:top w:w="0" w:type="dxa"/>
            <w:left w:w="28" w:type="dxa"/>
            <w:bottom w:w="0" w:type="dxa"/>
            <w:right w:w="28" w:type="dxa"/>
          </w:tblCellMar>
        </w:tblPrEx>
        <w:trPr>
          <w:trHeight w:val="604" w:hRule="atLeast"/>
        </w:trPr>
        <w:tc>
          <w:tcPr>
            <w:tcW w:w="24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评价结论</w:t>
            </w:r>
          </w:p>
        </w:tc>
        <w:tc>
          <w:tcPr>
            <w:tcW w:w="4756"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eastAsia="微软雅黑" w:cs="宋体"/>
                <w:i/>
                <w:iCs/>
                <w:kern w:val="0"/>
                <w:sz w:val="20"/>
                <w:szCs w:val="20"/>
              </w:rPr>
            </w:pPr>
            <w:r>
              <w:rPr>
                <w:rFonts w:hint="eastAsia" w:ascii="Times New Roman" w:hAnsi="Times New Roman" w:cs="宋体"/>
                <w:color w:val="000000"/>
                <w:kern w:val="0"/>
                <w:sz w:val="20"/>
                <w:szCs w:val="20"/>
              </w:rPr>
              <w:t>“工资性支出”项目按时顺利开展，保障了人员工资、保险、绩效及时足额发放，自评得分100分。</w:t>
            </w:r>
          </w:p>
        </w:tc>
      </w:tr>
      <w:tr>
        <w:tblPrEx>
          <w:tblCellMar>
            <w:top w:w="0" w:type="dxa"/>
            <w:left w:w="28" w:type="dxa"/>
            <w:bottom w:w="0" w:type="dxa"/>
            <w:right w:w="28" w:type="dxa"/>
          </w:tblCellMar>
        </w:tblPrEx>
        <w:trPr>
          <w:trHeight w:val="574" w:hRule="atLeast"/>
        </w:trPr>
        <w:tc>
          <w:tcPr>
            <w:tcW w:w="24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存在问题</w:t>
            </w:r>
          </w:p>
        </w:tc>
        <w:tc>
          <w:tcPr>
            <w:tcW w:w="4756"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无。</w:t>
            </w:r>
          </w:p>
        </w:tc>
      </w:tr>
      <w:tr>
        <w:tblPrEx>
          <w:tblCellMar>
            <w:top w:w="0" w:type="dxa"/>
            <w:left w:w="28" w:type="dxa"/>
            <w:bottom w:w="0" w:type="dxa"/>
            <w:right w:w="28" w:type="dxa"/>
          </w:tblCellMar>
        </w:tblPrEx>
        <w:trPr>
          <w:trHeight w:val="634" w:hRule="atLeast"/>
        </w:trPr>
        <w:tc>
          <w:tcPr>
            <w:tcW w:w="24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改进措施</w:t>
            </w:r>
          </w:p>
        </w:tc>
        <w:tc>
          <w:tcPr>
            <w:tcW w:w="4756"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无。</w:t>
            </w:r>
          </w:p>
        </w:tc>
      </w:tr>
      <w:tr>
        <w:tblPrEx>
          <w:tblCellMar>
            <w:top w:w="0" w:type="dxa"/>
            <w:left w:w="28" w:type="dxa"/>
            <w:bottom w:w="0" w:type="dxa"/>
            <w:right w:w="28" w:type="dxa"/>
          </w:tblCellMar>
        </w:tblPrEx>
        <w:trPr>
          <w:trHeight w:val="285" w:hRule="atLeast"/>
        </w:trPr>
        <w:tc>
          <w:tcPr>
            <w:tcW w:w="255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项目负责人：张慧萍</w:t>
            </w:r>
          </w:p>
        </w:tc>
        <w:tc>
          <w:tcPr>
            <w:tcW w:w="2444" w:type="pct"/>
            <w:gridSpan w:val="6"/>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财务负责人：辜炯益</w:t>
            </w:r>
          </w:p>
        </w:tc>
      </w:tr>
    </w:tbl>
    <w:p>
      <w:pPr>
        <w:pStyle w:val="5"/>
        <w:rPr>
          <w:rFonts w:ascii="Times New Roman" w:hAnsi="Times New Roman" w:eastAsia="仿宋"/>
          <w:sz w:val="20"/>
          <w:szCs w:val="20"/>
        </w:rPr>
      </w:pPr>
    </w:p>
    <w:p>
      <w:pPr>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br w:type="page"/>
      </w:r>
    </w:p>
    <w:p>
      <w:pPr>
        <w:pStyle w:val="5"/>
        <w:ind w:firstLine="960" w:firstLineChars="3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附表7:</w:t>
      </w:r>
    </w:p>
    <w:tbl>
      <w:tblPr>
        <w:tblStyle w:val="12"/>
        <w:tblW w:w="5000" w:type="pct"/>
        <w:tblInd w:w="0" w:type="dxa"/>
        <w:tblLayout w:type="autofit"/>
        <w:tblCellMar>
          <w:top w:w="0" w:type="dxa"/>
          <w:left w:w="28" w:type="dxa"/>
          <w:bottom w:w="0" w:type="dxa"/>
          <w:right w:w="28" w:type="dxa"/>
        </w:tblCellMar>
      </w:tblPr>
      <w:tblGrid>
        <w:gridCol w:w="456"/>
        <w:gridCol w:w="1856"/>
        <w:gridCol w:w="1228"/>
        <w:gridCol w:w="1952"/>
        <w:gridCol w:w="319"/>
        <w:gridCol w:w="1164"/>
        <w:gridCol w:w="319"/>
        <w:gridCol w:w="773"/>
        <w:gridCol w:w="356"/>
        <w:gridCol w:w="357"/>
        <w:gridCol w:w="1730"/>
      </w:tblGrid>
      <w:tr>
        <w:tblPrEx>
          <w:tblCellMar>
            <w:top w:w="0" w:type="dxa"/>
            <w:left w:w="28" w:type="dxa"/>
            <w:bottom w:w="0" w:type="dxa"/>
            <w:right w:w="28" w:type="dxa"/>
          </w:tblCellMar>
        </w:tblPrEx>
        <w:trPr>
          <w:trHeight w:val="62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黑体" w:cs="宋体"/>
                <w:b/>
                <w:bCs/>
                <w:color w:val="000000"/>
                <w:kern w:val="0"/>
                <w:sz w:val="20"/>
                <w:szCs w:val="20"/>
              </w:rPr>
            </w:pPr>
            <w:r>
              <w:rPr>
                <w:rFonts w:hint="eastAsia" w:ascii="Times New Roman" w:hAnsi="Times New Roman" w:eastAsia="黑体" w:cs="宋体"/>
                <w:b/>
                <w:bCs/>
                <w:color w:val="000000"/>
                <w:kern w:val="0"/>
                <w:sz w:val="30"/>
                <w:szCs w:val="30"/>
              </w:rPr>
              <w:t>部门预算项目支出绩效自评表（2022年度）</w:t>
            </w:r>
          </w:p>
        </w:tc>
      </w:tr>
      <w:tr>
        <w:tblPrEx>
          <w:tblCellMar>
            <w:top w:w="0" w:type="dxa"/>
            <w:left w:w="28" w:type="dxa"/>
            <w:bottom w:w="0" w:type="dxa"/>
            <w:right w:w="28" w:type="dxa"/>
          </w:tblCellMar>
        </w:tblPrEx>
        <w:trPr>
          <w:trHeight w:val="420" w:hRule="atLeast"/>
        </w:trPr>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项目名称</w:t>
            </w:r>
          </w:p>
        </w:tc>
        <w:tc>
          <w:tcPr>
            <w:tcW w:w="4176" w:type="pct"/>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51080022R000006844873-退休“中人”一次性退休补贴</w:t>
            </w:r>
          </w:p>
        </w:tc>
      </w:tr>
      <w:tr>
        <w:tblPrEx>
          <w:tblCellMar>
            <w:top w:w="0" w:type="dxa"/>
            <w:left w:w="28" w:type="dxa"/>
            <w:bottom w:w="0" w:type="dxa"/>
            <w:right w:w="28" w:type="dxa"/>
          </w:tblCellMar>
        </w:tblPrEx>
        <w:trPr>
          <w:trHeight w:val="514" w:hRule="atLeast"/>
        </w:trPr>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主管部门</w:t>
            </w:r>
          </w:p>
        </w:tc>
        <w:tc>
          <w:tcPr>
            <w:tcW w:w="2526"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广元市市场监督管理局部门</w:t>
            </w:r>
          </w:p>
        </w:tc>
        <w:tc>
          <w:tcPr>
            <w:tcW w:w="383"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实施单位 （盖章）</w:t>
            </w:r>
          </w:p>
        </w:tc>
        <w:tc>
          <w:tcPr>
            <w:tcW w:w="126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广元市食品药品检验检测中心</w:t>
            </w:r>
          </w:p>
        </w:tc>
      </w:tr>
      <w:tr>
        <w:tblPrEx>
          <w:tblCellMar>
            <w:top w:w="0" w:type="dxa"/>
            <w:left w:w="28" w:type="dxa"/>
            <w:bottom w:w="0" w:type="dxa"/>
            <w:right w:w="28" w:type="dxa"/>
          </w:tblCellMar>
        </w:tblPrEx>
        <w:trPr>
          <w:trHeight w:val="360"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项目基本情况</w:t>
            </w: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1.项目年度目标完成情况</w:t>
            </w:r>
          </w:p>
        </w:tc>
        <w:tc>
          <w:tcPr>
            <w:tcW w:w="2526"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项目年度目标</w:t>
            </w:r>
          </w:p>
        </w:tc>
        <w:tc>
          <w:tcPr>
            <w:tcW w:w="1650" w:type="pct"/>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年度目标完成情况</w:t>
            </w:r>
          </w:p>
        </w:tc>
      </w:tr>
      <w:tr>
        <w:tblPrEx>
          <w:tblCellMar>
            <w:top w:w="0" w:type="dxa"/>
            <w:left w:w="28" w:type="dxa"/>
            <w:bottom w:w="0" w:type="dxa"/>
            <w:right w:w="28" w:type="dxa"/>
          </w:tblCellMar>
        </w:tblPrEx>
        <w:trPr>
          <w:trHeight w:val="709"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2526"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auto"/>
                <w:kern w:val="0"/>
                <w:sz w:val="20"/>
                <w:szCs w:val="20"/>
              </w:rPr>
            </w:pPr>
            <w:r>
              <w:rPr>
                <w:rFonts w:hint="eastAsia" w:ascii="Times New Roman" w:hAnsi="Times New Roman" w:cs="宋体"/>
                <w:color w:val="auto"/>
                <w:kern w:val="0"/>
                <w:sz w:val="20"/>
                <w:szCs w:val="20"/>
              </w:rPr>
              <w:t>严格执行相关政策，保障退休人员“独生子女”奖励金补贴及时发放。</w:t>
            </w:r>
          </w:p>
        </w:tc>
        <w:tc>
          <w:tcPr>
            <w:tcW w:w="1650" w:type="pct"/>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2022年，我中心保障了1名退休人员“独生子女”奖励金补贴的足额发放。</w:t>
            </w:r>
          </w:p>
        </w:tc>
      </w:tr>
      <w:tr>
        <w:tblPrEx>
          <w:tblCellMar>
            <w:top w:w="0" w:type="dxa"/>
            <w:left w:w="28" w:type="dxa"/>
            <w:bottom w:w="0" w:type="dxa"/>
            <w:right w:w="28" w:type="dxa"/>
          </w:tblCellMar>
        </w:tblPrEx>
        <w:trPr>
          <w:trHeight w:val="694"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2.项目实施内容及过程概述</w:t>
            </w:r>
          </w:p>
        </w:tc>
        <w:tc>
          <w:tcPr>
            <w:tcW w:w="4176" w:type="pct"/>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“退休“中人”一次性退休补贴”项目由财务股负责组织实施，通过制定专项工作计划方案、确定工作目标、明确组织实施措施和策略，有效地指导工作的正常有序开展。</w:t>
            </w:r>
          </w:p>
        </w:tc>
      </w:tr>
      <w:tr>
        <w:tblPrEx>
          <w:tblCellMar>
            <w:top w:w="0" w:type="dxa"/>
            <w:left w:w="28" w:type="dxa"/>
            <w:bottom w:w="0" w:type="dxa"/>
            <w:right w:w="28" w:type="dxa"/>
          </w:tblCellMar>
        </w:tblPrEx>
        <w:trPr>
          <w:trHeight w:val="480"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预算执行情况（10分）</w:t>
            </w:r>
          </w:p>
        </w:tc>
        <w:tc>
          <w:tcPr>
            <w:tcW w:w="579" w:type="pct"/>
            <w:tcBorders>
              <w:top w:val="nil"/>
              <w:left w:val="nil"/>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年度预算数（万元）</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年初预算</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调整后预算数</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预算执行数</w:t>
            </w: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预算执行率</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19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9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原因</w:t>
            </w:r>
          </w:p>
        </w:tc>
      </w:tr>
      <w:tr>
        <w:tblPrEx>
          <w:tblCellMar>
            <w:top w:w="0" w:type="dxa"/>
            <w:left w:w="28" w:type="dxa"/>
            <w:bottom w:w="0" w:type="dxa"/>
            <w:right w:w="28" w:type="dxa"/>
          </w:tblCellMar>
        </w:tblPrEx>
        <w:trPr>
          <w:trHeight w:val="480"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总额</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2.32</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2.32</w:t>
            </w: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100.00%</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90"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r>
              <w:rPr>
                <w:rFonts w:ascii="Times New Roman" w:hAnsi="Times New Roman" w:cs="宋体"/>
                <w:i/>
                <w:iCs/>
                <w:color w:val="000000"/>
                <w:kern w:val="0"/>
                <w:sz w:val="20"/>
                <w:szCs w:val="20"/>
              </w:rPr>
              <w:t>无</w:t>
            </w:r>
          </w:p>
        </w:tc>
      </w:tr>
      <w:tr>
        <w:tblPrEx>
          <w:tblCellMar>
            <w:top w:w="0" w:type="dxa"/>
            <w:left w:w="28" w:type="dxa"/>
            <w:bottom w:w="0" w:type="dxa"/>
            <w:right w:w="28" w:type="dxa"/>
          </w:tblCellMar>
        </w:tblPrEx>
        <w:trPr>
          <w:trHeight w:val="480"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其中：财政资金</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2.32</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2.32</w:t>
            </w: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100.00%</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9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tblPrEx>
          <w:tblCellMar>
            <w:top w:w="0" w:type="dxa"/>
            <w:left w:w="28" w:type="dxa"/>
            <w:bottom w:w="0" w:type="dxa"/>
            <w:right w:w="28" w:type="dxa"/>
          </w:tblCellMar>
        </w:tblPrEx>
        <w:trPr>
          <w:trHeight w:val="480"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财政专户管理资金</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9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tblPrEx>
          <w:tblCellMar>
            <w:top w:w="0" w:type="dxa"/>
            <w:left w:w="28" w:type="dxa"/>
            <w:bottom w:w="0" w:type="dxa"/>
            <w:right w:w="28" w:type="dxa"/>
          </w:tblCellMar>
        </w:tblPrEx>
        <w:trPr>
          <w:trHeight w:val="480"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单位资金</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9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tblPrEx>
          <w:tblCellMar>
            <w:top w:w="0" w:type="dxa"/>
            <w:left w:w="28" w:type="dxa"/>
            <w:bottom w:w="0" w:type="dxa"/>
            <w:right w:w="28" w:type="dxa"/>
          </w:tblCellMar>
        </w:tblPrEx>
        <w:trPr>
          <w:trHeight w:val="480"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其他资金</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9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tblPrEx>
          <w:tblCellMar>
            <w:top w:w="0" w:type="dxa"/>
            <w:left w:w="28" w:type="dxa"/>
            <w:bottom w:w="0" w:type="dxa"/>
            <w:right w:w="28" w:type="dxa"/>
          </w:tblCellMar>
        </w:tblPrEx>
        <w:trPr>
          <w:trHeight w:val="540"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绩效指标（90分）</w:t>
            </w: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一级指标</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二级指标</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三级指标</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指标性质</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指标值</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度量单位</w:t>
            </w: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完成值</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19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9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未完成原因分析</w:t>
            </w:r>
          </w:p>
        </w:tc>
      </w:tr>
      <w:tr>
        <w:tblPrEx>
          <w:tblCellMar>
            <w:top w:w="0" w:type="dxa"/>
            <w:left w:w="28" w:type="dxa"/>
            <w:bottom w:w="0" w:type="dxa"/>
            <w:right w:w="28" w:type="dxa"/>
          </w:tblCellMar>
        </w:tblPrEx>
        <w:trPr>
          <w:trHeight w:val="540"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产出指标</w:t>
            </w:r>
          </w:p>
        </w:tc>
        <w:tc>
          <w:tcPr>
            <w:tcW w:w="619" w:type="pc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数量指标</w:t>
            </w:r>
          </w:p>
        </w:tc>
        <w:tc>
          <w:tcPr>
            <w:tcW w:w="959" w:type="pc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科目调整次数</w:t>
            </w:r>
          </w:p>
        </w:tc>
        <w:tc>
          <w:tcPr>
            <w:tcW w:w="181" w:type="pc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w:t>
            </w:r>
          </w:p>
        </w:tc>
        <w:tc>
          <w:tcPr>
            <w:tcW w:w="584" w:type="pc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10</w:t>
            </w:r>
          </w:p>
        </w:tc>
        <w:tc>
          <w:tcPr>
            <w:tcW w:w="181" w:type="pc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次</w:t>
            </w:r>
          </w:p>
        </w:tc>
        <w:tc>
          <w:tcPr>
            <w:tcW w:w="383" w:type="pc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0</w:t>
            </w:r>
          </w:p>
        </w:tc>
        <w:tc>
          <w:tcPr>
            <w:tcW w:w="18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45</w:t>
            </w:r>
          </w:p>
        </w:tc>
        <w:tc>
          <w:tcPr>
            <w:tcW w:w="19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45</w:t>
            </w:r>
          </w:p>
        </w:tc>
        <w:tc>
          <w:tcPr>
            <w:tcW w:w="89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tblPrEx>
          <w:tblCellMar>
            <w:top w:w="0" w:type="dxa"/>
            <w:left w:w="28" w:type="dxa"/>
            <w:bottom w:w="0" w:type="dxa"/>
            <w:right w:w="28" w:type="dxa"/>
          </w:tblCellMar>
        </w:tblPrEx>
        <w:trPr>
          <w:trHeight w:val="420"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效益指标</w:t>
            </w:r>
          </w:p>
        </w:tc>
        <w:tc>
          <w:tcPr>
            <w:tcW w:w="619" w:type="pc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经济效益指标</w:t>
            </w:r>
          </w:p>
        </w:tc>
        <w:tc>
          <w:tcPr>
            <w:tcW w:w="959" w:type="pc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运转保障率</w:t>
            </w:r>
          </w:p>
        </w:tc>
        <w:tc>
          <w:tcPr>
            <w:tcW w:w="181" w:type="pc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w:t>
            </w:r>
          </w:p>
        </w:tc>
        <w:tc>
          <w:tcPr>
            <w:tcW w:w="584" w:type="pc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100</w:t>
            </w:r>
          </w:p>
        </w:tc>
        <w:tc>
          <w:tcPr>
            <w:tcW w:w="181" w:type="pc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w:t>
            </w:r>
          </w:p>
        </w:tc>
        <w:tc>
          <w:tcPr>
            <w:tcW w:w="383" w:type="pc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100</w:t>
            </w:r>
          </w:p>
        </w:tc>
        <w:tc>
          <w:tcPr>
            <w:tcW w:w="18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45</w:t>
            </w:r>
          </w:p>
        </w:tc>
        <w:tc>
          <w:tcPr>
            <w:tcW w:w="19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45</w:t>
            </w:r>
          </w:p>
        </w:tc>
        <w:tc>
          <w:tcPr>
            <w:tcW w:w="89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tblPrEx>
          <w:tblCellMar>
            <w:top w:w="0" w:type="dxa"/>
            <w:left w:w="28" w:type="dxa"/>
            <w:bottom w:w="0" w:type="dxa"/>
            <w:right w:w="28" w:type="dxa"/>
          </w:tblCellMar>
        </w:tblPrEx>
        <w:trPr>
          <w:trHeight w:val="379" w:hRule="atLeast"/>
        </w:trPr>
        <w:tc>
          <w:tcPr>
            <w:tcW w:w="373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合计</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9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89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tblPrEx>
          <w:tblCellMar>
            <w:top w:w="0" w:type="dxa"/>
            <w:left w:w="28" w:type="dxa"/>
            <w:bottom w:w="0" w:type="dxa"/>
            <w:right w:w="28" w:type="dxa"/>
          </w:tblCellMar>
        </w:tblPrEx>
        <w:trPr>
          <w:trHeight w:val="720" w:hRule="atLeast"/>
        </w:trPr>
        <w:tc>
          <w:tcPr>
            <w:tcW w:w="24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评价结论</w:t>
            </w:r>
          </w:p>
        </w:tc>
        <w:tc>
          <w:tcPr>
            <w:tcW w:w="4756"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eastAsia="微软雅黑" w:cs="宋体"/>
                <w:i/>
                <w:iCs/>
                <w:color w:val="000000"/>
                <w:kern w:val="0"/>
                <w:sz w:val="20"/>
                <w:szCs w:val="20"/>
              </w:rPr>
            </w:pPr>
            <w:r>
              <w:rPr>
                <w:rFonts w:hint="eastAsia" w:ascii="Times New Roman" w:hAnsi="Times New Roman" w:cs="宋体"/>
                <w:color w:val="auto"/>
                <w:kern w:val="0"/>
                <w:sz w:val="20"/>
                <w:szCs w:val="20"/>
              </w:rPr>
              <w:t>保障了1名退休人员“独生子女”奖励金补贴的足额发放，自评得分为100分。</w:t>
            </w:r>
          </w:p>
        </w:tc>
      </w:tr>
      <w:tr>
        <w:tblPrEx>
          <w:tblCellMar>
            <w:top w:w="0" w:type="dxa"/>
            <w:left w:w="28" w:type="dxa"/>
            <w:bottom w:w="0" w:type="dxa"/>
            <w:right w:w="28" w:type="dxa"/>
          </w:tblCellMar>
        </w:tblPrEx>
        <w:trPr>
          <w:trHeight w:val="720" w:hRule="atLeast"/>
        </w:trPr>
        <w:tc>
          <w:tcPr>
            <w:tcW w:w="24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存在问题</w:t>
            </w:r>
          </w:p>
        </w:tc>
        <w:tc>
          <w:tcPr>
            <w:tcW w:w="4756"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eastAsia="微软雅黑" w:cs="宋体"/>
                <w:i/>
                <w:iCs/>
                <w:color w:val="000000"/>
                <w:kern w:val="0"/>
                <w:sz w:val="20"/>
                <w:szCs w:val="20"/>
              </w:rPr>
            </w:pPr>
            <w:r>
              <w:rPr>
                <w:rFonts w:hint="eastAsia" w:ascii="Times New Roman" w:hAnsi="Times New Roman" w:cs="宋体"/>
                <w:color w:val="auto"/>
                <w:kern w:val="0"/>
                <w:sz w:val="20"/>
                <w:szCs w:val="20"/>
              </w:rPr>
              <w:t>无。</w:t>
            </w:r>
          </w:p>
        </w:tc>
      </w:tr>
      <w:tr>
        <w:tblPrEx>
          <w:tblCellMar>
            <w:top w:w="0" w:type="dxa"/>
            <w:left w:w="28" w:type="dxa"/>
            <w:bottom w:w="0" w:type="dxa"/>
            <w:right w:w="28" w:type="dxa"/>
          </w:tblCellMar>
        </w:tblPrEx>
        <w:trPr>
          <w:trHeight w:val="720" w:hRule="atLeast"/>
        </w:trPr>
        <w:tc>
          <w:tcPr>
            <w:tcW w:w="24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改进措施</w:t>
            </w:r>
          </w:p>
        </w:tc>
        <w:tc>
          <w:tcPr>
            <w:tcW w:w="4756"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eastAsia="微软雅黑" w:cs="宋体"/>
                <w:i/>
                <w:iCs/>
                <w:color w:val="000000"/>
                <w:kern w:val="0"/>
                <w:sz w:val="20"/>
                <w:szCs w:val="20"/>
              </w:rPr>
            </w:pPr>
            <w:r>
              <w:rPr>
                <w:rFonts w:hint="eastAsia" w:ascii="Times New Roman" w:hAnsi="Times New Roman" w:cs="宋体"/>
                <w:color w:val="auto"/>
                <w:kern w:val="0"/>
                <w:sz w:val="20"/>
                <w:szCs w:val="20"/>
              </w:rPr>
              <w:t>无。</w:t>
            </w:r>
          </w:p>
        </w:tc>
      </w:tr>
      <w:tr>
        <w:tblPrEx>
          <w:tblCellMar>
            <w:top w:w="0" w:type="dxa"/>
            <w:left w:w="28" w:type="dxa"/>
            <w:bottom w:w="0" w:type="dxa"/>
            <w:right w:w="28" w:type="dxa"/>
          </w:tblCellMar>
        </w:tblPrEx>
        <w:trPr>
          <w:trHeight w:val="342" w:hRule="atLeast"/>
        </w:trPr>
        <w:tc>
          <w:tcPr>
            <w:tcW w:w="258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项目负责人：张慧萍</w:t>
            </w:r>
          </w:p>
        </w:tc>
        <w:tc>
          <w:tcPr>
            <w:tcW w:w="2416" w:type="pct"/>
            <w:gridSpan w:val="6"/>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财务负责人：辜炯益</w:t>
            </w:r>
          </w:p>
        </w:tc>
      </w:tr>
    </w:tbl>
    <w:p>
      <w:pPr>
        <w:pStyle w:val="5"/>
        <w:rPr>
          <w:rFonts w:ascii="Times New Roman" w:hAnsi="Times New Roman" w:eastAsia="仿宋"/>
          <w:sz w:val="20"/>
          <w:szCs w:val="20"/>
        </w:rPr>
      </w:pPr>
    </w:p>
    <w:p>
      <w:pPr>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br w:type="page"/>
      </w:r>
    </w:p>
    <w:p>
      <w:pPr>
        <w:pStyle w:val="5"/>
        <w:ind w:firstLine="960" w:firstLineChars="3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附表8:</w:t>
      </w:r>
    </w:p>
    <w:tbl>
      <w:tblPr>
        <w:tblStyle w:val="12"/>
        <w:tblW w:w="5000" w:type="pct"/>
        <w:tblInd w:w="0" w:type="dxa"/>
        <w:tblLayout w:type="autofit"/>
        <w:tblCellMar>
          <w:top w:w="0" w:type="dxa"/>
          <w:left w:w="28" w:type="dxa"/>
          <w:bottom w:w="0" w:type="dxa"/>
          <w:right w:w="28" w:type="dxa"/>
        </w:tblCellMar>
      </w:tblPr>
      <w:tblGrid>
        <w:gridCol w:w="465"/>
        <w:gridCol w:w="1676"/>
        <w:gridCol w:w="1255"/>
        <w:gridCol w:w="1970"/>
        <w:gridCol w:w="337"/>
        <w:gridCol w:w="1182"/>
        <w:gridCol w:w="337"/>
        <w:gridCol w:w="763"/>
        <w:gridCol w:w="334"/>
        <w:gridCol w:w="363"/>
        <w:gridCol w:w="1828"/>
      </w:tblGrid>
      <w:tr>
        <w:tblPrEx>
          <w:tblCellMar>
            <w:top w:w="0" w:type="dxa"/>
            <w:left w:w="28" w:type="dxa"/>
            <w:bottom w:w="0" w:type="dxa"/>
            <w:right w:w="28" w:type="dxa"/>
          </w:tblCellMar>
        </w:tblPrEx>
        <w:trPr>
          <w:trHeight w:val="62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黑体" w:cs="宋体"/>
                <w:b/>
                <w:bCs/>
                <w:color w:val="000000"/>
                <w:kern w:val="0"/>
                <w:sz w:val="30"/>
                <w:szCs w:val="30"/>
              </w:rPr>
            </w:pPr>
            <w:r>
              <w:rPr>
                <w:rFonts w:hint="eastAsia" w:ascii="Times New Roman" w:hAnsi="Times New Roman" w:eastAsia="黑体" w:cs="宋体"/>
                <w:b/>
                <w:bCs/>
                <w:color w:val="000000"/>
                <w:kern w:val="0"/>
                <w:sz w:val="30"/>
                <w:szCs w:val="30"/>
              </w:rPr>
              <w:t>部门预算项目支出绩效自评表（2022年度）</w:t>
            </w:r>
          </w:p>
        </w:tc>
      </w:tr>
      <w:tr>
        <w:tblPrEx>
          <w:tblCellMar>
            <w:top w:w="0" w:type="dxa"/>
            <w:left w:w="28" w:type="dxa"/>
            <w:bottom w:w="0" w:type="dxa"/>
            <w:right w:w="28" w:type="dxa"/>
          </w:tblCellMar>
        </w:tblPrEx>
        <w:trPr>
          <w:trHeight w:val="480" w:hRule="atLeast"/>
        </w:trPr>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项目名称</w:t>
            </w:r>
          </w:p>
        </w:tc>
        <w:tc>
          <w:tcPr>
            <w:tcW w:w="4176" w:type="pct"/>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51080022T000000352727-药品检验和实验室运行维护经费</w:t>
            </w:r>
          </w:p>
        </w:tc>
      </w:tr>
      <w:tr>
        <w:tblPrEx>
          <w:tblCellMar>
            <w:top w:w="0" w:type="dxa"/>
            <w:left w:w="28" w:type="dxa"/>
            <w:bottom w:w="0" w:type="dxa"/>
            <w:right w:w="28" w:type="dxa"/>
          </w:tblCellMar>
        </w:tblPrEx>
        <w:trPr>
          <w:trHeight w:val="582" w:hRule="atLeast"/>
        </w:trPr>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主管部门</w:t>
            </w:r>
          </w:p>
        </w:tc>
        <w:tc>
          <w:tcPr>
            <w:tcW w:w="2526"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广元市市场监督管理局部门</w:t>
            </w:r>
          </w:p>
        </w:tc>
        <w:tc>
          <w:tcPr>
            <w:tcW w:w="383"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18"/>
                <w:szCs w:val="18"/>
              </w:rPr>
            </w:pPr>
            <w:r>
              <w:rPr>
                <w:rFonts w:ascii="Times New Roman" w:hAnsi="Times New Roman" w:cs="宋体"/>
                <w:color w:val="000000"/>
                <w:kern w:val="0"/>
                <w:sz w:val="18"/>
                <w:szCs w:val="18"/>
              </w:rPr>
              <w:t>实施单位 （盖章）</w:t>
            </w:r>
          </w:p>
        </w:tc>
        <w:tc>
          <w:tcPr>
            <w:tcW w:w="12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广元市食品药品检验检测中心</w:t>
            </w:r>
          </w:p>
        </w:tc>
      </w:tr>
      <w:tr>
        <w:tblPrEx>
          <w:tblCellMar>
            <w:top w:w="0" w:type="dxa"/>
            <w:left w:w="28" w:type="dxa"/>
            <w:bottom w:w="0" w:type="dxa"/>
            <w:right w:w="28" w:type="dxa"/>
          </w:tblCellMar>
        </w:tblPrEx>
        <w:trPr>
          <w:trHeight w:val="285"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项目基本情况</w:t>
            </w: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1.项目年度目标完成情况</w:t>
            </w:r>
          </w:p>
        </w:tc>
        <w:tc>
          <w:tcPr>
            <w:tcW w:w="2526"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项目年度目标</w:t>
            </w:r>
          </w:p>
        </w:tc>
        <w:tc>
          <w:tcPr>
            <w:tcW w:w="1650" w:type="pct"/>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18"/>
                <w:szCs w:val="18"/>
              </w:rPr>
            </w:pPr>
            <w:r>
              <w:rPr>
                <w:rFonts w:ascii="Times New Roman" w:hAnsi="Times New Roman" w:cs="宋体"/>
                <w:color w:val="000000"/>
                <w:kern w:val="0"/>
                <w:sz w:val="18"/>
                <w:szCs w:val="18"/>
              </w:rPr>
              <w:t>年度目标完成情况</w:t>
            </w:r>
          </w:p>
        </w:tc>
      </w:tr>
      <w:tr>
        <w:tblPrEx>
          <w:tblCellMar>
            <w:top w:w="0" w:type="dxa"/>
            <w:left w:w="28" w:type="dxa"/>
            <w:bottom w:w="0" w:type="dxa"/>
            <w:right w:w="28" w:type="dxa"/>
          </w:tblCellMar>
        </w:tblPrEx>
        <w:trPr>
          <w:trHeight w:val="1358"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2526"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18"/>
                <w:szCs w:val="18"/>
              </w:rPr>
            </w:pPr>
            <w:r>
              <w:rPr>
                <w:rFonts w:hint="eastAsia" w:ascii="Times New Roman" w:hAnsi="Times New Roman" w:cs="宋体"/>
                <w:color w:val="000000"/>
                <w:kern w:val="0"/>
                <w:sz w:val="18"/>
                <w:szCs w:val="18"/>
              </w:rPr>
              <w:t>1.完成药品生产企业、药品经营企业、医疗机构、社会第三方委托检验需求；2.完成2022年本市辖区内药品零售、使用单位药品质量抽查检验150批，确保全市人民用药安全；3.完成2022年在用仪器设备检定/校准、期间核查及维护，确保数值溯源，运行正常；4.实现实验室固液危废物、污水集中无害化处置；5.确保实验环境、工作环境安全；6.防止工作区域环境污染事故的发生；7.药品检验检测人才队伍进一步优化，能力进一步提升。</w:t>
            </w:r>
          </w:p>
        </w:tc>
        <w:tc>
          <w:tcPr>
            <w:tcW w:w="1650" w:type="pct"/>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18"/>
                <w:szCs w:val="18"/>
              </w:rPr>
            </w:pPr>
            <w:r>
              <w:rPr>
                <w:rFonts w:hint="eastAsia" w:ascii="Times New Roman" w:hAnsi="Times New Roman" w:cs="宋体"/>
                <w:color w:val="000000"/>
                <w:kern w:val="0"/>
                <w:sz w:val="18"/>
                <w:szCs w:val="18"/>
              </w:rPr>
              <w:t>2022年，完成药品生产企业、药品经营企业、医疗机构、社会第三方委托检验需求；完成2022年本市辖区内药品零售、使用单位药品质量抽查检验150批，确保全市人民用药安全；完成在用仪器设备检定/校准、期间核查及维护，确保数值溯源，运行正常；实现实验室固液危废物、污水集中无害化处置；药品检验检测人才队伍进一步优化，能力进一步提升。</w:t>
            </w:r>
          </w:p>
        </w:tc>
      </w:tr>
      <w:tr>
        <w:tblPrEx>
          <w:tblCellMar>
            <w:top w:w="0" w:type="dxa"/>
            <w:left w:w="28" w:type="dxa"/>
            <w:bottom w:w="0" w:type="dxa"/>
            <w:right w:w="28" w:type="dxa"/>
          </w:tblCellMar>
        </w:tblPrEx>
        <w:trPr>
          <w:trHeight w:val="1482"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2.项目实施内容及过程概述</w:t>
            </w:r>
          </w:p>
        </w:tc>
        <w:tc>
          <w:tcPr>
            <w:tcW w:w="4176" w:type="pct"/>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18"/>
                <w:szCs w:val="18"/>
              </w:rPr>
            </w:pPr>
            <w:r>
              <w:rPr>
                <w:rFonts w:hint="eastAsia" w:ascii="Times New Roman" w:hAnsi="Times New Roman" w:cs="宋体"/>
                <w:color w:val="000000"/>
                <w:kern w:val="0"/>
                <w:sz w:val="18"/>
                <w:szCs w:val="18"/>
              </w:rPr>
              <w:t>为中心药品分管领导负责项目实施，具体抽检工作由中心药品业务科牵头，相关科室配合落实。抽检工作按照《药品质量监督抽验管理规定》及《四川省药品抽验工作绩效考核标准》（2022年）、中心制定的《抽检实施细则》、项目绩效目标要求，药品业务科抽样和支付购样费、样品登记管理、检测科室开展检测、药品业务科出具报告和汇总上报抽检情况。实验室运行维护项目工作由中心质量技术室牵头，相关科室配合落实，具体实施流程为：设备检定/校准由质量技术室依据中心设备年度检定/校准情况，联系有资质的部门开展检定/校准工作，设备使用部门配合开展检定/校准工作，设备维护由设备使用部门依据设备实际运行状态，开展必要的维护/维修工作；人员培训及能力验证依据省局文件要求、部门检测需求，由质量技术室牵头，具体部门实施培训和实施能力验证工作；实验室危废处置工作由办公室牵头，相关科室具体实施。按照业务分管领导要求，各相关科室做好实验室危废品的定点集中收集，办公室安排人员集中废液</w:t>
            </w:r>
            <w:r>
              <w:rPr>
                <w:rFonts w:hint="eastAsia" w:ascii="Times New Roman" w:hAnsi="Times New Roman" w:cs="宋体"/>
                <w:color w:val="000000"/>
                <w:kern w:val="0"/>
                <w:sz w:val="18"/>
                <w:szCs w:val="18"/>
                <w:lang w:eastAsia="zh-CN"/>
              </w:rPr>
              <w:t>至废液</w:t>
            </w:r>
            <w:r>
              <w:rPr>
                <w:rFonts w:hint="eastAsia" w:ascii="Times New Roman" w:hAnsi="Times New Roman" w:cs="宋体"/>
                <w:color w:val="000000"/>
                <w:kern w:val="0"/>
                <w:sz w:val="18"/>
                <w:szCs w:val="18"/>
              </w:rPr>
              <w:t>室保管，危废处置人员开展申报和联系危废处置公司处置。</w:t>
            </w:r>
          </w:p>
        </w:tc>
      </w:tr>
      <w:tr>
        <w:tblPrEx>
          <w:tblCellMar>
            <w:top w:w="0" w:type="dxa"/>
            <w:left w:w="28" w:type="dxa"/>
            <w:bottom w:w="0" w:type="dxa"/>
            <w:right w:w="28" w:type="dxa"/>
          </w:tblCellMar>
        </w:tblPrEx>
        <w:trPr>
          <w:trHeight w:val="499"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预算执行情况（10分）</w:t>
            </w:r>
          </w:p>
        </w:tc>
        <w:tc>
          <w:tcPr>
            <w:tcW w:w="579" w:type="pct"/>
            <w:tcBorders>
              <w:top w:val="nil"/>
              <w:left w:val="nil"/>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年度预算数（万元）</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年初预算</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调整后预算数</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预算执行数</w:t>
            </w: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预算执行率</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权重</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得分</w:t>
            </w:r>
          </w:p>
        </w:tc>
        <w:tc>
          <w:tcPr>
            <w:tcW w:w="89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原因</w:t>
            </w:r>
          </w:p>
        </w:tc>
      </w:tr>
      <w:tr>
        <w:tblPrEx>
          <w:tblCellMar>
            <w:top w:w="0" w:type="dxa"/>
            <w:left w:w="28" w:type="dxa"/>
            <w:bottom w:w="0" w:type="dxa"/>
            <w:right w:w="28" w:type="dxa"/>
          </w:tblCellMar>
        </w:tblPrEx>
        <w:trPr>
          <w:trHeight w:val="499"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总额</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32.97</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32.97</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32.97</w:t>
            </w: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100.00%</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lang w:val="en-US" w:eastAsia="zh-CN"/>
              </w:rPr>
              <w:t>10</w:t>
            </w:r>
          </w:p>
        </w:tc>
        <w:tc>
          <w:tcPr>
            <w:tcW w:w="890"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18"/>
                <w:szCs w:val="18"/>
              </w:rPr>
            </w:pPr>
            <w:r>
              <w:rPr>
                <w:rFonts w:ascii="Times New Roman" w:hAnsi="Times New Roman" w:cs="宋体"/>
                <w:i/>
                <w:iCs/>
                <w:color w:val="000000"/>
                <w:kern w:val="0"/>
                <w:sz w:val="18"/>
                <w:szCs w:val="18"/>
              </w:rPr>
              <w:t>无</w:t>
            </w:r>
          </w:p>
        </w:tc>
      </w:tr>
      <w:tr>
        <w:tblPrEx>
          <w:tblCellMar>
            <w:top w:w="0" w:type="dxa"/>
            <w:left w:w="28" w:type="dxa"/>
            <w:bottom w:w="0" w:type="dxa"/>
            <w:right w:w="28" w:type="dxa"/>
          </w:tblCellMar>
        </w:tblPrEx>
        <w:trPr>
          <w:trHeight w:val="499"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其中：财政资金</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32.97</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32.97</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32.97</w:t>
            </w: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100.00%</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89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18"/>
                <w:szCs w:val="18"/>
              </w:rPr>
            </w:pPr>
          </w:p>
        </w:tc>
      </w:tr>
      <w:tr>
        <w:tblPrEx>
          <w:tblCellMar>
            <w:top w:w="0" w:type="dxa"/>
            <w:left w:w="28" w:type="dxa"/>
            <w:bottom w:w="0" w:type="dxa"/>
            <w:right w:w="28" w:type="dxa"/>
          </w:tblCellMar>
        </w:tblPrEx>
        <w:trPr>
          <w:trHeight w:val="499"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财政专户管理资金</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89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18"/>
                <w:szCs w:val="18"/>
              </w:rPr>
            </w:pPr>
          </w:p>
        </w:tc>
      </w:tr>
      <w:tr>
        <w:tblPrEx>
          <w:tblCellMar>
            <w:top w:w="0" w:type="dxa"/>
            <w:left w:w="28" w:type="dxa"/>
            <w:bottom w:w="0" w:type="dxa"/>
            <w:right w:w="28" w:type="dxa"/>
          </w:tblCellMar>
        </w:tblPrEx>
        <w:trPr>
          <w:trHeight w:val="499"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单位资金</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89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18"/>
                <w:szCs w:val="18"/>
              </w:rPr>
            </w:pPr>
          </w:p>
        </w:tc>
      </w:tr>
      <w:tr>
        <w:tblPrEx>
          <w:tblCellMar>
            <w:top w:w="0" w:type="dxa"/>
            <w:left w:w="28" w:type="dxa"/>
            <w:bottom w:w="0" w:type="dxa"/>
            <w:right w:w="28" w:type="dxa"/>
          </w:tblCellMar>
        </w:tblPrEx>
        <w:trPr>
          <w:trHeight w:val="499"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其他资金</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89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18"/>
                <w:szCs w:val="18"/>
              </w:rPr>
            </w:pPr>
          </w:p>
        </w:tc>
      </w:tr>
      <w:tr>
        <w:tblPrEx>
          <w:tblCellMar>
            <w:top w:w="0" w:type="dxa"/>
            <w:left w:w="28" w:type="dxa"/>
            <w:bottom w:w="0" w:type="dxa"/>
            <w:right w:w="28" w:type="dxa"/>
          </w:tblCellMar>
        </w:tblPrEx>
        <w:trPr>
          <w:trHeight w:val="522"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绩效指标（90分）</w:t>
            </w: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一级指标</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二级指标</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三级指标</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指标性质</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指标值</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度量单位</w:t>
            </w: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完成值</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权重</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得分</w:t>
            </w:r>
          </w:p>
        </w:tc>
        <w:tc>
          <w:tcPr>
            <w:tcW w:w="89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未完成原因分析</w:t>
            </w:r>
          </w:p>
        </w:tc>
      </w:tr>
      <w:tr>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产出指标</w:t>
            </w:r>
          </w:p>
        </w:tc>
        <w:tc>
          <w:tcPr>
            <w:tcW w:w="619"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数量指标</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实验室固液体危废物</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2500</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公斤</w:t>
            </w:r>
          </w:p>
        </w:tc>
        <w:tc>
          <w:tcPr>
            <w:tcW w:w="38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18"/>
                <w:szCs w:val="18"/>
              </w:rPr>
            </w:pPr>
            <w:r>
              <w:rPr>
                <w:rFonts w:hint="eastAsia" w:ascii="Times New Roman" w:hAnsi="Times New Roman" w:cs="宋体"/>
                <w:kern w:val="0"/>
                <w:sz w:val="18"/>
                <w:szCs w:val="18"/>
              </w:rPr>
              <w:t>2888</w:t>
            </w:r>
          </w:p>
        </w:tc>
        <w:tc>
          <w:tcPr>
            <w:tcW w:w="48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3</w:t>
            </w:r>
          </w:p>
        </w:tc>
        <w:tc>
          <w:tcPr>
            <w:tcW w:w="3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3</w:t>
            </w:r>
          </w:p>
        </w:tc>
        <w:tc>
          <w:tcPr>
            <w:tcW w:w="890"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仪器设备维护数量</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300</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台</w:t>
            </w:r>
          </w:p>
        </w:tc>
        <w:tc>
          <w:tcPr>
            <w:tcW w:w="383"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18"/>
                <w:szCs w:val="18"/>
              </w:rPr>
            </w:pPr>
            <w:r>
              <w:rPr>
                <w:rFonts w:hint="eastAsia" w:ascii="Times New Roman" w:hAnsi="Times New Roman" w:cs="宋体"/>
                <w:kern w:val="0"/>
                <w:sz w:val="18"/>
                <w:szCs w:val="18"/>
              </w:rPr>
              <w:t>310</w:t>
            </w:r>
          </w:p>
        </w:tc>
        <w:tc>
          <w:tcPr>
            <w:tcW w:w="48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3</w:t>
            </w:r>
          </w:p>
        </w:tc>
        <w:tc>
          <w:tcPr>
            <w:tcW w:w="396"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3</w:t>
            </w:r>
          </w:p>
        </w:tc>
        <w:tc>
          <w:tcPr>
            <w:tcW w:w="890"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完成2022年度市辖区药品抽样</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150</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批</w:t>
            </w:r>
          </w:p>
        </w:tc>
        <w:tc>
          <w:tcPr>
            <w:tcW w:w="383"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18"/>
                <w:szCs w:val="18"/>
              </w:rPr>
            </w:pPr>
            <w:r>
              <w:rPr>
                <w:rFonts w:hint="eastAsia" w:ascii="Times New Roman" w:hAnsi="Times New Roman" w:cs="宋体"/>
                <w:kern w:val="0"/>
                <w:sz w:val="18"/>
                <w:szCs w:val="18"/>
              </w:rPr>
              <w:t>150</w:t>
            </w:r>
          </w:p>
        </w:tc>
        <w:tc>
          <w:tcPr>
            <w:tcW w:w="48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3</w:t>
            </w:r>
          </w:p>
        </w:tc>
        <w:tc>
          <w:tcPr>
            <w:tcW w:w="396"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3</w:t>
            </w:r>
          </w:p>
        </w:tc>
        <w:tc>
          <w:tcPr>
            <w:tcW w:w="890"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人员培训</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40</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学时</w:t>
            </w:r>
          </w:p>
        </w:tc>
        <w:tc>
          <w:tcPr>
            <w:tcW w:w="383"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18"/>
                <w:szCs w:val="18"/>
              </w:rPr>
            </w:pPr>
            <w:r>
              <w:rPr>
                <w:rFonts w:hint="eastAsia" w:ascii="Times New Roman" w:hAnsi="Times New Roman" w:cs="宋体"/>
                <w:kern w:val="0"/>
                <w:sz w:val="18"/>
                <w:szCs w:val="18"/>
              </w:rPr>
              <w:t>50</w:t>
            </w:r>
          </w:p>
        </w:tc>
        <w:tc>
          <w:tcPr>
            <w:tcW w:w="48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2</w:t>
            </w:r>
          </w:p>
        </w:tc>
        <w:tc>
          <w:tcPr>
            <w:tcW w:w="396"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2</w:t>
            </w:r>
          </w:p>
        </w:tc>
        <w:tc>
          <w:tcPr>
            <w:tcW w:w="890"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外部能力验证</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3</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次</w:t>
            </w:r>
          </w:p>
        </w:tc>
        <w:tc>
          <w:tcPr>
            <w:tcW w:w="383"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18"/>
                <w:szCs w:val="18"/>
              </w:rPr>
            </w:pPr>
            <w:r>
              <w:rPr>
                <w:rFonts w:hint="eastAsia" w:ascii="Times New Roman" w:hAnsi="Times New Roman" w:cs="宋体"/>
                <w:kern w:val="0"/>
                <w:sz w:val="18"/>
                <w:szCs w:val="18"/>
              </w:rPr>
              <w:t>10</w:t>
            </w:r>
          </w:p>
        </w:tc>
        <w:tc>
          <w:tcPr>
            <w:tcW w:w="48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3</w:t>
            </w:r>
          </w:p>
        </w:tc>
        <w:tc>
          <w:tcPr>
            <w:tcW w:w="396"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3</w:t>
            </w:r>
          </w:p>
        </w:tc>
        <w:tc>
          <w:tcPr>
            <w:tcW w:w="890"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药品委托检验批次</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50</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批</w:t>
            </w:r>
          </w:p>
        </w:tc>
        <w:tc>
          <w:tcPr>
            <w:tcW w:w="383"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18"/>
                <w:szCs w:val="18"/>
              </w:rPr>
            </w:pPr>
            <w:r>
              <w:rPr>
                <w:rFonts w:hint="eastAsia" w:ascii="Times New Roman" w:hAnsi="Times New Roman" w:cs="宋体"/>
                <w:kern w:val="0"/>
                <w:sz w:val="18"/>
                <w:szCs w:val="18"/>
              </w:rPr>
              <w:t>156</w:t>
            </w:r>
          </w:p>
        </w:tc>
        <w:tc>
          <w:tcPr>
            <w:tcW w:w="48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5</w:t>
            </w:r>
          </w:p>
        </w:tc>
        <w:tc>
          <w:tcPr>
            <w:tcW w:w="396"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5</w:t>
            </w:r>
          </w:p>
        </w:tc>
        <w:tc>
          <w:tcPr>
            <w:tcW w:w="890"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实验室污水处理</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500</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吨</w:t>
            </w:r>
          </w:p>
        </w:tc>
        <w:tc>
          <w:tcPr>
            <w:tcW w:w="383"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18"/>
                <w:szCs w:val="18"/>
              </w:rPr>
            </w:pPr>
            <w:r>
              <w:rPr>
                <w:rFonts w:hint="eastAsia" w:ascii="Times New Roman" w:hAnsi="Times New Roman" w:cs="宋体"/>
                <w:kern w:val="0"/>
                <w:sz w:val="18"/>
                <w:szCs w:val="18"/>
              </w:rPr>
              <w:t>500</w:t>
            </w:r>
          </w:p>
        </w:tc>
        <w:tc>
          <w:tcPr>
            <w:tcW w:w="48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3</w:t>
            </w:r>
          </w:p>
        </w:tc>
        <w:tc>
          <w:tcPr>
            <w:tcW w:w="396"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3</w:t>
            </w:r>
          </w:p>
        </w:tc>
        <w:tc>
          <w:tcPr>
            <w:tcW w:w="890"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仪器设备检定/校准数量</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155</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台</w:t>
            </w:r>
          </w:p>
        </w:tc>
        <w:tc>
          <w:tcPr>
            <w:tcW w:w="383"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18"/>
                <w:szCs w:val="18"/>
              </w:rPr>
            </w:pPr>
            <w:r>
              <w:rPr>
                <w:rFonts w:hint="eastAsia" w:ascii="Times New Roman" w:hAnsi="Times New Roman" w:cs="宋体"/>
                <w:kern w:val="0"/>
                <w:sz w:val="18"/>
                <w:szCs w:val="18"/>
              </w:rPr>
              <w:t>160</w:t>
            </w:r>
          </w:p>
        </w:tc>
        <w:tc>
          <w:tcPr>
            <w:tcW w:w="18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2</w:t>
            </w:r>
          </w:p>
        </w:tc>
        <w:tc>
          <w:tcPr>
            <w:tcW w:w="194"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color w:val="000000"/>
                <w:kern w:val="0"/>
                <w:sz w:val="18"/>
                <w:szCs w:val="18"/>
                <w:lang w:eastAsia="zh-CN"/>
              </w:rPr>
            </w:pPr>
            <w:r>
              <w:rPr>
                <w:rFonts w:hint="eastAsia" w:ascii="Times New Roman" w:hAnsi="Times New Roman" w:cs="宋体"/>
                <w:color w:val="000000"/>
                <w:kern w:val="0"/>
                <w:sz w:val="18"/>
                <w:szCs w:val="18"/>
                <w:lang w:val="en-US" w:eastAsia="zh-CN"/>
              </w:rPr>
              <w:t>2</w:t>
            </w:r>
          </w:p>
        </w:tc>
        <w:tc>
          <w:tcPr>
            <w:tcW w:w="890"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质量指标</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仪器设备检定/校准、维护合格率</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100</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383"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100</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w:t>
            </w:r>
          </w:p>
        </w:tc>
        <w:tc>
          <w:tcPr>
            <w:tcW w:w="194"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3</w:t>
            </w:r>
          </w:p>
        </w:tc>
        <w:tc>
          <w:tcPr>
            <w:tcW w:w="890"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实验室固体、液体危废物处置率</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100</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100</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w:t>
            </w:r>
          </w:p>
        </w:tc>
        <w:tc>
          <w:tcPr>
            <w:tcW w:w="194"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3</w:t>
            </w:r>
          </w:p>
        </w:tc>
        <w:tc>
          <w:tcPr>
            <w:tcW w:w="890"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根据药品质量标准及委托企业的检验项目检验</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100</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100</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w:t>
            </w:r>
          </w:p>
        </w:tc>
        <w:tc>
          <w:tcPr>
            <w:tcW w:w="194"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3</w:t>
            </w:r>
          </w:p>
        </w:tc>
        <w:tc>
          <w:tcPr>
            <w:tcW w:w="890"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时效指标</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任务完成时间</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2022</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年</w:t>
            </w: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按时完成</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w:t>
            </w:r>
          </w:p>
        </w:tc>
        <w:tc>
          <w:tcPr>
            <w:tcW w:w="396"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5</w:t>
            </w:r>
          </w:p>
        </w:tc>
        <w:tc>
          <w:tcPr>
            <w:tcW w:w="890"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成本指标</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办公费、水电费、劳务费等</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万元</w:t>
            </w:r>
          </w:p>
        </w:tc>
        <w:tc>
          <w:tcPr>
            <w:tcW w:w="38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18"/>
                <w:szCs w:val="18"/>
              </w:rPr>
            </w:pPr>
            <w:r>
              <w:rPr>
                <w:rFonts w:hint="eastAsia" w:ascii="Times New Roman" w:hAnsi="Times New Roman" w:cs="宋体"/>
                <w:kern w:val="0"/>
                <w:sz w:val="18"/>
                <w:szCs w:val="18"/>
              </w:rPr>
              <w:t>按标准执行</w:t>
            </w:r>
          </w:p>
        </w:tc>
        <w:tc>
          <w:tcPr>
            <w:tcW w:w="18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w:t>
            </w:r>
          </w:p>
        </w:tc>
        <w:tc>
          <w:tcPr>
            <w:tcW w:w="396"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3</w:t>
            </w:r>
          </w:p>
        </w:tc>
        <w:tc>
          <w:tcPr>
            <w:tcW w:w="890"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仪器设备检定/校准、维护成本</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13</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万元</w:t>
            </w:r>
          </w:p>
        </w:tc>
        <w:tc>
          <w:tcPr>
            <w:tcW w:w="383"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18"/>
                <w:szCs w:val="18"/>
              </w:rPr>
            </w:pPr>
            <w:r>
              <w:rPr>
                <w:rFonts w:hint="eastAsia" w:ascii="Times New Roman" w:hAnsi="Times New Roman" w:cs="宋体"/>
                <w:kern w:val="0"/>
                <w:sz w:val="18"/>
                <w:szCs w:val="18"/>
              </w:rPr>
              <w:t>按标准执行</w:t>
            </w:r>
          </w:p>
        </w:tc>
        <w:tc>
          <w:tcPr>
            <w:tcW w:w="18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w:t>
            </w:r>
          </w:p>
        </w:tc>
        <w:tc>
          <w:tcPr>
            <w:tcW w:w="396"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5</w:t>
            </w:r>
          </w:p>
        </w:tc>
        <w:tc>
          <w:tcPr>
            <w:tcW w:w="890"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标准物质及实验耗材</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万元</w:t>
            </w:r>
          </w:p>
        </w:tc>
        <w:tc>
          <w:tcPr>
            <w:tcW w:w="383"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18"/>
                <w:szCs w:val="18"/>
              </w:rPr>
            </w:pPr>
            <w:r>
              <w:rPr>
                <w:rFonts w:hint="eastAsia" w:ascii="Times New Roman" w:hAnsi="Times New Roman" w:cs="宋体"/>
                <w:kern w:val="0"/>
                <w:sz w:val="18"/>
                <w:szCs w:val="18"/>
              </w:rPr>
              <w:t>按标准执行</w:t>
            </w:r>
          </w:p>
        </w:tc>
        <w:tc>
          <w:tcPr>
            <w:tcW w:w="18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w:t>
            </w:r>
          </w:p>
        </w:tc>
        <w:tc>
          <w:tcPr>
            <w:tcW w:w="396"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5</w:t>
            </w:r>
          </w:p>
        </w:tc>
        <w:tc>
          <w:tcPr>
            <w:tcW w:w="890"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固液危废物搬运人工劳务及车辆运费等</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0.97</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万元</w:t>
            </w:r>
          </w:p>
        </w:tc>
        <w:tc>
          <w:tcPr>
            <w:tcW w:w="383"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18"/>
                <w:szCs w:val="18"/>
              </w:rPr>
            </w:pPr>
            <w:r>
              <w:rPr>
                <w:rFonts w:hint="eastAsia" w:ascii="Times New Roman" w:hAnsi="Times New Roman" w:cs="宋体"/>
                <w:kern w:val="0"/>
                <w:sz w:val="18"/>
                <w:szCs w:val="18"/>
              </w:rPr>
              <w:t>按标准执行</w:t>
            </w:r>
          </w:p>
        </w:tc>
        <w:tc>
          <w:tcPr>
            <w:tcW w:w="18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w:t>
            </w:r>
          </w:p>
        </w:tc>
        <w:tc>
          <w:tcPr>
            <w:tcW w:w="396"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3</w:t>
            </w:r>
          </w:p>
        </w:tc>
        <w:tc>
          <w:tcPr>
            <w:tcW w:w="890"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实验室固液体、污水危废物处置费</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4</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万元</w:t>
            </w:r>
          </w:p>
        </w:tc>
        <w:tc>
          <w:tcPr>
            <w:tcW w:w="383"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18"/>
                <w:szCs w:val="18"/>
              </w:rPr>
            </w:pPr>
            <w:r>
              <w:rPr>
                <w:rFonts w:hint="eastAsia" w:ascii="Times New Roman" w:hAnsi="Times New Roman" w:cs="宋体"/>
                <w:kern w:val="0"/>
                <w:sz w:val="18"/>
                <w:szCs w:val="18"/>
              </w:rPr>
              <w:t>按标准执行</w:t>
            </w:r>
          </w:p>
        </w:tc>
        <w:tc>
          <w:tcPr>
            <w:tcW w:w="18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3</w:t>
            </w:r>
          </w:p>
        </w:tc>
        <w:tc>
          <w:tcPr>
            <w:tcW w:w="396"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3</w:t>
            </w:r>
          </w:p>
        </w:tc>
        <w:tc>
          <w:tcPr>
            <w:tcW w:w="890"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人员培训、能力提升</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万元</w:t>
            </w:r>
          </w:p>
        </w:tc>
        <w:tc>
          <w:tcPr>
            <w:tcW w:w="383"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18"/>
                <w:szCs w:val="18"/>
              </w:rPr>
            </w:pPr>
            <w:r>
              <w:rPr>
                <w:rFonts w:hint="eastAsia" w:ascii="Times New Roman" w:hAnsi="Times New Roman" w:cs="宋体"/>
                <w:kern w:val="0"/>
                <w:sz w:val="18"/>
                <w:szCs w:val="18"/>
              </w:rPr>
              <w:t>按标准执行</w:t>
            </w:r>
          </w:p>
        </w:tc>
        <w:tc>
          <w:tcPr>
            <w:tcW w:w="18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3</w:t>
            </w:r>
          </w:p>
        </w:tc>
        <w:tc>
          <w:tcPr>
            <w:tcW w:w="396"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3</w:t>
            </w:r>
          </w:p>
        </w:tc>
        <w:tc>
          <w:tcPr>
            <w:tcW w:w="890"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效益指标</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社会效益指标</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药品检验检测能力</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定性</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高中低</w:t>
            </w:r>
          </w:p>
        </w:tc>
        <w:tc>
          <w:tcPr>
            <w:tcW w:w="18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级</w:t>
            </w:r>
          </w:p>
        </w:tc>
        <w:tc>
          <w:tcPr>
            <w:tcW w:w="383"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中</w:t>
            </w:r>
          </w:p>
        </w:tc>
        <w:tc>
          <w:tcPr>
            <w:tcW w:w="18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w:t>
            </w:r>
          </w:p>
        </w:tc>
        <w:tc>
          <w:tcPr>
            <w:tcW w:w="396"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5</w:t>
            </w:r>
          </w:p>
        </w:tc>
        <w:tc>
          <w:tcPr>
            <w:tcW w:w="890"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生态效益指标</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检测区域环保状况</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定性</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高中低</w:t>
            </w:r>
          </w:p>
        </w:tc>
        <w:tc>
          <w:tcPr>
            <w:tcW w:w="181"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级</w:t>
            </w:r>
          </w:p>
        </w:tc>
        <w:tc>
          <w:tcPr>
            <w:tcW w:w="383"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优</w:t>
            </w:r>
          </w:p>
        </w:tc>
        <w:tc>
          <w:tcPr>
            <w:tcW w:w="18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w:t>
            </w:r>
          </w:p>
        </w:tc>
        <w:tc>
          <w:tcPr>
            <w:tcW w:w="396"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5</w:t>
            </w:r>
          </w:p>
        </w:tc>
        <w:tc>
          <w:tcPr>
            <w:tcW w:w="890"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可持续影响指标</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药品检验检测能力</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定性</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高中低</w:t>
            </w:r>
          </w:p>
        </w:tc>
        <w:tc>
          <w:tcPr>
            <w:tcW w:w="181"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级</w:t>
            </w:r>
          </w:p>
        </w:tc>
        <w:tc>
          <w:tcPr>
            <w:tcW w:w="383"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优</w:t>
            </w:r>
          </w:p>
        </w:tc>
        <w:tc>
          <w:tcPr>
            <w:tcW w:w="18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w:t>
            </w:r>
          </w:p>
        </w:tc>
        <w:tc>
          <w:tcPr>
            <w:tcW w:w="396"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5</w:t>
            </w:r>
          </w:p>
        </w:tc>
        <w:tc>
          <w:tcPr>
            <w:tcW w:w="890"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满意度指标</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服务对象满意度指标</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第三方对委托检验满意度</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90</w:t>
            </w:r>
          </w:p>
        </w:tc>
        <w:tc>
          <w:tcPr>
            <w:tcW w:w="181"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383"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90</w:t>
            </w:r>
          </w:p>
        </w:tc>
        <w:tc>
          <w:tcPr>
            <w:tcW w:w="18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w:t>
            </w:r>
          </w:p>
        </w:tc>
        <w:tc>
          <w:tcPr>
            <w:tcW w:w="396"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5</w:t>
            </w:r>
          </w:p>
        </w:tc>
        <w:tc>
          <w:tcPr>
            <w:tcW w:w="890"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tblPrEx>
          <w:tblCellMar>
            <w:top w:w="0" w:type="dxa"/>
            <w:left w:w="28" w:type="dxa"/>
            <w:bottom w:w="0" w:type="dxa"/>
            <w:right w:w="28" w:type="dxa"/>
          </w:tblCellMar>
        </w:tblPrEx>
        <w:trPr>
          <w:trHeight w:val="402" w:hRule="atLeast"/>
        </w:trPr>
        <w:tc>
          <w:tcPr>
            <w:tcW w:w="373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合计</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100</w:t>
            </w:r>
          </w:p>
        </w:tc>
        <w:tc>
          <w:tcPr>
            <w:tcW w:w="194"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96</w:t>
            </w:r>
          </w:p>
        </w:tc>
        <w:tc>
          <w:tcPr>
            <w:tcW w:w="89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r>
      <w:tr>
        <w:tblPrEx>
          <w:tblCellMar>
            <w:top w:w="0" w:type="dxa"/>
            <w:left w:w="28" w:type="dxa"/>
            <w:bottom w:w="0" w:type="dxa"/>
            <w:right w:w="28" w:type="dxa"/>
          </w:tblCellMar>
        </w:tblPrEx>
        <w:trPr>
          <w:trHeight w:val="942" w:hRule="atLeast"/>
        </w:trPr>
        <w:tc>
          <w:tcPr>
            <w:tcW w:w="24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评价结论</w:t>
            </w:r>
          </w:p>
        </w:tc>
        <w:tc>
          <w:tcPr>
            <w:tcW w:w="4756"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18"/>
                <w:szCs w:val="18"/>
              </w:rPr>
            </w:pPr>
            <w:r>
              <w:rPr>
                <w:rFonts w:hint="eastAsia" w:ascii="Times New Roman" w:hAnsi="Times New Roman" w:cs="宋体"/>
                <w:color w:val="000000"/>
                <w:kern w:val="0"/>
                <w:sz w:val="18"/>
                <w:szCs w:val="18"/>
              </w:rPr>
              <w:t>绩效自评得分96分，项目总体运行良好，完成了年初制定的绩效目标。通过该项目的实施，提升了中心检验检测能力和人员队伍素质，为开展药品检测、危废物处置提供了保障，确保了废物排放环境安全，中心通过药品检验，有效地保障了用药安全，为药品安全提供了技术保障。</w:t>
            </w:r>
          </w:p>
        </w:tc>
      </w:tr>
      <w:tr>
        <w:tblPrEx>
          <w:tblCellMar>
            <w:top w:w="0" w:type="dxa"/>
            <w:left w:w="28" w:type="dxa"/>
            <w:bottom w:w="0" w:type="dxa"/>
            <w:right w:w="28" w:type="dxa"/>
          </w:tblCellMar>
        </w:tblPrEx>
        <w:trPr>
          <w:trHeight w:val="942" w:hRule="atLeast"/>
        </w:trPr>
        <w:tc>
          <w:tcPr>
            <w:tcW w:w="24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存在问题</w:t>
            </w:r>
          </w:p>
        </w:tc>
        <w:tc>
          <w:tcPr>
            <w:tcW w:w="4756"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18"/>
                <w:szCs w:val="18"/>
              </w:rPr>
            </w:pPr>
            <w:r>
              <w:rPr>
                <w:rFonts w:hint="eastAsia" w:ascii="Times New Roman" w:hAnsi="Times New Roman" w:cs="宋体"/>
                <w:color w:val="000000"/>
                <w:kern w:val="0"/>
                <w:sz w:val="18"/>
                <w:szCs w:val="18"/>
              </w:rPr>
              <w:t>主要是经济成本指标中办公费、水电费、劳务费以及固液危废物搬运人工劳务及车辆运费等超出了绩效指标，主要是检测任务有较大增加，其中药品委托检验批次指标值为50批次，实际完成156批次，超额完成212%； 2022年度市辖区药品抽样150批次，实际完成278批次，超额完成185%。</w:t>
            </w:r>
          </w:p>
        </w:tc>
      </w:tr>
      <w:tr>
        <w:tblPrEx>
          <w:tblCellMar>
            <w:top w:w="0" w:type="dxa"/>
            <w:left w:w="28" w:type="dxa"/>
            <w:bottom w:w="0" w:type="dxa"/>
            <w:right w:w="28" w:type="dxa"/>
          </w:tblCellMar>
        </w:tblPrEx>
        <w:trPr>
          <w:trHeight w:val="942" w:hRule="atLeast"/>
        </w:trPr>
        <w:tc>
          <w:tcPr>
            <w:tcW w:w="24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改进措施</w:t>
            </w:r>
          </w:p>
        </w:tc>
        <w:tc>
          <w:tcPr>
            <w:tcW w:w="4756"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18"/>
                <w:szCs w:val="18"/>
              </w:rPr>
            </w:pPr>
            <w:r>
              <w:rPr>
                <w:rFonts w:hint="eastAsia" w:ascii="Times New Roman" w:hAnsi="Times New Roman" w:cs="宋体"/>
                <w:color w:val="000000"/>
                <w:kern w:val="0"/>
                <w:sz w:val="18"/>
                <w:szCs w:val="18"/>
              </w:rPr>
              <w:t>下一步改进措施，按照上年度各项工作和各项指标完成情况，仔细测算下年度各项指标，按照实际情况合理调整，严格控制各项支出。</w:t>
            </w:r>
          </w:p>
        </w:tc>
      </w:tr>
      <w:tr>
        <w:tblPrEx>
          <w:tblCellMar>
            <w:top w:w="0" w:type="dxa"/>
            <w:left w:w="28" w:type="dxa"/>
            <w:bottom w:w="0" w:type="dxa"/>
            <w:right w:w="28" w:type="dxa"/>
          </w:tblCellMar>
        </w:tblPrEx>
        <w:trPr>
          <w:trHeight w:val="480" w:hRule="atLeast"/>
        </w:trPr>
        <w:tc>
          <w:tcPr>
            <w:tcW w:w="258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18"/>
                <w:szCs w:val="18"/>
              </w:rPr>
            </w:pPr>
            <w:r>
              <w:rPr>
                <w:rFonts w:ascii="Times New Roman" w:hAnsi="Times New Roman" w:cs="宋体"/>
                <w:color w:val="000000"/>
                <w:kern w:val="0"/>
                <w:sz w:val="18"/>
                <w:szCs w:val="18"/>
              </w:rPr>
              <w:t>项目负责人：赵扬</w:t>
            </w:r>
          </w:p>
        </w:tc>
        <w:tc>
          <w:tcPr>
            <w:tcW w:w="2416" w:type="pct"/>
            <w:gridSpan w:val="6"/>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18"/>
                <w:szCs w:val="18"/>
              </w:rPr>
            </w:pPr>
            <w:r>
              <w:rPr>
                <w:rFonts w:ascii="Times New Roman" w:hAnsi="Times New Roman" w:cs="宋体"/>
                <w:color w:val="000000"/>
                <w:kern w:val="0"/>
                <w:sz w:val="18"/>
                <w:szCs w:val="18"/>
              </w:rPr>
              <w:t>财务负责人：辜炯益</w:t>
            </w:r>
          </w:p>
        </w:tc>
      </w:tr>
    </w:tbl>
    <w:p>
      <w:pPr>
        <w:pStyle w:val="5"/>
        <w:rPr>
          <w:rFonts w:ascii="Times New Roman" w:hAnsi="Times New Roman" w:eastAsia="仿宋"/>
          <w:sz w:val="20"/>
          <w:szCs w:val="20"/>
        </w:rPr>
      </w:pPr>
    </w:p>
    <w:p>
      <w:pPr>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br w:type="page"/>
      </w:r>
    </w:p>
    <w:p>
      <w:pPr>
        <w:pStyle w:val="5"/>
        <w:ind w:firstLine="960" w:firstLineChars="3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附表9:</w:t>
      </w:r>
    </w:p>
    <w:tbl>
      <w:tblPr>
        <w:tblStyle w:val="12"/>
        <w:tblW w:w="5000" w:type="pct"/>
        <w:tblInd w:w="0" w:type="dxa"/>
        <w:tblLayout w:type="autofit"/>
        <w:tblCellMar>
          <w:top w:w="0" w:type="dxa"/>
          <w:left w:w="28" w:type="dxa"/>
          <w:bottom w:w="0" w:type="dxa"/>
          <w:right w:w="28" w:type="dxa"/>
        </w:tblCellMar>
      </w:tblPr>
      <w:tblGrid>
        <w:gridCol w:w="465"/>
        <w:gridCol w:w="1676"/>
        <w:gridCol w:w="1255"/>
        <w:gridCol w:w="1970"/>
        <w:gridCol w:w="337"/>
        <w:gridCol w:w="1182"/>
        <w:gridCol w:w="337"/>
        <w:gridCol w:w="763"/>
        <w:gridCol w:w="334"/>
        <w:gridCol w:w="363"/>
        <w:gridCol w:w="1828"/>
      </w:tblGrid>
      <w:tr>
        <w:tblPrEx>
          <w:tblCellMar>
            <w:top w:w="0" w:type="dxa"/>
            <w:left w:w="28" w:type="dxa"/>
            <w:bottom w:w="0" w:type="dxa"/>
            <w:right w:w="28" w:type="dxa"/>
          </w:tblCellMar>
        </w:tblPrEx>
        <w:trPr>
          <w:trHeight w:val="62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黑体" w:cs="宋体"/>
                <w:b/>
                <w:bCs/>
                <w:color w:val="000000"/>
                <w:kern w:val="0"/>
                <w:sz w:val="30"/>
                <w:szCs w:val="30"/>
              </w:rPr>
            </w:pPr>
            <w:r>
              <w:rPr>
                <w:rFonts w:hint="eastAsia" w:ascii="Times New Roman" w:hAnsi="Times New Roman" w:eastAsia="黑体" w:cs="宋体"/>
                <w:b/>
                <w:bCs/>
                <w:color w:val="000000"/>
                <w:kern w:val="0"/>
                <w:sz w:val="30"/>
                <w:szCs w:val="30"/>
              </w:rPr>
              <w:t>部门预算项目支出绩效自评表（2022年度）</w:t>
            </w:r>
          </w:p>
        </w:tc>
      </w:tr>
      <w:tr>
        <w:tblPrEx>
          <w:tblCellMar>
            <w:top w:w="0" w:type="dxa"/>
            <w:left w:w="28" w:type="dxa"/>
            <w:bottom w:w="0" w:type="dxa"/>
            <w:right w:w="28" w:type="dxa"/>
          </w:tblCellMar>
        </w:tblPrEx>
        <w:trPr>
          <w:trHeight w:val="285" w:hRule="atLeast"/>
        </w:trPr>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项目名称</w:t>
            </w:r>
          </w:p>
        </w:tc>
        <w:tc>
          <w:tcPr>
            <w:tcW w:w="4176" w:type="pct"/>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51080022T000000354993-乡村振兴经费</w:t>
            </w:r>
          </w:p>
        </w:tc>
      </w:tr>
      <w:tr>
        <w:tblPrEx>
          <w:tblCellMar>
            <w:top w:w="0" w:type="dxa"/>
            <w:left w:w="28" w:type="dxa"/>
            <w:bottom w:w="0" w:type="dxa"/>
            <w:right w:w="28" w:type="dxa"/>
          </w:tblCellMar>
        </w:tblPrEx>
        <w:trPr>
          <w:trHeight w:val="514" w:hRule="atLeast"/>
        </w:trPr>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主管部门</w:t>
            </w:r>
          </w:p>
        </w:tc>
        <w:tc>
          <w:tcPr>
            <w:tcW w:w="2526"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广元市市场监督管理局部门</w:t>
            </w:r>
          </w:p>
        </w:tc>
        <w:tc>
          <w:tcPr>
            <w:tcW w:w="383"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18"/>
                <w:szCs w:val="18"/>
              </w:rPr>
            </w:pPr>
            <w:r>
              <w:rPr>
                <w:rFonts w:ascii="Times New Roman" w:hAnsi="Times New Roman" w:cs="宋体"/>
                <w:color w:val="000000"/>
                <w:kern w:val="0"/>
                <w:sz w:val="18"/>
                <w:szCs w:val="18"/>
              </w:rPr>
              <w:t>实施单位 （盖章）</w:t>
            </w:r>
          </w:p>
        </w:tc>
        <w:tc>
          <w:tcPr>
            <w:tcW w:w="12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广元市食品药品检验检测中心</w:t>
            </w:r>
          </w:p>
        </w:tc>
      </w:tr>
      <w:tr>
        <w:tblPrEx>
          <w:tblCellMar>
            <w:top w:w="0" w:type="dxa"/>
            <w:left w:w="28" w:type="dxa"/>
            <w:bottom w:w="0" w:type="dxa"/>
            <w:right w:w="28" w:type="dxa"/>
          </w:tblCellMar>
        </w:tblPrEx>
        <w:trPr>
          <w:trHeight w:val="285"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项目基本情况</w:t>
            </w: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1.项目年度目标完成情况</w:t>
            </w:r>
          </w:p>
        </w:tc>
        <w:tc>
          <w:tcPr>
            <w:tcW w:w="2526"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项目年度目标</w:t>
            </w:r>
          </w:p>
        </w:tc>
        <w:tc>
          <w:tcPr>
            <w:tcW w:w="1650" w:type="pct"/>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18"/>
                <w:szCs w:val="18"/>
              </w:rPr>
            </w:pPr>
            <w:r>
              <w:rPr>
                <w:rFonts w:ascii="Times New Roman" w:hAnsi="Times New Roman" w:cs="宋体"/>
                <w:color w:val="000000"/>
                <w:kern w:val="0"/>
                <w:sz w:val="18"/>
                <w:szCs w:val="18"/>
              </w:rPr>
              <w:t>年度目标完成情况</w:t>
            </w:r>
          </w:p>
        </w:tc>
      </w:tr>
      <w:tr>
        <w:tblPrEx>
          <w:tblCellMar>
            <w:top w:w="0" w:type="dxa"/>
            <w:left w:w="28" w:type="dxa"/>
            <w:bottom w:w="0" w:type="dxa"/>
            <w:right w:w="28" w:type="dxa"/>
          </w:tblCellMar>
        </w:tblPrEx>
        <w:trPr>
          <w:trHeight w:val="642"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2526"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完成苍溪民主村巩固提升规划、防止返贫，促进帮扶村集体经济发展。</w:t>
            </w:r>
          </w:p>
        </w:tc>
        <w:tc>
          <w:tcPr>
            <w:tcW w:w="1650" w:type="pct"/>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18"/>
                <w:szCs w:val="18"/>
              </w:rPr>
            </w:pPr>
            <w:r>
              <w:rPr>
                <w:rFonts w:ascii="Times New Roman" w:hAnsi="Times New Roman" w:cs="宋体"/>
                <w:color w:val="000000"/>
                <w:kern w:val="0"/>
                <w:sz w:val="18"/>
                <w:szCs w:val="18"/>
              </w:rPr>
              <w:t>2022年完成苍溪民主村巩固提升规划、防止返贫，促进帮扶村集体经济发展。</w:t>
            </w:r>
          </w:p>
        </w:tc>
      </w:tr>
      <w:tr>
        <w:tblPrEx>
          <w:tblCellMar>
            <w:top w:w="0" w:type="dxa"/>
            <w:left w:w="28" w:type="dxa"/>
            <w:bottom w:w="0" w:type="dxa"/>
            <w:right w:w="28" w:type="dxa"/>
          </w:tblCellMar>
        </w:tblPrEx>
        <w:trPr>
          <w:trHeight w:val="582"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2.项目实施内容及过程概述</w:t>
            </w:r>
          </w:p>
        </w:tc>
        <w:tc>
          <w:tcPr>
            <w:tcW w:w="4176" w:type="pct"/>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按照全市乡村振兴工作要求，继续巩固脱贫成果，严禁已脱贫人员返贫，实现乡村振兴有效衔接，大力发展产业，抓好招商引资，不断壮大村社集体经济，人均收入实现逐年增加。</w:t>
            </w:r>
          </w:p>
        </w:tc>
      </w:tr>
      <w:tr>
        <w:tblPrEx>
          <w:tblCellMar>
            <w:top w:w="0" w:type="dxa"/>
            <w:left w:w="28" w:type="dxa"/>
            <w:bottom w:w="0" w:type="dxa"/>
            <w:right w:w="28" w:type="dxa"/>
          </w:tblCellMar>
        </w:tblPrEx>
        <w:trPr>
          <w:trHeight w:val="360"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预算执行情况（10分）</w:t>
            </w:r>
          </w:p>
        </w:tc>
        <w:tc>
          <w:tcPr>
            <w:tcW w:w="579" w:type="pct"/>
            <w:tcBorders>
              <w:top w:val="nil"/>
              <w:left w:val="nil"/>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年度预算数（万元）</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年初预算</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调整后预算数</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预算执行数</w:t>
            </w: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预算执行率</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权重</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得分</w:t>
            </w:r>
          </w:p>
        </w:tc>
        <w:tc>
          <w:tcPr>
            <w:tcW w:w="89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原因</w:t>
            </w:r>
          </w:p>
        </w:tc>
      </w:tr>
      <w:tr>
        <w:tblPrEx>
          <w:tblCellMar>
            <w:top w:w="0" w:type="dxa"/>
            <w:left w:w="28" w:type="dxa"/>
            <w:bottom w:w="0" w:type="dxa"/>
            <w:right w:w="28" w:type="dxa"/>
          </w:tblCellMar>
        </w:tblPrEx>
        <w:trPr>
          <w:trHeight w:val="342"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总额</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3.64</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3.64</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3.64</w:t>
            </w: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100.00%</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lang w:val="en-US" w:eastAsia="zh-CN"/>
              </w:rPr>
              <w:t>10</w:t>
            </w:r>
          </w:p>
        </w:tc>
        <w:tc>
          <w:tcPr>
            <w:tcW w:w="890"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18"/>
                <w:szCs w:val="18"/>
              </w:rPr>
            </w:pPr>
            <w:r>
              <w:rPr>
                <w:rFonts w:ascii="Times New Roman" w:hAnsi="Times New Roman" w:cs="宋体"/>
                <w:i/>
                <w:iCs/>
                <w:color w:val="000000"/>
                <w:kern w:val="0"/>
                <w:sz w:val="18"/>
                <w:szCs w:val="18"/>
              </w:rPr>
              <w:t>无</w:t>
            </w:r>
          </w:p>
        </w:tc>
      </w:tr>
      <w:tr>
        <w:tblPrEx>
          <w:tblCellMar>
            <w:top w:w="0" w:type="dxa"/>
            <w:left w:w="28" w:type="dxa"/>
            <w:bottom w:w="0" w:type="dxa"/>
            <w:right w:w="28" w:type="dxa"/>
          </w:tblCellMar>
        </w:tblPrEx>
        <w:trPr>
          <w:trHeight w:val="342"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其中：财政资金</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3.64</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3.64</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3.64</w:t>
            </w: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100.00%</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89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18"/>
                <w:szCs w:val="18"/>
              </w:rPr>
            </w:pPr>
          </w:p>
        </w:tc>
      </w:tr>
      <w:tr>
        <w:tblPrEx>
          <w:tblCellMar>
            <w:top w:w="0" w:type="dxa"/>
            <w:left w:w="28" w:type="dxa"/>
            <w:bottom w:w="0" w:type="dxa"/>
            <w:right w:w="28" w:type="dxa"/>
          </w:tblCellMar>
        </w:tblPrEx>
        <w:trPr>
          <w:trHeight w:val="342"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财政专户管理资金</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89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18"/>
                <w:szCs w:val="18"/>
              </w:rPr>
            </w:pPr>
          </w:p>
        </w:tc>
      </w:tr>
      <w:tr>
        <w:tblPrEx>
          <w:tblCellMar>
            <w:top w:w="0" w:type="dxa"/>
            <w:left w:w="28" w:type="dxa"/>
            <w:bottom w:w="0" w:type="dxa"/>
            <w:right w:w="28" w:type="dxa"/>
          </w:tblCellMar>
        </w:tblPrEx>
        <w:trPr>
          <w:trHeight w:val="342"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单位资金</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89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18"/>
                <w:szCs w:val="18"/>
              </w:rPr>
            </w:pPr>
          </w:p>
        </w:tc>
      </w:tr>
      <w:tr>
        <w:tblPrEx>
          <w:tblCellMar>
            <w:top w:w="0" w:type="dxa"/>
            <w:left w:w="28" w:type="dxa"/>
            <w:bottom w:w="0" w:type="dxa"/>
            <w:right w:w="28" w:type="dxa"/>
          </w:tblCellMar>
        </w:tblPrEx>
        <w:trPr>
          <w:trHeight w:val="342"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其他资金</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89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18"/>
                <w:szCs w:val="18"/>
              </w:rPr>
            </w:pPr>
          </w:p>
        </w:tc>
      </w:tr>
      <w:tr>
        <w:tblPrEx>
          <w:tblCellMar>
            <w:top w:w="0" w:type="dxa"/>
            <w:left w:w="28" w:type="dxa"/>
            <w:bottom w:w="0" w:type="dxa"/>
            <w:right w:w="28" w:type="dxa"/>
          </w:tblCellMar>
        </w:tblPrEx>
        <w:trPr>
          <w:trHeight w:val="454"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绩效指标（90分）</w:t>
            </w: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一级指标</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二级指标</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三级指标</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指标性质</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指标值</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度量单位</w:t>
            </w: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完成值</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权重</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得分</w:t>
            </w:r>
          </w:p>
        </w:tc>
        <w:tc>
          <w:tcPr>
            <w:tcW w:w="89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未完成原因分析</w:t>
            </w:r>
          </w:p>
        </w:tc>
      </w:tr>
      <w:tr>
        <w:tblPrEx>
          <w:tblCellMar>
            <w:top w:w="0" w:type="dxa"/>
            <w:left w:w="28" w:type="dxa"/>
            <w:bottom w:w="0" w:type="dxa"/>
            <w:right w:w="28" w:type="dxa"/>
          </w:tblCellMar>
        </w:tblPrEx>
        <w:trPr>
          <w:trHeight w:val="259"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产出指标</w:t>
            </w:r>
          </w:p>
        </w:tc>
        <w:tc>
          <w:tcPr>
            <w:tcW w:w="619"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数量指标</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帮助解决群众困难问题</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3</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个</w:t>
            </w: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3</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19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890"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tblPrEx>
          <w:tblCellMar>
            <w:top w:w="0" w:type="dxa"/>
            <w:left w:w="28" w:type="dxa"/>
            <w:bottom w:w="0" w:type="dxa"/>
            <w:right w:w="28" w:type="dxa"/>
          </w:tblCellMar>
        </w:tblPrEx>
        <w:trPr>
          <w:trHeight w:val="259"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完成苍溪民主村两月入户次数</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次</w:t>
            </w: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2</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194"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890"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tblPrEx>
          <w:tblCellMar>
            <w:top w:w="0" w:type="dxa"/>
            <w:left w:w="28" w:type="dxa"/>
            <w:bottom w:w="0" w:type="dxa"/>
            <w:right w:w="28" w:type="dxa"/>
          </w:tblCellMar>
        </w:tblPrEx>
        <w:trPr>
          <w:trHeight w:val="420"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质量指标</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完成苍溪民主村巩固提升、防止返贫率</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100</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100</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194"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890"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tblPrEx>
          <w:tblCellMar>
            <w:top w:w="0" w:type="dxa"/>
            <w:left w:w="28" w:type="dxa"/>
            <w:bottom w:w="0" w:type="dxa"/>
            <w:right w:w="28" w:type="dxa"/>
          </w:tblCellMar>
        </w:tblPrEx>
        <w:trPr>
          <w:trHeight w:val="259"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时效指标</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任务完成时间</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2022</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年</w:t>
            </w: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2022</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194"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890"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tblPrEx>
          <w:tblCellMar>
            <w:top w:w="0" w:type="dxa"/>
            <w:left w:w="28" w:type="dxa"/>
            <w:bottom w:w="0" w:type="dxa"/>
            <w:right w:w="28" w:type="dxa"/>
          </w:tblCellMar>
        </w:tblPrEx>
        <w:trPr>
          <w:trHeight w:val="259"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成本指标</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驻村人员生活补助</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2.64</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万元</w:t>
            </w: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2.62</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194"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890"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tblPrEx>
          <w:tblCellMar>
            <w:top w:w="0" w:type="dxa"/>
            <w:left w:w="28" w:type="dxa"/>
            <w:bottom w:w="0" w:type="dxa"/>
            <w:right w:w="28" w:type="dxa"/>
          </w:tblCellMar>
        </w:tblPrEx>
        <w:trPr>
          <w:trHeight w:val="259"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驻村人员工作补助</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万元</w:t>
            </w: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1.02</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194"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890"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tblPrEx>
          <w:tblCellMar>
            <w:top w:w="0" w:type="dxa"/>
            <w:left w:w="28" w:type="dxa"/>
            <w:bottom w:w="0" w:type="dxa"/>
            <w:right w:w="28" w:type="dxa"/>
          </w:tblCellMar>
        </w:tblPrEx>
        <w:trPr>
          <w:trHeight w:val="259"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效果指标</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巩固脱贫成果</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定性</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高中低</w:t>
            </w:r>
          </w:p>
        </w:tc>
        <w:tc>
          <w:tcPr>
            <w:tcW w:w="18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级</w:t>
            </w:r>
          </w:p>
        </w:tc>
        <w:tc>
          <w:tcPr>
            <w:tcW w:w="38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color w:val="000000"/>
                <w:kern w:val="0"/>
                <w:sz w:val="18"/>
                <w:szCs w:val="18"/>
                <w:lang w:eastAsia="zh-CN"/>
              </w:rPr>
            </w:pPr>
            <w:r>
              <w:rPr>
                <w:rFonts w:hint="eastAsia" w:ascii="Times New Roman" w:hAnsi="Times New Roman" w:cs="宋体"/>
                <w:color w:val="000000"/>
                <w:kern w:val="0"/>
                <w:sz w:val="18"/>
                <w:szCs w:val="18"/>
                <w:lang w:eastAsia="zh-CN"/>
              </w:rPr>
              <w:t>高</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194"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890"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tblPrEx>
          <w:tblCellMar>
            <w:top w:w="0" w:type="dxa"/>
            <w:left w:w="28" w:type="dxa"/>
            <w:bottom w:w="0" w:type="dxa"/>
            <w:right w:w="28" w:type="dxa"/>
          </w:tblCellMar>
        </w:tblPrEx>
        <w:trPr>
          <w:trHeight w:val="439"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效益指标</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可持续影响指标</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完成各项乡村振兴工作，产业得到发展</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定性</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高中低</w:t>
            </w:r>
          </w:p>
        </w:tc>
        <w:tc>
          <w:tcPr>
            <w:tcW w:w="181"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级</w:t>
            </w:r>
          </w:p>
        </w:tc>
        <w:tc>
          <w:tcPr>
            <w:tcW w:w="38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color w:val="000000"/>
                <w:kern w:val="0"/>
                <w:sz w:val="18"/>
                <w:szCs w:val="18"/>
                <w:lang w:eastAsia="zh-CN"/>
              </w:rPr>
            </w:pPr>
            <w:r>
              <w:rPr>
                <w:rFonts w:hint="eastAsia" w:ascii="Times New Roman" w:hAnsi="Times New Roman" w:cs="宋体"/>
                <w:color w:val="000000"/>
                <w:kern w:val="0"/>
                <w:sz w:val="18"/>
                <w:szCs w:val="18"/>
                <w:lang w:eastAsia="zh-CN"/>
              </w:rPr>
              <w:t>中</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194"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9</w:t>
            </w:r>
          </w:p>
        </w:tc>
        <w:tc>
          <w:tcPr>
            <w:tcW w:w="890"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tblPrEx>
          <w:tblCellMar>
            <w:top w:w="0" w:type="dxa"/>
            <w:left w:w="28" w:type="dxa"/>
            <w:bottom w:w="0" w:type="dxa"/>
            <w:right w:w="28" w:type="dxa"/>
          </w:tblCellMar>
        </w:tblPrEx>
        <w:trPr>
          <w:trHeight w:val="259"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满意度指标</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帮扶对象满意度指标</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老百姓满意度</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95</w:t>
            </w:r>
          </w:p>
        </w:tc>
        <w:tc>
          <w:tcPr>
            <w:tcW w:w="181"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95</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194"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890"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tblPrEx>
          <w:tblCellMar>
            <w:top w:w="0" w:type="dxa"/>
            <w:left w:w="28" w:type="dxa"/>
            <w:bottom w:w="0" w:type="dxa"/>
            <w:right w:w="28" w:type="dxa"/>
          </w:tblCellMar>
        </w:tblPrEx>
        <w:trPr>
          <w:trHeight w:val="285" w:hRule="atLeast"/>
        </w:trPr>
        <w:tc>
          <w:tcPr>
            <w:tcW w:w="3733" w:type="pct"/>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合计</w:t>
            </w:r>
          </w:p>
        </w:tc>
        <w:tc>
          <w:tcPr>
            <w:tcW w:w="181" w:type="pct"/>
            <w:tcBorders>
              <w:top w:val="nil"/>
              <w:left w:val="nil"/>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100</w:t>
            </w:r>
          </w:p>
        </w:tc>
        <w:tc>
          <w:tcPr>
            <w:tcW w:w="194" w:type="pct"/>
            <w:tcBorders>
              <w:top w:val="nil"/>
              <w:left w:val="single" w:color="auto" w:sz="4" w:space="0"/>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99</w:t>
            </w:r>
          </w:p>
        </w:tc>
        <w:tc>
          <w:tcPr>
            <w:tcW w:w="890" w:type="pct"/>
            <w:tcBorders>
              <w:top w:val="nil"/>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r>
      <w:tr>
        <w:tblPrEx>
          <w:tblCellMar>
            <w:top w:w="0" w:type="dxa"/>
            <w:left w:w="28" w:type="dxa"/>
            <w:bottom w:w="0" w:type="dxa"/>
            <w:right w:w="28" w:type="dxa"/>
          </w:tblCellMar>
        </w:tblPrEx>
        <w:trPr>
          <w:trHeight w:val="604" w:hRule="atLeast"/>
        </w:trPr>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评价结论</w:t>
            </w:r>
          </w:p>
        </w:tc>
        <w:tc>
          <w:tcPr>
            <w:tcW w:w="4756" w:type="pct"/>
            <w:gridSpan w:val="10"/>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18"/>
                <w:szCs w:val="18"/>
              </w:rPr>
            </w:pPr>
            <w:r>
              <w:rPr>
                <w:rFonts w:hint="eastAsia" w:ascii="Times New Roman" w:hAnsi="Times New Roman" w:cs="宋体"/>
                <w:color w:val="000000"/>
                <w:kern w:val="0"/>
                <w:sz w:val="18"/>
                <w:szCs w:val="18"/>
              </w:rPr>
              <w:t>自评99分，该项目为帮扶工作队提供了保障。中心通过帮扶民主村撂荒地整治、发展种植、养殖产业，有效提高农户的收入。</w:t>
            </w:r>
          </w:p>
        </w:tc>
      </w:tr>
      <w:tr>
        <w:tblPrEx>
          <w:tblCellMar>
            <w:top w:w="0" w:type="dxa"/>
            <w:left w:w="28" w:type="dxa"/>
            <w:bottom w:w="0" w:type="dxa"/>
            <w:right w:w="28" w:type="dxa"/>
          </w:tblCellMar>
        </w:tblPrEx>
        <w:trPr>
          <w:trHeight w:val="574" w:hRule="atLeast"/>
        </w:trPr>
        <w:tc>
          <w:tcPr>
            <w:tcW w:w="243"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存在问题</w:t>
            </w:r>
          </w:p>
        </w:tc>
        <w:tc>
          <w:tcPr>
            <w:tcW w:w="4756" w:type="pct"/>
            <w:gridSpan w:val="10"/>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18"/>
                <w:szCs w:val="18"/>
              </w:rPr>
            </w:pPr>
            <w:r>
              <w:rPr>
                <w:rFonts w:hint="eastAsia" w:ascii="Times New Roman" w:hAnsi="Times New Roman" w:cs="宋体"/>
                <w:color w:val="000000"/>
                <w:kern w:val="0"/>
                <w:sz w:val="18"/>
                <w:szCs w:val="18"/>
              </w:rPr>
              <w:t>帮扶村发展集体经济</w:t>
            </w:r>
            <w:r>
              <w:rPr>
                <w:rFonts w:hint="eastAsia" w:ascii="Times New Roman" w:hAnsi="Times New Roman" w:cs="宋体"/>
                <w:color w:val="000000"/>
                <w:kern w:val="0"/>
                <w:sz w:val="18"/>
                <w:szCs w:val="18"/>
                <w:lang w:eastAsia="zh-CN"/>
              </w:rPr>
              <w:t>办</w:t>
            </w:r>
            <w:r>
              <w:rPr>
                <w:rFonts w:hint="eastAsia" w:ascii="Times New Roman" w:hAnsi="Times New Roman" w:cs="宋体"/>
                <w:color w:val="000000"/>
                <w:kern w:val="0"/>
                <w:sz w:val="18"/>
                <w:szCs w:val="18"/>
              </w:rPr>
              <w:t>法不多，经费保障渠道不多。</w:t>
            </w:r>
          </w:p>
        </w:tc>
      </w:tr>
      <w:tr>
        <w:tblPrEx>
          <w:tblCellMar>
            <w:top w:w="0" w:type="dxa"/>
            <w:left w:w="28" w:type="dxa"/>
            <w:bottom w:w="0" w:type="dxa"/>
            <w:right w:w="28" w:type="dxa"/>
          </w:tblCellMar>
        </w:tblPrEx>
        <w:trPr>
          <w:trHeight w:val="634" w:hRule="atLeast"/>
        </w:trPr>
        <w:tc>
          <w:tcPr>
            <w:tcW w:w="243"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改进措施</w:t>
            </w:r>
          </w:p>
        </w:tc>
        <w:tc>
          <w:tcPr>
            <w:tcW w:w="4756" w:type="pct"/>
            <w:gridSpan w:val="10"/>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18"/>
                <w:szCs w:val="18"/>
              </w:rPr>
            </w:pPr>
            <w:r>
              <w:rPr>
                <w:rFonts w:hint="eastAsia" w:ascii="Times New Roman" w:hAnsi="Times New Roman" w:cs="宋体"/>
                <w:color w:val="000000"/>
                <w:kern w:val="0"/>
                <w:sz w:val="18"/>
                <w:szCs w:val="18"/>
              </w:rPr>
              <w:t>建议提高乡村振兴支出保障水平，推动帮扶村发展再上新台阶，不断提升群众获得感和幸福感。</w:t>
            </w:r>
          </w:p>
        </w:tc>
      </w:tr>
      <w:tr>
        <w:tblPrEx>
          <w:tblCellMar>
            <w:top w:w="0" w:type="dxa"/>
            <w:left w:w="28" w:type="dxa"/>
            <w:bottom w:w="0" w:type="dxa"/>
            <w:right w:w="28" w:type="dxa"/>
          </w:tblCellMar>
        </w:tblPrEx>
        <w:trPr>
          <w:trHeight w:val="285" w:hRule="atLeast"/>
        </w:trPr>
        <w:tc>
          <w:tcPr>
            <w:tcW w:w="2583"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18"/>
                <w:szCs w:val="18"/>
              </w:rPr>
            </w:pPr>
            <w:r>
              <w:rPr>
                <w:rFonts w:ascii="Times New Roman" w:hAnsi="Times New Roman" w:cs="宋体"/>
                <w:color w:val="000000"/>
                <w:kern w:val="0"/>
                <w:sz w:val="18"/>
                <w:szCs w:val="18"/>
              </w:rPr>
              <w:t>项目负责人：肖明理</w:t>
            </w:r>
          </w:p>
        </w:tc>
        <w:tc>
          <w:tcPr>
            <w:tcW w:w="2416" w:type="pct"/>
            <w:gridSpan w:val="6"/>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18"/>
                <w:szCs w:val="18"/>
              </w:rPr>
            </w:pPr>
            <w:r>
              <w:rPr>
                <w:rFonts w:ascii="Times New Roman" w:hAnsi="Times New Roman" w:cs="宋体"/>
                <w:color w:val="000000"/>
                <w:kern w:val="0"/>
                <w:sz w:val="18"/>
                <w:szCs w:val="18"/>
              </w:rPr>
              <w:t>财务负责人：辜炯益</w:t>
            </w:r>
          </w:p>
        </w:tc>
      </w:tr>
    </w:tbl>
    <w:p>
      <w:pPr>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br w:type="page"/>
      </w:r>
    </w:p>
    <w:p>
      <w:pPr>
        <w:pStyle w:val="5"/>
        <w:ind w:firstLine="960" w:firstLineChars="3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附表10:</w:t>
      </w:r>
    </w:p>
    <w:tbl>
      <w:tblPr>
        <w:tblStyle w:val="12"/>
        <w:tblW w:w="5000" w:type="pct"/>
        <w:tblInd w:w="0" w:type="dxa"/>
        <w:tblLayout w:type="autofit"/>
        <w:tblCellMar>
          <w:top w:w="0" w:type="dxa"/>
          <w:left w:w="28" w:type="dxa"/>
          <w:bottom w:w="0" w:type="dxa"/>
          <w:right w:w="28" w:type="dxa"/>
        </w:tblCellMar>
      </w:tblPr>
      <w:tblGrid>
        <w:gridCol w:w="456"/>
        <w:gridCol w:w="1856"/>
        <w:gridCol w:w="1228"/>
        <w:gridCol w:w="1952"/>
        <w:gridCol w:w="319"/>
        <w:gridCol w:w="1164"/>
        <w:gridCol w:w="319"/>
        <w:gridCol w:w="743"/>
        <w:gridCol w:w="356"/>
        <w:gridCol w:w="305"/>
        <w:gridCol w:w="1812"/>
      </w:tblGrid>
      <w:tr>
        <w:tblPrEx>
          <w:tblCellMar>
            <w:top w:w="0" w:type="dxa"/>
            <w:left w:w="28" w:type="dxa"/>
            <w:bottom w:w="0" w:type="dxa"/>
            <w:right w:w="28" w:type="dxa"/>
          </w:tblCellMar>
        </w:tblPrEx>
        <w:trPr>
          <w:trHeight w:val="62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黑体" w:cs="宋体"/>
                <w:b/>
                <w:bCs/>
                <w:color w:val="000000"/>
                <w:kern w:val="0"/>
                <w:sz w:val="20"/>
                <w:szCs w:val="20"/>
              </w:rPr>
            </w:pPr>
            <w:r>
              <w:rPr>
                <w:rFonts w:hint="eastAsia" w:ascii="Times New Roman" w:hAnsi="Times New Roman" w:eastAsia="黑体" w:cs="宋体"/>
                <w:b/>
                <w:bCs/>
                <w:color w:val="000000"/>
                <w:kern w:val="0"/>
                <w:sz w:val="30"/>
                <w:szCs w:val="30"/>
              </w:rPr>
              <w:t>部门预算项目支出绩效自评表（2022年度）</w:t>
            </w:r>
          </w:p>
        </w:tc>
      </w:tr>
      <w:tr>
        <w:tblPrEx>
          <w:tblCellMar>
            <w:top w:w="0" w:type="dxa"/>
            <w:left w:w="28" w:type="dxa"/>
            <w:bottom w:w="0" w:type="dxa"/>
            <w:right w:w="28" w:type="dxa"/>
          </w:tblCellMar>
        </w:tblPrEx>
        <w:trPr>
          <w:trHeight w:val="285" w:hRule="atLeast"/>
        </w:trPr>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项目名称</w:t>
            </w:r>
          </w:p>
        </w:tc>
        <w:tc>
          <w:tcPr>
            <w:tcW w:w="4176" w:type="pct"/>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51080022T000004937355-代管资金--引进人才工作补助和代收水费</w:t>
            </w:r>
          </w:p>
        </w:tc>
      </w:tr>
      <w:tr>
        <w:tblPrEx>
          <w:tblCellMar>
            <w:top w:w="0" w:type="dxa"/>
            <w:left w:w="28" w:type="dxa"/>
            <w:bottom w:w="0" w:type="dxa"/>
            <w:right w:w="28" w:type="dxa"/>
          </w:tblCellMar>
        </w:tblPrEx>
        <w:trPr>
          <w:trHeight w:val="420" w:hRule="atLeast"/>
        </w:trPr>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主管部门</w:t>
            </w:r>
          </w:p>
        </w:tc>
        <w:tc>
          <w:tcPr>
            <w:tcW w:w="2526"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广元市市场监督管理局部门</w:t>
            </w:r>
          </w:p>
        </w:tc>
        <w:tc>
          <w:tcPr>
            <w:tcW w:w="382"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实施单位 （盖章）</w:t>
            </w:r>
          </w:p>
        </w:tc>
        <w:tc>
          <w:tcPr>
            <w:tcW w:w="126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广元市食品药品检验检测中心</w:t>
            </w:r>
          </w:p>
        </w:tc>
      </w:tr>
      <w:tr>
        <w:tblPrEx>
          <w:tblCellMar>
            <w:top w:w="0" w:type="dxa"/>
            <w:left w:w="28" w:type="dxa"/>
            <w:bottom w:w="0" w:type="dxa"/>
            <w:right w:w="28" w:type="dxa"/>
          </w:tblCellMar>
        </w:tblPrEx>
        <w:trPr>
          <w:trHeight w:val="285"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项目基本情况</w:t>
            </w: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1.项目年度目标完成情况</w:t>
            </w:r>
          </w:p>
        </w:tc>
        <w:tc>
          <w:tcPr>
            <w:tcW w:w="2526"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项目年度目标</w:t>
            </w:r>
          </w:p>
        </w:tc>
        <w:tc>
          <w:tcPr>
            <w:tcW w:w="1650" w:type="pct"/>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年度目标完成情况</w:t>
            </w:r>
          </w:p>
        </w:tc>
      </w:tr>
      <w:tr>
        <w:tblPrEx>
          <w:tblCellMar>
            <w:top w:w="0" w:type="dxa"/>
            <w:left w:w="28" w:type="dxa"/>
            <w:bottom w:w="0" w:type="dxa"/>
            <w:right w:w="28" w:type="dxa"/>
          </w:tblCellMar>
        </w:tblPrEx>
        <w:trPr>
          <w:trHeight w:val="660"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2526"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本项目的主要内容是财政代管各项往来资金，该经费为待发放的引进人才工作补助和代收水费，补助标准按照广财行[2019]33号文《广元市财政局关于下达第二批回引人才安家补助和工作补助经费的通知》。</w:t>
            </w:r>
          </w:p>
        </w:tc>
        <w:tc>
          <w:tcPr>
            <w:tcW w:w="1650" w:type="pct"/>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保障1名引进人才的工作补助足额发放。</w:t>
            </w:r>
          </w:p>
        </w:tc>
      </w:tr>
      <w:tr>
        <w:tblPrEx>
          <w:tblCellMar>
            <w:top w:w="0" w:type="dxa"/>
            <w:left w:w="28" w:type="dxa"/>
            <w:bottom w:w="0" w:type="dxa"/>
            <w:right w:w="28" w:type="dxa"/>
          </w:tblCellMar>
        </w:tblPrEx>
        <w:trPr>
          <w:trHeight w:val="600"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2.项目实施内容及过程概述</w:t>
            </w:r>
          </w:p>
        </w:tc>
        <w:tc>
          <w:tcPr>
            <w:tcW w:w="4176" w:type="pct"/>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该项目由办公室负责组织实施，通过制定专项工作计划方案、确定工作目标、明确组织实施措施和策略，有效地指导工作的正常有序开展。</w:t>
            </w:r>
          </w:p>
        </w:tc>
      </w:tr>
      <w:tr>
        <w:tblPrEx>
          <w:tblCellMar>
            <w:top w:w="0" w:type="dxa"/>
            <w:left w:w="28" w:type="dxa"/>
            <w:bottom w:w="0" w:type="dxa"/>
            <w:right w:w="28" w:type="dxa"/>
          </w:tblCellMar>
        </w:tblPrEx>
        <w:trPr>
          <w:trHeight w:val="319"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预算执行情况（10分）</w:t>
            </w:r>
          </w:p>
        </w:tc>
        <w:tc>
          <w:tcPr>
            <w:tcW w:w="579" w:type="pct"/>
            <w:tcBorders>
              <w:top w:val="nil"/>
              <w:left w:val="nil"/>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年度预算数（万元）</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年初预算</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调整后预算数</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预算执行数</w:t>
            </w:r>
          </w:p>
        </w:tc>
        <w:tc>
          <w:tcPr>
            <w:tcW w:w="38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预算执行率</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9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原因</w:t>
            </w:r>
          </w:p>
        </w:tc>
      </w:tr>
      <w:tr>
        <w:tblPrEx>
          <w:tblCellMar>
            <w:top w:w="0" w:type="dxa"/>
            <w:left w:w="28" w:type="dxa"/>
            <w:bottom w:w="0" w:type="dxa"/>
            <w:right w:w="28" w:type="dxa"/>
          </w:tblCellMar>
        </w:tblPrEx>
        <w:trPr>
          <w:trHeight w:val="300"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总额</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1.49</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1.49</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8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lang w:val="en-US" w:eastAsia="zh-CN"/>
              </w:rPr>
              <w:t>10</w:t>
            </w:r>
          </w:p>
        </w:tc>
        <w:tc>
          <w:tcPr>
            <w:tcW w:w="891"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r>
              <w:rPr>
                <w:rFonts w:ascii="Times New Roman" w:hAnsi="Times New Roman" w:cs="宋体"/>
                <w:i/>
                <w:iCs/>
                <w:color w:val="000000"/>
                <w:kern w:val="0"/>
                <w:sz w:val="20"/>
                <w:szCs w:val="20"/>
              </w:rPr>
              <w:t>无</w:t>
            </w:r>
          </w:p>
        </w:tc>
      </w:tr>
      <w:tr>
        <w:tblPrEx>
          <w:tblCellMar>
            <w:top w:w="0" w:type="dxa"/>
            <w:left w:w="28" w:type="dxa"/>
            <w:bottom w:w="0" w:type="dxa"/>
            <w:right w:w="28" w:type="dxa"/>
          </w:tblCellMar>
        </w:tblPrEx>
        <w:trPr>
          <w:trHeight w:val="300"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其中：财政资金</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8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91"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tblPrEx>
          <w:tblCellMar>
            <w:top w:w="0" w:type="dxa"/>
            <w:left w:w="28" w:type="dxa"/>
            <w:bottom w:w="0" w:type="dxa"/>
            <w:right w:w="28" w:type="dxa"/>
          </w:tblCellMar>
        </w:tblPrEx>
        <w:trPr>
          <w:trHeight w:val="300"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财政专户管理资金</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8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91"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tblPrEx>
          <w:tblCellMar>
            <w:top w:w="0" w:type="dxa"/>
            <w:left w:w="28" w:type="dxa"/>
            <w:bottom w:w="0" w:type="dxa"/>
            <w:right w:w="28" w:type="dxa"/>
          </w:tblCellMar>
        </w:tblPrEx>
        <w:trPr>
          <w:trHeight w:val="300"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单位资金</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1.49</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1.49</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8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91"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tblPrEx>
          <w:tblCellMar>
            <w:top w:w="0" w:type="dxa"/>
            <w:left w:w="28" w:type="dxa"/>
            <w:bottom w:w="0" w:type="dxa"/>
            <w:right w:w="28" w:type="dxa"/>
          </w:tblCellMar>
        </w:tblPrEx>
        <w:trPr>
          <w:trHeight w:val="300"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其他资金</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38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91"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tblPrEx>
          <w:tblCellMar>
            <w:top w:w="0" w:type="dxa"/>
            <w:left w:w="28" w:type="dxa"/>
            <w:bottom w:w="0" w:type="dxa"/>
            <w:right w:w="28" w:type="dxa"/>
          </w:tblCellMar>
        </w:tblPrEx>
        <w:trPr>
          <w:trHeight w:val="454"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绩效指标（90分）</w:t>
            </w: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一级指标</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二级指标</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三级指标</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指标性质</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指标值</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度量单位</w:t>
            </w:r>
          </w:p>
        </w:tc>
        <w:tc>
          <w:tcPr>
            <w:tcW w:w="38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完成值</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9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未完成原因分析</w:t>
            </w:r>
          </w:p>
        </w:tc>
      </w:tr>
      <w:tr>
        <w:tblPrEx>
          <w:tblCellMar>
            <w:top w:w="0" w:type="dxa"/>
            <w:left w:w="28" w:type="dxa"/>
            <w:bottom w:w="0" w:type="dxa"/>
            <w:right w:w="28" w:type="dxa"/>
          </w:tblCellMar>
        </w:tblPrEx>
        <w:trPr>
          <w:trHeight w:val="420"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产出指标</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数量指标</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引进人才工作补助和代收水电费金额</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1.49</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万元</w:t>
            </w:r>
          </w:p>
        </w:tc>
        <w:tc>
          <w:tcPr>
            <w:tcW w:w="38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0.69</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15</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宋体"/>
                <w:color w:val="000000"/>
                <w:kern w:val="0"/>
                <w:sz w:val="20"/>
                <w:szCs w:val="20"/>
                <w:lang w:val="en-US" w:eastAsia="zh-CN"/>
              </w:rPr>
            </w:pPr>
            <w:r>
              <w:rPr>
                <w:rFonts w:hint="eastAsia" w:ascii="Times New Roman" w:hAnsi="Times New Roman" w:cs="宋体"/>
                <w:color w:val="000000"/>
                <w:kern w:val="0"/>
                <w:sz w:val="20"/>
                <w:szCs w:val="20"/>
                <w:lang w:val="en-US" w:eastAsia="zh-CN"/>
              </w:rPr>
              <w:t>14</w:t>
            </w:r>
          </w:p>
        </w:tc>
        <w:tc>
          <w:tcPr>
            <w:tcW w:w="89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tblPrEx>
          <w:tblCellMar>
            <w:top w:w="0" w:type="dxa"/>
            <w:left w:w="28" w:type="dxa"/>
            <w:bottom w:w="0" w:type="dxa"/>
            <w:right w:w="28" w:type="dxa"/>
          </w:tblCellMar>
        </w:tblPrEx>
        <w:trPr>
          <w:trHeight w:val="319"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质量指标</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财政代管资金及时支付完成率</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8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15</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color w:val="000000"/>
                <w:kern w:val="0"/>
                <w:sz w:val="20"/>
                <w:szCs w:val="20"/>
                <w:lang w:eastAsia="zh-CN"/>
              </w:rPr>
            </w:pPr>
            <w:r>
              <w:rPr>
                <w:rFonts w:hint="eastAsia" w:ascii="Times New Roman" w:hAnsi="Times New Roman" w:cs="宋体"/>
                <w:color w:val="000000"/>
                <w:kern w:val="0"/>
                <w:sz w:val="20"/>
                <w:szCs w:val="20"/>
              </w:rPr>
              <w:t>1</w:t>
            </w:r>
            <w:r>
              <w:rPr>
                <w:rFonts w:hint="eastAsia" w:ascii="Times New Roman" w:hAnsi="Times New Roman" w:cs="宋体"/>
                <w:color w:val="000000"/>
                <w:kern w:val="0"/>
                <w:sz w:val="20"/>
                <w:szCs w:val="20"/>
                <w:lang w:val="en-US" w:eastAsia="zh-CN"/>
              </w:rPr>
              <w:t>4</w:t>
            </w:r>
          </w:p>
        </w:tc>
        <w:tc>
          <w:tcPr>
            <w:tcW w:w="89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tblPrEx>
          <w:tblCellMar>
            <w:top w:w="0" w:type="dxa"/>
            <w:left w:w="28" w:type="dxa"/>
            <w:bottom w:w="0" w:type="dxa"/>
            <w:right w:w="28" w:type="dxa"/>
          </w:tblCellMar>
        </w:tblPrEx>
        <w:trPr>
          <w:trHeight w:val="319"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时效指标</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任务完成时间</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2022</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w:t>
            </w:r>
          </w:p>
        </w:tc>
        <w:tc>
          <w:tcPr>
            <w:tcW w:w="38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2022</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9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tblPrEx>
          <w:tblCellMar>
            <w:top w:w="0" w:type="dxa"/>
            <w:left w:w="28" w:type="dxa"/>
            <w:bottom w:w="0" w:type="dxa"/>
            <w:right w:w="28" w:type="dxa"/>
          </w:tblCellMar>
        </w:tblPrEx>
        <w:trPr>
          <w:trHeight w:val="319"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19"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成本指标</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代收水电费</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0.09</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万元</w:t>
            </w:r>
          </w:p>
        </w:tc>
        <w:tc>
          <w:tcPr>
            <w:tcW w:w="38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0.09</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9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tblPrEx>
          <w:tblCellMar>
            <w:top w:w="0" w:type="dxa"/>
            <w:left w:w="28" w:type="dxa"/>
            <w:bottom w:w="0" w:type="dxa"/>
            <w:right w:w="28" w:type="dxa"/>
          </w:tblCellMar>
        </w:tblPrEx>
        <w:trPr>
          <w:trHeight w:val="319"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1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引进人才工作补助</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1.4</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万元</w:t>
            </w:r>
          </w:p>
        </w:tc>
        <w:tc>
          <w:tcPr>
            <w:tcW w:w="38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0.6</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9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tblPrEx>
          <w:tblCellMar>
            <w:top w:w="0" w:type="dxa"/>
            <w:left w:w="28" w:type="dxa"/>
            <w:bottom w:w="0" w:type="dxa"/>
            <w:right w:w="28" w:type="dxa"/>
          </w:tblCellMar>
        </w:tblPrEx>
        <w:trPr>
          <w:trHeight w:val="480"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效益指标</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社会效益指标</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营造尊重人才环境，为引进人才提供保障</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定性</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高中低</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级</w:t>
            </w:r>
          </w:p>
        </w:tc>
        <w:tc>
          <w:tcPr>
            <w:tcW w:w="38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高</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9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tblPrEx>
          <w:tblCellMar>
            <w:top w:w="0" w:type="dxa"/>
            <w:left w:w="28" w:type="dxa"/>
            <w:bottom w:w="0" w:type="dxa"/>
            <w:right w:w="28" w:type="dxa"/>
          </w:tblCellMar>
        </w:tblPrEx>
        <w:trPr>
          <w:trHeight w:val="439"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可持续影响指标</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为引进高层次人才提供必要的经费保障</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定性</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高中低</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级</w:t>
            </w:r>
          </w:p>
        </w:tc>
        <w:tc>
          <w:tcPr>
            <w:tcW w:w="38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高</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9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tblPrEx>
          <w:tblCellMar>
            <w:top w:w="0" w:type="dxa"/>
            <w:left w:w="28" w:type="dxa"/>
            <w:bottom w:w="0" w:type="dxa"/>
            <w:right w:w="28" w:type="dxa"/>
          </w:tblCellMar>
        </w:tblPrEx>
        <w:trPr>
          <w:trHeight w:val="420"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满意度指标</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服务对象满意度指标</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往来单位及个人对资金支付的满意度</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8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宋体"/>
                <w:color w:val="000000"/>
                <w:kern w:val="0"/>
                <w:sz w:val="20"/>
                <w:szCs w:val="20"/>
                <w:lang w:val="en-US" w:eastAsia="zh-CN"/>
              </w:rPr>
            </w:pPr>
            <w:r>
              <w:rPr>
                <w:rFonts w:hint="eastAsia" w:ascii="Times New Roman" w:hAnsi="Times New Roman" w:cs="宋体"/>
                <w:color w:val="000000"/>
                <w:kern w:val="0"/>
                <w:sz w:val="20"/>
                <w:szCs w:val="20"/>
                <w:lang w:val="en-US" w:eastAsia="zh-CN"/>
              </w:rPr>
              <w:t>10</w:t>
            </w:r>
          </w:p>
        </w:tc>
        <w:tc>
          <w:tcPr>
            <w:tcW w:w="89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tblPrEx>
          <w:tblCellMar>
            <w:top w:w="0" w:type="dxa"/>
            <w:left w:w="28" w:type="dxa"/>
            <w:bottom w:w="0" w:type="dxa"/>
            <w:right w:w="28" w:type="dxa"/>
          </w:tblCellMar>
        </w:tblPrEx>
        <w:trPr>
          <w:trHeight w:val="285" w:hRule="atLeast"/>
        </w:trPr>
        <w:tc>
          <w:tcPr>
            <w:tcW w:w="373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合计</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98</w:t>
            </w:r>
          </w:p>
        </w:tc>
        <w:tc>
          <w:tcPr>
            <w:tcW w:w="89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tblPrEx>
          <w:tblCellMar>
            <w:top w:w="0" w:type="dxa"/>
            <w:left w:w="28" w:type="dxa"/>
            <w:bottom w:w="0" w:type="dxa"/>
            <w:right w:w="28" w:type="dxa"/>
          </w:tblCellMar>
        </w:tblPrEx>
        <w:trPr>
          <w:trHeight w:val="540" w:hRule="atLeast"/>
        </w:trPr>
        <w:tc>
          <w:tcPr>
            <w:tcW w:w="24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评价结论</w:t>
            </w:r>
          </w:p>
        </w:tc>
        <w:tc>
          <w:tcPr>
            <w:tcW w:w="4756"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eastAsia="微软雅黑" w:cs="宋体"/>
                <w:i/>
                <w:iCs/>
                <w:color w:val="000000"/>
                <w:kern w:val="0"/>
                <w:sz w:val="20"/>
                <w:szCs w:val="20"/>
              </w:rPr>
            </w:pPr>
            <w:r>
              <w:rPr>
                <w:rFonts w:hint="eastAsia" w:ascii="Times New Roman" w:hAnsi="Times New Roman" w:cs="宋体"/>
                <w:color w:val="000000"/>
                <w:kern w:val="0"/>
                <w:sz w:val="20"/>
                <w:szCs w:val="20"/>
              </w:rPr>
              <w:t>保障1名引进人才的工作补助足额发放，自评得分为98分。</w:t>
            </w:r>
          </w:p>
        </w:tc>
      </w:tr>
      <w:tr>
        <w:tblPrEx>
          <w:tblCellMar>
            <w:top w:w="0" w:type="dxa"/>
            <w:left w:w="28" w:type="dxa"/>
            <w:bottom w:w="0" w:type="dxa"/>
            <w:right w:w="28" w:type="dxa"/>
          </w:tblCellMar>
        </w:tblPrEx>
        <w:trPr>
          <w:trHeight w:val="540" w:hRule="atLeast"/>
        </w:trPr>
        <w:tc>
          <w:tcPr>
            <w:tcW w:w="24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存在问题</w:t>
            </w:r>
          </w:p>
        </w:tc>
        <w:tc>
          <w:tcPr>
            <w:tcW w:w="4756"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eastAsia="微软雅黑" w:cs="宋体"/>
                <w:i/>
                <w:iCs/>
                <w:color w:val="000000"/>
                <w:kern w:val="0"/>
                <w:sz w:val="20"/>
                <w:szCs w:val="20"/>
              </w:rPr>
            </w:pPr>
            <w:r>
              <w:rPr>
                <w:rFonts w:hint="eastAsia" w:ascii="Times New Roman" w:hAnsi="Times New Roman" w:cs="宋体"/>
                <w:color w:val="000000"/>
                <w:kern w:val="0"/>
                <w:sz w:val="20"/>
                <w:szCs w:val="20"/>
              </w:rPr>
              <w:t>无。</w:t>
            </w:r>
          </w:p>
        </w:tc>
      </w:tr>
      <w:tr>
        <w:tblPrEx>
          <w:tblCellMar>
            <w:top w:w="0" w:type="dxa"/>
            <w:left w:w="28" w:type="dxa"/>
            <w:bottom w:w="0" w:type="dxa"/>
            <w:right w:w="28" w:type="dxa"/>
          </w:tblCellMar>
        </w:tblPrEx>
        <w:trPr>
          <w:trHeight w:val="540" w:hRule="atLeast"/>
        </w:trPr>
        <w:tc>
          <w:tcPr>
            <w:tcW w:w="24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hint="eastAsia" w:ascii="Times New Roman" w:hAnsi="Times New Roman" w:cs="宋体"/>
                <w:color w:val="000000"/>
                <w:kern w:val="0"/>
                <w:sz w:val="20"/>
                <w:szCs w:val="20"/>
              </w:rPr>
              <w:t>改进措施</w:t>
            </w:r>
          </w:p>
        </w:tc>
        <w:tc>
          <w:tcPr>
            <w:tcW w:w="4756"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20"/>
                <w:szCs w:val="20"/>
              </w:rPr>
            </w:pPr>
            <w:r>
              <w:rPr>
                <w:rFonts w:hint="eastAsia" w:ascii="Times New Roman" w:hAnsi="Times New Roman" w:cs="宋体"/>
                <w:color w:val="000000"/>
                <w:kern w:val="0"/>
                <w:sz w:val="20"/>
                <w:szCs w:val="20"/>
              </w:rPr>
              <w:t>无。</w:t>
            </w:r>
          </w:p>
        </w:tc>
      </w:tr>
      <w:tr>
        <w:tblPrEx>
          <w:tblCellMar>
            <w:top w:w="0" w:type="dxa"/>
            <w:left w:w="28" w:type="dxa"/>
            <w:bottom w:w="0" w:type="dxa"/>
            <w:right w:w="28" w:type="dxa"/>
          </w:tblCellMar>
        </w:tblPrEx>
        <w:trPr>
          <w:trHeight w:val="285" w:hRule="atLeast"/>
        </w:trPr>
        <w:tc>
          <w:tcPr>
            <w:tcW w:w="258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项目负责人：张慧萍</w:t>
            </w:r>
          </w:p>
        </w:tc>
        <w:tc>
          <w:tcPr>
            <w:tcW w:w="2416" w:type="pct"/>
            <w:gridSpan w:val="6"/>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财务负责人：辜炯益</w:t>
            </w:r>
          </w:p>
        </w:tc>
      </w:tr>
    </w:tbl>
    <w:p>
      <w:pPr>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br w:type="page"/>
      </w:r>
    </w:p>
    <w:p>
      <w:pPr>
        <w:pStyle w:val="5"/>
        <w:ind w:firstLine="960" w:firstLineChars="3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附表11:</w:t>
      </w:r>
    </w:p>
    <w:tbl>
      <w:tblPr>
        <w:tblStyle w:val="12"/>
        <w:tblW w:w="5000" w:type="pct"/>
        <w:tblInd w:w="0" w:type="dxa"/>
        <w:tblLayout w:type="autofit"/>
        <w:tblCellMar>
          <w:top w:w="0" w:type="dxa"/>
          <w:left w:w="28" w:type="dxa"/>
          <w:bottom w:w="0" w:type="dxa"/>
          <w:right w:w="28" w:type="dxa"/>
        </w:tblCellMar>
      </w:tblPr>
      <w:tblGrid>
        <w:gridCol w:w="465"/>
        <w:gridCol w:w="1676"/>
        <w:gridCol w:w="1255"/>
        <w:gridCol w:w="1970"/>
        <w:gridCol w:w="337"/>
        <w:gridCol w:w="1182"/>
        <w:gridCol w:w="337"/>
        <w:gridCol w:w="763"/>
        <w:gridCol w:w="334"/>
        <w:gridCol w:w="363"/>
        <w:gridCol w:w="1828"/>
      </w:tblGrid>
      <w:tr>
        <w:tblPrEx>
          <w:tblCellMar>
            <w:top w:w="0" w:type="dxa"/>
            <w:left w:w="28" w:type="dxa"/>
            <w:bottom w:w="0" w:type="dxa"/>
            <w:right w:w="28" w:type="dxa"/>
          </w:tblCellMar>
        </w:tblPrEx>
        <w:trPr>
          <w:trHeight w:val="62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黑体" w:cs="宋体"/>
                <w:b/>
                <w:bCs/>
                <w:color w:val="000000"/>
                <w:kern w:val="0"/>
                <w:sz w:val="30"/>
                <w:szCs w:val="30"/>
              </w:rPr>
            </w:pPr>
            <w:r>
              <w:rPr>
                <w:rFonts w:hint="eastAsia" w:ascii="Times New Roman" w:hAnsi="Times New Roman" w:eastAsia="黑体" w:cs="宋体"/>
                <w:b/>
                <w:bCs/>
                <w:color w:val="000000"/>
                <w:kern w:val="0"/>
                <w:sz w:val="30"/>
                <w:szCs w:val="30"/>
              </w:rPr>
              <w:t>部门预算项目支出绩效自评表（2022年度）</w:t>
            </w:r>
          </w:p>
        </w:tc>
      </w:tr>
      <w:tr>
        <w:tblPrEx>
          <w:tblCellMar>
            <w:top w:w="0" w:type="dxa"/>
            <w:left w:w="28" w:type="dxa"/>
            <w:bottom w:w="0" w:type="dxa"/>
            <w:right w:w="28" w:type="dxa"/>
          </w:tblCellMar>
        </w:tblPrEx>
        <w:trPr>
          <w:trHeight w:val="360" w:hRule="atLeast"/>
        </w:trPr>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项目名称</w:t>
            </w:r>
          </w:p>
        </w:tc>
        <w:tc>
          <w:tcPr>
            <w:tcW w:w="4176" w:type="pct"/>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51080022T000005423653-药品监管应急专项资金</w:t>
            </w:r>
          </w:p>
        </w:tc>
      </w:tr>
      <w:tr>
        <w:tblPrEx>
          <w:tblCellMar>
            <w:top w:w="0" w:type="dxa"/>
            <w:left w:w="28" w:type="dxa"/>
            <w:bottom w:w="0" w:type="dxa"/>
            <w:right w:w="28" w:type="dxa"/>
          </w:tblCellMar>
        </w:tblPrEx>
        <w:trPr>
          <w:trHeight w:val="514" w:hRule="atLeast"/>
        </w:trPr>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主管部门</w:t>
            </w:r>
          </w:p>
        </w:tc>
        <w:tc>
          <w:tcPr>
            <w:tcW w:w="2526"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广元市市场监督管理局部门</w:t>
            </w:r>
          </w:p>
        </w:tc>
        <w:tc>
          <w:tcPr>
            <w:tcW w:w="383"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18"/>
                <w:szCs w:val="18"/>
              </w:rPr>
            </w:pPr>
            <w:r>
              <w:rPr>
                <w:rFonts w:ascii="Times New Roman" w:hAnsi="Times New Roman" w:cs="宋体"/>
                <w:color w:val="000000"/>
                <w:kern w:val="0"/>
                <w:sz w:val="18"/>
                <w:szCs w:val="18"/>
              </w:rPr>
              <w:t>实施单位 （盖章）</w:t>
            </w:r>
          </w:p>
        </w:tc>
        <w:tc>
          <w:tcPr>
            <w:tcW w:w="12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广元市食品药品检验检测中心</w:t>
            </w:r>
          </w:p>
        </w:tc>
      </w:tr>
      <w:tr>
        <w:tblPrEx>
          <w:tblCellMar>
            <w:top w:w="0" w:type="dxa"/>
            <w:left w:w="28" w:type="dxa"/>
            <w:bottom w:w="0" w:type="dxa"/>
            <w:right w:w="28" w:type="dxa"/>
          </w:tblCellMar>
        </w:tblPrEx>
        <w:trPr>
          <w:trHeight w:val="360"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项目基本情况</w:t>
            </w: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1.项目年度目标完成情况</w:t>
            </w:r>
          </w:p>
        </w:tc>
        <w:tc>
          <w:tcPr>
            <w:tcW w:w="2526"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项目年度目标</w:t>
            </w:r>
          </w:p>
        </w:tc>
        <w:tc>
          <w:tcPr>
            <w:tcW w:w="1650" w:type="pct"/>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18"/>
                <w:szCs w:val="18"/>
              </w:rPr>
            </w:pPr>
            <w:r>
              <w:rPr>
                <w:rFonts w:ascii="Times New Roman" w:hAnsi="Times New Roman" w:cs="宋体"/>
                <w:color w:val="000000"/>
                <w:kern w:val="0"/>
                <w:sz w:val="18"/>
                <w:szCs w:val="18"/>
              </w:rPr>
              <w:t>年度目标完成情况</w:t>
            </w:r>
          </w:p>
        </w:tc>
      </w:tr>
      <w:tr>
        <w:tblPrEx>
          <w:tblCellMar>
            <w:top w:w="0" w:type="dxa"/>
            <w:left w:w="28" w:type="dxa"/>
            <w:bottom w:w="0" w:type="dxa"/>
            <w:right w:w="28" w:type="dxa"/>
          </w:tblCellMar>
        </w:tblPrEx>
        <w:trPr>
          <w:trHeight w:val="709"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2526"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通过购置应急检验检测设备，重点购置药品外源性污染物重金属应急检验仪器等，拓展举报投诉、医药产业发展应急检验检测范围，提升我市药品安全应急技术保障能力。</w:t>
            </w:r>
          </w:p>
        </w:tc>
        <w:tc>
          <w:tcPr>
            <w:tcW w:w="1650" w:type="pct"/>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18"/>
                <w:szCs w:val="18"/>
              </w:rPr>
            </w:pPr>
            <w:r>
              <w:rPr>
                <w:rFonts w:ascii="Times New Roman" w:hAnsi="Times New Roman" w:cs="宋体"/>
                <w:color w:val="000000"/>
                <w:kern w:val="0"/>
                <w:sz w:val="18"/>
                <w:szCs w:val="18"/>
              </w:rPr>
              <w:t>通过购置应急检验检测设备，重点购置药品外源性污染物重金属应急检验仪器等，拓展举报投诉、医药产业发展应急检验检测范围，提升我市药品安全应急技术保障能力。</w:t>
            </w:r>
          </w:p>
        </w:tc>
      </w:tr>
      <w:tr>
        <w:tblPrEx>
          <w:tblCellMar>
            <w:top w:w="0" w:type="dxa"/>
            <w:left w:w="28" w:type="dxa"/>
            <w:bottom w:w="0" w:type="dxa"/>
            <w:right w:w="28" w:type="dxa"/>
          </w:tblCellMar>
        </w:tblPrEx>
        <w:trPr>
          <w:trHeight w:val="694"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2.项目实施内容及过程概述</w:t>
            </w:r>
          </w:p>
        </w:tc>
        <w:tc>
          <w:tcPr>
            <w:tcW w:w="4176" w:type="pct"/>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18"/>
                <w:szCs w:val="18"/>
              </w:rPr>
            </w:pPr>
            <w:r>
              <w:rPr>
                <w:rFonts w:hint="eastAsia" w:ascii="Times New Roman" w:hAnsi="Times New Roman" w:cs="宋体"/>
                <w:color w:val="auto"/>
                <w:kern w:val="0"/>
                <w:sz w:val="18"/>
                <w:szCs w:val="18"/>
              </w:rPr>
              <w:t>该项目由分管设备采购的领导牵头，办公室负责组织实施，通过专人负责，按照政府采购要求实施采购和验收。通过政府采购购买原子吸收1台，4</w:t>
            </w:r>
            <w:r>
              <w:rPr>
                <w:rFonts w:ascii="Times New Roman" w:hAnsi="Times New Roman" w:cs="宋体"/>
                <w:color w:val="auto"/>
                <w:kern w:val="0"/>
                <w:sz w:val="18"/>
                <w:szCs w:val="18"/>
              </w:rPr>
              <w:t>8.96</w:t>
            </w:r>
            <w:r>
              <w:rPr>
                <w:rFonts w:hint="eastAsia" w:ascii="Times New Roman" w:hAnsi="Times New Roman" w:cs="宋体"/>
                <w:color w:val="auto"/>
                <w:kern w:val="0"/>
                <w:sz w:val="18"/>
                <w:szCs w:val="18"/>
              </w:rPr>
              <w:t>万元。</w:t>
            </w:r>
          </w:p>
        </w:tc>
      </w:tr>
      <w:tr>
        <w:tblPrEx>
          <w:tblCellMar>
            <w:top w:w="0" w:type="dxa"/>
            <w:left w:w="28" w:type="dxa"/>
            <w:bottom w:w="0" w:type="dxa"/>
            <w:right w:w="28" w:type="dxa"/>
          </w:tblCellMar>
        </w:tblPrEx>
        <w:trPr>
          <w:trHeight w:val="420"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预算执行情况（10分）</w:t>
            </w:r>
          </w:p>
        </w:tc>
        <w:tc>
          <w:tcPr>
            <w:tcW w:w="579" w:type="pct"/>
            <w:tcBorders>
              <w:top w:val="nil"/>
              <w:left w:val="nil"/>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年度预算数（万元）</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年初预算</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调整后预算数</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预算执行数</w:t>
            </w: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预算执行率</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权重</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得分</w:t>
            </w:r>
          </w:p>
        </w:tc>
        <w:tc>
          <w:tcPr>
            <w:tcW w:w="89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原因</w:t>
            </w:r>
          </w:p>
        </w:tc>
      </w:tr>
      <w:tr>
        <w:tblPrEx>
          <w:tblCellMar>
            <w:top w:w="0" w:type="dxa"/>
            <w:left w:w="28" w:type="dxa"/>
            <w:bottom w:w="0" w:type="dxa"/>
            <w:right w:w="28" w:type="dxa"/>
          </w:tblCellMar>
        </w:tblPrEx>
        <w:trPr>
          <w:trHeight w:val="420"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总额</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50.00</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50.00</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48.96</w:t>
            </w: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97.91%</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color w:val="000000"/>
                <w:kern w:val="0"/>
                <w:sz w:val="18"/>
                <w:szCs w:val="18"/>
                <w:lang w:eastAsia="zh-CN"/>
              </w:rPr>
            </w:pPr>
            <w:r>
              <w:rPr>
                <w:rFonts w:hint="eastAsia" w:ascii="Times New Roman" w:hAnsi="Times New Roman" w:cs="宋体"/>
                <w:color w:val="000000"/>
                <w:kern w:val="0"/>
                <w:sz w:val="18"/>
                <w:szCs w:val="18"/>
                <w:lang w:val="en-US" w:eastAsia="zh-CN"/>
              </w:rPr>
              <w:t>9</w:t>
            </w:r>
          </w:p>
        </w:tc>
        <w:tc>
          <w:tcPr>
            <w:tcW w:w="890"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18"/>
                <w:szCs w:val="18"/>
              </w:rPr>
            </w:pPr>
            <w:r>
              <w:rPr>
                <w:rFonts w:hint="eastAsia" w:ascii="Times New Roman" w:hAnsi="Times New Roman" w:cs="宋体"/>
                <w:color w:val="000000"/>
                <w:kern w:val="0"/>
                <w:sz w:val="18"/>
                <w:szCs w:val="18"/>
              </w:rPr>
              <w:t>无</w:t>
            </w:r>
          </w:p>
        </w:tc>
      </w:tr>
      <w:tr>
        <w:tblPrEx>
          <w:tblCellMar>
            <w:top w:w="0" w:type="dxa"/>
            <w:left w:w="28" w:type="dxa"/>
            <w:bottom w:w="0" w:type="dxa"/>
            <w:right w:w="28" w:type="dxa"/>
          </w:tblCellMar>
        </w:tblPrEx>
        <w:trPr>
          <w:trHeight w:val="420"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其中：财政资金</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50.00</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50.00</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48.96</w:t>
            </w: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97.91%</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89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18"/>
                <w:szCs w:val="18"/>
              </w:rPr>
            </w:pPr>
          </w:p>
        </w:tc>
      </w:tr>
      <w:tr>
        <w:tblPrEx>
          <w:tblCellMar>
            <w:top w:w="0" w:type="dxa"/>
            <w:left w:w="28" w:type="dxa"/>
            <w:bottom w:w="0" w:type="dxa"/>
            <w:right w:w="28" w:type="dxa"/>
          </w:tblCellMar>
        </w:tblPrEx>
        <w:trPr>
          <w:trHeight w:val="420"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财政专户管理资金</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89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18"/>
                <w:szCs w:val="18"/>
              </w:rPr>
            </w:pPr>
          </w:p>
        </w:tc>
      </w:tr>
      <w:tr>
        <w:tblPrEx>
          <w:tblCellMar>
            <w:top w:w="0" w:type="dxa"/>
            <w:left w:w="28" w:type="dxa"/>
            <w:bottom w:w="0" w:type="dxa"/>
            <w:right w:w="28" w:type="dxa"/>
          </w:tblCellMar>
        </w:tblPrEx>
        <w:trPr>
          <w:trHeight w:val="420"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单位资金</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89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18"/>
                <w:szCs w:val="18"/>
              </w:rPr>
            </w:pPr>
          </w:p>
        </w:tc>
      </w:tr>
      <w:tr>
        <w:tblPrEx>
          <w:tblCellMar>
            <w:top w:w="0" w:type="dxa"/>
            <w:left w:w="28" w:type="dxa"/>
            <w:bottom w:w="0" w:type="dxa"/>
            <w:right w:w="28" w:type="dxa"/>
          </w:tblCellMar>
        </w:tblPrEx>
        <w:trPr>
          <w:trHeight w:val="420"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其他资金</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89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18"/>
                <w:szCs w:val="18"/>
              </w:rPr>
            </w:pPr>
          </w:p>
        </w:tc>
      </w:tr>
      <w:tr>
        <w:tblPrEx>
          <w:tblCellMar>
            <w:top w:w="0" w:type="dxa"/>
            <w:left w:w="28" w:type="dxa"/>
            <w:bottom w:w="0" w:type="dxa"/>
            <w:right w:w="28" w:type="dxa"/>
          </w:tblCellMar>
        </w:tblPrEx>
        <w:trPr>
          <w:trHeight w:val="454"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绩效指标（90分）</w:t>
            </w: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一级指标</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二级指标</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三级指标</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指标性质</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指标值</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度量单位</w:t>
            </w: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完成值</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权重</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得分</w:t>
            </w:r>
          </w:p>
        </w:tc>
        <w:tc>
          <w:tcPr>
            <w:tcW w:w="89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未完成原因分析</w:t>
            </w:r>
          </w:p>
        </w:tc>
      </w:tr>
      <w:tr>
        <w:tblPrEx>
          <w:tblCellMar>
            <w:top w:w="0" w:type="dxa"/>
            <w:left w:w="28" w:type="dxa"/>
            <w:bottom w:w="0" w:type="dxa"/>
            <w:right w:w="28" w:type="dxa"/>
          </w:tblCellMar>
        </w:tblPrEx>
        <w:trPr>
          <w:trHeight w:val="454"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产出指标</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数量指标</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应急检测能力提升项目</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套</w:t>
            </w: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15</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15</w:t>
            </w:r>
          </w:p>
        </w:tc>
        <w:tc>
          <w:tcPr>
            <w:tcW w:w="89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r>
      <w:tr>
        <w:tblPrEx>
          <w:tblCellMar>
            <w:top w:w="0" w:type="dxa"/>
            <w:left w:w="28" w:type="dxa"/>
            <w:bottom w:w="0" w:type="dxa"/>
            <w:right w:w="28" w:type="dxa"/>
          </w:tblCellMar>
        </w:tblPrEx>
        <w:trPr>
          <w:trHeight w:val="454"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质量指标</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应急设施设备购置率</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100</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100</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15</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15</w:t>
            </w:r>
          </w:p>
        </w:tc>
        <w:tc>
          <w:tcPr>
            <w:tcW w:w="89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r>
      <w:tr>
        <w:tblPrEx>
          <w:tblCellMar>
            <w:top w:w="0" w:type="dxa"/>
            <w:left w:w="28" w:type="dxa"/>
            <w:bottom w:w="0" w:type="dxa"/>
            <w:right w:w="28" w:type="dxa"/>
          </w:tblCellMar>
        </w:tblPrEx>
        <w:trPr>
          <w:trHeight w:val="454"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时效指标</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项目完成时限</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2022</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年</w:t>
            </w: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2022</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89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r>
      <w:tr>
        <w:tblPrEx>
          <w:tblCellMar>
            <w:top w:w="0" w:type="dxa"/>
            <w:left w:w="28" w:type="dxa"/>
            <w:bottom w:w="0" w:type="dxa"/>
            <w:right w:w="28" w:type="dxa"/>
          </w:tblCellMar>
        </w:tblPrEx>
        <w:trPr>
          <w:trHeight w:val="454"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经济成本指标</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检验检测设备</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Arial"/>
                <w:color w:val="000000"/>
                <w:kern w:val="0"/>
                <w:sz w:val="18"/>
                <w:szCs w:val="18"/>
              </w:rPr>
            </w:pPr>
            <w:r>
              <w:rPr>
                <w:rFonts w:ascii="Times New Roman" w:hAnsi="Times New Roman" w:cs="Arial"/>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45</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万元</w:t>
            </w: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48.96</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color w:val="000000"/>
                <w:kern w:val="0"/>
                <w:sz w:val="18"/>
                <w:szCs w:val="18"/>
                <w:lang w:eastAsia="zh-CN"/>
              </w:rPr>
            </w:pPr>
            <w:r>
              <w:rPr>
                <w:rFonts w:hint="eastAsia" w:ascii="Times New Roman" w:hAnsi="Times New Roman" w:cs="宋体"/>
                <w:color w:val="000000"/>
                <w:kern w:val="0"/>
                <w:sz w:val="18"/>
                <w:szCs w:val="18"/>
                <w:lang w:val="en-US" w:eastAsia="zh-CN"/>
              </w:rPr>
              <w:t>9</w:t>
            </w:r>
          </w:p>
        </w:tc>
        <w:tc>
          <w:tcPr>
            <w:tcW w:w="89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r>
      <w:tr>
        <w:tblPrEx>
          <w:tblCellMar>
            <w:top w:w="0" w:type="dxa"/>
            <w:left w:w="28" w:type="dxa"/>
            <w:bottom w:w="0" w:type="dxa"/>
            <w:right w:w="28" w:type="dxa"/>
          </w:tblCellMar>
        </w:tblPrEx>
        <w:trPr>
          <w:trHeight w:val="454"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经济成本指标</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应急检测用实验耗材</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Arial"/>
                <w:color w:val="000000"/>
                <w:kern w:val="0"/>
                <w:sz w:val="18"/>
                <w:szCs w:val="18"/>
              </w:rPr>
            </w:pPr>
            <w:r>
              <w:rPr>
                <w:rFonts w:ascii="Times New Roman" w:hAnsi="Times New Roman" w:cs="Arial"/>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万元</w:t>
            </w: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89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r>
      <w:tr>
        <w:tblPrEx>
          <w:tblCellMar>
            <w:top w:w="0" w:type="dxa"/>
            <w:left w:w="28" w:type="dxa"/>
            <w:bottom w:w="0" w:type="dxa"/>
            <w:right w:w="28" w:type="dxa"/>
          </w:tblCellMar>
        </w:tblPrEx>
        <w:trPr>
          <w:trHeight w:val="454"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效益指标</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社会效益指标</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药品应急检验检测能力</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定性</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明显提升</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级</w:t>
            </w: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明显提升</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89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r>
      <w:tr>
        <w:tblPrEx>
          <w:tblCellMar>
            <w:top w:w="0" w:type="dxa"/>
            <w:left w:w="28" w:type="dxa"/>
            <w:bottom w:w="0" w:type="dxa"/>
            <w:right w:w="28" w:type="dxa"/>
          </w:tblCellMar>
        </w:tblPrEx>
        <w:trPr>
          <w:trHeight w:val="454"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可持续影响指标</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设施设备资产使用年限</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Arial"/>
                <w:color w:val="000000"/>
                <w:kern w:val="0"/>
                <w:sz w:val="18"/>
                <w:szCs w:val="18"/>
              </w:rPr>
            </w:pPr>
            <w:r>
              <w:rPr>
                <w:rFonts w:ascii="Times New Roman" w:hAnsi="Times New Roman" w:cs="Arial"/>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年</w:t>
            </w: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优</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89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r>
      <w:tr>
        <w:tblPrEx>
          <w:tblCellMar>
            <w:top w:w="0" w:type="dxa"/>
            <w:left w:w="28" w:type="dxa"/>
            <w:bottom w:w="0" w:type="dxa"/>
            <w:right w:w="28" w:type="dxa"/>
          </w:tblCellMar>
        </w:tblPrEx>
        <w:trPr>
          <w:trHeight w:val="338" w:hRule="atLeast"/>
        </w:trPr>
        <w:tc>
          <w:tcPr>
            <w:tcW w:w="243"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满意度指标</w:t>
            </w:r>
          </w:p>
        </w:tc>
        <w:tc>
          <w:tcPr>
            <w:tcW w:w="61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服务对象满意度指标</w:t>
            </w:r>
          </w:p>
        </w:tc>
        <w:tc>
          <w:tcPr>
            <w:tcW w:w="9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仪器设备检验检测合格率满意度</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Arial"/>
                <w:color w:val="000000"/>
                <w:kern w:val="0"/>
                <w:sz w:val="18"/>
                <w:szCs w:val="18"/>
              </w:rPr>
            </w:pPr>
            <w:r>
              <w:rPr>
                <w:rFonts w:ascii="Times New Roman" w:hAnsi="Times New Roman" w:cs="Arial"/>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90</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38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90</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89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tblPrEx>
          <w:tblCellMar>
            <w:top w:w="0" w:type="dxa"/>
            <w:left w:w="28" w:type="dxa"/>
            <w:bottom w:w="0" w:type="dxa"/>
            <w:right w:w="28" w:type="dxa"/>
          </w:tblCellMar>
        </w:tblPrEx>
        <w:trPr>
          <w:trHeight w:val="360" w:hRule="atLeast"/>
        </w:trPr>
        <w:tc>
          <w:tcPr>
            <w:tcW w:w="373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合计</w:t>
            </w:r>
          </w:p>
        </w:tc>
        <w:tc>
          <w:tcPr>
            <w:tcW w:w="18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100</w:t>
            </w:r>
          </w:p>
        </w:tc>
        <w:tc>
          <w:tcPr>
            <w:tcW w:w="194"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98</w:t>
            </w:r>
          </w:p>
        </w:tc>
        <w:tc>
          <w:tcPr>
            <w:tcW w:w="89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r>
      <w:tr>
        <w:tblPrEx>
          <w:tblCellMar>
            <w:top w:w="0" w:type="dxa"/>
            <w:left w:w="28" w:type="dxa"/>
            <w:bottom w:w="0" w:type="dxa"/>
            <w:right w:w="28" w:type="dxa"/>
          </w:tblCellMar>
        </w:tblPrEx>
        <w:trPr>
          <w:trHeight w:val="570" w:hRule="atLeast"/>
        </w:trPr>
        <w:tc>
          <w:tcPr>
            <w:tcW w:w="24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评价结论</w:t>
            </w:r>
          </w:p>
        </w:tc>
        <w:tc>
          <w:tcPr>
            <w:tcW w:w="4756"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eastAsia="微软雅黑" w:cs="宋体"/>
                <w:i/>
                <w:iCs/>
                <w:color w:val="000000"/>
                <w:kern w:val="0"/>
                <w:sz w:val="16"/>
                <w:szCs w:val="16"/>
              </w:rPr>
            </w:pPr>
            <w:r>
              <w:rPr>
                <w:rFonts w:hint="eastAsia" w:ascii="Times New Roman" w:hAnsi="Times New Roman" w:cs="宋体"/>
                <w:color w:val="000000"/>
                <w:kern w:val="0"/>
                <w:sz w:val="18"/>
                <w:szCs w:val="18"/>
              </w:rPr>
              <w:t>我中心通过购置应急检验检测设备，拓展举报投诉、医药产业发展应急检验检测范围，提升我市药品安全应急技术保障能力。自评得分98分。</w:t>
            </w:r>
          </w:p>
        </w:tc>
      </w:tr>
      <w:tr>
        <w:tblPrEx>
          <w:tblCellMar>
            <w:top w:w="0" w:type="dxa"/>
            <w:left w:w="28" w:type="dxa"/>
            <w:bottom w:w="0" w:type="dxa"/>
            <w:right w:w="28" w:type="dxa"/>
          </w:tblCellMar>
        </w:tblPrEx>
        <w:trPr>
          <w:trHeight w:val="495" w:hRule="atLeast"/>
        </w:trPr>
        <w:tc>
          <w:tcPr>
            <w:tcW w:w="24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存在问题</w:t>
            </w:r>
          </w:p>
        </w:tc>
        <w:tc>
          <w:tcPr>
            <w:tcW w:w="4756"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eastAsia="微软雅黑" w:cs="宋体"/>
                <w:i/>
                <w:iCs/>
                <w:color w:val="000000"/>
                <w:kern w:val="0"/>
                <w:sz w:val="16"/>
                <w:szCs w:val="16"/>
              </w:rPr>
            </w:pPr>
            <w:r>
              <w:rPr>
                <w:rFonts w:hint="eastAsia" w:ascii="Times New Roman" w:hAnsi="Times New Roman" w:cs="宋体"/>
                <w:color w:val="000000"/>
                <w:kern w:val="0"/>
                <w:sz w:val="18"/>
                <w:szCs w:val="18"/>
              </w:rPr>
              <w:t>经济成本指标存在偏差。</w:t>
            </w:r>
          </w:p>
        </w:tc>
      </w:tr>
      <w:tr>
        <w:tblPrEx>
          <w:tblCellMar>
            <w:top w:w="0" w:type="dxa"/>
            <w:left w:w="28" w:type="dxa"/>
            <w:bottom w:w="0" w:type="dxa"/>
            <w:right w:w="28" w:type="dxa"/>
          </w:tblCellMar>
        </w:tblPrEx>
        <w:trPr>
          <w:trHeight w:val="585" w:hRule="atLeast"/>
        </w:trPr>
        <w:tc>
          <w:tcPr>
            <w:tcW w:w="24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改进措施</w:t>
            </w:r>
          </w:p>
        </w:tc>
        <w:tc>
          <w:tcPr>
            <w:tcW w:w="4756"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eastAsia="微软雅黑" w:cs="宋体"/>
                <w:i/>
                <w:iCs/>
                <w:color w:val="000000"/>
                <w:kern w:val="0"/>
                <w:sz w:val="16"/>
                <w:szCs w:val="16"/>
              </w:rPr>
            </w:pPr>
            <w:r>
              <w:rPr>
                <w:rFonts w:hint="eastAsia" w:ascii="Times New Roman" w:hAnsi="Times New Roman" w:cs="宋体"/>
                <w:color w:val="000000"/>
                <w:kern w:val="0"/>
                <w:sz w:val="18"/>
                <w:szCs w:val="18"/>
              </w:rPr>
              <w:t>下一步改进措施，按照上年度各项工作和各项指标完成情况，仔细测算下年度各项指标，按照实际情况合理调整，严格控制各项支出。</w:t>
            </w:r>
          </w:p>
        </w:tc>
      </w:tr>
      <w:tr>
        <w:tblPrEx>
          <w:tblCellMar>
            <w:top w:w="0" w:type="dxa"/>
            <w:left w:w="28" w:type="dxa"/>
            <w:bottom w:w="0" w:type="dxa"/>
            <w:right w:w="28" w:type="dxa"/>
          </w:tblCellMar>
        </w:tblPrEx>
        <w:trPr>
          <w:trHeight w:val="402" w:hRule="atLeast"/>
        </w:trPr>
        <w:tc>
          <w:tcPr>
            <w:tcW w:w="258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18"/>
                <w:szCs w:val="18"/>
              </w:rPr>
            </w:pPr>
            <w:r>
              <w:rPr>
                <w:rFonts w:ascii="Times New Roman" w:hAnsi="Times New Roman" w:cs="宋体"/>
                <w:color w:val="000000"/>
                <w:kern w:val="0"/>
                <w:sz w:val="18"/>
                <w:szCs w:val="18"/>
              </w:rPr>
              <w:t>项目负责人：田露</w:t>
            </w:r>
          </w:p>
        </w:tc>
        <w:tc>
          <w:tcPr>
            <w:tcW w:w="2416" w:type="pct"/>
            <w:gridSpan w:val="6"/>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18"/>
                <w:szCs w:val="18"/>
              </w:rPr>
            </w:pPr>
            <w:r>
              <w:rPr>
                <w:rFonts w:ascii="Times New Roman" w:hAnsi="Times New Roman" w:cs="宋体"/>
                <w:color w:val="000000"/>
                <w:kern w:val="0"/>
                <w:sz w:val="18"/>
                <w:szCs w:val="18"/>
              </w:rPr>
              <w:t>财务负责人：辜炯益</w:t>
            </w:r>
          </w:p>
        </w:tc>
      </w:tr>
    </w:tbl>
    <w:p>
      <w:pPr>
        <w:pStyle w:val="5"/>
        <w:rPr>
          <w:rFonts w:hint="eastAsia" w:ascii="Times New Roman" w:hAnsi="Times New Roman" w:eastAsia="仿宋_GB2312" w:cs="仿宋_GB2312"/>
          <w:sz w:val="32"/>
          <w:szCs w:val="32"/>
        </w:rPr>
      </w:pPr>
    </w:p>
    <w:p>
      <w:pPr>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br w:type="page"/>
      </w:r>
    </w:p>
    <w:p>
      <w:pPr>
        <w:pStyle w:val="5"/>
        <w:ind w:firstLine="960" w:firstLineChars="3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附表12:</w:t>
      </w:r>
    </w:p>
    <w:tbl>
      <w:tblPr>
        <w:tblStyle w:val="12"/>
        <w:tblW w:w="5000" w:type="pct"/>
        <w:tblInd w:w="0" w:type="dxa"/>
        <w:tblLayout w:type="autofit"/>
        <w:tblCellMar>
          <w:top w:w="0" w:type="dxa"/>
          <w:left w:w="28" w:type="dxa"/>
          <w:bottom w:w="0" w:type="dxa"/>
          <w:right w:w="28" w:type="dxa"/>
        </w:tblCellMar>
      </w:tblPr>
      <w:tblGrid>
        <w:gridCol w:w="596"/>
        <w:gridCol w:w="1856"/>
        <w:gridCol w:w="1214"/>
        <w:gridCol w:w="1920"/>
        <w:gridCol w:w="310"/>
        <w:gridCol w:w="1143"/>
        <w:gridCol w:w="312"/>
        <w:gridCol w:w="773"/>
        <w:gridCol w:w="357"/>
        <w:gridCol w:w="257"/>
        <w:gridCol w:w="1772"/>
      </w:tblGrid>
      <w:tr>
        <w:tblPrEx>
          <w:tblCellMar>
            <w:top w:w="0" w:type="dxa"/>
            <w:left w:w="28" w:type="dxa"/>
            <w:bottom w:w="0" w:type="dxa"/>
            <w:right w:w="28" w:type="dxa"/>
          </w:tblCellMar>
        </w:tblPrEx>
        <w:trPr>
          <w:trHeight w:val="62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黑体" w:cs="宋体"/>
                <w:b/>
                <w:bCs/>
                <w:color w:val="000000"/>
                <w:kern w:val="0"/>
                <w:sz w:val="20"/>
                <w:szCs w:val="20"/>
              </w:rPr>
            </w:pPr>
            <w:r>
              <w:rPr>
                <w:rFonts w:hint="eastAsia" w:ascii="Times New Roman" w:hAnsi="Times New Roman" w:eastAsia="黑体" w:cs="宋体"/>
                <w:b/>
                <w:bCs/>
                <w:color w:val="000000"/>
                <w:kern w:val="0"/>
                <w:sz w:val="30"/>
                <w:szCs w:val="30"/>
              </w:rPr>
              <w:t>部门预算项目支出绩效自评表（2022年度）</w:t>
            </w:r>
          </w:p>
        </w:tc>
      </w:tr>
      <w:tr>
        <w:tblPrEx>
          <w:tblCellMar>
            <w:top w:w="0" w:type="dxa"/>
            <w:left w:w="28" w:type="dxa"/>
            <w:bottom w:w="0" w:type="dxa"/>
            <w:right w:w="28" w:type="dxa"/>
          </w:tblCellMar>
        </w:tblPrEx>
        <w:trPr>
          <w:trHeight w:val="285" w:hRule="atLeast"/>
        </w:trPr>
        <w:tc>
          <w:tcPr>
            <w:tcW w:w="8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项目名称</w:t>
            </w:r>
          </w:p>
        </w:tc>
        <w:tc>
          <w:tcPr>
            <w:tcW w:w="4114" w:type="pct"/>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51080022T000005424624-省级药品监管专项资金</w:t>
            </w:r>
          </w:p>
        </w:tc>
      </w:tr>
      <w:tr>
        <w:tblPrEx>
          <w:tblCellMar>
            <w:top w:w="0" w:type="dxa"/>
            <w:left w:w="28" w:type="dxa"/>
            <w:bottom w:w="0" w:type="dxa"/>
            <w:right w:w="28" w:type="dxa"/>
          </w:tblCellMar>
        </w:tblPrEx>
        <w:trPr>
          <w:trHeight w:val="450" w:hRule="atLeast"/>
        </w:trPr>
        <w:tc>
          <w:tcPr>
            <w:tcW w:w="8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主管部门</w:t>
            </w:r>
          </w:p>
        </w:tc>
        <w:tc>
          <w:tcPr>
            <w:tcW w:w="2488"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广元市市场监督管理局部门</w:t>
            </w:r>
          </w:p>
        </w:tc>
        <w:tc>
          <w:tcPr>
            <w:tcW w:w="377"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实施单位 （盖章）</w:t>
            </w:r>
          </w:p>
        </w:tc>
        <w:tc>
          <w:tcPr>
            <w:tcW w:w="12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广元市食品药品检验检测中心</w:t>
            </w:r>
          </w:p>
        </w:tc>
      </w:tr>
      <w:tr>
        <w:tblPrEx>
          <w:tblCellMar>
            <w:top w:w="0" w:type="dxa"/>
            <w:left w:w="28" w:type="dxa"/>
            <w:bottom w:w="0" w:type="dxa"/>
            <w:right w:w="28" w:type="dxa"/>
          </w:tblCellMar>
        </w:tblPrEx>
        <w:trPr>
          <w:trHeight w:val="285" w:hRule="atLeast"/>
        </w:trPr>
        <w:tc>
          <w:tcPr>
            <w:tcW w:w="315"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项目基本情况</w:t>
            </w:r>
          </w:p>
        </w:tc>
        <w:tc>
          <w:tcPr>
            <w:tcW w:w="570"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1.项目年度目标完成情况</w:t>
            </w:r>
          </w:p>
        </w:tc>
        <w:tc>
          <w:tcPr>
            <w:tcW w:w="2488"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项目年度目标</w:t>
            </w:r>
          </w:p>
        </w:tc>
        <w:tc>
          <w:tcPr>
            <w:tcW w:w="1626" w:type="pct"/>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年度目标完成情况</w:t>
            </w:r>
          </w:p>
        </w:tc>
      </w:tr>
      <w:tr>
        <w:tblPrEx>
          <w:tblCellMar>
            <w:top w:w="0" w:type="dxa"/>
            <w:left w:w="28" w:type="dxa"/>
            <w:bottom w:w="0" w:type="dxa"/>
            <w:right w:w="28" w:type="dxa"/>
          </w:tblCellMar>
        </w:tblPrEx>
        <w:trPr>
          <w:trHeight w:val="709"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2488"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本项目以川产道地药材茯苓为研究对象，重点从川产茯苓质量控制的有效性指标和安全性指标两部分，对川产茯苓质量进行综合评价，促进优质药材的种植，提升药材质量，促进茯苓产业发展。</w:t>
            </w:r>
          </w:p>
        </w:tc>
        <w:tc>
          <w:tcPr>
            <w:tcW w:w="1626" w:type="pct"/>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FF0000"/>
                <w:kern w:val="0"/>
                <w:sz w:val="20"/>
                <w:szCs w:val="20"/>
              </w:rPr>
            </w:pPr>
            <w:r>
              <w:rPr>
                <w:rFonts w:hint="eastAsia" w:ascii="Times New Roman" w:hAnsi="Times New Roman" w:cs="宋体"/>
                <w:color w:val="000000"/>
                <w:kern w:val="0"/>
                <w:sz w:val="20"/>
                <w:szCs w:val="20"/>
              </w:rPr>
              <w:t>发表论文1，完成茯苓农残、有害元素检测建立或方法验证，基本实现年度目标，对茯苓产业发展提供了技术支持。</w:t>
            </w:r>
          </w:p>
        </w:tc>
      </w:tr>
      <w:tr>
        <w:tblPrEx>
          <w:tblCellMar>
            <w:top w:w="0" w:type="dxa"/>
            <w:left w:w="28" w:type="dxa"/>
            <w:bottom w:w="0" w:type="dxa"/>
            <w:right w:w="28" w:type="dxa"/>
          </w:tblCellMar>
        </w:tblPrEx>
        <w:trPr>
          <w:trHeight w:val="600"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2.项目实施内容及过程概述</w:t>
            </w:r>
          </w:p>
        </w:tc>
        <w:tc>
          <w:tcPr>
            <w:tcW w:w="4114" w:type="pct"/>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该项目由药品分管领导牵头，中药检测室负责组织实施，通过制定专项工作计划方案、确定工作目标、明确组织实施措施和策略，有效地指导工作的正常有序开展。</w:t>
            </w:r>
          </w:p>
        </w:tc>
      </w:tr>
      <w:tr>
        <w:tblPrEx>
          <w:tblCellMar>
            <w:top w:w="0" w:type="dxa"/>
            <w:left w:w="28" w:type="dxa"/>
            <w:bottom w:w="0" w:type="dxa"/>
            <w:right w:w="28" w:type="dxa"/>
          </w:tblCellMar>
        </w:tblPrEx>
        <w:trPr>
          <w:trHeight w:val="462" w:hRule="atLeast"/>
        </w:trPr>
        <w:tc>
          <w:tcPr>
            <w:tcW w:w="315"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预算执行情况（10分）</w:t>
            </w:r>
          </w:p>
        </w:tc>
        <w:tc>
          <w:tcPr>
            <w:tcW w:w="570" w:type="pct"/>
            <w:tcBorders>
              <w:top w:val="nil"/>
              <w:left w:val="nil"/>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年度预算数（万元）</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年初预算</w:t>
            </w:r>
          </w:p>
        </w:tc>
        <w:tc>
          <w:tcPr>
            <w:tcW w:w="94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调整后预算数</w:t>
            </w: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预算执行数</w:t>
            </w: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预算执行率</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19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原因</w:t>
            </w:r>
          </w:p>
        </w:tc>
      </w:tr>
      <w:tr>
        <w:tblPrEx>
          <w:tblCellMar>
            <w:top w:w="0" w:type="dxa"/>
            <w:left w:w="28" w:type="dxa"/>
            <w:bottom w:w="0" w:type="dxa"/>
            <w:right w:w="28" w:type="dxa"/>
          </w:tblCellMar>
        </w:tblPrEx>
        <w:trPr>
          <w:trHeight w:val="360"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总额</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5.34</w:t>
            </w:r>
          </w:p>
        </w:tc>
        <w:tc>
          <w:tcPr>
            <w:tcW w:w="94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5.34</w:t>
            </w: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5.34</w:t>
            </w: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100.00%</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78"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r>
              <w:rPr>
                <w:rFonts w:ascii="Times New Roman" w:hAnsi="Times New Roman" w:cs="宋体"/>
                <w:i/>
                <w:iCs/>
                <w:color w:val="000000"/>
                <w:kern w:val="0"/>
                <w:sz w:val="20"/>
                <w:szCs w:val="20"/>
              </w:rPr>
              <w:t>无</w:t>
            </w:r>
          </w:p>
        </w:tc>
      </w:tr>
      <w:tr>
        <w:tblPrEx>
          <w:tblCellMar>
            <w:top w:w="0" w:type="dxa"/>
            <w:left w:w="28" w:type="dxa"/>
            <w:bottom w:w="0" w:type="dxa"/>
            <w:right w:w="28" w:type="dxa"/>
          </w:tblCellMar>
        </w:tblPrEx>
        <w:trPr>
          <w:trHeight w:val="360"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其中：财政资金</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5.34</w:t>
            </w:r>
          </w:p>
        </w:tc>
        <w:tc>
          <w:tcPr>
            <w:tcW w:w="94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5.34</w:t>
            </w: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5.34</w:t>
            </w: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100.00%</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8"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tblPrEx>
          <w:tblCellMar>
            <w:top w:w="0" w:type="dxa"/>
            <w:left w:w="28" w:type="dxa"/>
            <w:bottom w:w="0" w:type="dxa"/>
            <w:right w:w="28" w:type="dxa"/>
          </w:tblCellMar>
        </w:tblPrEx>
        <w:trPr>
          <w:trHeight w:val="360"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财政专户管理资金</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8"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tblPrEx>
          <w:tblCellMar>
            <w:top w:w="0" w:type="dxa"/>
            <w:left w:w="28" w:type="dxa"/>
            <w:bottom w:w="0" w:type="dxa"/>
            <w:right w:w="28" w:type="dxa"/>
          </w:tblCellMar>
        </w:tblPrEx>
        <w:trPr>
          <w:trHeight w:val="360"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单位资金</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8"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tblPrEx>
          <w:tblCellMar>
            <w:top w:w="0" w:type="dxa"/>
            <w:left w:w="28" w:type="dxa"/>
            <w:bottom w:w="0" w:type="dxa"/>
            <w:right w:w="28" w:type="dxa"/>
          </w:tblCellMar>
        </w:tblPrEx>
        <w:trPr>
          <w:trHeight w:val="360"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其他资金</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4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8"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tblPrEx>
          <w:tblCellMar>
            <w:top w:w="0" w:type="dxa"/>
            <w:left w:w="28" w:type="dxa"/>
            <w:bottom w:w="0" w:type="dxa"/>
            <w:right w:w="28" w:type="dxa"/>
          </w:tblCellMar>
        </w:tblPrEx>
        <w:trPr>
          <w:trHeight w:val="454" w:hRule="atLeast"/>
        </w:trPr>
        <w:tc>
          <w:tcPr>
            <w:tcW w:w="315"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绩效指标（90分）</w:t>
            </w:r>
          </w:p>
        </w:tc>
        <w:tc>
          <w:tcPr>
            <w:tcW w:w="57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一级指标</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二级指标</w:t>
            </w:r>
          </w:p>
        </w:tc>
        <w:tc>
          <w:tcPr>
            <w:tcW w:w="94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三级指标</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指标性质</w:t>
            </w:r>
          </w:p>
        </w:tc>
        <w:tc>
          <w:tcPr>
            <w:tcW w:w="57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指标值</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度量单位</w:t>
            </w: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完成值</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19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未完成原因分析</w:t>
            </w:r>
          </w:p>
        </w:tc>
      </w:tr>
      <w:tr>
        <w:tblPrEx>
          <w:tblCellMar>
            <w:top w:w="0" w:type="dxa"/>
            <w:left w:w="28" w:type="dxa"/>
            <w:bottom w:w="0" w:type="dxa"/>
            <w:right w:w="28" w:type="dxa"/>
          </w:tblCellMar>
        </w:tblPrEx>
        <w:trPr>
          <w:trHeight w:val="454"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产出指标</w:t>
            </w:r>
          </w:p>
        </w:tc>
        <w:tc>
          <w:tcPr>
            <w:tcW w:w="60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数量指标</w:t>
            </w:r>
          </w:p>
        </w:tc>
        <w:tc>
          <w:tcPr>
            <w:tcW w:w="945"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研究发表论文篇数；制定地方标准、企业标准、团体标准、标准样品及撰写研究报告数量，新工艺数量。</w:t>
            </w:r>
          </w:p>
        </w:tc>
        <w:tc>
          <w:tcPr>
            <w:tcW w:w="17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论文1</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篇</w:t>
            </w: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tblPrEx>
          <w:tblCellMar>
            <w:top w:w="0" w:type="dxa"/>
            <w:left w:w="28" w:type="dxa"/>
            <w:bottom w:w="0" w:type="dxa"/>
            <w:right w:w="28" w:type="dxa"/>
          </w:tblCellMar>
        </w:tblPrEx>
        <w:trPr>
          <w:trHeight w:val="454"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9"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质量指标</w:t>
            </w:r>
          </w:p>
        </w:tc>
        <w:tc>
          <w:tcPr>
            <w:tcW w:w="945"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对茯苓农残、有害元素检测建立或方法验证完成率。</w:t>
            </w:r>
          </w:p>
        </w:tc>
        <w:tc>
          <w:tcPr>
            <w:tcW w:w="17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宋体"/>
                <w:color w:val="000000"/>
                <w:kern w:val="0"/>
                <w:sz w:val="20"/>
                <w:szCs w:val="20"/>
                <w:lang w:val="en-US" w:eastAsia="zh-CN"/>
              </w:rPr>
            </w:pPr>
            <w:r>
              <w:rPr>
                <w:rFonts w:hint="eastAsia" w:ascii="Times New Roman" w:hAnsi="Times New Roman" w:cs="宋体"/>
                <w:color w:val="000000"/>
                <w:kern w:val="0"/>
                <w:sz w:val="20"/>
                <w:szCs w:val="20"/>
                <w:lang w:val="en-US" w:eastAsia="zh-CN"/>
              </w:rPr>
              <w:t>10</w:t>
            </w:r>
          </w:p>
        </w:tc>
        <w:tc>
          <w:tcPr>
            <w:tcW w:w="8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tblPrEx>
          <w:tblCellMar>
            <w:top w:w="0" w:type="dxa"/>
            <w:left w:w="28" w:type="dxa"/>
            <w:bottom w:w="0" w:type="dxa"/>
            <w:right w:w="28" w:type="dxa"/>
          </w:tblCellMar>
        </w:tblPrEx>
        <w:trPr>
          <w:trHeight w:val="454"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9"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时效指标</w:t>
            </w:r>
          </w:p>
        </w:tc>
        <w:tc>
          <w:tcPr>
            <w:tcW w:w="945"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项目完成时限</w:t>
            </w:r>
          </w:p>
        </w:tc>
        <w:tc>
          <w:tcPr>
            <w:tcW w:w="17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2022</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w:t>
            </w: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2022</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tblPrEx>
          <w:tblCellMar>
            <w:top w:w="0" w:type="dxa"/>
            <w:left w:w="28" w:type="dxa"/>
            <w:bottom w:w="0" w:type="dxa"/>
            <w:right w:w="28" w:type="dxa"/>
          </w:tblCellMar>
        </w:tblPrEx>
        <w:trPr>
          <w:trHeight w:val="454"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restart"/>
            <w:tcBorders>
              <w:top w:val="nil"/>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成本指标</w:t>
            </w:r>
          </w:p>
        </w:tc>
        <w:tc>
          <w:tcPr>
            <w:tcW w:w="609"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经济成本指标</w:t>
            </w:r>
          </w:p>
        </w:tc>
        <w:tc>
          <w:tcPr>
            <w:tcW w:w="945"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差旅费及其他费用</w:t>
            </w:r>
          </w:p>
        </w:tc>
        <w:tc>
          <w:tcPr>
            <w:tcW w:w="17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万元</w:t>
            </w: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2.78</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15</w:t>
            </w:r>
          </w:p>
        </w:tc>
        <w:tc>
          <w:tcPr>
            <w:tcW w:w="19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宋体"/>
                <w:color w:val="000000"/>
                <w:kern w:val="0"/>
                <w:sz w:val="20"/>
                <w:szCs w:val="20"/>
                <w:lang w:val="en-US" w:eastAsia="zh-CN"/>
              </w:rPr>
            </w:pPr>
            <w:r>
              <w:rPr>
                <w:rFonts w:hint="eastAsia" w:ascii="Times New Roman" w:hAnsi="Times New Roman" w:cs="宋体"/>
                <w:color w:val="000000"/>
                <w:kern w:val="0"/>
                <w:sz w:val="20"/>
                <w:szCs w:val="20"/>
                <w:lang w:val="en-US" w:eastAsia="zh-CN"/>
              </w:rPr>
              <w:t>13</w:t>
            </w:r>
          </w:p>
        </w:tc>
        <w:tc>
          <w:tcPr>
            <w:tcW w:w="8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tblPrEx>
          <w:tblCellMar>
            <w:top w:w="0" w:type="dxa"/>
            <w:left w:w="28" w:type="dxa"/>
            <w:bottom w:w="0" w:type="dxa"/>
            <w:right w:w="28" w:type="dxa"/>
          </w:tblCellMar>
        </w:tblPrEx>
        <w:trPr>
          <w:trHeight w:val="454"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continue"/>
            <w:tcBorders>
              <w:top w:val="nil"/>
              <w:left w:val="single" w:color="000000" w:sz="4" w:space="0"/>
              <w:bottom w:val="single" w:color="000000" w:sz="4" w:space="0"/>
              <w:right w:val="nil"/>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9"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经济成本指标</w:t>
            </w:r>
          </w:p>
        </w:tc>
        <w:tc>
          <w:tcPr>
            <w:tcW w:w="945"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检测用实验耗材</w:t>
            </w:r>
          </w:p>
        </w:tc>
        <w:tc>
          <w:tcPr>
            <w:tcW w:w="17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5" w:type="pct"/>
            <w:tcBorders>
              <w:top w:val="nil"/>
              <w:left w:val="nil"/>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3.34</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万元</w:t>
            </w:r>
          </w:p>
        </w:tc>
        <w:tc>
          <w:tcPr>
            <w:tcW w:w="377" w:type="pct"/>
            <w:tcBorders>
              <w:top w:val="nil"/>
              <w:left w:val="nil"/>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2.56</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15</w:t>
            </w:r>
          </w:p>
        </w:tc>
        <w:tc>
          <w:tcPr>
            <w:tcW w:w="19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宋体"/>
                <w:color w:val="000000"/>
                <w:kern w:val="0"/>
                <w:sz w:val="20"/>
                <w:szCs w:val="20"/>
                <w:lang w:val="en-US" w:eastAsia="zh-CN"/>
              </w:rPr>
            </w:pPr>
            <w:r>
              <w:rPr>
                <w:rFonts w:hint="eastAsia" w:ascii="Times New Roman" w:hAnsi="Times New Roman" w:cs="宋体"/>
                <w:color w:val="000000"/>
                <w:kern w:val="0"/>
                <w:sz w:val="20"/>
                <w:szCs w:val="20"/>
                <w:lang w:val="en-US" w:eastAsia="zh-CN"/>
              </w:rPr>
              <w:t>14</w:t>
            </w:r>
          </w:p>
        </w:tc>
        <w:tc>
          <w:tcPr>
            <w:tcW w:w="8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tblPrEx>
          <w:tblCellMar>
            <w:top w:w="0" w:type="dxa"/>
            <w:left w:w="28" w:type="dxa"/>
            <w:bottom w:w="0" w:type="dxa"/>
            <w:right w:w="28" w:type="dxa"/>
          </w:tblCellMar>
        </w:tblPrEx>
        <w:trPr>
          <w:trHeight w:val="454"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效益指标</w:t>
            </w:r>
          </w:p>
        </w:tc>
        <w:tc>
          <w:tcPr>
            <w:tcW w:w="609"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社会效益</w:t>
            </w:r>
            <w:r>
              <w:rPr>
                <w:rFonts w:hint="eastAsia" w:ascii="Times New Roman" w:hAnsi="Times New Roman" w:cs="宋体"/>
                <w:kern w:val="0"/>
                <w:sz w:val="20"/>
                <w:szCs w:val="20"/>
              </w:rPr>
              <w:br w:type="textWrapping"/>
            </w:r>
            <w:r>
              <w:rPr>
                <w:rFonts w:hint="eastAsia" w:ascii="Times New Roman" w:hAnsi="Times New Roman" w:cs="宋体"/>
                <w:kern w:val="0"/>
                <w:sz w:val="20"/>
                <w:szCs w:val="20"/>
              </w:rPr>
              <w:t>指标</w:t>
            </w:r>
          </w:p>
        </w:tc>
        <w:tc>
          <w:tcPr>
            <w:tcW w:w="945"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促进茯苓种植发展模式，帮助农户脱贫致富，促进乡村振兴。</w:t>
            </w:r>
          </w:p>
        </w:tc>
        <w:tc>
          <w:tcPr>
            <w:tcW w:w="178" w:type="pct"/>
            <w:tcBorders>
              <w:top w:val="nil"/>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定性</w:t>
            </w:r>
          </w:p>
        </w:tc>
        <w:tc>
          <w:tcPr>
            <w:tcW w:w="57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茯苓种植产业得到提升</w:t>
            </w:r>
          </w:p>
        </w:tc>
        <w:tc>
          <w:tcPr>
            <w:tcW w:w="179"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级</w:t>
            </w:r>
          </w:p>
        </w:tc>
        <w:tc>
          <w:tcPr>
            <w:tcW w:w="377"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茯苓种植产业得到提升</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tblPrEx>
          <w:tblCellMar>
            <w:top w:w="0" w:type="dxa"/>
            <w:left w:w="28" w:type="dxa"/>
            <w:bottom w:w="0" w:type="dxa"/>
            <w:right w:w="28" w:type="dxa"/>
          </w:tblCellMar>
        </w:tblPrEx>
        <w:trPr>
          <w:trHeight w:val="454"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9"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可持续影响</w:t>
            </w:r>
            <w:r>
              <w:rPr>
                <w:rFonts w:hint="eastAsia" w:ascii="Times New Roman" w:hAnsi="Times New Roman" w:cs="宋体"/>
                <w:kern w:val="0"/>
                <w:sz w:val="20"/>
                <w:szCs w:val="20"/>
              </w:rPr>
              <w:br w:type="textWrapping"/>
            </w:r>
            <w:r>
              <w:rPr>
                <w:rFonts w:hint="eastAsia" w:ascii="Times New Roman" w:hAnsi="Times New Roman" w:cs="宋体"/>
                <w:kern w:val="0"/>
                <w:sz w:val="20"/>
                <w:szCs w:val="20"/>
              </w:rPr>
              <w:t>指标</w:t>
            </w:r>
          </w:p>
        </w:tc>
        <w:tc>
          <w:tcPr>
            <w:tcW w:w="945"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药品监管水平，保障人民群众用药安全</w:t>
            </w:r>
          </w:p>
        </w:tc>
        <w:tc>
          <w:tcPr>
            <w:tcW w:w="178" w:type="pct"/>
            <w:tcBorders>
              <w:top w:val="nil"/>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定性</w:t>
            </w:r>
          </w:p>
        </w:tc>
        <w:tc>
          <w:tcPr>
            <w:tcW w:w="575"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明显提高</w:t>
            </w:r>
          </w:p>
        </w:tc>
        <w:tc>
          <w:tcPr>
            <w:tcW w:w="179"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级</w:t>
            </w:r>
          </w:p>
        </w:tc>
        <w:tc>
          <w:tcPr>
            <w:tcW w:w="377"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有所提高</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tblPrEx>
          <w:tblCellMar>
            <w:top w:w="0" w:type="dxa"/>
            <w:left w:w="28" w:type="dxa"/>
            <w:bottom w:w="0" w:type="dxa"/>
            <w:right w:w="28" w:type="dxa"/>
          </w:tblCellMar>
        </w:tblPrEx>
        <w:trPr>
          <w:trHeight w:val="338"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满意度指标</w:t>
            </w:r>
          </w:p>
        </w:tc>
        <w:tc>
          <w:tcPr>
            <w:tcW w:w="609"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满意度指标</w:t>
            </w:r>
          </w:p>
        </w:tc>
        <w:tc>
          <w:tcPr>
            <w:tcW w:w="945"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农户对促进茯苓种植发展模式满意度</w:t>
            </w:r>
          </w:p>
        </w:tc>
        <w:tc>
          <w:tcPr>
            <w:tcW w:w="17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90</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r>
              <w:rPr>
                <w:rFonts w:hint="eastAsia" w:ascii="Times New Roman" w:hAnsi="Times New Roman" w:eastAsia="微软雅黑" w:cs="宋体"/>
                <w:i/>
                <w:iCs/>
                <w:color w:val="000000"/>
                <w:kern w:val="0"/>
                <w:sz w:val="20"/>
                <w:szCs w:val="20"/>
              </w:rPr>
              <w:t>90</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tblPrEx>
          <w:tblCellMar>
            <w:top w:w="0" w:type="dxa"/>
            <w:left w:w="28" w:type="dxa"/>
            <w:bottom w:w="0" w:type="dxa"/>
            <w:right w:w="28" w:type="dxa"/>
          </w:tblCellMar>
        </w:tblPrEx>
        <w:trPr>
          <w:trHeight w:val="285" w:hRule="atLeast"/>
        </w:trPr>
        <w:tc>
          <w:tcPr>
            <w:tcW w:w="3751"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合计</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9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97</w:t>
            </w:r>
          </w:p>
        </w:tc>
        <w:tc>
          <w:tcPr>
            <w:tcW w:w="8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tblPrEx>
          <w:tblCellMar>
            <w:top w:w="0" w:type="dxa"/>
            <w:left w:w="28" w:type="dxa"/>
            <w:bottom w:w="0" w:type="dxa"/>
            <w:right w:w="28" w:type="dxa"/>
          </w:tblCellMar>
        </w:tblPrEx>
        <w:trPr>
          <w:trHeight w:val="510" w:hRule="atLeast"/>
        </w:trPr>
        <w:tc>
          <w:tcPr>
            <w:tcW w:w="315"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评价结论</w:t>
            </w:r>
          </w:p>
        </w:tc>
        <w:tc>
          <w:tcPr>
            <w:tcW w:w="4684"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绩效自评得分97分，项目总体运行良好，完成了年初制定的绩效目标。中心通过开展茯苓特性研究工作，促进优质药材的种植，提升药材质量，促进茯苓产业发展。</w:t>
            </w:r>
          </w:p>
        </w:tc>
      </w:tr>
      <w:tr>
        <w:tblPrEx>
          <w:tblCellMar>
            <w:top w:w="0" w:type="dxa"/>
            <w:left w:w="28" w:type="dxa"/>
            <w:bottom w:w="0" w:type="dxa"/>
            <w:right w:w="28" w:type="dxa"/>
          </w:tblCellMar>
        </w:tblPrEx>
        <w:trPr>
          <w:trHeight w:val="435" w:hRule="atLeast"/>
        </w:trPr>
        <w:tc>
          <w:tcPr>
            <w:tcW w:w="315"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存在问题</w:t>
            </w:r>
          </w:p>
        </w:tc>
        <w:tc>
          <w:tcPr>
            <w:tcW w:w="4684"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经济成本指标不够精准。</w:t>
            </w:r>
          </w:p>
        </w:tc>
      </w:tr>
      <w:tr>
        <w:tblPrEx>
          <w:tblCellMar>
            <w:top w:w="0" w:type="dxa"/>
            <w:left w:w="28" w:type="dxa"/>
            <w:bottom w:w="0" w:type="dxa"/>
            <w:right w:w="28" w:type="dxa"/>
          </w:tblCellMar>
        </w:tblPrEx>
        <w:trPr>
          <w:trHeight w:val="525" w:hRule="atLeast"/>
        </w:trPr>
        <w:tc>
          <w:tcPr>
            <w:tcW w:w="315"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改进措施</w:t>
            </w:r>
          </w:p>
        </w:tc>
        <w:tc>
          <w:tcPr>
            <w:tcW w:w="4684"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下一步改进措施，仔细测算各项指标，严格控制各项支出，提前考虑可能由于工作变化导致对各项指标的影响，合理调整相应的指标，确保绩效指标按照目标完成。</w:t>
            </w:r>
          </w:p>
        </w:tc>
      </w:tr>
      <w:tr>
        <w:tblPrEx>
          <w:tblCellMar>
            <w:top w:w="0" w:type="dxa"/>
            <w:left w:w="28" w:type="dxa"/>
            <w:bottom w:w="0" w:type="dxa"/>
            <w:right w:w="28" w:type="dxa"/>
          </w:tblCellMar>
        </w:tblPrEx>
        <w:trPr>
          <w:trHeight w:val="345" w:hRule="atLeast"/>
        </w:trPr>
        <w:tc>
          <w:tcPr>
            <w:tcW w:w="261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项目负责人：董翼虎</w:t>
            </w:r>
          </w:p>
        </w:tc>
        <w:tc>
          <w:tcPr>
            <w:tcW w:w="2381" w:type="pct"/>
            <w:gridSpan w:val="6"/>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财务负责人：辜炯益</w:t>
            </w:r>
          </w:p>
        </w:tc>
      </w:tr>
    </w:tbl>
    <w:p>
      <w:pPr>
        <w:pStyle w:val="5"/>
        <w:rPr>
          <w:rFonts w:ascii="Times New Roman" w:hAnsi="Times New Roman" w:eastAsia="仿宋"/>
          <w:sz w:val="20"/>
          <w:szCs w:val="20"/>
        </w:rPr>
      </w:pPr>
    </w:p>
    <w:p>
      <w:pPr>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br w:type="page"/>
      </w:r>
    </w:p>
    <w:p>
      <w:pPr>
        <w:pStyle w:val="5"/>
        <w:ind w:firstLine="960" w:firstLineChars="3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附表13:</w:t>
      </w:r>
    </w:p>
    <w:tbl>
      <w:tblPr>
        <w:tblStyle w:val="12"/>
        <w:tblW w:w="5000" w:type="pct"/>
        <w:tblInd w:w="0" w:type="dxa"/>
        <w:tblLayout w:type="autofit"/>
        <w:tblCellMar>
          <w:top w:w="0" w:type="dxa"/>
          <w:left w:w="28" w:type="dxa"/>
          <w:bottom w:w="0" w:type="dxa"/>
          <w:right w:w="28" w:type="dxa"/>
        </w:tblCellMar>
      </w:tblPr>
      <w:tblGrid>
        <w:gridCol w:w="596"/>
        <w:gridCol w:w="1856"/>
        <w:gridCol w:w="1214"/>
        <w:gridCol w:w="1920"/>
        <w:gridCol w:w="310"/>
        <w:gridCol w:w="1143"/>
        <w:gridCol w:w="310"/>
        <w:gridCol w:w="773"/>
        <w:gridCol w:w="356"/>
        <w:gridCol w:w="357"/>
        <w:gridCol w:w="1675"/>
      </w:tblGrid>
      <w:tr>
        <w:tblPrEx>
          <w:tblCellMar>
            <w:top w:w="0" w:type="dxa"/>
            <w:left w:w="28" w:type="dxa"/>
            <w:bottom w:w="0" w:type="dxa"/>
            <w:right w:w="28" w:type="dxa"/>
          </w:tblCellMar>
        </w:tblPrEx>
        <w:trPr>
          <w:trHeight w:val="62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黑体" w:cs="宋体"/>
                <w:b/>
                <w:bCs/>
                <w:color w:val="000000"/>
                <w:kern w:val="0"/>
                <w:sz w:val="20"/>
                <w:szCs w:val="20"/>
              </w:rPr>
            </w:pPr>
            <w:r>
              <w:rPr>
                <w:rFonts w:hint="eastAsia" w:ascii="Times New Roman" w:hAnsi="Times New Roman" w:eastAsia="黑体" w:cs="宋体"/>
                <w:b/>
                <w:bCs/>
                <w:color w:val="000000"/>
                <w:kern w:val="0"/>
                <w:sz w:val="30"/>
                <w:szCs w:val="30"/>
              </w:rPr>
              <w:t>部门预算项目支出绩效自评表（2022年度）</w:t>
            </w:r>
          </w:p>
        </w:tc>
      </w:tr>
      <w:tr>
        <w:tblPrEx>
          <w:tblCellMar>
            <w:top w:w="0" w:type="dxa"/>
            <w:left w:w="28" w:type="dxa"/>
            <w:bottom w:w="0" w:type="dxa"/>
            <w:right w:w="28" w:type="dxa"/>
          </w:tblCellMar>
        </w:tblPrEx>
        <w:trPr>
          <w:trHeight w:val="439" w:hRule="atLeast"/>
        </w:trPr>
        <w:tc>
          <w:tcPr>
            <w:tcW w:w="8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项目名称</w:t>
            </w:r>
          </w:p>
        </w:tc>
        <w:tc>
          <w:tcPr>
            <w:tcW w:w="4114" w:type="pct"/>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51080022T000005671532-基本支出（公用经费）</w:t>
            </w:r>
          </w:p>
        </w:tc>
      </w:tr>
      <w:tr>
        <w:tblPrEx>
          <w:tblCellMar>
            <w:top w:w="0" w:type="dxa"/>
            <w:left w:w="28" w:type="dxa"/>
            <w:bottom w:w="0" w:type="dxa"/>
            <w:right w:w="28" w:type="dxa"/>
          </w:tblCellMar>
        </w:tblPrEx>
        <w:trPr>
          <w:trHeight w:val="559" w:hRule="atLeast"/>
        </w:trPr>
        <w:tc>
          <w:tcPr>
            <w:tcW w:w="8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主管部门</w:t>
            </w:r>
          </w:p>
        </w:tc>
        <w:tc>
          <w:tcPr>
            <w:tcW w:w="2487"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广元市市场监督管理局部门</w:t>
            </w:r>
          </w:p>
        </w:tc>
        <w:tc>
          <w:tcPr>
            <w:tcW w:w="377"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实施单位 （盖章）</w:t>
            </w:r>
          </w:p>
        </w:tc>
        <w:tc>
          <w:tcPr>
            <w:tcW w:w="12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广元市食品药品检验检测中心</w:t>
            </w:r>
          </w:p>
        </w:tc>
      </w:tr>
      <w:tr>
        <w:tblPrEx>
          <w:tblCellMar>
            <w:top w:w="0" w:type="dxa"/>
            <w:left w:w="28" w:type="dxa"/>
            <w:bottom w:w="0" w:type="dxa"/>
            <w:right w:w="28" w:type="dxa"/>
          </w:tblCellMar>
        </w:tblPrEx>
        <w:trPr>
          <w:trHeight w:val="379" w:hRule="atLeast"/>
        </w:trPr>
        <w:tc>
          <w:tcPr>
            <w:tcW w:w="315"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项目基本情况</w:t>
            </w:r>
          </w:p>
        </w:tc>
        <w:tc>
          <w:tcPr>
            <w:tcW w:w="570"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1.项目年度目标完成情况</w:t>
            </w:r>
          </w:p>
        </w:tc>
        <w:tc>
          <w:tcPr>
            <w:tcW w:w="2487"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项目年度目标</w:t>
            </w:r>
          </w:p>
        </w:tc>
        <w:tc>
          <w:tcPr>
            <w:tcW w:w="1626" w:type="pct"/>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年度目标完成情况</w:t>
            </w:r>
          </w:p>
        </w:tc>
      </w:tr>
      <w:tr>
        <w:tblPrEx>
          <w:tblCellMar>
            <w:top w:w="0" w:type="dxa"/>
            <w:left w:w="28" w:type="dxa"/>
            <w:bottom w:w="0" w:type="dxa"/>
            <w:right w:w="28" w:type="dxa"/>
          </w:tblCellMar>
        </w:tblPrEx>
        <w:trPr>
          <w:trHeight w:val="525"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2487"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保障单位日常运转，提高预算编制质量，严格执行预算</w:t>
            </w:r>
          </w:p>
        </w:tc>
        <w:tc>
          <w:tcPr>
            <w:tcW w:w="1626" w:type="pct"/>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保障单位日常办公支出。</w:t>
            </w:r>
          </w:p>
        </w:tc>
      </w:tr>
      <w:tr>
        <w:tblPrEx>
          <w:tblCellMar>
            <w:top w:w="0" w:type="dxa"/>
            <w:left w:w="28" w:type="dxa"/>
            <w:bottom w:w="0" w:type="dxa"/>
            <w:right w:w="28" w:type="dxa"/>
          </w:tblCellMar>
        </w:tblPrEx>
        <w:trPr>
          <w:trHeight w:val="840"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2.项目实施内容及过程概述</w:t>
            </w:r>
          </w:p>
        </w:tc>
        <w:tc>
          <w:tcPr>
            <w:tcW w:w="4114" w:type="pct"/>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该项目由办公室负责组织实施，通过制定专项工作计划方案、确定工作目标、明确组织实施措施和策略，有效地指导工作的正常有序开展。</w:t>
            </w:r>
          </w:p>
        </w:tc>
      </w:tr>
      <w:tr>
        <w:tblPrEx>
          <w:tblCellMar>
            <w:top w:w="0" w:type="dxa"/>
            <w:left w:w="28" w:type="dxa"/>
            <w:bottom w:w="0" w:type="dxa"/>
            <w:right w:w="28" w:type="dxa"/>
          </w:tblCellMar>
        </w:tblPrEx>
        <w:trPr>
          <w:trHeight w:val="390" w:hRule="atLeast"/>
        </w:trPr>
        <w:tc>
          <w:tcPr>
            <w:tcW w:w="315"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预算执行情况（10分）</w:t>
            </w:r>
          </w:p>
        </w:tc>
        <w:tc>
          <w:tcPr>
            <w:tcW w:w="570" w:type="pct"/>
            <w:tcBorders>
              <w:top w:val="nil"/>
              <w:left w:val="nil"/>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年度预算数（万元）</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年初预算</w:t>
            </w:r>
          </w:p>
        </w:tc>
        <w:tc>
          <w:tcPr>
            <w:tcW w:w="94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调整后预算数</w:t>
            </w: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预算执行数</w:t>
            </w: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预算执行率</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19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原因</w:t>
            </w:r>
          </w:p>
        </w:tc>
      </w:tr>
      <w:tr>
        <w:tblPrEx>
          <w:tblCellMar>
            <w:top w:w="0" w:type="dxa"/>
            <w:left w:w="28" w:type="dxa"/>
            <w:bottom w:w="0" w:type="dxa"/>
            <w:right w:w="28" w:type="dxa"/>
          </w:tblCellMar>
        </w:tblPrEx>
        <w:trPr>
          <w:trHeight w:val="390"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总额</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0.09</w:t>
            </w:r>
          </w:p>
        </w:tc>
        <w:tc>
          <w:tcPr>
            <w:tcW w:w="94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0.09</w:t>
            </w: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0.09</w:t>
            </w: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100.00%</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78"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r>
              <w:rPr>
                <w:rFonts w:ascii="Times New Roman" w:hAnsi="Times New Roman" w:cs="宋体"/>
                <w:i/>
                <w:iCs/>
                <w:color w:val="000000"/>
                <w:kern w:val="0"/>
                <w:sz w:val="20"/>
                <w:szCs w:val="20"/>
              </w:rPr>
              <w:t>无</w:t>
            </w:r>
          </w:p>
        </w:tc>
      </w:tr>
      <w:tr>
        <w:tblPrEx>
          <w:tblCellMar>
            <w:top w:w="0" w:type="dxa"/>
            <w:left w:w="28" w:type="dxa"/>
            <w:bottom w:w="0" w:type="dxa"/>
            <w:right w:w="28" w:type="dxa"/>
          </w:tblCellMar>
        </w:tblPrEx>
        <w:trPr>
          <w:trHeight w:val="390"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其中：财政资金</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0.09</w:t>
            </w:r>
          </w:p>
        </w:tc>
        <w:tc>
          <w:tcPr>
            <w:tcW w:w="94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0.09</w:t>
            </w: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0.09</w:t>
            </w: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100.00%</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8"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tblPrEx>
          <w:tblCellMar>
            <w:top w:w="0" w:type="dxa"/>
            <w:left w:w="28" w:type="dxa"/>
            <w:bottom w:w="0" w:type="dxa"/>
            <w:right w:w="28" w:type="dxa"/>
          </w:tblCellMar>
        </w:tblPrEx>
        <w:trPr>
          <w:trHeight w:val="390"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财政专户管理资金</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8"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tblPrEx>
          <w:tblCellMar>
            <w:top w:w="0" w:type="dxa"/>
            <w:left w:w="28" w:type="dxa"/>
            <w:bottom w:w="0" w:type="dxa"/>
            <w:right w:w="28" w:type="dxa"/>
          </w:tblCellMar>
        </w:tblPrEx>
        <w:trPr>
          <w:trHeight w:val="390"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单位资金</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8"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tblPrEx>
          <w:tblCellMar>
            <w:top w:w="0" w:type="dxa"/>
            <w:left w:w="28" w:type="dxa"/>
            <w:bottom w:w="0" w:type="dxa"/>
            <w:right w:w="28" w:type="dxa"/>
          </w:tblCellMar>
        </w:tblPrEx>
        <w:trPr>
          <w:trHeight w:val="390"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其他资金</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4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8"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tblPrEx>
          <w:tblCellMar>
            <w:top w:w="0" w:type="dxa"/>
            <w:left w:w="28" w:type="dxa"/>
            <w:bottom w:w="0" w:type="dxa"/>
            <w:right w:w="28" w:type="dxa"/>
          </w:tblCellMar>
        </w:tblPrEx>
        <w:trPr>
          <w:trHeight w:val="540" w:hRule="atLeast"/>
        </w:trPr>
        <w:tc>
          <w:tcPr>
            <w:tcW w:w="315"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绩效指标（90分）</w:t>
            </w:r>
          </w:p>
        </w:tc>
        <w:tc>
          <w:tcPr>
            <w:tcW w:w="57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一级指标</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二级指标</w:t>
            </w:r>
          </w:p>
        </w:tc>
        <w:tc>
          <w:tcPr>
            <w:tcW w:w="94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三级指标</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指标性质</w:t>
            </w:r>
          </w:p>
        </w:tc>
        <w:tc>
          <w:tcPr>
            <w:tcW w:w="57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指标值</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度量单位</w:t>
            </w: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完成值</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19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未完成原因分析</w:t>
            </w:r>
          </w:p>
        </w:tc>
      </w:tr>
      <w:tr>
        <w:tblPrEx>
          <w:tblCellMar>
            <w:top w:w="0" w:type="dxa"/>
            <w:left w:w="28" w:type="dxa"/>
            <w:bottom w:w="0" w:type="dxa"/>
            <w:right w:w="28" w:type="dxa"/>
          </w:tblCellMar>
        </w:tblPrEx>
        <w:trPr>
          <w:trHeight w:val="450"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产出指标</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数量指标</w:t>
            </w:r>
          </w:p>
        </w:tc>
        <w:tc>
          <w:tcPr>
            <w:tcW w:w="94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科目调整次数</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次</w:t>
            </w: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45</w:t>
            </w:r>
          </w:p>
        </w:tc>
        <w:tc>
          <w:tcPr>
            <w:tcW w:w="19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45</w:t>
            </w:r>
          </w:p>
        </w:tc>
        <w:tc>
          <w:tcPr>
            <w:tcW w:w="8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tblPrEx>
          <w:tblCellMar>
            <w:top w:w="0" w:type="dxa"/>
            <w:left w:w="28" w:type="dxa"/>
            <w:bottom w:w="0" w:type="dxa"/>
            <w:right w:w="28" w:type="dxa"/>
          </w:tblCellMar>
        </w:tblPrEx>
        <w:trPr>
          <w:trHeight w:val="360"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效益指标</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经济效益指标</w:t>
            </w:r>
          </w:p>
        </w:tc>
        <w:tc>
          <w:tcPr>
            <w:tcW w:w="94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运转保障率</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45</w:t>
            </w:r>
          </w:p>
        </w:tc>
        <w:tc>
          <w:tcPr>
            <w:tcW w:w="19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45</w:t>
            </w:r>
          </w:p>
        </w:tc>
        <w:tc>
          <w:tcPr>
            <w:tcW w:w="8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tblPrEx>
          <w:tblCellMar>
            <w:top w:w="0" w:type="dxa"/>
            <w:left w:w="28" w:type="dxa"/>
            <w:bottom w:w="0" w:type="dxa"/>
            <w:right w:w="28" w:type="dxa"/>
          </w:tblCellMar>
        </w:tblPrEx>
        <w:trPr>
          <w:trHeight w:val="420" w:hRule="atLeast"/>
        </w:trPr>
        <w:tc>
          <w:tcPr>
            <w:tcW w:w="3751"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合计</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9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8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tblPrEx>
          <w:tblCellMar>
            <w:top w:w="0" w:type="dxa"/>
            <w:left w:w="28" w:type="dxa"/>
            <w:bottom w:w="0" w:type="dxa"/>
            <w:right w:w="28" w:type="dxa"/>
          </w:tblCellMar>
        </w:tblPrEx>
        <w:trPr>
          <w:trHeight w:val="555" w:hRule="atLeast"/>
        </w:trPr>
        <w:tc>
          <w:tcPr>
            <w:tcW w:w="315"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评价结论</w:t>
            </w:r>
          </w:p>
        </w:tc>
        <w:tc>
          <w:tcPr>
            <w:tcW w:w="4684"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eastAsia="微软雅黑" w:cs="宋体"/>
                <w:i/>
                <w:iCs/>
                <w:color w:val="000000"/>
                <w:kern w:val="0"/>
                <w:sz w:val="20"/>
                <w:szCs w:val="20"/>
              </w:rPr>
            </w:pPr>
            <w:r>
              <w:rPr>
                <w:rFonts w:hint="eastAsia" w:ascii="Times New Roman" w:hAnsi="Times New Roman" w:cs="宋体"/>
                <w:color w:val="000000"/>
                <w:kern w:val="0"/>
                <w:sz w:val="20"/>
                <w:szCs w:val="20"/>
              </w:rPr>
              <w:t>保障单位日常办公支出。自</w:t>
            </w:r>
            <w:r>
              <w:rPr>
                <w:rFonts w:hint="eastAsia" w:ascii="Times New Roman" w:hAnsi="Times New Roman" w:cs="宋体"/>
                <w:color w:val="000000"/>
                <w:kern w:val="0"/>
                <w:sz w:val="20"/>
                <w:szCs w:val="20"/>
                <w:lang w:eastAsia="zh-CN"/>
              </w:rPr>
              <w:t>评</w:t>
            </w:r>
            <w:r>
              <w:rPr>
                <w:rFonts w:hint="eastAsia" w:ascii="Times New Roman" w:hAnsi="Times New Roman" w:cs="宋体"/>
                <w:color w:val="000000"/>
                <w:kern w:val="0"/>
                <w:sz w:val="20"/>
                <w:szCs w:val="20"/>
              </w:rPr>
              <w:t>得分为100分。</w:t>
            </w:r>
          </w:p>
        </w:tc>
      </w:tr>
      <w:tr>
        <w:tblPrEx>
          <w:tblCellMar>
            <w:top w:w="0" w:type="dxa"/>
            <w:left w:w="28" w:type="dxa"/>
            <w:bottom w:w="0" w:type="dxa"/>
            <w:right w:w="28" w:type="dxa"/>
          </w:tblCellMar>
        </w:tblPrEx>
        <w:trPr>
          <w:trHeight w:val="480" w:hRule="atLeast"/>
        </w:trPr>
        <w:tc>
          <w:tcPr>
            <w:tcW w:w="315"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存在问题</w:t>
            </w:r>
          </w:p>
        </w:tc>
        <w:tc>
          <w:tcPr>
            <w:tcW w:w="4684"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eastAsia="微软雅黑" w:cs="宋体"/>
                <w:i/>
                <w:iCs/>
                <w:color w:val="000000"/>
                <w:kern w:val="0"/>
                <w:sz w:val="20"/>
                <w:szCs w:val="20"/>
              </w:rPr>
            </w:pPr>
            <w:r>
              <w:rPr>
                <w:rFonts w:hint="eastAsia" w:ascii="Times New Roman" w:hAnsi="Times New Roman" w:cs="宋体"/>
                <w:color w:val="000000"/>
                <w:kern w:val="0"/>
                <w:sz w:val="20"/>
                <w:szCs w:val="20"/>
              </w:rPr>
              <w:t>无。</w:t>
            </w:r>
          </w:p>
        </w:tc>
      </w:tr>
      <w:tr>
        <w:tblPrEx>
          <w:tblCellMar>
            <w:top w:w="0" w:type="dxa"/>
            <w:left w:w="28" w:type="dxa"/>
            <w:bottom w:w="0" w:type="dxa"/>
            <w:right w:w="28" w:type="dxa"/>
          </w:tblCellMar>
        </w:tblPrEx>
        <w:trPr>
          <w:trHeight w:val="525" w:hRule="atLeast"/>
        </w:trPr>
        <w:tc>
          <w:tcPr>
            <w:tcW w:w="315"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改进措施</w:t>
            </w:r>
          </w:p>
        </w:tc>
        <w:tc>
          <w:tcPr>
            <w:tcW w:w="4684"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eastAsia="微软雅黑" w:cs="宋体"/>
                <w:i/>
                <w:iCs/>
                <w:color w:val="000000"/>
                <w:kern w:val="0"/>
                <w:sz w:val="20"/>
                <w:szCs w:val="20"/>
              </w:rPr>
            </w:pPr>
            <w:r>
              <w:rPr>
                <w:rFonts w:hint="eastAsia" w:ascii="Times New Roman" w:hAnsi="Times New Roman" w:cs="宋体"/>
                <w:color w:val="000000"/>
                <w:kern w:val="0"/>
                <w:sz w:val="20"/>
                <w:szCs w:val="20"/>
              </w:rPr>
              <w:t>无 。</w:t>
            </w:r>
          </w:p>
        </w:tc>
      </w:tr>
      <w:tr>
        <w:tblPrEx>
          <w:tblCellMar>
            <w:top w:w="0" w:type="dxa"/>
            <w:left w:w="28" w:type="dxa"/>
            <w:bottom w:w="0" w:type="dxa"/>
            <w:right w:w="28" w:type="dxa"/>
          </w:tblCellMar>
        </w:tblPrEx>
        <w:trPr>
          <w:trHeight w:val="402" w:hRule="atLeast"/>
        </w:trPr>
        <w:tc>
          <w:tcPr>
            <w:tcW w:w="261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项目负责人：张慧萍</w:t>
            </w:r>
          </w:p>
        </w:tc>
        <w:tc>
          <w:tcPr>
            <w:tcW w:w="2381" w:type="pct"/>
            <w:gridSpan w:val="6"/>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财务负责人：辜炯益</w:t>
            </w:r>
          </w:p>
        </w:tc>
      </w:tr>
    </w:tbl>
    <w:p>
      <w:pPr>
        <w:pStyle w:val="5"/>
        <w:rPr>
          <w:rFonts w:ascii="Times New Roman" w:hAnsi="Times New Roman" w:eastAsia="仿宋"/>
          <w:sz w:val="20"/>
          <w:szCs w:val="20"/>
        </w:rPr>
      </w:pPr>
    </w:p>
    <w:p>
      <w:pPr>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br w:type="page"/>
      </w:r>
    </w:p>
    <w:p>
      <w:pPr>
        <w:pStyle w:val="5"/>
        <w:ind w:firstLine="960" w:firstLineChars="3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附表14:</w:t>
      </w:r>
    </w:p>
    <w:tbl>
      <w:tblPr>
        <w:tblStyle w:val="12"/>
        <w:tblW w:w="5000" w:type="pct"/>
        <w:tblInd w:w="0" w:type="dxa"/>
        <w:tblLayout w:type="autofit"/>
        <w:tblCellMar>
          <w:top w:w="0" w:type="dxa"/>
          <w:left w:w="28" w:type="dxa"/>
          <w:bottom w:w="0" w:type="dxa"/>
          <w:right w:w="28" w:type="dxa"/>
        </w:tblCellMar>
      </w:tblPr>
      <w:tblGrid>
        <w:gridCol w:w="596"/>
        <w:gridCol w:w="1856"/>
        <w:gridCol w:w="1214"/>
        <w:gridCol w:w="1920"/>
        <w:gridCol w:w="310"/>
        <w:gridCol w:w="1143"/>
        <w:gridCol w:w="312"/>
        <w:gridCol w:w="773"/>
        <w:gridCol w:w="357"/>
        <w:gridCol w:w="257"/>
        <w:gridCol w:w="1772"/>
      </w:tblGrid>
      <w:tr>
        <w:tblPrEx>
          <w:tblCellMar>
            <w:top w:w="0" w:type="dxa"/>
            <w:left w:w="28" w:type="dxa"/>
            <w:bottom w:w="0" w:type="dxa"/>
            <w:right w:w="28" w:type="dxa"/>
          </w:tblCellMar>
        </w:tblPrEx>
        <w:trPr>
          <w:trHeight w:val="62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黑体" w:cs="宋体"/>
                <w:b/>
                <w:bCs/>
                <w:color w:val="000000"/>
                <w:kern w:val="0"/>
                <w:sz w:val="20"/>
                <w:szCs w:val="20"/>
              </w:rPr>
            </w:pPr>
            <w:r>
              <w:rPr>
                <w:rFonts w:hint="eastAsia" w:ascii="Times New Roman" w:hAnsi="Times New Roman" w:eastAsia="黑体" w:cs="宋体"/>
                <w:b/>
                <w:bCs/>
                <w:color w:val="000000"/>
                <w:kern w:val="0"/>
                <w:sz w:val="30"/>
                <w:szCs w:val="30"/>
              </w:rPr>
              <w:t>部门预算项目支出绩效自评表（2022年度）</w:t>
            </w:r>
          </w:p>
        </w:tc>
      </w:tr>
      <w:tr>
        <w:tblPrEx>
          <w:tblCellMar>
            <w:top w:w="0" w:type="dxa"/>
            <w:left w:w="28" w:type="dxa"/>
            <w:bottom w:w="0" w:type="dxa"/>
            <w:right w:w="28" w:type="dxa"/>
          </w:tblCellMar>
        </w:tblPrEx>
        <w:trPr>
          <w:trHeight w:val="379" w:hRule="atLeast"/>
        </w:trPr>
        <w:tc>
          <w:tcPr>
            <w:tcW w:w="8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项目名称</w:t>
            </w:r>
          </w:p>
        </w:tc>
        <w:tc>
          <w:tcPr>
            <w:tcW w:w="4114" w:type="pct"/>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51080022T000006536843-药品监管专项资金</w:t>
            </w:r>
          </w:p>
        </w:tc>
      </w:tr>
      <w:tr>
        <w:tblPrEx>
          <w:tblCellMar>
            <w:top w:w="0" w:type="dxa"/>
            <w:left w:w="28" w:type="dxa"/>
            <w:bottom w:w="0" w:type="dxa"/>
            <w:right w:w="28" w:type="dxa"/>
          </w:tblCellMar>
        </w:tblPrEx>
        <w:trPr>
          <w:trHeight w:val="514" w:hRule="atLeast"/>
        </w:trPr>
        <w:tc>
          <w:tcPr>
            <w:tcW w:w="8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主管部门</w:t>
            </w:r>
          </w:p>
        </w:tc>
        <w:tc>
          <w:tcPr>
            <w:tcW w:w="2488"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广元市市场监督管理局部门</w:t>
            </w:r>
          </w:p>
        </w:tc>
        <w:tc>
          <w:tcPr>
            <w:tcW w:w="377"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实施单位 （盖章）</w:t>
            </w:r>
          </w:p>
        </w:tc>
        <w:tc>
          <w:tcPr>
            <w:tcW w:w="124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广元市食品药品检验检测中心</w:t>
            </w:r>
          </w:p>
        </w:tc>
      </w:tr>
      <w:tr>
        <w:tblPrEx>
          <w:tblCellMar>
            <w:top w:w="0" w:type="dxa"/>
            <w:left w:w="28" w:type="dxa"/>
            <w:bottom w:w="0" w:type="dxa"/>
            <w:right w:w="28" w:type="dxa"/>
          </w:tblCellMar>
        </w:tblPrEx>
        <w:trPr>
          <w:trHeight w:val="285" w:hRule="atLeast"/>
        </w:trPr>
        <w:tc>
          <w:tcPr>
            <w:tcW w:w="315"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项目基本情况</w:t>
            </w:r>
          </w:p>
        </w:tc>
        <w:tc>
          <w:tcPr>
            <w:tcW w:w="570"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1.项目年度目标完成情况</w:t>
            </w:r>
          </w:p>
        </w:tc>
        <w:tc>
          <w:tcPr>
            <w:tcW w:w="2488"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项目年度目标</w:t>
            </w:r>
          </w:p>
        </w:tc>
        <w:tc>
          <w:tcPr>
            <w:tcW w:w="1625" w:type="pct"/>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年度目标完成情况</w:t>
            </w:r>
          </w:p>
        </w:tc>
      </w:tr>
      <w:tr>
        <w:tblPrEx>
          <w:tblCellMar>
            <w:top w:w="0" w:type="dxa"/>
            <w:left w:w="28" w:type="dxa"/>
            <w:bottom w:w="0" w:type="dxa"/>
            <w:right w:w="28" w:type="dxa"/>
          </w:tblCellMar>
        </w:tblPrEx>
        <w:trPr>
          <w:trHeight w:val="709"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2488"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根据省局《关于印发2022年四川省药品抽检工作计划的通知》（川药监发【2022】22号）（川药监【2022】30号）、市局《广元市2022年药品抽检工作实施方案》（广市监发【2022】49号）等文件要求，进一步加强药品化妆品质量监管，充分发挥药品化妆品抽检工作在风险防控方面的技术支撑作用，确保人民群众用药用妆安全有效。</w:t>
            </w:r>
          </w:p>
        </w:tc>
        <w:tc>
          <w:tcPr>
            <w:tcW w:w="1625" w:type="pct"/>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2022年，我中心按照省局《关于印发2022年四川省药品抽检工作计划的通知》（川药监发【2022】22号）（川药监【2022】30号）、市局《广元市2022年药品抽检工作实施方案》（广市监发【2022】49号）等文件要求，充分发挥药品化妆品抽检工作在风险防控方面的技术支撑作用，确保人民群众用药用妆安全有效。</w:t>
            </w:r>
          </w:p>
        </w:tc>
      </w:tr>
      <w:tr>
        <w:tblPrEx>
          <w:tblCellMar>
            <w:top w:w="0" w:type="dxa"/>
            <w:left w:w="28" w:type="dxa"/>
            <w:bottom w:w="0" w:type="dxa"/>
            <w:right w:w="28" w:type="dxa"/>
          </w:tblCellMar>
        </w:tblPrEx>
        <w:trPr>
          <w:trHeight w:val="694"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2.项目实施内容及过程概述</w:t>
            </w:r>
          </w:p>
        </w:tc>
        <w:tc>
          <w:tcPr>
            <w:tcW w:w="4114" w:type="pct"/>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中心药品分管领导负责项目实施，具体抽检工作由中心药品业务科牵头，相关科室配合落实。抽检工作按照《药品质量监督抽验管理规定》及《四川省药品抽验工作绩效考核标准》（2022年）、中心制定的《抽检实施细则》、项目绩效目标要求，药品业务科抽样和支付购样费、样品登记管理</w:t>
            </w:r>
            <w:r>
              <w:rPr>
                <w:rFonts w:hint="eastAsia" w:ascii="Times New Roman" w:hAnsi="Times New Roman" w:cs="宋体"/>
                <w:color w:val="000000"/>
                <w:kern w:val="0"/>
                <w:sz w:val="20"/>
                <w:szCs w:val="20"/>
                <w:lang w:eastAsia="zh-CN"/>
              </w:rPr>
              <w:t>，药品检验</w:t>
            </w:r>
            <w:r>
              <w:rPr>
                <w:rFonts w:hint="eastAsia" w:ascii="Times New Roman" w:hAnsi="Times New Roman" w:cs="宋体"/>
                <w:color w:val="000000"/>
                <w:kern w:val="0"/>
                <w:sz w:val="20"/>
                <w:szCs w:val="20"/>
              </w:rPr>
              <w:t>科室开展检测</w:t>
            </w:r>
            <w:r>
              <w:rPr>
                <w:rFonts w:hint="eastAsia" w:ascii="Times New Roman" w:hAnsi="Times New Roman" w:cs="宋体"/>
                <w:color w:val="000000"/>
                <w:kern w:val="0"/>
                <w:sz w:val="20"/>
                <w:szCs w:val="20"/>
                <w:lang w:eastAsia="zh-CN"/>
              </w:rPr>
              <w:t>，</w:t>
            </w:r>
            <w:r>
              <w:rPr>
                <w:rFonts w:hint="eastAsia" w:ascii="Times New Roman" w:hAnsi="Times New Roman" w:cs="宋体"/>
                <w:color w:val="000000"/>
                <w:kern w:val="0"/>
                <w:sz w:val="20"/>
                <w:szCs w:val="20"/>
              </w:rPr>
              <w:t>药品业务科出具报告和汇总上报抽检情况。</w:t>
            </w:r>
          </w:p>
        </w:tc>
      </w:tr>
      <w:tr>
        <w:tblPrEx>
          <w:tblCellMar>
            <w:top w:w="0" w:type="dxa"/>
            <w:left w:w="28" w:type="dxa"/>
            <w:bottom w:w="0" w:type="dxa"/>
            <w:right w:w="28" w:type="dxa"/>
          </w:tblCellMar>
        </w:tblPrEx>
        <w:trPr>
          <w:trHeight w:val="420" w:hRule="atLeast"/>
        </w:trPr>
        <w:tc>
          <w:tcPr>
            <w:tcW w:w="315"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预算执行情况（10分）</w:t>
            </w:r>
          </w:p>
        </w:tc>
        <w:tc>
          <w:tcPr>
            <w:tcW w:w="570" w:type="pct"/>
            <w:tcBorders>
              <w:top w:val="nil"/>
              <w:left w:val="nil"/>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年度预算数（万元）</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年初预算</w:t>
            </w:r>
          </w:p>
        </w:tc>
        <w:tc>
          <w:tcPr>
            <w:tcW w:w="94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调整后预算数</w:t>
            </w: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预算执行数</w:t>
            </w: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预算执行率</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19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原因</w:t>
            </w:r>
          </w:p>
        </w:tc>
      </w:tr>
      <w:tr>
        <w:tblPrEx>
          <w:tblCellMar>
            <w:top w:w="0" w:type="dxa"/>
            <w:left w:w="28" w:type="dxa"/>
            <w:bottom w:w="0" w:type="dxa"/>
            <w:right w:w="28" w:type="dxa"/>
          </w:tblCellMar>
        </w:tblPrEx>
        <w:trPr>
          <w:trHeight w:val="420"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总额</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69.00</w:t>
            </w: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69.00</w:t>
            </w: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100.00%</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77"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r>
              <w:rPr>
                <w:rFonts w:hint="eastAsia" w:ascii="Times New Roman" w:hAnsi="Times New Roman" w:cs="宋体"/>
                <w:color w:val="000000"/>
                <w:kern w:val="0"/>
                <w:sz w:val="20"/>
                <w:szCs w:val="20"/>
              </w:rPr>
              <w:t>无</w:t>
            </w:r>
          </w:p>
        </w:tc>
      </w:tr>
      <w:tr>
        <w:tblPrEx>
          <w:tblCellMar>
            <w:top w:w="0" w:type="dxa"/>
            <w:left w:w="28" w:type="dxa"/>
            <w:bottom w:w="0" w:type="dxa"/>
            <w:right w:w="28" w:type="dxa"/>
          </w:tblCellMar>
        </w:tblPrEx>
        <w:trPr>
          <w:trHeight w:val="420"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其中：财政资金</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69.00</w:t>
            </w: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69.00</w:t>
            </w: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100.00%</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7"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tblPrEx>
          <w:tblCellMar>
            <w:top w:w="0" w:type="dxa"/>
            <w:left w:w="28" w:type="dxa"/>
            <w:bottom w:w="0" w:type="dxa"/>
            <w:right w:w="28" w:type="dxa"/>
          </w:tblCellMar>
        </w:tblPrEx>
        <w:trPr>
          <w:trHeight w:val="420"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财政专户管理资金</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7"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tblPrEx>
          <w:tblCellMar>
            <w:top w:w="0" w:type="dxa"/>
            <w:left w:w="28" w:type="dxa"/>
            <w:bottom w:w="0" w:type="dxa"/>
            <w:right w:w="28" w:type="dxa"/>
          </w:tblCellMar>
        </w:tblPrEx>
        <w:trPr>
          <w:trHeight w:val="420"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单位资金</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7"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tblPrEx>
          <w:tblCellMar>
            <w:top w:w="0" w:type="dxa"/>
            <w:left w:w="28" w:type="dxa"/>
            <w:bottom w:w="0" w:type="dxa"/>
            <w:right w:w="28" w:type="dxa"/>
          </w:tblCellMar>
        </w:tblPrEx>
        <w:trPr>
          <w:trHeight w:val="420"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其他资金</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4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7"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tblPrEx>
          <w:tblCellMar>
            <w:top w:w="0" w:type="dxa"/>
            <w:left w:w="28" w:type="dxa"/>
            <w:bottom w:w="0" w:type="dxa"/>
            <w:right w:w="28" w:type="dxa"/>
          </w:tblCellMar>
        </w:tblPrEx>
        <w:trPr>
          <w:trHeight w:val="454" w:hRule="atLeast"/>
        </w:trPr>
        <w:tc>
          <w:tcPr>
            <w:tcW w:w="315"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绩效指标（90分）</w:t>
            </w:r>
          </w:p>
        </w:tc>
        <w:tc>
          <w:tcPr>
            <w:tcW w:w="57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一级指标</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二级指标</w:t>
            </w:r>
          </w:p>
        </w:tc>
        <w:tc>
          <w:tcPr>
            <w:tcW w:w="94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三级指标</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指标性质</w:t>
            </w:r>
          </w:p>
        </w:tc>
        <w:tc>
          <w:tcPr>
            <w:tcW w:w="57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指标值</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度量单位</w:t>
            </w: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完成值</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19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未完成原因分析</w:t>
            </w:r>
          </w:p>
        </w:tc>
      </w:tr>
      <w:tr>
        <w:tblPrEx>
          <w:tblCellMar>
            <w:top w:w="0" w:type="dxa"/>
            <w:left w:w="28" w:type="dxa"/>
            <w:bottom w:w="0" w:type="dxa"/>
            <w:right w:w="28" w:type="dxa"/>
          </w:tblCellMar>
        </w:tblPrEx>
        <w:trPr>
          <w:trHeight w:val="454"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产出指标</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数量指标</w:t>
            </w:r>
          </w:p>
        </w:tc>
        <w:tc>
          <w:tcPr>
            <w:tcW w:w="94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完成药品抽验批次</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278</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批次</w:t>
            </w: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278</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15</w:t>
            </w:r>
          </w:p>
        </w:tc>
        <w:tc>
          <w:tcPr>
            <w:tcW w:w="19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宋体"/>
                <w:color w:val="000000"/>
                <w:kern w:val="0"/>
                <w:sz w:val="20"/>
                <w:szCs w:val="20"/>
                <w:lang w:val="en-US" w:eastAsia="zh-CN"/>
              </w:rPr>
            </w:pPr>
            <w:r>
              <w:rPr>
                <w:rFonts w:hint="eastAsia" w:ascii="Times New Roman" w:hAnsi="Times New Roman" w:cs="宋体"/>
                <w:color w:val="000000"/>
                <w:kern w:val="0"/>
                <w:sz w:val="20"/>
                <w:szCs w:val="20"/>
                <w:lang w:val="en-US" w:eastAsia="zh-CN"/>
              </w:rPr>
              <w:t>15</w:t>
            </w:r>
          </w:p>
        </w:tc>
        <w:tc>
          <w:tcPr>
            <w:tcW w:w="8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tblPrEx>
          <w:tblCellMar>
            <w:top w:w="0" w:type="dxa"/>
            <w:left w:w="28" w:type="dxa"/>
            <w:bottom w:w="0" w:type="dxa"/>
            <w:right w:w="28" w:type="dxa"/>
          </w:tblCellMar>
        </w:tblPrEx>
        <w:trPr>
          <w:trHeight w:val="454"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质量指标</w:t>
            </w:r>
          </w:p>
        </w:tc>
        <w:tc>
          <w:tcPr>
            <w:tcW w:w="94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根据药品质量标准抽验任务完成率</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15</w:t>
            </w:r>
          </w:p>
        </w:tc>
        <w:tc>
          <w:tcPr>
            <w:tcW w:w="19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color w:val="000000"/>
                <w:kern w:val="0"/>
                <w:sz w:val="20"/>
                <w:szCs w:val="20"/>
                <w:lang w:eastAsia="zh-CN"/>
              </w:rPr>
            </w:pPr>
            <w:r>
              <w:rPr>
                <w:rFonts w:hint="eastAsia" w:ascii="Times New Roman" w:hAnsi="Times New Roman" w:cs="宋体"/>
                <w:color w:val="000000"/>
                <w:kern w:val="0"/>
                <w:sz w:val="20"/>
                <w:szCs w:val="20"/>
              </w:rPr>
              <w:t>1</w:t>
            </w:r>
            <w:r>
              <w:rPr>
                <w:rFonts w:hint="eastAsia" w:ascii="Times New Roman" w:hAnsi="Times New Roman" w:cs="宋体"/>
                <w:color w:val="000000"/>
                <w:kern w:val="0"/>
                <w:sz w:val="20"/>
                <w:szCs w:val="20"/>
                <w:lang w:val="en-US" w:eastAsia="zh-CN"/>
              </w:rPr>
              <w:t>5</w:t>
            </w:r>
          </w:p>
        </w:tc>
        <w:tc>
          <w:tcPr>
            <w:tcW w:w="8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tblPrEx>
          <w:tblCellMar>
            <w:top w:w="0" w:type="dxa"/>
            <w:left w:w="28" w:type="dxa"/>
            <w:bottom w:w="0" w:type="dxa"/>
            <w:right w:w="28" w:type="dxa"/>
          </w:tblCellMar>
        </w:tblPrEx>
        <w:trPr>
          <w:trHeight w:val="454"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时效指标</w:t>
            </w:r>
          </w:p>
        </w:tc>
        <w:tc>
          <w:tcPr>
            <w:tcW w:w="94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任务完成时间</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2022</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w:t>
            </w: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2022</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tblPrEx>
          <w:tblCellMar>
            <w:top w:w="0" w:type="dxa"/>
            <w:left w:w="28" w:type="dxa"/>
            <w:bottom w:w="0" w:type="dxa"/>
            <w:right w:w="28" w:type="dxa"/>
          </w:tblCellMar>
        </w:tblPrEx>
        <w:trPr>
          <w:trHeight w:val="454"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成本指标</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经济成本指标</w:t>
            </w:r>
          </w:p>
        </w:tc>
        <w:tc>
          <w:tcPr>
            <w:tcW w:w="94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办公费、水电费和实验仪器维护（修）费等</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Arial"/>
                <w:color w:val="000000"/>
                <w:kern w:val="0"/>
                <w:sz w:val="20"/>
                <w:szCs w:val="20"/>
              </w:rPr>
            </w:pPr>
            <w:r>
              <w:rPr>
                <w:rFonts w:ascii="Times New Roman" w:hAnsi="Times New Roman" w:cs="Arial"/>
                <w:color w:val="000000"/>
                <w:kern w:val="0"/>
                <w:sz w:val="20"/>
                <w:szCs w:val="20"/>
              </w:rPr>
              <w:t>≤</w:t>
            </w:r>
          </w:p>
        </w:tc>
        <w:tc>
          <w:tcPr>
            <w:tcW w:w="57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万元</w:t>
            </w: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9.98</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7</w:t>
            </w:r>
          </w:p>
        </w:tc>
        <w:tc>
          <w:tcPr>
            <w:tcW w:w="19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color w:val="000000"/>
                <w:kern w:val="0"/>
                <w:sz w:val="20"/>
                <w:szCs w:val="20"/>
                <w:lang w:eastAsia="zh-CN"/>
              </w:rPr>
            </w:pPr>
            <w:r>
              <w:rPr>
                <w:rFonts w:hint="eastAsia" w:ascii="Times New Roman" w:hAnsi="Times New Roman" w:cs="宋体"/>
                <w:color w:val="000000"/>
                <w:kern w:val="0"/>
                <w:sz w:val="20"/>
                <w:szCs w:val="20"/>
                <w:lang w:val="en-US" w:eastAsia="zh-CN"/>
              </w:rPr>
              <w:t>7</w:t>
            </w:r>
          </w:p>
        </w:tc>
        <w:tc>
          <w:tcPr>
            <w:tcW w:w="8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tblPrEx>
          <w:tblCellMar>
            <w:top w:w="0" w:type="dxa"/>
            <w:left w:w="28" w:type="dxa"/>
            <w:bottom w:w="0" w:type="dxa"/>
            <w:right w:w="28" w:type="dxa"/>
          </w:tblCellMar>
        </w:tblPrEx>
        <w:trPr>
          <w:trHeight w:val="454"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经济成本指标</w:t>
            </w:r>
          </w:p>
        </w:tc>
        <w:tc>
          <w:tcPr>
            <w:tcW w:w="94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邮电费、差旅费及劳务费</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Arial"/>
                <w:color w:val="000000"/>
                <w:kern w:val="0"/>
                <w:sz w:val="20"/>
                <w:szCs w:val="20"/>
              </w:rPr>
            </w:pPr>
            <w:r>
              <w:rPr>
                <w:rFonts w:ascii="Times New Roman" w:hAnsi="Times New Roman" w:cs="Arial"/>
                <w:color w:val="000000"/>
                <w:kern w:val="0"/>
                <w:sz w:val="20"/>
                <w:szCs w:val="20"/>
              </w:rPr>
              <w:t>≤</w:t>
            </w:r>
          </w:p>
        </w:tc>
        <w:tc>
          <w:tcPr>
            <w:tcW w:w="57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45</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万元</w:t>
            </w: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45.22</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7</w:t>
            </w:r>
          </w:p>
        </w:tc>
        <w:tc>
          <w:tcPr>
            <w:tcW w:w="19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color w:val="000000"/>
                <w:kern w:val="0"/>
                <w:sz w:val="20"/>
                <w:szCs w:val="20"/>
                <w:lang w:eastAsia="zh-CN"/>
              </w:rPr>
            </w:pPr>
            <w:r>
              <w:rPr>
                <w:rFonts w:hint="eastAsia" w:ascii="Times New Roman" w:hAnsi="Times New Roman" w:cs="宋体"/>
                <w:color w:val="000000"/>
                <w:kern w:val="0"/>
                <w:sz w:val="20"/>
                <w:szCs w:val="20"/>
                <w:lang w:val="en-US" w:eastAsia="zh-CN"/>
              </w:rPr>
              <w:t>5</w:t>
            </w:r>
          </w:p>
        </w:tc>
        <w:tc>
          <w:tcPr>
            <w:tcW w:w="8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tblPrEx>
          <w:tblCellMar>
            <w:top w:w="0" w:type="dxa"/>
            <w:left w:w="28" w:type="dxa"/>
            <w:bottom w:w="0" w:type="dxa"/>
            <w:right w:w="28" w:type="dxa"/>
          </w:tblCellMar>
        </w:tblPrEx>
        <w:trPr>
          <w:trHeight w:val="454"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经济成本指标</w:t>
            </w:r>
          </w:p>
        </w:tc>
        <w:tc>
          <w:tcPr>
            <w:tcW w:w="94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标准物资及实验耗材及其他交通费</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Arial"/>
                <w:color w:val="000000"/>
                <w:kern w:val="0"/>
                <w:sz w:val="20"/>
                <w:szCs w:val="20"/>
              </w:rPr>
            </w:pPr>
            <w:r>
              <w:rPr>
                <w:rFonts w:ascii="Times New Roman" w:hAnsi="Times New Roman" w:cs="Arial"/>
                <w:color w:val="000000"/>
                <w:kern w:val="0"/>
                <w:sz w:val="20"/>
                <w:szCs w:val="20"/>
              </w:rPr>
              <w:t>≤</w:t>
            </w:r>
          </w:p>
        </w:tc>
        <w:tc>
          <w:tcPr>
            <w:tcW w:w="57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14</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万元</w:t>
            </w: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13.8</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6</w:t>
            </w:r>
          </w:p>
        </w:tc>
        <w:tc>
          <w:tcPr>
            <w:tcW w:w="19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color w:val="000000"/>
                <w:kern w:val="0"/>
                <w:sz w:val="20"/>
                <w:szCs w:val="20"/>
                <w:lang w:eastAsia="zh-CN"/>
              </w:rPr>
            </w:pPr>
            <w:r>
              <w:rPr>
                <w:rFonts w:hint="eastAsia" w:ascii="Times New Roman" w:hAnsi="Times New Roman" w:cs="宋体"/>
                <w:color w:val="000000"/>
                <w:kern w:val="0"/>
                <w:sz w:val="20"/>
                <w:szCs w:val="20"/>
                <w:lang w:val="en-US" w:eastAsia="zh-CN"/>
              </w:rPr>
              <w:t>6</w:t>
            </w:r>
          </w:p>
        </w:tc>
        <w:tc>
          <w:tcPr>
            <w:tcW w:w="8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tblPrEx>
          <w:tblCellMar>
            <w:top w:w="0" w:type="dxa"/>
            <w:left w:w="28" w:type="dxa"/>
            <w:bottom w:w="0" w:type="dxa"/>
            <w:right w:w="28" w:type="dxa"/>
          </w:tblCellMar>
        </w:tblPrEx>
        <w:trPr>
          <w:trHeight w:val="454"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效益指标</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社会效益指标</w:t>
            </w:r>
          </w:p>
        </w:tc>
        <w:tc>
          <w:tcPr>
            <w:tcW w:w="94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不合格检验报告处置率</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Arial"/>
                <w:color w:val="000000"/>
                <w:kern w:val="0"/>
                <w:sz w:val="20"/>
                <w:szCs w:val="20"/>
              </w:rPr>
            </w:pPr>
            <w:r>
              <w:rPr>
                <w:rFonts w:ascii="Times New Roman" w:hAnsi="Times New Roman" w:cs="Arial"/>
                <w:color w:val="000000"/>
                <w:kern w:val="0"/>
                <w:sz w:val="20"/>
                <w:szCs w:val="20"/>
              </w:rPr>
              <w:t>＝</w:t>
            </w:r>
          </w:p>
        </w:tc>
        <w:tc>
          <w:tcPr>
            <w:tcW w:w="57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tblPrEx>
          <w:tblCellMar>
            <w:top w:w="0" w:type="dxa"/>
            <w:left w:w="28" w:type="dxa"/>
            <w:bottom w:w="0" w:type="dxa"/>
            <w:right w:w="28" w:type="dxa"/>
          </w:tblCellMar>
        </w:tblPrEx>
        <w:trPr>
          <w:trHeight w:val="454"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可持续影响指标</w:t>
            </w:r>
          </w:p>
        </w:tc>
        <w:tc>
          <w:tcPr>
            <w:tcW w:w="94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检验检测报告质量</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定性</w:t>
            </w:r>
          </w:p>
        </w:tc>
        <w:tc>
          <w:tcPr>
            <w:tcW w:w="57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优</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级</w:t>
            </w: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优</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tblPrEx>
          <w:tblCellMar>
            <w:top w:w="0" w:type="dxa"/>
            <w:left w:w="28" w:type="dxa"/>
            <w:bottom w:w="0" w:type="dxa"/>
            <w:right w:w="28" w:type="dxa"/>
          </w:tblCellMar>
        </w:tblPrEx>
        <w:trPr>
          <w:trHeight w:val="338"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满意度指标</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服务对象满意度指标</w:t>
            </w:r>
          </w:p>
        </w:tc>
        <w:tc>
          <w:tcPr>
            <w:tcW w:w="94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公众对药品安全的总体满意度</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Arial"/>
                <w:color w:val="000000"/>
                <w:kern w:val="0"/>
                <w:sz w:val="20"/>
                <w:szCs w:val="20"/>
              </w:rPr>
            </w:pPr>
            <w:r>
              <w:rPr>
                <w:rFonts w:ascii="Times New Roman" w:hAnsi="Times New Roman" w:cs="Arial"/>
                <w:color w:val="000000"/>
                <w:kern w:val="0"/>
                <w:sz w:val="20"/>
                <w:szCs w:val="20"/>
              </w:rPr>
              <w:t>≥</w:t>
            </w:r>
          </w:p>
        </w:tc>
        <w:tc>
          <w:tcPr>
            <w:tcW w:w="57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90</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90</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9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tblPrEx>
          <w:tblCellMar>
            <w:top w:w="0" w:type="dxa"/>
            <w:left w:w="28" w:type="dxa"/>
            <w:bottom w:w="0" w:type="dxa"/>
            <w:right w:w="2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合计</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9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98</w:t>
            </w:r>
          </w:p>
        </w:tc>
        <w:tc>
          <w:tcPr>
            <w:tcW w:w="8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tblPrEx>
          <w:tblCellMar>
            <w:top w:w="0" w:type="dxa"/>
            <w:left w:w="28" w:type="dxa"/>
            <w:bottom w:w="0" w:type="dxa"/>
            <w:right w:w="28" w:type="dxa"/>
          </w:tblCellMar>
        </w:tblPrEx>
        <w:trPr>
          <w:trHeight w:val="630" w:hRule="atLeast"/>
        </w:trPr>
        <w:tc>
          <w:tcPr>
            <w:tcW w:w="315"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评价结论</w:t>
            </w:r>
          </w:p>
        </w:tc>
        <w:tc>
          <w:tcPr>
            <w:tcW w:w="4684"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绩效自评得分98分，项目总体运行良好，完成了年初制定的绩效目标。中心通过开展药品检验工作，保障了公众用药安全和提升医药企业产品质量，为药品安全提供了技术保障。</w:t>
            </w:r>
          </w:p>
        </w:tc>
      </w:tr>
      <w:tr>
        <w:tblPrEx>
          <w:tblCellMar>
            <w:top w:w="0" w:type="dxa"/>
            <w:left w:w="28" w:type="dxa"/>
            <w:bottom w:w="0" w:type="dxa"/>
            <w:right w:w="28" w:type="dxa"/>
          </w:tblCellMar>
        </w:tblPrEx>
        <w:trPr>
          <w:trHeight w:val="630" w:hRule="atLeast"/>
        </w:trPr>
        <w:tc>
          <w:tcPr>
            <w:tcW w:w="315"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存在问题</w:t>
            </w:r>
          </w:p>
        </w:tc>
        <w:tc>
          <w:tcPr>
            <w:tcW w:w="4684"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经济成本指标不够精准。</w:t>
            </w:r>
          </w:p>
        </w:tc>
      </w:tr>
      <w:tr>
        <w:tblPrEx>
          <w:tblCellMar>
            <w:top w:w="0" w:type="dxa"/>
            <w:left w:w="28" w:type="dxa"/>
            <w:bottom w:w="0" w:type="dxa"/>
            <w:right w:w="28" w:type="dxa"/>
          </w:tblCellMar>
        </w:tblPrEx>
        <w:trPr>
          <w:trHeight w:val="630" w:hRule="atLeast"/>
        </w:trPr>
        <w:tc>
          <w:tcPr>
            <w:tcW w:w="315"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改进措施</w:t>
            </w:r>
          </w:p>
        </w:tc>
        <w:tc>
          <w:tcPr>
            <w:tcW w:w="4684"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强化预算编制，加强事中、事后绩效监控，提高预算执行的科学性。</w:t>
            </w:r>
          </w:p>
        </w:tc>
      </w:tr>
      <w:tr>
        <w:tblPrEx>
          <w:tblCellMar>
            <w:top w:w="0" w:type="dxa"/>
            <w:left w:w="28" w:type="dxa"/>
            <w:bottom w:w="0" w:type="dxa"/>
            <w:right w:w="28" w:type="dxa"/>
          </w:tblCellMar>
        </w:tblPrEx>
        <w:trPr>
          <w:trHeight w:val="342" w:hRule="atLeast"/>
        </w:trPr>
        <w:tc>
          <w:tcPr>
            <w:tcW w:w="261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项目负责人：赵扬</w:t>
            </w:r>
          </w:p>
        </w:tc>
        <w:tc>
          <w:tcPr>
            <w:tcW w:w="2381" w:type="pct"/>
            <w:gridSpan w:val="6"/>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财务负责人：辜炯益</w:t>
            </w:r>
          </w:p>
        </w:tc>
      </w:tr>
    </w:tbl>
    <w:p>
      <w:pPr>
        <w:pStyle w:val="5"/>
        <w:rPr>
          <w:rFonts w:ascii="Times New Roman" w:hAnsi="Times New Roman" w:eastAsia="仿宋"/>
          <w:sz w:val="20"/>
          <w:szCs w:val="20"/>
        </w:rPr>
      </w:pPr>
    </w:p>
    <w:p>
      <w:pPr>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br w:type="page"/>
      </w:r>
    </w:p>
    <w:p>
      <w:pPr>
        <w:pStyle w:val="5"/>
        <w:ind w:firstLine="960" w:firstLineChars="3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附表15:</w:t>
      </w:r>
    </w:p>
    <w:tbl>
      <w:tblPr>
        <w:tblStyle w:val="12"/>
        <w:tblW w:w="5000" w:type="pct"/>
        <w:tblInd w:w="0" w:type="dxa"/>
        <w:tblLayout w:type="autofit"/>
        <w:tblCellMar>
          <w:top w:w="0" w:type="dxa"/>
          <w:left w:w="28" w:type="dxa"/>
          <w:bottom w:w="0" w:type="dxa"/>
          <w:right w:w="28" w:type="dxa"/>
        </w:tblCellMar>
      </w:tblPr>
      <w:tblGrid>
        <w:gridCol w:w="590"/>
        <w:gridCol w:w="1856"/>
        <w:gridCol w:w="1197"/>
        <w:gridCol w:w="1895"/>
        <w:gridCol w:w="310"/>
        <w:gridCol w:w="1122"/>
        <w:gridCol w:w="308"/>
        <w:gridCol w:w="773"/>
        <w:gridCol w:w="406"/>
        <w:gridCol w:w="406"/>
        <w:gridCol w:w="1647"/>
      </w:tblGrid>
      <w:tr>
        <w:tblPrEx>
          <w:tblCellMar>
            <w:top w:w="0" w:type="dxa"/>
            <w:left w:w="28" w:type="dxa"/>
            <w:bottom w:w="0" w:type="dxa"/>
            <w:right w:w="28" w:type="dxa"/>
          </w:tblCellMar>
        </w:tblPrEx>
        <w:trPr>
          <w:trHeight w:val="62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黑体" w:cs="宋体"/>
                <w:b/>
                <w:bCs/>
                <w:color w:val="000000"/>
                <w:kern w:val="0"/>
                <w:sz w:val="20"/>
                <w:szCs w:val="20"/>
              </w:rPr>
            </w:pPr>
            <w:r>
              <w:rPr>
                <w:rFonts w:hint="eastAsia" w:ascii="Times New Roman" w:hAnsi="Times New Roman" w:eastAsia="黑体" w:cs="宋体"/>
                <w:b/>
                <w:bCs/>
                <w:color w:val="000000"/>
                <w:kern w:val="0"/>
                <w:sz w:val="30"/>
                <w:szCs w:val="30"/>
              </w:rPr>
              <w:t>部门预算项目支出绩效自评表（2022年度）</w:t>
            </w:r>
          </w:p>
        </w:tc>
      </w:tr>
      <w:tr>
        <w:tblPrEx>
          <w:tblCellMar>
            <w:top w:w="0" w:type="dxa"/>
            <w:left w:w="28" w:type="dxa"/>
            <w:bottom w:w="0" w:type="dxa"/>
            <w:right w:w="28" w:type="dxa"/>
          </w:tblCellMar>
        </w:tblPrEx>
        <w:trPr>
          <w:trHeight w:val="285" w:hRule="atLeast"/>
        </w:trPr>
        <w:tc>
          <w:tcPr>
            <w:tcW w:w="8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项目名称</w:t>
            </w:r>
          </w:p>
        </w:tc>
        <w:tc>
          <w:tcPr>
            <w:tcW w:w="4117" w:type="pct"/>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51080022Y000000267568-定额公用经费（事业）</w:t>
            </w:r>
          </w:p>
        </w:tc>
      </w:tr>
      <w:tr>
        <w:tblPrEx>
          <w:tblCellMar>
            <w:top w:w="0" w:type="dxa"/>
            <w:left w:w="28" w:type="dxa"/>
            <w:bottom w:w="0" w:type="dxa"/>
            <w:right w:w="28" w:type="dxa"/>
          </w:tblCellMar>
        </w:tblPrEx>
        <w:trPr>
          <w:trHeight w:val="514" w:hRule="atLeast"/>
        </w:trPr>
        <w:tc>
          <w:tcPr>
            <w:tcW w:w="8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主管部门</w:t>
            </w:r>
          </w:p>
        </w:tc>
        <w:tc>
          <w:tcPr>
            <w:tcW w:w="2456"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广元市市场监督管理局部门</w:t>
            </w:r>
          </w:p>
        </w:tc>
        <w:tc>
          <w:tcPr>
            <w:tcW w:w="376"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实施单位 （盖章）</w:t>
            </w:r>
          </w:p>
        </w:tc>
        <w:tc>
          <w:tcPr>
            <w:tcW w:w="12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广元市食品药品检验检测中心</w:t>
            </w:r>
          </w:p>
        </w:tc>
      </w:tr>
      <w:tr>
        <w:tblPrEx>
          <w:tblCellMar>
            <w:top w:w="0" w:type="dxa"/>
            <w:left w:w="28" w:type="dxa"/>
            <w:bottom w:w="0" w:type="dxa"/>
            <w:right w:w="28" w:type="dxa"/>
          </w:tblCellMar>
        </w:tblPrEx>
        <w:trPr>
          <w:trHeight w:val="285" w:hRule="atLeast"/>
        </w:trPr>
        <w:tc>
          <w:tcPr>
            <w:tcW w:w="312"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项目基本情况</w:t>
            </w:r>
          </w:p>
        </w:tc>
        <w:tc>
          <w:tcPr>
            <w:tcW w:w="570"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1.项目年度目标完成情况</w:t>
            </w:r>
          </w:p>
        </w:tc>
        <w:tc>
          <w:tcPr>
            <w:tcW w:w="2456"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项目年度目标</w:t>
            </w:r>
          </w:p>
        </w:tc>
        <w:tc>
          <w:tcPr>
            <w:tcW w:w="1660" w:type="pct"/>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年度目标完成情况</w:t>
            </w:r>
          </w:p>
        </w:tc>
      </w:tr>
      <w:tr>
        <w:tblPrEx>
          <w:tblCellMar>
            <w:top w:w="0" w:type="dxa"/>
            <w:left w:w="28" w:type="dxa"/>
            <w:bottom w:w="0" w:type="dxa"/>
            <w:right w:w="28" w:type="dxa"/>
          </w:tblCellMar>
        </w:tblPrEx>
        <w:trPr>
          <w:trHeight w:val="709" w:hRule="atLeast"/>
        </w:trPr>
        <w:tc>
          <w:tcPr>
            <w:tcW w:w="312"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2456"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eastAsia="宋体" w:cs="宋体"/>
                <w:color w:val="000000"/>
                <w:kern w:val="0"/>
                <w:sz w:val="20"/>
                <w:szCs w:val="20"/>
                <w:lang w:val="en-US" w:eastAsia="zh-CN"/>
              </w:rPr>
            </w:pPr>
            <w:r>
              <w:rPr>
                <w:rFonts w:hint="eastAsia" w:ascii="Times New Roman" w:hAnsi="Times New Roman" w:cs="宋体"/>
                <w:color w:val="000000"/>
                <w:kern w:val="0"/>
                <w:sz w:val="20"/>
                <w:szCs w:val="20"/>
              </w:rPr>
              <w:t>保障单位日常运转，提高预算编制质量，严格执行预算</w:t>
            </w:r>
            <w:r>
              <w:rPr>
                <w:rFonts w:hint="eastAsia" w:ascii="Times New Roman" w:hAnsi="Times New Roman" w:cs="宋体"/>
                <w:color w:val="000000"/>
                <w:kern w:val="0"/>
                <w:sz w:val="20"/>
                <w:szCs w:val="20"/>
                <w:lang w:eastAsia="zh-CN"/>
              </w:rPr>
              <w:t>。</w:t>
            </w:r>
          </w:p>
        </w:tc>
        <w:tc>
          <w:tcPr>
            <w:tcW w:w="1660" w:type="pct"/>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保障单位日常办公正常运转。</w:t>
            </w:r>
          </w:p>
        </w:tc>
      </w:tr>
      <w:tr>
        <w:tblPrEx>
          <w:tblCellMar>
            <w:top w:w="0" w:type="dxa"/>
            <w:left w:w="28" w:type="dxa"/>
            <w:bottom w:w="0" w:type="dxa"/>
            <w:right w:w="28" w:type="dxa"/>
          </w:tblCellMar>
        </w:tblPrEx>
        <w:trPr>
          <w:trHeight w:val="694" w:hRule="atLeast"/>
        </w:trPr>
        <w:tc>
          <w:tcPr>
            <w:tcW w:w="312"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2.项目实施内容及过程概述</w:t>
            </w:r>
          </w:p>
        </w:tc>
        <w:tc>
          <w:tcPr>
            <w:tcW w:w="4117" w:type="pct"/>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“定额公用经费（事业）”项目由办公室负责组织实施，通过制定专项工作计划方案、确定工作目标、明确组织实施措施和策略，有效地指导工作的正常有序开展。</w:t>
            </w:r>
          </w:p>
        </w:tc>
      </w:tr>
      <w:tr>
        <w:tblPrEx>
          <w:tblCellMar>
            <w:top w:w="0" w:type="dxa"/>
            <w:left w:w="28" w:type="dxa"/>
            <w:bottom w:w="0" w:type="dxa"/>
            <w:right w:w="28" w:type="dxa"/>
          </w:tblCellMar>
        </w:tblPrEx>
        <w:trPr>
          <w:trHeight w:val="360" w:hRule="atLeast"/>
        </w:trPr>
        <w:tc>
          <w:tcPr>
            <w:tcW w:w="312"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预算执行情况（10分）</w:t>
            </w:r>
          </w:p>
        </w:tc>
        <w:tc>
          <w:tcPr>
            <w:tcW w:w="570" w:type="pct"/>
            <w:tcBorders>
              <w:top w:val="nil"/>
              <w:left w:val="nil"/>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年度预算数（万元）</w:t>
            </w:r>
          </w:p>
        </w:tc>
        <w:tc>
          <w:tcPr>
            <w:tcW w:w="60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年初预算</w:t>
            </w:r>
          </w:p>
        </w:tc>
        <w:tc>
          <w:tcPr>
            <w:tcW w:w="93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调整后预算数</w:t>
            </w:r>
          </w:p>
        </w:tc>
        <w:tc>
          <w:tcPr>
            <w:tcW w:w="922"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预算执行数</w:t>
            </w:r>
          </w:p>
        </w:tc>
        <w:tc>
          <w:tcPr>
            <w:tcW w:w="376"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预算执行率</w:t>
            </w:r>
          </w:p>
        </w:tc>
        <w:tc>
          <w:tcPr>
            <w:tcW w:w="21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21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原因</w:t>
            </w:r>
          </w:p>
        </w:tc>
      </w:tr>
      <w:tr>
        <w:tblPrEx>
          <w:tblCellMar>
            <w:top w:w="0" w:type="dxa"/>
            <w:left w:w="28" w:type="dxa"/>
            <w:bottom w:w="0" w:type="dxa"/>
            <w:right w:w="28" w:type="dxa"/>
          </w:tblCellMar>
        </w:tblPrEx>
        <w:trPr>
          <w:trHeight w:val="387" w:hRule="atLeast"/>
        </w:trPr>
        <w:tc>
          <w:tcPr>
            <w:tcW w:w="312"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总额</w:t>
            </w:r>
          </w:p>
        </w:tc>
        <w:tc>
          <w:tcPr>
            <w:tcW w:w="60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69.00</w:t>
            </w:r>
          </w:p>
        </w:tc>
        <w:tc>
          <w:tcPr>
            <w:tcW w:w="93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68.51</w:t>
            </w:r>
          </w:p>
        </w:tc>
        <w:tc>
          <w:tcPr>
            <w:tcW w:w="922"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68.51</w:t>
            </w:r>
          </w:p>
        </w:tc>
        <w:tc>
          <w:tcPr>
            <w:tcW w:w="376"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100.00%</w:t>
            </w:r>
          </w:p>
        </w:tc>
        <w:tc>
          <w:tcPr>
            <w:tcW w:w="21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21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59"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r>
              <w:rPr>
                <w:rFonts w:ascii="Times New Roman" w:hAnsi="Times New Roman" w:cs="宋体"/>
                <w:i/>
                <w:iCs/>
                <w:color w:val="000000"/>
                <w:kern w:val="0"/>
                <w:sz w:val="20"/>
                <w:szCs w:val="20"/>
              </w:rPr>
              <w:t>无</w:t>
            </w:r>
          </w:p>
        </w:tc>
      </w:tr>
      <w:tr>
        <w:tblPrEx>
          <w:tblCellMar>
            <w:top w:w="0" w:type="dxa"/>
            <w:left w:w="28" w:type="dxa"/>
            <w:bottom w:w="0" w:type="dxa"/>
            <w:right w:w="28" w:type="dxa"/>
          </w:tblCellMar>
        </w:tblPrEx>
        <w:trPr>
          <w:trHeight w:val="432" w:hRule="atLeast"/>
        </w:trPr>
        <w:tc>
          <w:tcPr>
            <w:tcW w:w="312"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其中：财政资金</w:t>
            </w:r>
          </w:p>
        </w:tc>
        <w:tc>
          <w:tcPr>
            <w:tcW w:w="60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69.00</w:t>
            </w:r>
          </w:p>
        </w:tc>
        <w:tc>
          <w:tcPr>
            <w:tcW w:w="93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68.51</w:t>
            </w:r>
          </w:p>
        </w:tc>
        <w:tc>
          <w:tcPr>
            <w:tcW w:w="922"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68.51</w:t>
            </w:r>
          </w:p>
        </w:tc>
        <w:tc>
          <w:tcPr>
            <w:tcW w:w="376"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100.00%</w:t>
            </w:r>
          </w:p>
        </w:tc>
        <w:tc>
          <w:tcPr>
            <w:tcW w:w="21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21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5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tblPrEx>
          <w:tblCellMar>
            <w:top w:w="0" w:type="dxa"/>
            <w:left w:w="28" w:type="dxa"/>
            <w:bottom w:w="0" w:type="dxa"/>
            <w:right w:w="28" w:type="dxa"/>
          </w:tblCellMar>
        </w:tblPrEx>
        <w:trPr>
          <w:trHeight w:val="447" w:hRule="atLeast"/>
        </w:trPr>
        <w:tc>
          <w:tcPr>
            <w:tcW w:w="312"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财政专户管理资金</w:t>
            </w:r>
          </w:p>
        </w:tc>
        <w:tc>
          <w:tcPr>
            <w:tcW w:w="60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3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22"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76"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21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21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5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tblPrEx>
          <w:tblCellMar>
            <w:top w:w="0" w:type="dxa"/>
            <w:left w:w="28" w:type="dxa"/>
            <w:bottom w:w="0" w:type="dxa"/>
            <w:right w:w="28" w:type="dxa"/>
          </w:tblCellMar>
        </w:tblPrEx>
        <w:trPr>
          <w:trHeight w:val="402" w:hRule="atLeast"/>
        </w:trPr>
        <w:tc>
          <w:tcPr>
            <w:tcW w:w="312"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单位资金</w:t>
            </w:r>
          </w:p>
        </w:tc>
        <w:tc>
          <w:tcPr>
            <w:tcW w:w="60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3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22"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76"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21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21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5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tblPrEx>
          <w:tblCellMar>
            <w:top w:w="0" w:type="dxa"/>
            <w:left w:w="28" w:type="dxa"/>
            <w:bottom w:w="0" w:type="dxa"/>
            <w:right w:w="28" w:type="dxa"/>
          </w:tblCellMar>
        </w:tblPrEx>
        <w:trPr>
          <w:trHeight w:val="379" w:hRule="atLeast"/>
        </w:trPr>
        <w:tc>
          <w:tcPr>
            <w:tcW w:w="312"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其他资金</w:t>
            </w:r>
          </w:p>
        </w:tc>
        <w:tc>
          <w:tcPr>
            <w:tcW w:w="60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3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22"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376"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21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21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59"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tblPrEx>
          <w:tblCellMar>
            <w:top w:w="0" w:type="dxa"/>
            <w:left w:w="28" w:type="dxa"/>
            <w:bottom w:w="0" w:type="dxa"/>
            <w:right w:w="28" w:type="dxa"/>
          </w:tblCellMar>
        </w:tblPrEx>
        <w:trPr>
          <w:trHeight w:val="454" w:hRule="atLeast"/>
        </w:trPr>
        <w:tc>
          <w:tcPr>
            <w:tcW w:w="312"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绩效指标（90分）</w:t>
            </w:r>
          </w:p>
        </w:tc>
        <w:tc>
          <w:tcPr>
            <w:tcW w:w="57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一级指标</w:t>
            </w:r>
          </w:p>
        </w:tc>
        <w:tc>
          <w:tcPr>
            <w:tcW w:w="60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二级指标</w:t>
            </w:r>
          </w:p>
        </w:tc>
        <w:tc>
          <w:tcPr>
            <w:tcW w:w="93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三级指标</w:t>
            </w:r>
          </w:p>
        </w:tc>
        <w:tc>
          <w:tcPr>
            <w:tcW w:w="1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指标性质</w:t>
            </w:r>
          </w:p>
        </w:tc>
        <w:tc>
          <w:tcPr>
            <w:tcW w:w="56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指标值</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度量单位</w:t>
            </w:r>
          </w:p>
        </w:tc>
        <w:tc>
          <w:tcPr>
            <w:tcW w:w="376"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完成值</w:t>
            </w:r>
          </w:p>
        </w:tc>
        <w:tc>
          <w:tcPr>
            <w:tcW w:w="21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21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未完成原因分析</w:t>
            </w:r>
          </w:p>
        </w:tc>
      </w:tr>
      <w:tr>
        <w:tblPrEx>
          <w:tblCellMar>
            <w:top w:w="0" w:type="dxa"/>
            <w:left w:w="28" w:type="dxa"/>
            <w:bottom w:w="0" w:type="dxa"/>
            <w:right w:w="28" w:type="dxa"/>
          </w:tblCellMar>
        </w:tblPrEx>
        <w:trPr>
          <w:trHeight w:val="338" w:hRule="atLeast"/>
        </w:trPr>
        <w:tc>
          <w:tcPr>
            <w:tcW w:w="312"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产出指标</w:t>
            </w:r>
          </w:p>
        </w:tc>
        <w:tc>
          <w:tcPr>
            <w:tcW w:w="60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数量指标</w:t>
            </w:r>
          </w:p>
        </w:tc>
        <w:tc>
          <w:tcPr>
            <w:tcW w:w="93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科目调整次数</w:t>
            </w:r>
          </w:p>
        </w:tc>
        <w:tc>
          <w:tcPr>
            <w:tcW w:w="1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6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次</w:t>
            </w:r>
          </w:p>
        </w:tc>
        <w:tc>
          <w:tcPr>
            <w:tcW w:w="376"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w:t>
            </w:r>
          </w:p>
        </w:tc>
        <w:tc>
          <w:tcPr>
            <w:tcW w:w="21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21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8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tblPrEx>
          <w:tblCellMar>
            <w:top w:w="0" w:type="dxa"/>
            <w:left w:w="28" w:type="dxa"/>
            <w:bottom w:w="0" w:type="dxa"/>
            <w:right w:w="28" w:type="dxa"/>
          </w:tblCellMar>
        </w:tblPrEx>
        <w:trPr>
          <w:trHeight w:val="679" w:hRule="atLeast"/>
        </w:trPr>
        <w:tc>
          <w:tcPr>
            <w:tcW w:w="312"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1"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质量指标</w:t>
            </w:r>
          </w:p>
        </w:tc>
        <w:tc>
          <w:tcPr>
            <w:tcW w:w="93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预算编制准确率（计算方法为：∣（执行数-预算数）/预算数∣）</w:t>
            </w:r>
          </w:p>
        </w:tc>
        <w:tc>
          <w:tcPr>
            <w:tcW w:w="1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6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76"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0.7</w:t>
            </w:r>
          </w:p>
        </w:tc>
        <w:tc>
          <w:tcPr>
            <w:tcW w:w="21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21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8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tblPrEx>
          <w:tblCellMar>
            <w:top w:w="0" w:type="dxa"/>
            <w:left w:w="28" w:type="dxa"/>
            <w:bottom w:w="0" w:type="dxa"/>
            <w:right w:w="28" w:type="dxa"/>
          </w:tblCellMar>
        </w:tblPrEx>
        <w:trPr>
          <w:trHeight w:val="904" w:hRule="atLeast"/>
        </w:trPr>
        <w:tc>
          <w:tcPr>
            <w:tcW w:w="312"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效益指标</w:t>
            </w:r>
          </w:p>
        </w:tc>
        <w:tc>
          <w:tcPr>
            <w:tcW w:w="601"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经济效益指标</w:t>
            </w:r>
          </w:p>
        </w:tc>
        <w:tc>
          <w:tcPr>
            <w:tcW w:w="93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“三公经费”控制率[计算方法为：（三公经费实际支出数/预算安排数]×100%）</w:t>
            </w:r>
          </w:p>
        </w:tc>
        <w:tc>
          <w:tcPr>
            <w:tcW w:w="1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6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76"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72.22</w:t>
            </w:r>
          </w:p>
        </w:tc>
        <w:tc>
          <w:tcPr>
            <w:tcW w:w="21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21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8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tblPrEx>
          <w:tblCellMar>
            <w:top w:w="0" w:type="dxa"/>
            <w:left w:w="28" w:type="dxa"/>
            <w:bottom w:w="0" w:type="dxa"/>
            <w:right w:w="28" w:type="dxa"/>
          </w:tblCellMar>
        </w:tblPrEx>
        <w:trPr>
          <w:trHeight w:val="338" w:hRule="atLeast"/>
        </w:trPr>
        <w:tc>
          <w:tcPr>
            <w:tcW w:w="312"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1"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933"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运转保障率</w:t>
            </w:r>
          </w:p>
        </w:tc>
        <w:tc>
          <w:tcPr>
            <w:tcW w:w="1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6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76"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21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21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8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tblPrEx>
          <w:tblCellMar>
            <w:top w:w="0" w:type="dxa"/>
            <w:left w:w="28" w:type="dxa"/>
            <w:bottom w:w="0" w:type="dxa"/>
            <w:right w:w="28" w:type="dxa"/>
          </w:tblCellMar>
        </w:tblPrEx>
        <w:trPr>
          <w:trHeight w:val="285" w:hRule="atLeast"/>
        </w:trPr>
        <w:tc>
          <w:tcPr>
            <w:tcW w:w="3716"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合计</w:t>
            </w:r>
          </w:p>
        </w:tc>
        <w:tc>
          <w:tcPr>
            <w:tcW w:w="21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21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85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tblPrEx>
          <w:tblCellMar>
            <w:top w:w="0" w:type="dxa"/>
            <w:left w:w="28" w:type="dxa"/>
            <w:bottom w:w="0" w:type="dxa"/>
            <w:right w:w="28" w:type="dxa"/>
          </w:tblCellMar>
        </w:tblPrEx>
        <w:trPr>
          <w:trHeight w:val="604" w:hRule="atLeast"/>
        </w:trPr>
        <w:tc>
          <w:tcPr>
            <w:tcW w:w="31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评价结论</w:t>
            </w:r>
          </w:p>
        </w:tc>
        <w:tc>
          <w:tcPr>
            <w:tcW w:w="4687"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eastAsia="微软雅黑" w:cs="宋体"/>
                <w:i/>
                <w:iCs/>
                <w:color w:val="000000"/>
                <w:kern w:val="0"/>
                <w:sz w:val="20"/>
                <w:szCs w:val="20"/>
              </w:rPr>
            </w:pPr>
            <w:r>
              <w:rPr>
                <w:rFonts w:hint="eastAsia" w:ascii="Times New Roman" w:hAnsi="Times New Roman" w:cs="宋体"/>
                <w:color w:val="000000"/>
                <w:kern w:val="0"/>
                <w:sz w:val="20"/>
                <w:szCs w:val="20"/>
              </w:rPr>
              <w:t>保障了单位正常办公运行支出</w:t>
            </w:r>
            <w:r>
              <w:rPr>
                <w:rFonts w:hint="eastAsia" w:ascii="Times New Roman" w:hAnsi="Times New Roman" w:cs="宋体"/>
                <w:color w:val="000000"/>
                <w:kern w:val="0"/>
                <w:sz w:val="20"/>
                <w:szCs w:val="20"/>
                <w:lang w:eastAsia="zh-CN"/>
              </w:rPr>
              <w:t>，</w:t>
            </w:r>
            <w:r>
              <w:rPr>
                <w:rFonts w:hint="eastAsia" w:ascii="Times New Roman" w:hAnsi="Times New Roman" w:cs="宋体"/>
                <w:color w:val="000000"/>
                <w:kern w:val="0"/>
                <w:sz w:val="20"/>
                <w:szCs w:val="20"/>
              </w:rPr>
              <w:t>项目自评得分为100分。</w:t>
            </w:r>
          </w:p>
        </w:tc>
      </w:tr>
      <w:tr>
        <w:tblPrEx>
          <w:tblCellMar>
            <w:top w:w="0" w:type="dxa"/>
            <w:left w:w="28" w:type="dxa"/>
            <w:bottom w:w="0" w:type="dxa"/>
            <w:right w:w="28" w:type="dxa"/>
          </w:tblCellMar>
        </w:tblPrEx>
        <w:trPr>
          <w:trHeight w:val="574" w:hRule="atLeast"/>
        </w:trPr>
        <w:tc>
          <w:tcPr>
            <w:tcW w:w="31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存在问题</w:t>
            </w:r>
          </w:p>
        </w:tc>
        <w:tc>
          <w:tcPr>
            <w:tcW w:w="4687"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20"/>
                <w:szCs w:val="20"/>
              </w:rPr>
            </w:pPr>
            <w:r>
              <w:rPr>
                <w:rFonts w:hint="eastAsia" w:ascii="Times New Roman" w:hAnsi="Times New Roman" w:cs="宋体"/>
                <w:color w:val="000000"/>
                <w:kern w:val="0"/>
                <w:sz w:val="20"/>
                <w:szCs w:val="20"/>
              </w:rPr>
              <w:t>无。</w:t>
            </w:r>
          </w:p>
        </w:tc>
      </w:tr>
      <w:tr>
        <w:tblPrEx>
          <w:tblCellMar>
            <w:top w:w="0" w:type="dxa"/>
            <w:left w:w="28" w:type="dxa"/>
            <w:bottom w:w="0" w:type="dxa"/>
            <w:right w:w="28" w:type="dxa"/>
          </w:tblCellMar>
        </w:tblPrEx>
        <w:trPr>
          <w:trHeight w:val="634" w:hRule="atLeast"/>
        </w:trPr>
        <w:tc>
          <w:tcPr>
            <w:tcW w:w="31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改进措施</w:t>
            </w:r>
          </w:p>
        </w:tc>
        <w:tc>
          <w:tcPr>
            <w:tcW w:w="4687"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20"/>
                <w:szCs w:val="20"/>
              </w:rPr>
            </w:pPr>
            <w:r>
              <w:rPr>
                <w:rFonts w:hint="eastAsia" w:ascii="Times New Roman" w:hAnsi="Times New Roman" w:cs="宋体"/>
                <w:color w:val="000000"/>
                <w:kern w:val="0"/>
                <w:sz w:val="20"/>
                <w:szCs w:val="20"/>
              </w:rPr>
              <w:t>无。</w:t>
            </w:r>
          </w:p>
        </w:tc>
      </w:tr>
      <w:tr>
        <w:tblPrEx>
          <w:tblCellMar>
            <w:top w:w="0" w:type="dxa"/>
            <w:left w:w="28" w:type="dxa"/>
            <w:bottom w:w="0" w:type="dxa"/>
            <w:right w:w="28" w:type="dxa"/>
          </w:tblCellMar>
        </w:tblPrEx>
        <w:trPr>
          <w:trHeight w:val="285" w:hRule="atLeast"/>
        </w:trPr>
        <w:tc>
          <w:tcPr>
            <w:tcW w:w="259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项目负责人：张慧萍</w:t>
            </w:r>
          </w:p>
        </w:tc>
        <w:tc>
          <w:tcPr>
            <w:tcW w:w="2404" w:type="pct"/>
            <w:gridSpan w:val="6"/>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财务负责人：辜炯益</w:t>
            </w:r>
          </w:p>
        </w:tc>
      </w:tr>
    </w:tbl>
    <w:p>
      <w:pPr>
        <w:pStyle w:val="5"/>
        <w:rPr>
          <w:rFonts w:hint="eastAsia" w:ascii="Times New Roman" w:hAnsi="Times New Roman" w:eastAsia="仿宋_GB2312" w:cs="仿宋_GB2312"/>
          <w:sz w:val="32"/>
          <w:szCs w:val="32"/>
        </w:rPr>
      </w:pPr>
    </w:p>
    <w:p>
      <w:pPr>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br w:type="page"/>
      </w:r>
    </w:p>
    <w:p>
      <w:pPr>
        <w:pStyle w:val="5"/>
        <w:ind w:firstLine="960" w:firstLineChars="3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附表16:</w:t>
      </w:r>
    </w:p>
    <w:tbl>
      <w:tblPr>
        <w:tblStyle w:val="12"/>
        <w:tblW w:w="5000" w:type="pct"/>
        <w:tblInd w:w="0" w:type="dxa"/>
        <w:tblLayout w:type="autofit"/>
        <w:tblCellMar>
          <w:top w:w="0" w:type="dxa"/>
          <w:left w:w="28" w:type="dxa"/>
          <w:bottom w:w="0" w:type="dxa"/>
          <w:right w:w="28" w:type="dxa"/>
        </w:tblCellMar>
      </w:tblPr>
      <w:tblGrid>
        <w:gridCol w:w="596"/>
        <w:gridCol w:w="1856"/>
        <w:gridCol w:w="1214"/>
        <w:gridCol w:w="1920"/>
        <w:gridCol w:w="310"/>
        <w:gridCol w:w="1143"/>
        <w:gridCol w:w="310"/>
        <w:gridCol w:w="773"/>
        <w:gridCol w:w="356"/>
        <w:gridCol w:w="357"/>
        <w:gridCol w:w="1675"/>
      </w:tblGrid>
      <w:tr>
        <w:tblPrEx>
          <w:tblCellMar>
            <w:top w:w="0" w:type="dxa"/>
            <w:left w:w="28" w:type="dxa"/>
            <w:bottom w:w="0" w:type="dxa"/>
            <w:right w:w="28" w:type="dxa"/>
          </w:tblCellMar>
        </w:tblPrEx>
        <w:trPr>
          <w:trHeight w:val="62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黑体" w:cs="宋体"/>
                <w:b/>
                <w:bCs/>
                <w:color w:val="000000"/>
                <w:kern w:val="0"/>
                <w:sz w:val="20"/>
                <w:szCs w:val="20"/>
              </w:rPr>
            </w:pPr>
            <w:r>
              <w:rPr>
                <w:rFonts w:hint="eastAsia" w:ascii="Times New Roman" w:hAnsi="Times New Roman" w:eastAsia="黑体" w:cs="宋体"/>
                <w:b/>
                <w:bCs/>
                <w:color w:val="000000"/>
                <w:kern w:val="0"/>
                <w:sz w:val="30"/>
                <w:szCs w:val="30"/>
              </w:rPr>
              <w:t>部门预算项目支出绩效自评表（2022年度）</w:t>
            </w:r>
          </w:p>
        </w:tc>
      </w:tr>
      <w:tr>
        <w:tblPrEx>
          <w:tblCellMar>
            <w:top w:w="0" w:type="dxa"/>
            <w:left w:w="28" w:type="dxa"/>
            <w:bottom w:w="0" w:type="dxa"/>
            <w:right w:w="28" w:type="dxa"/>
          </w:tblCellMar>
        </w:tblPrEx>
        <w:trPr>
          <w:trHeight w:val="420" w:hRule="atLeast"/>
        </w:trPr>
        <w:tc>
          <w:tcPr>
            <w:tcW w:w="8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项目名称</w:t>
            </w:r>
          </w:p>
        </w:tc>
        <w:tc>
          <w:tcPr>
            <w:tcW w:w="4114" w:type="pct"/>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51080023R000007612345-规范后市级基础绩效奖及生活补助</w:t>
            </w:r>
          </w:p>
        </w:tc>
      </w:tr>
      <w:tr>
        <w:tblPrEx>
          <w:tblCellMar>
            <w:top w:w="0" w:type="dxa"/>
            <w:left w:w="28" w:type="dxa"/>
            <w:bottom w:w="0" w:type="dxa"/>
            <w:right w:w="28" w:type="dxa"/>
          </w:tblCellMar>
        </w:tblPrEx>
        <w:trPr>
          <w:trHeight w:val="559" w:hRule="atLeast"/>
        </w:trPr>
        <w:tc>
          <w:tcPr>
            <w:tcW w:w="8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主管部门</w:t>
            </w:r>
          </w:p>
        </w:tc>
        <w:tc>
          <w:tcPr>
            <w:tcW w:w="2487"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广元市市场监督管理局部门</w:t>
            </w:r>
          </w:p>
        </w:tc>
        <w:tc>
          <w:tcPr>
            <w:tcW w:w="377"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实施单位 （盖章）</w:t>
            </w:r>
          </w:p>
        </w:tc>
        <w:tc>
          <w:tcPr>
            <w:tcW w:w="12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广元市食品药品检验检测中心</w:t>
            </w:r>
          </w:p>
        </w:tc>
      </w:tr>
      <w:tr>
        <w:tblPrEx>
          <w:tblCellMar>
            <w:top w:w="0" w:type="dxa"/>
            <w:left w:w="28" w:type="dxa"/>
            <w:bottom w:w="0" w:type="dxa"/>
            <w:right w:w="28" w:type="dxa"/>
          </w:tblCellMar>
        </w:tblPrEx>
        <w:trPr>
          <w:trHeight w:val="360" w:hRule="atLeast"/>
        </w:trPr>
        <w:tc>
          <w:tcPr>
            <w:tcW w:w="315"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项目基本情况</w:t>
            </w:r>
          </w:p>
        </w:tc>
        <w:tc>
          <w:tcPr>
            <w:tcW w:w="570"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1.项目年度目标完成情况</w:t>
            </w:r>
          </w:p>
        </w:tc>
        <w:tc>
          <w:tcPr>
            <w:tcW w:w="2487"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项目年度目标</w:t>
            </w:r>
          </w:p>
        </w:tc>
        <w:tc>
          <w:tcPr>
            <w:tcW w:w="1626" w:type="pct"/>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年度目标完成情况</w:t>
            </w:r>
          </w:p>
        </w:tc>
      </w:tr>
      <w:tr>
        <w:tblPrEx>
          <w:tblCellMar>
            <w:top w:w="0" w:type="dxa"/>
            <w:left w:w="28" w:type="dxa"/>
            <w:bottom w:w="0" w:type="dxa"/>
            <w:right w:w="28" w:type="dxa"/>
          </w:tblCellMar>
        </w:tblPrEx>
        <w:trPr>
          <w:trHeight w:val="709"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2487"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严格执行相关政策，保障工资及时发放、足额发放，预算编制科学合理，减少结余资金。</w:t>
            </w:r>
          </w:p>
        </w:tc>
        <w:tc>
          <w:tcPr>
            <w:tcW w:w="1626" w:type="pct"/>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保障了单位在职职工基础绩效和退休人员生活补助的足额发放。</w:t>
            </w:r>
          </w:p>
        </w:tc>
      </w:tr>
      <w:tr>
        <w:tblPrEx>
          <w:tblCellMar>
            <w:top w:w="0" w:type="dxa"/>
            <w:left w:w="28" w:type="dxa"/>
            <w:bottom w:w="0" w:type="dxa"/>
            <w:right w:w="28" w:type="dxa"/>
          </w:tblCellMar>
        </w:tblPrEx>
        <w:trPr>
          <w:trHeight w:val="694"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2.项目实施内容及过程概述</w:t>
            </w:r>
          </w:p>
        </w:tc>
        <w:tc>
          <w:tcPr>
            <w:tcW w:w="4114" w:type="pct"/>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kern w:val="0"/>
                <w:sz w:val="20"/>
                <w:szCs w:val="20"/>
              </w:rPr>
            </w:pPr>
            <w:r>
              <w:rPr>
                <w:rFonts w:hint="eastAsia" w:ascii="Times New Roman" w:hAnsi="Times New Roman" w:cs="宋体"/>
                <w:kern w:val="0"/>
                <w:sz w:val="20"/>
                <w:szCs w:val="20"/>
              </w:rPr>
              <w:t>该项目由办公室负责组织实施，通过制定专项工作计划方案、确定工作目标、明确组织实施措施和策略，有效地指导工作的正常有序开展。</w:t>
            </w:r>
          </w:p>
        </w:tc>
      </w:tr>
      <w:tr>
        <w:tblPrEx>
          <w:tblCellMar>
            <w:top w:w="0" w:type="dxa"/>
            <w:left w:w="28" w:type="dxa"/>
            <w:bottom w:w="0" w:type="dxa"/>
            <w:right w:w="28" w:type="dxa"/>
          </w:tblCellMar>
        </w:tblPrEx>
        <w:trPr>
          <w:trHeight w:val="420" w:hRule="atLeast"/>
        </w:trPr>
        <w:tc>
          <w:tcPr>
            <w:tcW w:w="315"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预算执行情况（10分）</w:t>
            </w:r>
          </w:p>
        </w:tc>
        <w:tc>
          <w:tcPr>
            <w:tcW w:w="570" w:type="pct"/>
            <w:tcBorders>
              <w:top w:val="nil"/>
              <w:left w:val="nil"/>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年度预算数（万元）</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年初预算</w:t>
            </w:r>
          </w:p>
        </w:tc>
        <w:tc>
          <w:tcPr>
            <w:tcW w:w="94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调整后预算数</w:t>
            </w: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预算执行数</w:t>
            </w: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预算执行率</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19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原因</w:t>
            </w:r>
          </w:p>
        </w:tc>
      </w:tr>
      <w:tr>
        <w:tblPrEx>
          <w:tblCellMar>
            <w:top w:w="0" w:type="dxa"/>
            <w:left w:w="28" w:type="dxa"/>
            <w:bottom w:w="0" w:type="dxa"/>
            <w:right w:w="28" w:type="dxa"/>
          </w:tblCellMar>
        </w:tblPrEx>
        <w:trPr>
          <w:trHeight w:val="420"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总额</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31.57</w:t>
            </w: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31.57</w:t>
            </w: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100.00%</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78"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r>
              <w:rPr>
                <w:rFonts w:ascii="Times New Roman" w:hAnsi="Times New Roman" w:cs="宋体"/>
                <w:i/>
                <w:iCs/>
                <w:color w:val="000000"/>
                <w:kern w:val="0"/>
                <w:sz w:val="20"/>
                <w:szCs w:val="20"/>
              </w:rPr>
              <w:t>无</w:t>
            </w:r>
          </w:p>
        </w:tc>
      </w:tr>
      <w:tr>
        <w:tblPrEx>
          <w:tblCellMar>
            <w:top w:w="0" w:type="dxa"/>
            <w:left w:w="28" w:type="dxa"/>
            <w:bottom w:w="0" w:type="dxa"/>
            <w:right w:w="28" w:type="dxa"/>
          </w:tblCellMar>
        </w:tblPrEx>
        <w:trPr>
          <w:trHeight w:val="420"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其中：财政资金</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31.57</w:t>
            </w: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31.57</w:t>
            </w: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100.00%</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8"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tblPrEx>
          <w:tblCellMar>
            <w:top w:w="0" w:type="dxa"/>
            <w:left w:w="28" w:type="dxa"/>
            <w:bottom w:w="0" w:type="dxa"/>
            <w:right w:w="28" w:type="dxa"/>
          </w:tblCellMar>
        </w:tblPrEx>
        <w:trPr>
          <w:trHeight w:val="420"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财政专户管理资金</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8"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tblPrEx>
          <w:tblCellMar>
            <w:top w:w="0" w:type="dxa"/>
            <w:left w:w="28" w:type="dxa"/>
            <w:bottom w:w="0" w:type="dxa"/>
            <w:right w:w="28" w:type="dxa"/>
          </w:tblCellMar>
        </w:tblPrEx>
        <w:trPr>
          <w:trHeight w:val="420"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单位资金</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8"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tblPrEx>
          <w:tblCellMar>
            <w:top w:w="0" w:type="dxa"/>
            <w:left w:w="28" w:type="dxa"/>
            <w:bottom w:w="0" w:type="dxa"/>
            <w:right w:w="28" w:type="dxa"/>
          </w:tblCellMar>
        </w:tblPrEx>
        <w:trPr>
          <w:trHeight w:val="420"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其他资金</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4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8"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tblPrEx>
          <w:tblCellMar>
            <w:top w:w="0" w:type="dxa"/>
            <w:left w:w="28" w:type="dxa"/>
            <w:bottom w:w="0" w:type="dxa"/>
            <w:right w:w="28" w:type="dxa"/>
          </w:tblCellMar>
        </w:tblPrEx>
        <w:trPr>
          <w:trHeight w:val="540" w:hRule="atLeast"/>
        </w:trPr>
        <w:tc>
          <w:tcPr>
            <w:tcW w:w="315"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绩效指标（90分）</w:t>
            </w:r>
          </w:p>
        </w:tc>
        <w:tc>
          <w:tcPr>
            <w:tcW w:w="57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一级指标</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二级指标</w:t>
            </w:r>
          </w:p>
        </w:tc>
        <w:tc>
          <w:tcPr>
            <w:tcW w:w="94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三级指标</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指标性质</w:t>
            </w:r>
          </w:p>
        </w:tc>
        <w:tc>
          <w:tcPr>
            <w:tcW w:w="57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指标值</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度量单位</w:t>
            </w: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完成值</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19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未完成原因分析</w:t>
            </w:r>
          </w:p>
        </w:tc>
      </w:tr>
      <w:tr>
        <w:tblPrEx>
          <w:tblCellMar>
            <w:top w:w="0" w:type="dxa"/>
            <w:left w:w="28" w:type="dxa"/>
            <w:bottom w:w="0" w:type="dxa"/>
            <w:right w:w="28" w:type="dxa"/>
          </w:tblCellMar>
        </w:tblPrEx>
        <w:trPr>
          <w:trHeight w:val="540"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产出指标</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数量指标</w:t>
            </w:r>
          </w:p>
        </w:tc>
        <w:tc>
          <w:tcPr>
            <w:tcW w:w="94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科目调整次数</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次</w:t>
            </w: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45</w:t>
            </w:r>
          </w:p>
        </w:tc>
        <w:tc>
          <w:tcPr>
            <w:tcW w:w="19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45</w:t>
            </w:r>
          </w:p>
        </w:tc>
        <w:tc>
          <w:tcPr>
            <w:tcW w:w="8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tblPrEx>
          <w:tblCellMar>
            <w:top w:w="0" w:type="dxa"/>
            <w:left w:w="28" w:type="dxa"/>
            <w:bottom w:w="0" w:type="dxa"/>
            <w:right w:w="28" w:type="dxa"/>
          </w:tblCellMar>
        </w:tblPrEx>
        <w:trPr>
          <w:trHeight w:val="420" w:hRule="atLeast"/>
        </w:trPr>
        <w:tc>
          <w:tcPr>
            <w:tcW w:w="315" w:type="pct"/>
            <w:vMerge w:val="continue"/>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效益指标</w:t>
            </w:r>
          </w:p>
        </w:tc>
        <w:tc>
          <w:tcPr>
            <w:tcW w:w="60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经济效益指标</w:t>
            </w:r>
          </w:p>
        </w:tc>
        <w:tc>
          <w:tcPr>
            <w:tcW w:w="94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运转保障率</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5"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79"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77"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45</w:t>
            </w:r>
          </w:p>
        </w:tc>
        <w:tc>
          <w:tcPr>
            <w:tcW w:w="19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45</w:t>
            </w:r>
          </w:p>
        </w:tc>
        <w:tc>
          <w:tcPr>
            <w:tcW w:w="8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tblPrEx>
          <w:tblCellMar>
            <w:top w:w="0" w:type="dxa"/>
            <w:left w:w="28" w:type="dxa"/>
            <w:bottom w:w="0" w:type="dxa"/>
            <w:right w:w="28" w:type="dxa"/>
          </w:tblCellMar>
        </w:tblPrEx>
        <w:trPr>
          <w:trHeight w:val="420" w:hRule="atLeast"/>
        </w:trPr>
        <w:tc>
          <w:tcPr>
            <w:tcW w:w="3751"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合计</w:t>
            </w:r>
          </w:p>
        </w:tc>
        <w:tc>
          <w:tcPr>
            <w:tcW w:w="1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92"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878" w:type="pct"/>
            <w:tcBorders>
              <w:top w:val="nil"/>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tblPrEx>
          <w:tblCellMar>
            <w:top w:w="0" w:type="dxa"/>
            <w:left w:w="28" w:type="dxa"/>
            <w:bottom w:w="0" w:type="dxa"/>
            <w:right w:w="28" w:type="dxa"/>
          </w:tblCellMar>
        </w:tblPrEx>
        <w:trPr>
          <w:trHeight w:val="679" w:hRule="atLeast"/>
        </w:trPr>
        <w:tc>
          <w:tcPr>
            <w:tcW w:w="315"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评价结论</w:t>
            </w:r>
          </w:p>
        </w:tc>
        <w:tc>
          <w:tcPr>
            <w:tcW w:w="4684"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20"/>
                <w:szCs w:val="20"/>
              </w:rPr>
            </w:pPr>
            <w:r>
              <w:rPr>
                <w:rFonts w:hint="eastAsia" w:ascii="Times New Roman" w:hAnsi="Times New Roman" w:cs="宋体"/>
                <w:color w:val="000000"/>
                <w:kern w:val="0"/>
                <w:sz w:val="20"/>
                <w:szCs w:val="20"/>
              </w:rPr>
              <w:t>保障了单位在职职工基础绩效和退休人员生活补助的足额发放，项目自评得分为100分。</w:t>
            </w:r>
          </w:p>
        </w:tc>
      </w:tr>
      <w:tr>
        <w:tblPrEx>
          <w:tblCellMar>
            <w:top w:w="0" w:type="dxa"/>
            <w:left w:w="28" w:type="dxa"/>
            <w:bottom w:w="0" w:type="dxa"/>
            <w:right w:w="28" w:type="dxa"/>
          </w:tblCellMar>
        </w:tblPrEx>
        <w:trPr>
          <w:trHeight w:val="679" w:hRule="atLeast"/>
        </w:trPr>
        <w:tc>
          <w:tcPr>
            <w:tcW w:w="315"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存在问题</w:t>
            </w:r>
          </w:p>
        </w:tc>
        <w:tc>
          <w:tcPr>
            <w:tcW w:w="4684"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20"/>
                <w:szCs w:val="20"/>
              </w:rPr>
            </w:pPr>
            <w:r>
              <w:rPr>
                <w:rFonts w:hint="eastAsia" w:ascii="Times New Roman" w:hAnsi="Times New Roman" w:cs="宋体"/>
                <w:color w:val="000000"/>
                <w:kern w:val="0"/>
                <w:sz w:val="20"/>
                <w:szCs w:val="20"/>
              </w:rPr>
              <w:t>无。</w:t>
            </w:r>
          </w:p>
        </w:tc>
      </w:tr>
      <w:tr>
        <w:tblPrEx>
          <w:tblCellMar>
            <w:top w:w="0" w:type="dxa"/>
            <w:left w:w="28" w:type="dxa"/>
            <w:bottom w:w="0" w:type="dxa"/>
            <w:right w:w="28" w:type="dxa"/>
          </w:tblCellMar>
        </w:tblPrEx>
        <w:trPr>
          <w:trHeight w:val="679" w:hRule="atLeast"/>
        </w:trPr>
        <w:tc>
          <w:tcPr>
            <w:tcW w:w="315"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改进措施</w:t>
            </w:r>
          </w:p>
        </w:tc>
        <w:tc>
          <w:tcPr>
            <w:tcW w:w="4684" w:type="pct"/>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20"/>
                <w:szCs w:val="20"/>
              </w:rPr>
            </w:pPr>
            <w:r>
              <w:rPr>
                <w:rFonts w:hint="eastAsia" w:ascii="Times New Roman" w:hAnsi="Times New Roman" w:cs="宋体"/>
                <w:color w:val="000000"/>
                <w:kern w:val="0"/>
                <w:sz w:val="20"/>
                <w:szCs w:val="20"/>
              </w:rPr>
              <w:t>无。</w:t>
            </w:r>
          </w:p>
        </w:tc>
      </w:tr>
      <w:tr>
        <w:tblPrEx>
          <w:tblCellMar>
            <w:top w:w="0" w:type="dxa"/>
            <w:left w:w="28" w:type="dxa"/>
            <w:bottom w:w="0" w:type="dxa"/>
            <w:right w:w="28" w:type="dxa"/>
          </w:tblCellMar>
        </w:tblPrEx>
        <w:trPr>
          <w:trHeight w:val="342" w:hRule="atLeast"/>
        </w:trPr>
        <w:tc>
          <w:tcPr>
            <w:tcW w:w="261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项目负责人：张慧萍</w:t>
            </w:r>
          </w:p>
        </w:tc>
        <w:tc>
          <w:tcPr>
            <w:tcW w:w="2381" w:type="pct"/>
            <w:gridSpan w:val="6"/>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财务负责人：辜炯益</w:t>
            </w:r>
          </w:p>
        </w:tc>
      </w:tr>
    </w:tbl>
    <w:p>
      <w:pPr>
        <w:pStyle w:val="5"/>
        <w:rPr>
          <w:rFonts w:ascii="Times New Roman" w:hAnsi="Times New Roman" w:eastAsia="仿宋"/>
          <w:sz w:val="20"/>
          <w:szCs w:val="20"/>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p>
    <w:p>
      <w:pPr>
        <w:pStyle w:val="3"/>
        <w:bidi w:val="0"/>
        <w:rPr>
          <w:rFonts w:hint="eastAsia" w:ascii="Times New Roman" w:hAnsi="Times New Roman"/>
        </w:rPr>
        <w:sectPr>
          <w:pgSz w:w="11906" w:h="16838"/>
          <w:pgMar w:top="1440" w:right="726" w:bottom="1440" w:left="726" w:header="851" w:footer="992" w:gutter="0"/>
          <w:pgNumType w:fmt="numberInDash"/>
          <w:cols w:space="425" w:num="1"/>
          <w:docGrid w:type="lines" w:linePitch="312" w:charSpace="0"/>
        </w:sectPr>
      </w:pPr>
      <w:bookmarkStart w:id="77" w:name="_Toc4998"/>
      <w:bookmarkStart w:id="78" w:name="_Toc15396618"/>
    </w:p>
    <w:p>
      <w:pPr>
        <w:pStyle w:val="3"/>
        <w:bidi w:val="0"/>
        <w:rPr>
          <w:rFonts w:ascii="Times New Roman" w:hAnsi="Times New Roman"/>
        </w:rPr>
      </w:pPr>
      <w:r>
        <w:rPr>
          <w:rFonts w:hint="eastAsia" w:ascii="Times New Roman" w:hAnsi="Times New Roman"/>
        </w:rPr>
        <w:t>第五部分 附表</w:t>
      </w:r>
      <w:bookmarkEnd w:id="75"/>
      <w:bookmarkEnd w:id="77"/>
      <w:bookmarkEnd w:id="78"/>
      <w:bookmarkStart w:id="79" w:name="_Toc153966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一、收入支出决算总表</w:t>
      </w:r>
      <w:bookmarkEnd w:id="7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bookmarkStart w:id="80" w:name="_Toc15396620"/>
      <w:r>
        <w:rPr>
          <w:rFonts w:hint="eastAsia" w:ascii="Times New Roman" w:hAnsi="Times New Roman" w:eastAsia="仿宋_GB2312" w:cs="Times New Roman"/>
          <w:sz w:val="32"/>
        </w:rPr>
        <w:t>二、收入决算表</w:t>
      </w:r>
      <w:bookmarkEnd w:id="8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bookmarkStart w:id="81" w:name="_Toc15396621"/>
      <w:r>
        <w:rPr>
          <w:rFonts w:hint="eastAsia" w:ascii="Times New Roman" w:hAnsi="Times New Roman" w:eastAsia="仿宋_GB2312" w:cs="Times New Roman"/>
          <w:sz w:val="32"/>
        </w:rPr>
        <w:t>三、支出决算表</w:t>
      </w:r>
      <w:bookmarkEnd w:id="8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bookmarkStart w:id="82" w:name="_Toc15396622"/>
      <w:r>
        <w:rPr>
          <w:rFonts w:hint="eastAsia" w:ascii="Times New Roman" w:hAnsi="Times New Roman" w:eastAsia="仿宋_GB2312" w:cs="Times New Roman"/>
          <w:sz w:val="32"/>
        </w:rPr>
        <w:t>四、财政拨款收入支出决算总表</w:t>
      </w:r>
      <w:bookmarkEnd w:id="8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bookmarkStart w:id="83" w:name="_Toc15396623"/>
      <w:r>
        <w:rPr>
          <w:rFonts w:hint="eastAsia" w:ascii="Times New Roman" w:hAnsi="Times New Roman" w:eastAsia="仿宋_GB2312" w:cs="Times New Roman"/>
          <w:sz w:val="32"/>
        </w:rPr>
        <w:t>五、财政拨款支出决算明细表</w:t>
      </w:r>
      <w:bookmarkEnd w:id="83"/>
      <w:bookmarkStart w:id="84" w:name="_Toc1539662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六、一般公共预算财政拨款支出决算表</w:t>
      </w:r>
      <w:bookmarkEnd w:id="8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bookmarkStart w:id="85" w:name="_Toc15396625"/>
      <w:r>
        <w:rPr>
          <w:rFonts w:hint="eastAsia" w:ascii="Times New Roman" w:hAnsi="Times New Roman" w:eastAsia="仿宋_GB2312" w:cs="Times New Roman"/>
          <w:sz w:val="32"/>
        </w:rPr>
        <w:t>七、一般公共预算财政拨款支出决算明细表</w:t>
      </w:r>
      <w:bookmarkEnd w:id="8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bookmarkStart w:id="86" w:name="_Toc15396626"/>
      <w:r>
        <w:rPr>
          <w:rFonts w:hint="eastAsia" w:ascii="Times New Roman" w:hAnsi="Times New Roman" w:eastAsia="仿宋_GB2312" w:cs="Times New Roman"/>
          <w:sz w:val="32"/>
        </w:rPr>
        <w:t>八、一般公共预算财政拨款基本支出决算表</w:t>
      </w:r>
      <w:bookmarkEnd w:id="8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bookmarkStart w:id="87" w:name="_Toc15396627"/>
      <w:r>
        <w:rPr>
          <w:rFonts w:hint="eastAsia" w:ascii="Times New Roman" w:hAnsi="Times New Roman" w:eastAsia="仿宋_GB2312" w:cs="Times New Roman"/>
          <w:sz w:val="32"/>
        </w:rPr>
        <w:t>九、一般公共预算财政拨款项目支出决算表</w:t>
      </w:r>
      <w:bookmarkEnd w:id="8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bookmarkStart w:id="88" w:name="_Toc15396628"/>
      <w:r>
        <w:rPr>
          <w:rFonts w:hint="eastAsia" w:ascii="Times New Roman" w:hAnsi="Times New Roman" w:eastAsia="仿宋_GB2312" w:cs="Times New Roman"/>
          <w:sz w:val="32"/>
        </w:rPr>
        <w:t>十、</w:t>
      </w:r>
      <w:bookmarkEnd w:id="88"/>
      <w:r>
        <w:rPr>
          <w:rFonts w:hint="eastAsia" w:ascii="Times New Roman" w:hAnsi="Times New Roman" w:eastAsia="仿宋_GB2312" w:cs="Times New Roman"/>
          <w:sz w:val="32"/>
        </w:rPr>
        <w:t>政府性基金预算财政拨款收入支出决算表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bookmarkStart w:id="89" w:name="_Toc15396629"/>
      <w:r>
        <w:rPr>
          <w:rFonts w:hint="eastAsia" w:ascii="Times New Roman" w:hAnsi="Times New Roman" w:eastAsia="仿宋_GB2312" w:cs="Times New Roman"/>
          <w:sz w:val="32"/>
        </w:rPr>
        <w:t>十一、</w:t>
      </w:r>
      <w:bookmarkEnd w:id="89"/>
      <w:r>
        <w:rPr>
          <w:rFonts w:hint="eastAsia" w:ascii="Times New Roman" w:hAnsi="Times New Roman" w:eastAsia="仿宋_GB2312" w:cs="Times New Roman"/>
          <w:sz w:val="32"/>
        </w:rPr>
        <w:t>国有资本经营预算财政拨款收入支出决算表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bookmarkStart w:id="90" w:name="_Toc15396630"/>
      <w:r>
        <w:rPr>
          <w:rFonts w:hint="eastAsia" w:ascii="Times New Roman" w:hAnsi="Times New Roman" w:eastAsia="仿宋_GB2312" w:cs="Times New Roman"/>
          <w:sz w:val="32"/>
        </w:rPr>
        <w:t>十二、</w:t>
      </w:r>
      <w:bookmarkEnd w:id="90"/>
      <w:r>
        <w:rPr>
          <w:rFonts w:hint="eastAsia" w:ascii="Times New Roman" w:hAnsi="Times New Roman" w:eastAsia="仿宋_GB2312" w:cs="Times New Roman"/>
          <w:sz w:val="32"/>
        </w:rPr>
        <w:t>国有资本经营预算财政拨款支出决算表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bookmarkStart w:id="91" w:name="_Toc15396631"/>
      <w:r>
        <w:rPr>
          <w:rFonts w:hint="eastAsia" w:ascii="Times New Roman" w:hAnsi="Times New Roman" w:eastAsia="仿宋_GB2312" w:cs="Times New Roman"/>
          <w:sz w:val="32"/>
        </w:rPr>
        <w:t>十三、</w:t>
      </w:r>
      <w:bookmarkEnd w:id="91"/>
      <w:r>
        <w:rPr>
          <w:rFonts w:hint="eastAsia" w:ascii="Times New Roman" w:hAnsi="Times New Roman" w:eastAsia="仿宋_GB2312" w:cs="Times New Roman"/>
          <w:sz w:val="32"/>
        </w:rPr>
        <w:t>财政拨款“三公”经费支出决算表</w:t>
      </w:r>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Batang">
    <w:panose1 w:val="02030600000101010101"/>
    <w:charset w:val="81"/>
    <w:family w:val="auto"/>
    <w:pitch w:val="default"/>
    <w:sig w:usb0="B00002AF" w:usb1="69D77CFB" w:usb2="00000030" w:usb3="00000000" w:csb0="4008009F" w:csb1="DFD7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sz w:val="18"/>
      </w:rPr>
      <w:pict>
        <v:shape id="_x0000_s3073" o:spid="_x0000_s3073"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sdt>
                <w:sdtPr>
                  <w:id w:val="-1994781956"/>
                </w:sdtPr>
                <w:sdtContent>
                  <w:p>
                    <w:pPr>
                      <w:pStyle w:val="8"/>
                      <w:jc w:val="center"/>
                    </w:pPr>
                    <w:r>
                      <w:fldChar w:fldCharType="begin"/>
                    </w:r>
                    <w:r>
                      <w:instrText xml:space="preserve">PAGE   \* MERGEFORMAT</w:instrText>
                    </w:r>
                    <w:r>
                      <w:fldChar w:fldCharType="separate"/>
                    </w:r>
                    <w:r>
                      <w:rPr>
                        <w:lang w:val="zh-CN"/>
                      </w:rPr>
                      <w:t>14</w:t>
                    </w:r>
                    <w:r>
                      <w:fldChar w:fldCharType="end"/>
                    </w:r>
                  </w:p>
                </w:sdtContent>
              </w:sdt>
              <w:p>
                <w:pPr>
                  <w:pStyle w:val="2"/>
                </w:pPr>
              </w:p>
            </w:txbxContent>
          </v:textbox>
        </v:shape>
      </w:pict>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sz w:val="18"/>
      </w:rPr>
      <w:pict>
        <v:shape id="_x0000_s3074" o:spid="_x0000_s3074" o:spt="202" type="#_x0000_t202" style="position:absolute;left:0pt;margin-top:0pt;height:144pt;width:144pt;mso-position-horizontal:outside;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sdt>
                <w:sdtPr>
                  <w:rPr>
                    <w:rFonts w:hint="eastAsia" w:ascii="宋体" w:hAnsi="宋体" w:eastAsia="宋体" w:cs="宋体"/>
                    <w:sz w:val="24"/>
                    <w:szCs w:val="24"/>
                  </w:rPr>
                  <w:id w:val="-1994781956"/>
                </w:sdtPr>
                <w:sdtEndPr>
                  <w:rPr>
                    <w:rFonts w:hint="eastAsia" w:ascii="宋体" w:hAnsi="宋体" w:eastAsia="宋体" w:cs="宋体"/>
                    <w:sz w:val="24"/>
                    <w:szCs w:val="24"/>
                  </w:rPr>
                </w:sdtEndPr>
                <w:sdtContent>
                  <w:p>
                    <w:pPr>
                      <w:pStyle w:val="8"/>
                      <w:jc w:val="center"/>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PAGE   \* MERGEFORMAT</w:instrText>
                    </w:r>
                    <w:r>
                      <w:rPr>
                        <w:rFonts w:hint="eastAsia" w:ascii="宋体" w:hAnsi="宋体" w:eastAsia="宋体" w:cs="宋体"/>
                        <w:sz w:val="24"/>
                        <w:szCs w:val="24"/>
                      </w:rPr>
                      <w:fldChar w:fldCharType="separate"/>
                    </w:r>
                    <w:r>
                      <w:rPr>
                        <w:rFonts w:hint="eastAsia" w:ascii="宋体" w:hAnsi="宋体" w:eastAsia="宋体" w:cs="宋体"/>
                        <w:sz w:val="24"/>
                        <w:szCs w:val="24"/>
                        <w:lang w:val="zh-CN"/>
                      </w:rPr>
                      <w:t>14</w:t>
                    </w:r>
                    <w:r>
                      <w:rPr>
                        <w:rFonts w:hint="eastAsia" w:ascii="宋体" w:hAnsi="宋体" w:eastAsia="宋体" w:cs="宋体"/>
                        <w:sz w:val="24"/>
                        <w:szCs w:val="24"/>
                      </w:rPr>
                      <w:fldChar w:fldCharType="end"/>
                    </w:r>
                  </w:p>
                </w:sdtContent>
              </w:sdt>
              <w:p>
                <w:pPr>
                  <w:pStyle w:val="2"/>
                  <w:rPr>
                    <w:rFonts w:hint="eastAsia" w:ascii="宋体" w:hAnsi="宋体" w:eastAsia="宋体" w:cs="宋体"/>
                    <w:sz w:val="24"/>
                    <w:szCs w:val="24"/>
                  </w:rPr>
                </w:pPr>
              </w:p>
            </w:txbxContent>
          </v:textbox>
        </v:shape>
      </w:pict>
    </w:r>
  </w:p>
  <w:p>
    <w:pPr>
      <w:pStyle w:val="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B01DF3"/>
    <w:multiLevelType w:val="singleLevel"/>
    <w:tmpl w:val="5BB01DF3"/>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diZDhlNTUzYWRkNzE3MWFmZDMwZmU4OWQ2NDI2NmQifQ=="/>
  </w:docVars>
  <w:rsids>
    <w:rsidRoot w:val="00F1361C"/>
    <w:rsid w:val="000222C6"/>
    <w:rsid w:val="0002549F"/>
    <w:rsid w:val="000468DB"/>
    <w:rsid w:val="000632AC"/>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05AD"/>
    <w:rsid w:val="001D7531"/>
    <w:rsid w:val="001E737D"/>
    <w:rsid w:val="001F0592"/>
    <w:rsid w:val="001F7506"/>
    <w:rsid w:val="002006CD"/>
    <w:rsid w:val="00202B36"/>
    <w:rsid w:val="00204B7A"/>
    <w:rsid w:val="00204CDE"/>
    <w:rsid w:val="0021101A"/>
    <w:rsid w:val="00220536"/>
    <w:rsid w:val="00235629"/>
    <w:rsid w:val="00252787"/>
    <w:rsid w:val="00260C38"/>
    <w:rsid w:val="002616C0"/>
    <w:rsid w:val="00265372"/>
    <w:rsid w:val="002662AA"/>
    <w:rsid w:val="00280496"/>
    <w:rsid w:val="00294DC9"/>
    <w:rsid w:val="00295495"/>
    <w:rsid w:val="002A31DE"/>
    <w:rsid w:val="002A4CFA"/>
    <w:rsid w:val="002A53C0"/>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06574"/>
    <w:rsid w:val="004223DE"/>
    <w:rsid w:val="004235B1"/>
    <w:rsid w:val="00434489"/>
    <w:rsid w:val="00437085"/>
    <w:rsid w:val="00443880"/>
    <w:rsid w:val="00445D44"/>
    <w:rsid w:val="004464F4"/>
    <w:rsid w:val="00471401"/>
    <w:rsid w:val="00473F31"/>
    <w:rsid w:val="0048263A"/>
    <w:rsid w:val="00487E5D"/>
    <w:rsid w:val="004A711F"/>
    <w:rsid w:val="004B199D"/>
    <w:rsid w:val="004B4690"/>
    <w:rsid w:val="004E0A2D"/>
    <w:rsid w:val="004E1F60"/>
    <w:rsid w:val="004E206B"/>
    <w:rsid w:val="004E6DF7"/>
    <w:rsid w:val="004F0FBD"/>
    <w:rsid w:val="00500B20"/>
    <w:rsid w:val="00505A47"/>
    <w:rsid w:val="00512FDA"/>
    <w:rsid w:val="00520DA0"/>
    <w:rsid w:val="005664BB"/>
    <w:rsid w:val="00566FFA"/>
    <w:rsid w:val="0057481D"/>
    <w:rsid w:val="00577F14"/>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15396"/>
    <w:rsid w:val="0062270A"/>
    <w:rsid w:val="00622830"/>
    <w:rsid w:val="00623DA0"/>
    <w:rsid w:val="006265EC"/>
    <w:rsid w:val="00630AEF"/>
    <w:rsid w:val="006325F8"/>
    <w:rsid w:val="00633463"/>
    <w:rsid w:val="00634C9A"/>
    <w:rsid w:val="006361B1"/>
    <w:rsid w:val="006440E4"/>
    <w:rsid w:val="00644700"/>
    <w:rsid w:val="00654DF1"/>
    <w:rsid w:val="0066343B"/>
    <w:rsid w:val="00664777"/>
    <w:rsid w:val="006748A4"/>
    <w:rsid w:val="00681A31"/>
    <w:rsid w:val="00683E73"/>
    <w:rsid w:val="006A3141"/>
    <w:rsid w:val="006A5E34"/>
    <w:rsid w:val="006B2422"/>
    <w:rsid w:val="006B2B9A"/>
    <w:rsid w:val="006C1937"/>
    <w:rsid w:val="006E58F0"/>
    <w:rsid w:val="006F020C"/>
    <w:rsid w:val="007127B7"/>
    <w:rsid w:val="0071798E"/>
    <w:rsid w:val="00717F91"/>
    <w:rsid w:val="00731A88"/>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7F5D43"/>
    <w:rsid w:val="00800112"/>
    <w:rsid w:val="00813348"/>
    <w:rsid w:val="008227C6"/>
    <w:rsid w:val="008253BB"/>
    <w:rsid w:val="0083706E"/>
    <w:rsid w:val="008408F6"/>
    <w:rsid w:val="008423A5"/>
    <w:rsid w:val="00850625"/>
    <w:rsid w:val="00853718"/>
    <w:rsid w:val="00855221"/>
    <w:rsid w:val="00860645"/>
    <w:rsid w:val="00866927"/>
    <w:rsid w:val="0087045E"/>
    <w:rsid w:val="00871F71"/>
    <w:rsid w:val="00872FD8"/>
    <w:rsid w:val="00885AF4"/>
    <w:rsid w:val="008939CD"/>
    <w:rsid w:val="008B39FE"/>
    <w:rsid w:val="008B768C"/>
    <w:rsid w:val="008C4DB1"/>
    <w:rsid w:val="008C4EAF"/>
    <w:rsid w:val="008C5176"/>
    <w:rsid w:val="008C7FD0"/>
    <w:rsid w:val="008E1DE7"/>
    <w:rsid w:val="008E521A"/>
    <w:rsid w:val="008E707C"/>
    <w:rsid w:val="00900B08"/>
    <w:rsid w:val="00902155"/>
    <w:rsid w:val="00902FA3"/>
    <w:rsid w:val="00923564"/>
    <w:rsid w:val="0092392E"/>
    <w:rsid w:val="00924864"/>
    <w:rsid w:val="009315F9"/>
    <w:rsid w:val="00933499"/>
    <w:rsid w:val="00935C98"/>
    <w:rsid w:val="00942193"/>
    <w:rsid w:val="00946945"/>
    <w:rsid w:val="00951248"/>
    <w:rsid w:val="0095152F"/>
    <w:rsid w:val="00954C49"/>
    <w:rsid w:val="00955E37"/>
    <w:rsid w:val="00966DC1"/>
    <w:rsid w:val="0097099F"/>
    <w:rsid w:val="00971997"/>
    <w:rsid w:val="00971FFC"/>
    <w:rsid w:val="00975C0F"/>
    <w:rsid w:val="0098660A"/>
    <w:rsid w:val="009931C3"/>
    <w:rsid w:val="009B2C43"/>
    <w:rsid w:val="009B4EAE"/>
    <w:rsid w:val="009B7573"/>
    <w:rsid w:val="009C22F4"/>
    <w:rsid w:val="009C2A4B"/>
    <w:rsid w:val="009C2E98"/>
    <w:rsid w:val="009D3447"/>
    <w:rsid w:val="009D4711"/>
    <w:rsid w:val="009E73F0"/>
    <w:rsid w:val="009F1185"/>
    <w:rsid w:val="009F18CD"/>
    <w:rsid w:val="009F2A13"/>
    <w:rsid w:val="009F7527"/>
    <w:rsid w:val="00A04EB0"/>
    <w:rsid w:val="00A11638"/>
    <w:rsid w:val="00A13CC1"/>
    <w:rsid w:val="00A16847"/>
    <w:rsid w:val="00A237D8"/>
    <w:rsid w:val="00A268C4"/>
    <w:rsid w:val="00A307CD"/>
    <w:rsid w:val="00A331C8"/>
    <w:rsid w:val="00A351A7"/>
    <w:rsid w:val="00A40A00"/>
    <w:rsid w:val="00A4142F"/>
    <w:rsid w:val="00A422EB"/>
    <w:rsid w:val="00A45BB7"/>
    <w:rsid w:val="00A55E0F"/>
    <w:rsid w:val="00A56DF2"/>
    <w:rsid w:val="00A56E6E"/>
    <w:rsid w:val="00A66B9F"/>
    <w:rsid w:val="00A67AB5"/>
    <w:rsid w:val="00A733B2"/>
    <w:rsid w:val="00A741C2"/>
    <w:rsid w:val="00A8497D"/>
    <w:rsid w:val="00A91760"/>
    <w:rsid w:val="00A93B00"/>
    <w:rsid w:val="00A93C21"/>
    <w:rsid w:val="00AB64C9"/>
    <w:rsid w:val="00AC2154"/>
    <w:rsid w:val="00AC3C6A"/>
    <w:rsid w:val="00AD5620"/>
    <w:rsid w:val="00AD656B"/>
    <w:rsid w:val="00AD7C1B"/>
    <w:rsid w:val="00AE16BA"/>
    <w:rsid w:val="00AE1EBE"/>
    <w:rsid w:val="00AE7812"/>
    <w:rsid w:val="00B03C9D"/>
    <w:rsid w:val="00B060AE"/>
    <w:rsid w:val="00B10517"/>
    <w:rsid w:val="00B14E76"/>
    <w:rsid w:val="00B161B8"/>
    <w:rsid w:val="00B2048C"/>
    <w:rsid w:val="00B310B9"/>
    <w:rsid w:val="00B35F3F"/>
    <w:rsid w:val="00B36CBB"/>
    <w:rsid w:val="00B425E0"/>
    <w:rsid w:val="00B43B37"/>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0644"/>
    <w:rsid w:val="00C03E31"/>
    <w:rsid w:val="00C33E72"/>
    <w:rsid w:val="00C354B2"/>
    <w:rsid w:val="00C35554"/>
    <w:rsid w:val="00C42709"/>
    <w:rsid w:val="00C43770"/>
    <w:rsid w:val="00C533CC"/>
    <w:rsid w:val="00C5751C"/>
    <w:rsid w:val="00C61BFC"/>
    <w:rsid w:val="00C62B85"/>
    <w:rsid w:val="00C65438"/>
    <w:rsid w:val="00C87FD8"/>
    <w:rsid w:val="00C91381"/>
    <w:rsid w:val="00C91CBB"/>
    <w:rsid w:val="00CA57CA"/>
    <w:rsid w:val="00CB4E70"/>
    <w:rsid w:val="00CC09B6"/>
    <w:rsid w:val="00CC666F"/>
    <w:rsid w:val="00CD1E3F"/>
    <w:rsid w:val="00CE44F6"/>
    <w:rsid w:val="00CE49DA"/>
    <w:rsid w:val="00CE7B61"/>
    <w:rsid w:val="00CF4E36"/>
    <w:rsid w:val="00D00095"/>
    <w:rsid w:val="00D114F0"/>
    <w:rsid w:val="00D20620"/>
    <w:rsid w:val="00D254F7"/>
    <w:rsid w:val="00D26091"/>
    <w:rsid w:val="00D2685C"/>
    <w:rsid w:val="00D34E7C"/>
    <w:rsid w:val="00D35489"/>
    <w:rsid w:val="00D36AFE"/>
    <w:rsid w:val="00D51276"/>
    <w:rsid w:val="00D63D0A"/>
    <w:rsid w:val="00D66A8F"/>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7164F"/>
    <w:rsid w:val="00E82267"/>
    <w:rsid w:val="00E853CE"/>
    <w:rsid w:val="00E867B6"/>
    <w:rsid w:val="00EA010F"/>
    <w:rsid w:val="00ED1B63"/>
    <w:rsid w:val="00ED3C1F"/>
    <w:rsid w:val="00ED4085"/>
    <w:rsid w:val="00ED420E"/>
    <w:rsid w:val="00ED6FBE"/>
    <w:rsid w:val="00EE2F57"/>
    <w:rsid w:val="00EF4C34"/>
    <w:rsid w:val="00EF77C6"/>
    <w:rsid w:val="00F05438"/>
    <w:rsid w:val="00F07799"/>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0FF5B9C"/>
    <w:rsid w:val="05060A94"/>
    <w:rsid w:val="053A62B5"/>
    <w:rsid w:val="0A2032A3"/>
    <w:rsid w:val="0B5A00BC"/>
    <w:rsid w:val="0B8A37D8"/>
    <w:rsid w:val="0EC20452"/>
    <w:rsid w:val="100D3861"/>
    <w:rsid w:val="10C055FF"/>
    <w:rsid w:val="118107EC"/>
    <w:rsid w:val="11DD6519"/>
    <w:rsid w:val="1449241F"/>
    <w:rsid w:val="151F1FF0"/>
    <w:rsid w:val="15F43C00"/>
    <w:rsid w:val="16BB723D"/>
    <w:rsid w:val="173D3C08"/>
    <w:rsid w:val="18015F3F"/>
    <w:rsid w:val="1BE8440E"/>
    <w:rsid w:val="1D155CEE"/>
    <w:rsid w:val="20F57F95"/>
    <w:rsid w:val="22841C30"/>
    <w:rsid w:val="240371BF"/>
    <w:rsid w:val="25711CC6"/>
    <w:rsid w:val="259D215B"/>
    <w:rsid w:val="25C741E6"/>
    <w:rsid w:val="27327EBB"/>
    <w:rsid w:val="27842671"/>
    <w:rsid w:val="29FD04D3"/>
    <w:rsid w:val="2ABE7A3E"/>
    <w:rsid w:val="2B2C29DF"/>
    <w:rsid w:val="2CA234A8"/>
    <w:rsid w:val="2EFA178C"/>
    <w:rsid w:val="2FE06530"/>
    <w:rsid w:val="30B46D73"/>
    <w:rsid w:val="319F7F4E"/>
    <w:rsid w:val="31C93D74"/>
    <w:rsid w:val="34BD6E42"/>
    <w:rsid w:val="383D272C"/>
    <w:rsid w:val="39AE70AB"/>
    <w:rsid w:val="3A73189E"/>
    <w:rsid w:val="3B8701AA"/>
    <w:rsid w:val="3C0C0783"/>
    <w:rsid w:val="3C41148C"/>
    <w:rsid w:val="3ED31EBA"/>
    <w:rsid w:val="3F9F3A96"/>
    <w:rsid w:val="41085755"/>
    <w:rsid w:val="41616119"/>
    <w:rsid w:val="422B7AE1"/>
    <w:rsid w:val="429745F7"/>
    <w:rsid w:val="42FD43C5"/>
    <w:rsid w:val="474F3DE4"/>
    <w:rsid w:val="48BF60AB"/>
    <w:rsid w:val="493C27E9"/>
    <w:rsid w:val="496F39ED"/>
    <w:rsid w:val="49FF41D3"/>
    <w:rsid w:val="4BE068DB"/>
    <w:rsid w:val="4BF6002B"/>
    <w:rsid w:val="4ECE2238"/>
    <w:rsid w:val="51DB4B86"/>
    <w:rsid w:val="52DC2732"/>
    <w:rsid w:val="52E87329"/>
    <w:rsid w:val="55333C3E"/>
    <w:rsid w:val="563A7E9B"/>
    <w:rsid w:val="57863262"/>
    <w:rsid w:val="58C148A4"/>
    <w:rsid w:val="5F4B1EF6"/>
    <w:rsid w:val="603D030B"/>
    <w:rsid w:val="64CA39A1"/>
    <w:rsid w:val="69630ADE"/>
    <w:rsid w:val="6C4A05C8"/>
    <w:rsid w:val="6D297A7D"/>
    <w:rsid w:val="6D3B1A89"/>
    <w:rsid w:val="6E321E77"/>
    <w:rsid w:val="6FED3D79"/>
    <w:rsid w:val="70F73101"/>
    <w:rsid w:val="71BF4EC2"/>
    <w:rsid w:val="72734D90"/>
    <w:rsid w:val="72F52FF4"/>
    <w:rsid w:val="7412278C"/>
    <w:rsid w:val="742F1C62"/>
    <w:rsid w:val="7439758C"/>
    <w:rsid w:val="74C52403"/>
    <w:rsid w:val="7904082E"/>
    <w:rsid w:val="79E7B28D"/>
    <w:rsid w:val="7F9F20EE"/>
    <w:rsid w:val="7FF758CD"/>
    <w:rsid w:val="9E3A10E2"/>
    <w:rsid w:val="F2E1F9D4"/>
    <w:rsid w:val="F788081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6"/>
    <w:qFormat/>
    <w:uiPriority w:val="9"/>
    <w:pPr>
      <w:keepNext/>
      <w:keepLines/>
      <w:pageBreakBefore/>
      <w:spacing w:before="100" w:beforeLines="100" w:after="50" w:afterLines="50" w:line="576" w:lineRule="exact"/>
      <w:jc w:val="center"/>
      <w:outlineLvl w:val="0"/>
    </w:pPr>
    <w:rPr>
      <w:b/>
      <w:bCs/>
      <w:kern w:val="44"/>
      <w:sz w:val="44"/>
      <w:szCs w:val="44"/>
    </w:rPr>
  </w:style>
  <w:style w:type="paragraph" w:styleId="2">
    <w:name w:val="heading 2"/>
    <w:basedOn w:val="1"/>
    <w:next w:val="1"/>
    <w:link w:val="17"/>
    <w:unhideWhenUsed/>
    <w:qFormat/>
    <w:uiPriority w:val="9"/>
    <w:pPr>
      <w:keepNext/>
      <w:keepLines/>
      <w:spacing w:line="576" w:lineRule="exact"/>
      <w:ind w:firstLine="420" w:firstLineChars="200"/>
      <w:outlineLvl w:val="1"/>
    </w:pPr>
    <w:rPr>
      <w:rFonts w:ascii="黑体" w:hAnsi="黑体" w:eastAsia="黑体" w:cstheme="majorBidi"/>
      <w:bCs/>
      <w:sz w:val="32"/>
      <w:szCs w:val="32"/>
    </w:rPr>
  </w:style>
  <w:style w:type="paragraph" w:styleId="4">
    <w:name w:val="heading 3"/>
    <w:basedOn w:val="1"/>
    <w:next w:val="1"/>
    <w:link w:val="18"/>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24"/>
    <w:qFormat/>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28"/>
    <w:semiHidden/>
    <w:unhideWhenUsed/>
    <w:qFormat/>
    <w:uiPriority w:val="99"/>
    <w:rPr>
      <w:sz w:val="18"/>
      <w:szCs w:val="18"/>
    </w:rPr>
  </w:style>
  <w:style w:type="paragraph" w:styleId="8">
    <w:name w:val="footer"/>
    <w:basedOn w:val="1"/>
    <w:link w:val="22"/>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20"/>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character" w:styleId="14">
    <w:name w:val="Strong"/>
    <w:basedOn w:val="13"/>
    <w:qFormat/>
    <w:uiPriority w:val="99"/>
    <w:rPr>
      <w:b/>
    </w:rPr>
  </w:style>
  <w:style w:type="character" w:styleId="15">
    <w:name w:val="Hyperlink"/>
    <w:basedOn w:val="13"/>
    <w:unhideWhenUsed/>
    <w:qFormat/>
    <w:uiPriority w:val="99"/>
    <w:rPr>
      <w:color w:val="0000FF" w:themeColor="hyperlink"/>
      <w:u w:val="single"/>
    </w:rPr>
  </w:style>
  <w:style w:type="character" w:customStyle="1" w:styleId="16">
    <w:name w:val="标题 1 Char"/>
    <w:basedOn w:val="13"/>
    <w:link w:val="3"/>
    <w:qFormat/>
    <w:uiPriority w:val="9"/>
    <w:rPr>
      <w:rFonts w:ascii="Times New Roman" w:hAnsi="Times New Roman" w:eastAsia="宋体"/>
      <w:b/>
      <w:bCs/>
      <w:kern w:val="44"/>
      <w:sz w:val="44"/>
      <w:szCs w:val="44"/>
    </w:rPr>
  </w:style>
  <w:style w:type="character" w:customStyle="1" w:styleId="17">
    <w:name w:val="标题 2 Char"/>
    <w:basedOn w:val="13"/>
    <w:link w:val="2"/>
    <w:qFormat/>
    <w:uiPriority w:val="9"/>
    <w:rPr>
      <w:rFonts w:ascii="黑体" w:hAnsi="黑体" w:eastAsia="黑体" w:cstheme="majorBidi"/>
      <w:bCs/>
      <w:kern w:val="2"/>
      <w:sz w:val="32"/>
      <w:szCs w:val="32"/>
    </w:rPr>
  </w:style>
  <w:style w:type="character" w:customStyle="1" w:styleId="18">
    <w:name w:val="标题 3 Char"/>
    <w:basedOn w:val="13"/>
    <w:link w:val="4"/>
    <w:qFormat/>
    <w:uiPriority w:val="9"/>
    <w:rPr>
      <w:rFonts w:ascii="Times New Roman" w:hAnsi="Times New Roman"/>
      <w:b/>
      <w:bCs/>
      <w:kern w:val="2"/>
      <w:sz w:val="32"/>
      <w:szCs w:val="32"/>
    </w:rPr>
  </w:style>
  <w:style w:type="character" w:customStyle="1" w:styleId="19">
    <w:name w:val="Header Char"/>
    <w:basedOn w:val="13"/>
    <w:semiHidden/>
    <w:qFormat/>
    <w:uiPriority w:val="99"/>
    <w:rPr>
      <w:rFonts w:ascii="Times New Roman" w:hAnsi="Times New Roman"/>
      <w:sz w:val="18"/>
      <w:szCs w:val="18"/>
    </w:rPr>
  </w:style>
  <w:style w:type="character" w:customStyle="1" w:styleId="20">
    <w:name w:val="页眉 Char"/>
    <w:link w:val="9"/>
    <w:semiHidden/>
    <w:qFormat/>
    <w:locked/>
    <w:uiPriority w:val="99"/>
    <w:rPr>
      <w:sz w:val="18"/>
    </w:rPr>
  </w:style>
  <w:style w:type="character" w:customStyle="1" w:styleId="21">
    <w:name w:val="Footer Char"/>
    <w:basedOn w:val="13"/>
    <w:semiHidden/>
    <w:qFormat/>
    <w:uiPriority w:val="99"/>
    <w:rPr>
      <w:rFonts w:ascii="Times New Roman" w:hAnsi="Times New Roman"/>
      <w:sz w:val="18"/>
      <w:szCs w:val="18"/>
    </w:rPr>
  </w:style>
  <w:style w:type="character" w:customStyle="1" w:styleId="22">
    <w:name w:val="页脚 Char"/>
    <w:link w:val="8"/>
    <w:qFormat/>
    <w:locked/>
    <w:uiPriority w:val="99"/>
    <w:rPr>
      <w:sz w:val="18"/>
    </w:rPr>
  </w:style>
  <w:style w:type="character" w:customStyle="1" w:styleId="23">
    <w:name w:val="Body Text Char"/>
    <w:basedOn w:val="13"/>
    <w:semiHidden/>
    <w:qFormat/>
    <w:uiPriority w:val="99"/>
    <w:rPr>
      <w:rFonts w:ascii="Times New Roman" w:hAnsi="Times New Roman"/>
      <w:szCs w:val="24"/>
    </w:rPr>
  </w:style>
  <w:style w:type="character" w:customStyle="1" w:styleId="24">
    <w:name w:val="正文文本 Char"/>
    <w:link w:val="5"/>
    <w:qFormat/>
    <w:locked/>
    <w:uiPriority w:val="99"/>
    <w:rPr>
      <w:rFonts w:ascii="仿宋_GB2312" w:hAnsi="Times New Roman" w:eastAsia="仿宋_GB2312"/>
      <w:sz w:val="24"/>
    </w:rPr>
  </w:style>
  <w:style w:type="paragraph" w:customStyle="1" w:styleId="25">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6">
    <w:name w:val="List Paragraph"/>
    <w:basedOn w:val="1"/>
    <w:qFormat/>
    <w:uiPriority w:val="34"/>
    <w:pPr>
      <w:ind w:firstLine="420" w:firstLineChars="200"/>
    </w:pPr>
  </w:style>
  <w:style w:type="paragraph" w:customStyle="1" w:styleId="27">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28">
    <w:name w:val="批注框文本 Char"/>
    <w:basedOn w:val="13"/>
    <w:link w:val="7"/>
    <w:semiHidden/>
    <w:qFormat/>
    <w:uiPriority w:val="99"/>
    <w:rPr>
      <w:rFonts w:ascii="Times New Roman" w:hAnsi="Times New Roman"/>
      <w:kern w:val="2"/>
      <w:sz w:val="18"/>
      <w:szCs w:val="18"/>
    </w:rPr>
  </w:style>
  <w:style w:type="paragraph" w:customStyle="1" w:styleId="29">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3073" textRotate="1"/>
    <customShpInfo spid="_x0000_s3074"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40</Pages>
  <Words>16228</Words>
  <Characters>18872</Characters>
  <Lines>5</Lines>
  <Paragraphs>9</Paragraphs>
  <TotalTime>54</TotalTime>
  <ScaleCrop>false</ScaleCrop>
  <LinksUpToDate>false</LinksUpToDate>
  <CharactersWithSpaces>19373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Castiel</cp:lastModifiedBy>
  <cp:lastPrinted>2023-07-31T02:35:00Z</cp:lastPrinted>
  <dcterms:modified xsi:type="dcterms:W3CDTF">2023-10-17T03:24:25Z</dcterms:modified>
  <dc:title>四川省***</dc:title>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59FC17F8B4C04B88BAB13975B9675FCF_13</vt:lpwstr>
  </property>
</Properties>
</file>