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Override PartName="/word/theme/themeOverride2.xml" ContentType="application/vnd.openxmlformats-officedocument.themeOverride+xml"/>
  <Override PartName="/word/theme/themeOverride3.xml" ContentType="application/vnd.openxmlformats-officedocument.themeOverride+xml"/>
  <Override PartName="/word/theme/themeOverride4.xml" ContentType="application/vnd.openxmlformats-officedocument.themeOverride+xml"/>
  <Override PartName="/word/theme/themeOverride5.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bidi w:val="0"/>
        <w:spacing w:line="576" w:lineRule="exact"/>
        <w:jc w:val="left"/>
        <w:textAlignment w:val="auto"/>
        <w:outlineLvl w:val="9"/>
        <w:rPr>
          <w:rFonts w:hint="eastAsia" w:ascii="仿宋_GB2312" w:hAnsi="仿宋_GB2312" w:eastAsia="仿宋_GB2312" w:cs="仿宋_GB2312"/>
          <w:color w:val="auto"/>
          <w:sz w:val="32"/>
          <w:szCs w:val="32"/>
          <w:highlight w:val="none"/>
        </w:rPr>
      </w:pPr>
      <w:bookmarkStart w:id="0" w:name="_Toc15306267"/>
    </w:p>
    <w:p>
      <w:pPr>
        <w:pageBreakBefore w:val="0"/>
        <w:kinsoku/>
        <w:wordWrap/>
        <w:overflowPunct/>
        <w:topLinePunct w:val="0"/>
        <w:bidi w:val="0"/>
        <w:spacing w:line="576" w:lineRule="exact"/>
        <w:jc w:val="center"/>
        <w:textAlignment w:val="auto"/>
        <w:outlineLvl w:val="9"/>
        <w:rPr>
          <w:rFonts w:hint="eastAsia" w:ascii="仿宋_GB2312" w:hAnsi="仿宋_GB2312" w:eastAsia="仿宋_GB2312" w:cs="仿宋_GB2312"/>
          <w:color w:val="auto"/>
          <w:sz w:val="32"/>
          <w:szCs w:val="32"/>
          <w:highlight w:val="none"/>
        </w:rPr>
      </w:pPr>
    </w:p>
    <w:p>
      <w:pPr>
        <w:pageBreakBefore w:val="0"/>
        <w:kinsoku/>
        <w:wordWrap/>
        <w:overflowPunct/>
        <w:topLinePunct w:val="0"/>
        <w:bidi w:val="0"/>
        <w:spacing w:line="576" w:lineRule="exact"/>
        <w:jc w:val="center"/>
        <w:textAlignment w:val="auto"/>
        <w:outlineLvl w:val="9"/>
        <w:rPr>
          <w:rFonts w:hint="eastAsia" w:ascii="仿宋_GB2312" w:hAnsi="仿宋_GB2312" w:eastAsia="仿宋_GB2312" w:cs="仿宋_GB2312"/>
          <w:color w:val="auto"/>
          <w:sz w:val="32"/>
          <w:szCs w:val="32"/>
          <w:highlight w:val="none"/>
        </w:rPr>
      </w:pP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 w:name="_Toc15377193"/>
      <w:bookmarkStart w:id="2" w:name="_Toc15377425"/>
      <w:bookmarkStart w:id="3" w:name="_Toc15396597"/>
      <w:bookmarkStart w:id="4" w:name="_Toc15378441"/>
      <w:bookmarkStart w:id="5" w:name="_Toc15396475"/>
      <w:bookmarkStart w:id="6" w:name="_Toc3253"/>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22</w:t>
      </w:r>
      <w:r>
        <w:rPr>
          <w:rFonts w:hint="eastAsia" w:ascii="方正小标宋简体" w:hAnsi="方正小标宋简体" w:eastAsia="方正小标宋简体" w:cs="方正小标宋简体"/>
          <w:color w:val="auto"/>
          <w:sz w:val="72"/>
          <w:szCs w:val="72"/>
          <w:highlight w:val="none"/>
        </w:rPr>
        <w:t>年度</w:t>
      </w:r>
      <w:bookmarkEnd w:id="1"/>
      <w:bookmarkEnd w:id="2"/>
      <w:bookmarkEnd w:id="3"/>
      <w:bookmarkEnd w:id="4"/>
      <w:bookmarkEnd w:id="5"/>
      <w:bookmarkEnd w:id="6"/>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7" w:name="_Toc15377194"/>
      <w:bookmarkStart w:id="8" w:name="_Toc15377426"/>
      <w:bookmarkStart w:id="9" w:name="_Toc15396476"/>
      <w:bookmarkStart w:id="10" w:name="_Toc15396598"/>
      <w:bookmarkStart w:id="11" w:name="_Toc15378442"/>
      <w:bookmarkStart w:id="12" w:name="_Toc21759"/>
      <w:r>
        <w:rPr>
          <w:rFonts w:hint="eastAsia" w:ascii="方正小标宋简体" w:hAnsi="方正小标宋简体" w:eastAsia="方正小标宋简体" w:cs="方正小标宋简体"/>
          <w:color w:val="auto"/>
          <w:sz w:val="72"/>
          <w:szCs w:val="72"/>
          <w:highlight w:val="none"/>
          <w:lang w:eastAsia="zh-CN"/>
        </w:rPr>
        <w:t>中共广元</w:t>
      </w:r>
      <w:bookmarkEnd w:id="0"/>
      <w:bookmarkStart w:id="13" w:name="_Toc15306268"/>
      <w:r>
        <w:rPr>
          <w:rFonts w:hint="eastAsia" w:ascii="方正小标宋简体" w:hAnsi="方正小标宋简体" w:eastAsia="方正小标宋简体" w:cs="方正小标宋简体"/>
          <w:color w:val="auto"/>
          <w:sz w:val="72"/>
          <w:szCs w:val="72"/>
          <w:highlight w:val="none"/>
          <w:lang w:eastAsia="zh-CN"/>
        </w:rPr>
        <w:t>市委群众工作局单位</w:t>
      </w:r>
      <w:r>
        <w:rPr>
          <w:rFonts w:hint="eastAsia" w:ascii="方正小标宋简体" w:hAnsi="方正小标宋简体" w:eastAsia="方正小标宋简体" w:cs="方正小标宋简体"/>
          <w:color w:val="auto"/>
          <w:sz w:val="72"/>
          <w:szCs w:val="72"/>
          <w:highlight w:val="none"/>
        </w:rPr>
        <w:t>决算</w:t>
      </w:r>
      <w:bookmarkEnd w:id="7"/>
      <w:bookmarkEnd w:id="8"/>
      <w:bookmarkEnd w:id="9"/>
      <w:bookmarkEnd w:id="10"/>
      <w:bookmarkEnd w:id="11"/>
      <w:bookmarkEnd w:id="12"/>
      <w:bookmarkEnd w:id="13"/>
    </w:p>
    <w:p>
      <w:pPr>
        <w:pageBreakBefore w:val="0"/>
        <w:widowControl/>
        <w:kinsoku/>
        <w:wordWrap/>
        <w:overflowPunct/>
        <w:topLinePunct w:val="0"/>
        <w:bidi w:val="0"/>
        <w:spacing w:line="576" w:lineRule="exact"/>
        <w:jc w:val="center"/>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br w:type="page"/>
      </w:r>
      <w:r>
        <w:rPr>
          <w:rFonts w:hint="eastAsia" w:ascii="方正小标宋简体" w:hAnsi="方正小标宋简体" w:eastAsia="方正小标宋简体" w:cs="方正小标宋简体"/>
          <w:b/>
          <w:bCs/>
          <w:color w:val="auto"/>
          <w:sz w:val="32"/>
          <w:szCs w:val="32"/>
          <w:highlight w:val="none"/>
        </w:rPr>
        <w:t>目录</w:t>
      </w:r>
    </w:p>
    <w:p>
      <w:pPr>
        <w:pStyle w:val="10"/>
        <w:pageBreakBefore w:val="0"/>
        <w:kinsoku/>
        <w:wordWrap/>
        <w:overflowPunct/>
        <w:topLinePunct w:val="0"/>
        <w:bidi w:val="0"/>
        <w:adjustRightInd w:val="0"/>
        <w:snapToGrid w:val="0"/>
        <w:spacing w:before="0" w:line="576" w:lineRule="exact"/>
        <w:jc w:val="center"/>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公开时间：20</w:t>
      </w:r>
      <w:r>
        <w:rPr>
          <w:rFonts w:hint="eastAsia" w:ascii="仿宋_GB2312" w:hAnsi="仿宋_GB2312" w:eastAsia="仿宋_GB2312" w:cs="仿宋_GB2312"/>
          <w:color w:val="auto"/>
          <w:sz w:val="32"/>
          <w:szCs w:val="32"/>
          <w:highlight w:val="none"/>
          <w:lang w:val="en-US" w:eastAsia="zh-CN"/>
        </w:rPr>
        <w:t>23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rPr>
        <w:t>月</w:t>
      </w:r>
      <w:r>
        <w:rPr>
          <w:rFonts w:hint="eastAsia" w:ascii="仿宋_GB2312" w:hAnsi="仿宋_GB2312" w:eastAsia="仿宋_GB2312" w:cs="仿宋_GB2312"/>
          <w:color w:val="auto"/>
          <w:sz w:val="32"/>
          <w:szCs w:val="32"/>
          <w:highlight w:val="none"/>
          <w:lang w:val="en-US" w:eastAsia="zh-CN"/>
        </w:rPr>
        <w:t>9</w:t>
      </w:r>
      <w:bookmarkStart w:id="102" w:name="_GoBack"/>
      <w:bookmarkEnd w:id="102"/>
      <w:r>
        <w:rPr>
          <w:rFonts w:hint="eastAsia" w:ascii="仿宋_GB2312" w:hAnsi="仿宋_GB2312" w:eastAsia="仿宋_GB2312" w:cs="仿宋_GB2312"/>
          <w:color w:val="auto"/>
          <w:sz w:val="32"/>
          <w:szCs w:val="32"/>
          <w:highlight w:val="none"/>
        </w:rPr>
        <w:t>日</w:t>
      </w:r>
    </w:p>
    <w:sdt>
      <w:sdtPr>
        <w:rPr>
          <w:rFonts w:ascii="宋体" w:hAnsi="宋体" w:eastAsia="宋体" w:cs="Times New Roman"/>
          <w:kern w:val="2"/>
          <w:sz w:val="21"/>
          <w:szCs w:val="24"/>
          <w:lang w:val="en-US" w:eastAsia="zh-CN" w:bidi="ar-SA"/>
        </w:rPr>
        <w:id w:val="147461840"/>
        <w15:color w:val="DBDBDB"/>
        <w:docPartObj>
          <w:docPartGallery w:val="Table of Contents"/>
          <w:docPartUnique/>
        </w:docPartObj>
      </w:sdtPr>
      <w:sdtEndPr>
        <w:rPr>
          <w:rFonts w:hint="eastAsia" w:ascii="仿宋_GB2312" w:hAnsi="仿宋_GB2312" w:eastAsia="仿宋_GB2312" w:cs="仿宋_GB2312"/>
          <w:b/>
          <w:kern w:val="2"/>
          <w:sz w:val="21"/>
          <w:szCs w:val="32"/>
          <w:lang w:val="en-US" w:eastAsia="zh-CN" w:bidi="ar-SA"/>
        </w:rPr>
      </w:sdtEndPr>
      <w:sdtContent>
        <w:p>
          <w:pPr>
            <w:spacing w:before="0" w:beforeLines="0" w:after="0" w:afterLines="0" w:line="240" w:lineRule="auto"/>
            <w:ind w:left="0" w:leftChars="0" w:right="0" w:rightChars="0" w:firstLine="0" w:firstLineChars="0"/>
            <w:jc w:val="cente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"1-2" \h \u </w:instrText>
          </w:r>
          <w:r>
            <w:rPr>
              <w:rFonts w:hint="eastAsia" w:ascii="仿宋_GB2312" w:hAnsi="仿宋_GB2312" w:eastAsia="仿宋_GB2312" w:cs="仿宋_GB2312"/>
              <w:sz w:val="32"/>
              <w:szCs w:val="32"/>
            </w:rPr>
            <w:fldChar w:fldCharType="separate"/>
          </w:r>
        </w:p>
        <w:p>
          <w:pPr>
            <w:pStyle w:val="10"/>
            <w:tabs>
              <w:tab w:val="right" w:leader="dot" w:pos="8306"/>
              <w:tab w:val="clear" w:pos="8296"/>
            </w:tabs>
            <w:jc w:val="both"/>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_Toc31014 </w:instrText>
          </w:r>
          <w:r>
            <w:rPr>
              <w:rFonts w:hint="eastAsia" w:ascii="仿宋_GB2312" w:hAnsi="仿宋_GB2312" w:eastAsia="仿宋_GB2312" w:cs="仿宋_GB2312"/>
              <w:szCs w:val="32"/>
            </w:rPr>
            <w:fldChar w:fldCharType="separate"/>
          </w:r>
          <w:r>
            <w:rPr>
              <w:rFonts w:hint="eastAsia" w:ascii="方正小标宋简体" w:hAnsi="方正小标宋简体" w:eastAsia="方正小标宋简体" w:cs="方正小标宋简体"/>
              <w:bCs/>
              <w:szCs w:val="44"/>
              <w:highlight w:val="none"/>
            </w:rPr>
            <w:t xml:space="preserve">第一部分 </w:t>
          </w:r>
          <w:r>
            <w:rPr>
              <w:rFonts w:hint="eastAsia" w:ascii="方正小标宋简体" w:hAnsi="方正小标宋简体" w:eastAsia="方正小标宋简体" w:cs="方正小标宋简体"/>
              <w:bCs/>
              <w:szCs w:val="44"/>
              <w:highlight w:val="none"/>
              <w:lang w:eastAsia="zh-CN"/>
            </w:rPr>
            <w:t>单位</w:t>
          </w:r>
          <w:r>
            <w:rPr>
              <w:rFonts w:hint="eastAsia" w:ascii="方正小标宋简体" w:hAnsi="方正小标宋简体" w:eastAsia="方正小标宋简体" w:cs="方正小标宋简体"/>
              <w:bCs/>
              <w:szCs w:val="44"/>
              <w:highlight w:val="none"/>
            </w:rPr>
            <w:t>概况</w:t>
          </w:r>
          <w:r>
            <w:tab/>
          </w:r>
          <w:r>
            <w:fldChar w:fldCharType="begin"/>
          </w:r>
          <w:r>
            <w:instrText xml:space="preserve"> PAGEREF _Toc31014 \h </w:instrText>
          </w:r>
          <w:r>
            <w:fldChar w:fldCharType="separate"/>
          </w:r>
          <w:r>
            <w:t>1</w:t>
          </w:r>
          <w:r>
            <w:fldChar w:fldCharType="end"/>
          </w:r>
          <w:r>
            <w:rPr>
              <w:rFonts w:hint="eastAsia" w:ascii="仿宋_GB2312" w:hAnsi="仿宋_GB2312" w:eastAsia="仿宋_GB2312" w:cs="仿宋_GB2312"/>
              <w:szCs w:val="32"/>
            </w:rPr>
            <w:fldChar w:fldCharType="end"/>
          </w:r>
        </w:p>
        <w:p>
          <w:pPr>
            <w:pStyle w:val="11"/>
            <w:tabs>
              <w:tab w:val="right" w:leader="dot" w:pos="8306"/>
              <w:tab w:val="clear" w:pos="829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_Toc9780 </w:instrText>
          </w:r>
          <w:r>
            <w:rPr>
              <w:rFonts w:hint="eastAsia" w:ascii="仿宋_GB2312" w:hAnsi="仿宋_GB2312" w:eastAsia="仿宋_GB2312" w:cs="仿宋_GB2312"/>
              <w:szCs w:val="32"/>
            </w:rPr>
            <w:fldChar w:fldCharType="separate"/>
          </w:r>
          <w:r>
            <w:rPr>
              <w:rFonts w:hint="eastAsia" w:ascii="黑体" w:hAnsi="黑体" w:eastAsia="黑体" w:cs="黑体"/>
              <w:bCs/>
              <w:szCs w:val="32"/>
              <w:lang w:eastAsia="zh-CN"/>
            </w:rPr>
            <w:t>一、主要职责</w:t>
          </w:r>
          <w:r>
            <w:tab/>
          </w:r>
          <w:r>
            <w:fldChar w:fldCharType="begin"/>
          </w:r>
          <w:r>
            <w:instrText xml:space="preserve"> PAGEREF _Toc9780 \h </w:instrText>
          </w:r>
          <w:r>
            <w:fldChar w:fldCharType="separate"/>
          </w:r>
          <w:r>
            <w:t>1</w:t>
          </w:r>
          <w:r>
            <w:fldChar w:fldCharType="end"/>
          </w:r>
          <w:r>
            <w:rPr>
              <w:rFonts w:hint="eastAsia" w:ascii="仿宋_GB2312" w:hAnsi="仿宋_GB2312" w:eastAsia="仿宋_GB2312" w:cs="仿宋_GB2312"/>
              <w:szCs w:val="32"/>
            </w:rPr>
            <w:fldChar w:fldCharType="end"/>
          </w:r>
        </w:p>
        <w:p>
          <w:pPr>
            <w:pStyle w:val="11"/>
            <w:tabs>
              <w:tab w:val="right" w:leader="dot" w:pos="8306"/>
              <w:tab w:val="clear" w:pos="829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_Toc7221 </w:instrText>
          </w:r>
          <w:r>
            <w:rPr>
              <w:rFonts w:hint="eastAsia" w:ascii="仿宋_GB2312" w:hAnsi="仿宋_GB2312" w:eastAsia="仿宋_GB2312" w:cs="仿宋_GB2312"/>
              <w:szCs w:val="32"/>
            </w:rPr>
            <w:fldChar w:fldCharType="separate"/>
          </w:r>
          <w:r>
            <w:rPr>
              <w:rFonts w:hint="eastAsia" w:ascii="黑体" w:hAnsi="黑体" w:eastAsia="黑体" w:cs="黑体"/>
              <w:bCs/>
              <w:szCs w:val="32"/>
              <w:lang w:val="en-US" w:eastAsia="zh-CN"/>
            </w:rPr>
            <w:t>二、机构设置</w:t>
          </w:r>
          <w:r>
            <w:tab/>
          </w:r>
          <w:r>
            <w:fldChar w:fldCharType="begin"/>
          </w:r>
          <w:r>
            <w:instrText xml:space="preserve"> PAGEREF _Toc7221 \h </w:instrText>
          </w:r>
          <w:r>
            <w:fldChar w:fldCharType="separate"/>
          </w:r>
          <w:r>
            <w:t>2</w:t>
          </w:r>
          <w:r>
            <w:fldChar w:fldCharType="end"/>
          </w:r>
          <w:r>
            <w:rPr>
              <w:rFonts w:hint="eastAsia" w:ascii="仿宋_GB2312" w:hAnsi="仿宋_GB2312" w:eastAsia="仿宋_GB2312" w:cs="仿宋_GB2312"/>
              <w:szCs w:val="32"/>
            </w:rPr>
            <w:fldChar w:fldCharType="end"/>
          </w:r>
        </w:p>
        <w:p>
          <w:pPr>
            <w:pStyle w:val="10"/>
            <w:tabs>
              <w:tab w:val="right" w:leader="dot" w:pos="8306"/>
              <w:tab w:val="clear" w:pos="829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_Toc6623 </w:instrText>
          </w:r>
          <w:r>
            <w:rPr>
              <w:rFonts w:hint="eastAsia" w:ascii="仿宋_GB2312" w:hAnsi="仿宋_GB2312" w:eastAsia="仿宋_GB2312" w:cs="仿宋_GB2312"/>
              <w:szCs w:val="32"/>
            </w:rPr>
            <w:fldChar w:fldCharType="separate"/>
          </w:r>
          <w:r>
            <w:rPr>
              <w:rFonts w:hint="eastAsia" w:ascii="方正小标宋简体" w:hAnsi="方正小标宋简体" w:eastAsia="方正小标宋简体" w:cs="方正小标宋简体"/>
              <w:bCs/>
              <w:szCs w:val="44"/>
              <w:highlight w:val="none"/>
              <w:lang w:val="en-US" w:eastAsia="zh-CN"/>
            </w:rPr>
            <w:t xml:space="preserve">第二部分  </w:t>
          </w:r>
          <w:r>
            <w:rPr>
              <w:rFonts w:hint="eastAsia" w:ascii="方正小标宋简体" w:hAnsi="方正小标宋简体" w:eastAsia="方正小标宋简体" w:cs="方正小标宋简体"/>
              <w:bCs w:val="0"/>
              <w:kern w:val="2"/>
              <w:szCs w:val="44"/>
              <w:lang w:val="en-US" w:eastAsia="zh-CN" w:bidi="ar-SA"/>
            </w:rPr>
            <w:t>2022</w:t>
          </w:r>
          <w:r>
            <w:rPr>
              <w:rFonts w:hint="eastAsia" w:ascii="方正小标宋简体" w:hAnsi="方正小标宋简体" w:eastAsia="方正小标宋简体" w:cs="方正小标宋简体"/>
              <w:bCs/>
              <w:szCs w:val="44"/>
              <w:highlight w:val="none"/>
              <w:lang w:val="en-US" w:eastAsia="zh-CN"/>
            </w:rPr>
            <w:t>年度单位决算情况说明</w:t>
          </w:r>
          <w:r>
            <w:tab/>
          </w:r>
          <w:r>
            <w:fldChar w:fldCharType="begin"/>
          </w:r>
          <w:r>
            <w:instrText xml:space="preserve"> PAGEREF _Toc6623 \h </w:instrText>
          </w:r>
          <w:r>
            <w:fldChar w:fldCharType="separate"/>
          </w:r>
          <w:r>
            <w:t>5</w:t>
          </w:r>
          <w:r>
            <w:fldChar w:fldCharType="end"/>
          </w:r>
          <w:r>
            <w:rPr>
              <w:rFonts w:hint="eastAsia" w:ascii="仿宋_GB2312" w:hAnsi="仿宋_GB2312" w:eastAsia="仿宋_GB2312" w:cs="仿宋_GB2312"/>
              <w:szCs w:val="32"/>
            </w:rPr>
            <w:fldChar w:fldCharType="end"/>
          </w:r>
        </w:p>
        <w:p>
          <w:pPr>
            <w:pStyle w:val="11"/>
            <w:tabs>
              <w:tab w:val="right" w:leader="dot" w:pos="8306"/>
              <w:tab w:val="clear" w:pos="829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_Toc15439 </w:instrText>
          </w:r>
          <w:r>
            <w:rPr>
              <w:rFonts w:hint="eastAsia" w:ascii="仿宋_GB2312" w:hAnsi="仿宋_GB2312" w:eastAsia="仿宋_GB2312" w:cs="仿宋_GB2312"/>
              <w:szCs w:val="32"/>
            </w:rPr>
            <w:fldChar w:fldCharType="separate"/>
          </w:r>
          <w:r>
            <w:rPr>
              <w:rFonts w:hint="eastAsia" w:ascii="黑体" w:hAnsi="黑体" w:eastAsia="黑体" w:cs="黑体"/>
              <w:szCs w:val="32"/>
              <w:lang w:val="en-US" w:eastAsia="zh-CN"/>
            </w:rPr>
            <w:t>一、收入支出决算总体情况说明</w:t>
          </w:r>
          <w:r>
            <w:tab/>
          </w:r>
          <w:r>
            <w:fldChar w:fldCharType="begin"/>
          </w:r>
          <w:r>
            <w:instrText xml:space="preserve"> PAGEREF _Toc15439 \h </w:instrText>
          </w:r>
          <w:r>
            <w:fldChar w:fldCharType="separate"/>
          </w:r>
          <w:r>
            <w:t>5</w:t>
          </w:r>
          <w:r>
            <w:fldChar w:fldCharType="end"/>
          </w:r>
          <w:r>
            <w:rPr>
              <w:rFonts w:hint="eastAsia" w:ascii="仿宋_GB2312" w:hAnsi="仿宋_GB2312" w:eastAsia="仿宋_GB2312" w:cs="仿宋_GB2312"/>
              <w:szCs w:val="32"/>
            </w:rPr>
            <w:fldChar w:fldCharType="end"/>
          </w:r>
        </w:p>
        <w:p>
          <w:pPr>
            <w:pStyle w:val="11"/>
            <w:tabs>
              <w:tab w:val="right" w:leader="dot" w:pos="8306"/>
              <w:tab w:val="clear" w:pos="829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_Toc4968 </w:instrText>
          </w:r>
          <w:r>
            <w:rPr>
              <w:rFonts w:hint="eastAsia" w:ascii="仿宋_GB2312" w:hAnsi="仿宋_GB2312" w:eastAsia="仿宋_GB2312" w:cs="仿宋_GB2312"/>
              <w:szCs w:val="32"/>
            </w:rPr>
            <w:fldChar w:fldCharType="separate"/>
          </w:r>
          <w:r>
            <w:rPr>
              <w:rFonts w:hint="eastAsia" w:ascii="黑体" w:hAnsi="黑体" w:eastAsia="黑体" w:cs="黑体"/>
              <w:kern w:val="2"/>
              <w:szCs w:val="32"/>
              <w:lang w:val="en-US" w:eastAsia="zh-CN" w:bidi="ar-SA"/>
            </w:rPr>
            <w:t>二、收入决算情况说明</w:t>
          </w:r>
          <w:r>
            <w:tab/>
          </w:r>
          <w:r>
            <w:fldChar w:fldCharType="begin"/>
          </w:r>
          <w:r>
            <w:instrText xml:space="preserve"> PAGEREF _Toc4968 \h </w:instrText>
          </w:r>
          <w:r>
            <w:fldChar w:fldCharType="separate"/>
          </w:r>
          <w:r>
            <w:t>5</w:t>
          </w:r>
          <w:r>
            <w:fldChar w:fldCharType="end"/>
          </w:r>
          <w:r>
            <w:rPr>
              <w:rFonts w:hint="eastAsia" w:ascii="仿宋_GB2312" w:hAnsi="仿宋_GB2312" w:eastAsia="仿宋_GB2312" w:cs="仿宋_GB2312"/>
              <w:szCs w:val="32"/>
            </w:rPr>
            <w:fldChar w:fldCharType="end"/>
          </w:r>
        </w:p>
        <w:p>
          <w:pPr>
            <w:pStyle w:val="11"/>
            <w:tabs>
              <w:tab w:val="right" w:leader="dot" w:pos="8306"/>
              <w:tab w:val="clear" w:pos="829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_Toc5819 </w:instrText>
          </w:r>
          <w:r>
            <w:rPr>
              <w:rFonts w:hint="eastAsia" w:ascii="仿宋_GB2312" w:hAnsi="仿宋_GB2312" w:eastAsia="仿宋_GB2312" w:cs="仿宋_GB2312"/>
              <w:szCs w:val="32"/>
            </w:rPr>
            <w:fldChar w:fldCharType="separate"/>
          </w:r>
          <w:r>
            <w:rPr>
              <w:rFonts w:hint="eastAsia" w:ascii="黑体" w:hAnsi="黑体" w:eastAsia="黑体" w:cs="黑体"/>
              <w:szCs w:val="32"/>
              <w:lang w:val="en-US" w:eastAsia="zh-CN"/>
            </w:rPr>
            <w:t>三、支出决算情况说明</w:t>
          </w:r>
          <w:r>
            <w:tab/>
          </w:r>
          <w:r>
            <w:fldChar w:fldCharType="begin"/>
          </w:r>
          <w:r>
            <w:instrText xml:space="preserve"> PAGEREF _Toc5819 \h </w:instrText>
          </w:r>
          <w:r>
            <w:fldChar w:fldCharType="separate"/>
          </w:r>
          <w:r>
            <w:t>6</w:t>
          </w:r>
          <w:r>
            <w:fldChar w:fldCharType="end"/>
          </w:r>
          <w:r>
            <w:rPr>
              <w:rFonts w:hint="eastAsia" w:ascii="仿宋_GB2312" w:hAnsi="仿宋_GB2312" w:eastAsia="仿宋_GB2312" w:cs="仿宋_GB2312"/>
              <w:szCs w:val="32"/>
            </w:rPr>
            <w:fldChar w:fldCharType="end"/>
          </w:r>
        </w:p>
        <w:p>
          <w:pPr>
            <w:pStyle w:val="11"/>
            <w:tabs>
              <w:tab w:val="right" w:leader="dot" w:pos="8306"/>
              <w:tab w:val="clear" w:pos="829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_Toc29364 </w:instrText>
          </w:r>
          <w:r>
            <w:rPr>
              <w:rFonts w:hint="eastAsia" w:ascii="仿宋_GB2312" w:hAnsi="仿宋_GB2312" w:eastAsia="仿宋_GB2312" w:cs="仿宋_GB2312"/>
              <w:szCs w:val="32"/>
            </w:rPr>
            <w:fldChar w:fldCharType="separate"/>
          </w:r>
          <w:r>
            <w:rPr>
              <w:rFonts w:hint="eastAsia" w:ascii="黑体" w:hAnsi="黑体" w:eastAsia="黑体" w:cs="黑体"/>
              <w:szCs w:val="32"/>
              <w:lang w:val="en-US" w:eastAsia="zh-CN"/>
            </w:rPr>
            <w:t>四、财政拨款收入支出决算总体情况说明</w:t>
          </w:r>
          <w:r>
            <w:tab/>
          </w:r>
          <w:r>
            <w:fldChar w:fldCharType="begin"/>
          </w:r>
          <w:r>
            <w:instrText xml:space="preserve"> PAGEREF _Toc29364 \h </w:instrText>
          </w:r>
          <w:r>
            <w:fldChar w:fldCharType="separate"/>
          </w:r>
          <w:r>
            <w:t>6</w:t>
          </w:r>
          <w:r>
            <w:fldChar w:fldCharType="end"/>
          </w:r>
          <w:r>
            <w:rPr>
              <w:rFonts w:hint="eastAsia" w:ascii="仿宋_GB2312" w:hAnsi="仿宋_GB2312" w:eastAsia="仿宋_GB2312" w:cs="仿宋_GB2312"/>
              <w:szCs w:val="32"/>
            </w:rPr>
            <w:fldChar w:fldCharType="end"/>
          </w:r>
        </w:p>
        <w:p>
          <w:pPr>
            <w:pStyle w:val="11"/>
            <w:tabs>
              <w:tab w:val="right" w:leader="dot" w:pos="8306"/>
              <w:tab w:val="clear" w:pos="829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_Toc12286 </w:instrText>
          </w:r>
          <w:r>
            <w:rPr>
              <w:rFonts w:hint="eastAsia" w:ascii="仿宋_GB2312" w:hAnsi="仿宋_GB2312" w:eastAsia="仿宋_GB2312" w:cs="仿宋_GB2312"/>
              <w:szCs w:val="32"/>
            </w:rPr>
            <w:fldChar w:fldCharType="separate"/>
          </w:r>
          <w:r>
            <w:rPr>
              <w:rFonts w:hint="eastAsia" w:ascii="黑体" w:hAnsi="黑体" w:eastAsia="黑体" w:cs="黑体"/>
              <w:kern w:val="2"/>
              <w:szCs w:val="32"/>
              <w:lang w:val="en-US" w:eastAsia="zh-CN" w:bidi="ar-SA"/>
            </w:rPr>
            <w:t>五、一般公共预算财政拨款支出决算情况说明</w:t>
          </w:r>
          <w:r>
            <w:tab/>
          </w:r>
          <w:r>
            <w:fldChar w:fldCharType="begin"/>
          </w:r>
          <w:r>
            <w:instrText xml:space="preserve"> PAGEREF _Toc12286 \h </w:instrText>
          </w:r>
          <w:r>
            <w:fldChar w:fldCharType="separate"/>
          </w:r>
          <w:r>
            <w:t>6</w:t>
          </w:r>
          <w:r>
            <w:fldChar w:fldCharType="end"/>
          </w:r>
          <w:r>
            <w:rPr>
              <w:rFonts w:hint="eastAsia" w:ascii="仿宋_GB2312" w:hAnsi="仿宋_GB2312" w:eastAsia="仿宋_GB2312" w:cs="仿宋_GB2312"/>
              <w:szCs w:val="32"/>
            </w:rPr>
            <w:fldChar w:fldCharType="end"/>
          </w:r>
        </w:p>
        <w:p>
          <w:pPr>
            <w:pStyle w:val="11"/>
            <w:tabs>
              <w:tab w:val="right" w:leader="dot" w:pos="8306"/>
              <w:tab w:val="clear" w:pos="829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_Toc5425 </w:instrText>
          </w:r>
          <w:r>
            <w:rPr>
              <w:rFonts w:hint="eastAsia" w:ascii="仿宋_GB2312" w:hAnsi="仿宋_GB2312" w:eastAsia="仿宋_GB2312" w:cs="仿宋_GB2312"/>
              <w:szCs w:val="32"/>
            </w:rPr>
            <w:fldChar w:fldCharType="separate"/>
          </w:r>
          <w:r>
            <w:rPr>
              <w:rFonts w:hint="eastAsia" w:ascii="黑体" w:hAnsi="黑体" w:eastAsia="黑体" w:cs="黑体"/>
              <w:szCs w:val="32"/>
            </w:rPr>
            <w:t>六、一般公共预算财政拨款基本支出决算情况说明</w:t>
          </w:r>
          <w:r>
            <w:tab/>
          </w:r>
          <w:r>
            <w:fldChar w:fldCharType="begin"/>
          </w:r>
          <w:r>
            <w:instrText xml:space="preserve"> PAGEREF _Toc5425 \h </w:instrText>
          </w:r>
          <w:r>
            <w:fldChar w:fldCharType="separate"/>
          </w:r>
          <w:r>
            <w:t>9</w:t>
          </w:r>
          <w:r>
            <w:fldChar w:fldCharType="end"/>
          </w:r>
          <w:r>
            <w:rPr>
              <w:rFonts w:hint="eastAsia" w:ascii="仿宋_GB2312" w:hAnsi="仿宋_GB2312" w:eastAsia="仿宋_GB2312" w:cs="仿宋_GB2312"/>
              <w:szCs w:val="32"/>
            </w:rPr>
            <w:fldChar w:fldCharType="end"/>
          </w:r>
        </w:p>
        <w:p>
          <w:pPr>
            <w:pStyle w:val="11"/>
            <w:tabs>
              <w:tab w:val="right" w:leader="dot" w:pos="8306"/>
              <w:tab w:val="clear" w:pos="829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_Toc16083 </w:instrText>
          </w:r>
          <w:r>
            <w:rPr>
              <w:rFonts w:hint="eastAsia" w:ascii="仿宋_GB2312" w:hAnsi="仿宋_GB2312" w:eastAsia="仿宋_GB2312" w:cs="仿宋_GB2312"/>
              <w:szCs w:val="32"/>
            </w:rPr>
            <w:fldChar w:fldCharType="separate"/>
          </w:r>
          <w:r>
            <w:rPr>
              <w:rFonts w:hint="eastAsia" w:ascii="黑体" w:hAnsi="黑体" w:eastAsia="黑体" w:cs="黑体"/>
              <w:szCs w:val="32"/>
            </w:rPr>
            <w:t>七、财政拨款“三公”经费支出决算情况说明</w:t>
          </w:r>
          <w:r>
            <w:tab/>
          </w:r>
          <w:r>
            <w:fldChar w:fldCharType="begin"/>
          </w:r>
          <w:r>
            <w:instrText xml:space="preserve"> PAGEREF _Toc16083 \h </w:instrText>
          </w:r>
          <w:r>
            <w:fldChar w:fldCharType="separate"/>
          </w:r>
          <w:r>
            <w:t>9</w:t>
          </w:r>
          <w:r>
            <w:fldChar w:fldCharType="end"/>
          </w:r>
          <w:r>
            <w:rPr>
              <w:rFonts w:hint="eastAsia" w:ascii="仿宋_GB2312" w:hAnsi="仿宋_GB2312" w:eastAsia="仿宋_GB2312" w:cs="仿宋_GB2312"/>
              <w:szCs w:val="32"/>
            </w:rPr>
            <w:fldChar w:fldCharType="end"/>
          </w:r>
        </w:p>
        <w:p>
          <w:pPr>
            <w:pStyle w:val="11"/>
            <w:tabs>
              <w:tab w:val="right" w:leader="dot" w:pos="8306"/>
              <w:tab w:val="clear" w:pos="829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_Toc25834 </w:instrText>
          </w:r>
          <w:r>
            <w:rPr>
              <w:rFonts w:hint="eastAsia" w:ascii="仿宋_GB2312" w:hAnsi="仿宋_GB2312" w:eastAsia="仿宋_GB2312" w:cs="仿宋_GB2312"/>
              <w:szCs w:val="32"/>
            </w:rPr>
            <w:fldChar w:fldCharType="separate"/>
          </w:r>
          <w:r>
            <w:rPr>
              <w:rFonts w:hint="eastAsia" w:ascii="黑体" w:hAnsi="黑体" w:eastAsia="黑体" w:cs="黑体"/>
              <w:szCs w:val="32"/>
            </w:rPr>
            <w:t>八、政府性基金预算支出决算情况说明</w:t>
          </w:r>
          <w:r>
            <w:tab/>
          </w:r>
          <w:r>
            <w:fldChar w:fldCharType="begin"/>
          </w:r>
          <w:r>
            <w:instrText xml:space="preserve"> PAGEREF _Toc25834 \h </w:instrText>
          </w:r>
          <w:r>
            <w:fldChar w:fldCharType="separate"/>
          </w:r>
          <w:r>
            <w:t>10</w:t>
          </w:r>
          <w:r>
            <w:fldChar w:fldCharType="end"/>
          </w:r>
          <w:r>
            <w:rPr>
              <w:rFonts w:hint="eastAsia" w:ascii="仿宋_GB2312" w:hAnsi="仿宋_GB2312" w:eastAsia="仿宋_GB2312" w:cs="仿宋_GB2312"/>
              <w:szCs w:val="32"/>
            </w:rPr>
            <w:fldChar w:fldCharType="end"/>
          </w:r>
        </w:p>
        <w:p>
          <w:pPr>
            <w:pStyle w:val="11"/>
            <w:tabs>
              <w:tab w:val="right" w:leader="dot" w:pos="8306"/>
              <w:tab w:val="clear" w:pos="829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_Toc15776 </w:instrText>
          </w:r>
          <w:r>
            <w:rPr>
              <w:rFonts w:hint="eastAsia" w:ascii="仿宋_GB2312" w:hAnsi="仿宋_GB2312" w:eastAsia="仿宋_GB2312" w:cs="仿宋_GB2312"/>
              <w:szCs w:val="32"/>
            </w:rPr>
            <w:fldChar w:fldCharType="separate"/>
          </w:r>
          <w:r>
            <w:rPr>
              <w:rFonts w:hint="eastAsia" w:ascii="黑体" w:hAnsi="黑体" w:eastAsia="黑体" w:cs="黑体"/>
              <w:szCs w:val="32"/>
              <w:lang w:eastAsia="zh-CN"/>
            </w:rPr>
            <w:t>九、</w:t>
          </w:r>
          <w:r>
            <w:rPr>
              <w:rFonts w:hint="eastAsia" w:ascii="黑体" w:hAnsi="黑体" w:eastAsia="黑体" w:cs="黑体"/>
              <w:szCs w:val="32"/>
            </w:rPr>
            <w:t>国有资本经营预算支出决算情况说明</w:t>
          </w:r>
          <w:r>
            <w:tab/>
          </w:r>
          <w:r>
            <w:fldChar w:fldCharType="begin"/>
          </w:r>
          <w:r>
            <w:instrText xml:space="preserve"> PAGEREF _Toc15776 \h </w:instrText>
          </w:r>
          <w:r>
            <w:fldChar w:fldCharType="separate"/>
          </w:r>
          <w:r>
            <w:t>11</w:t>
          </w:r>
          <w:r>
            <w:fldChar w:fldCharType="end"/>
          </w:r>
          <w:r>
            <w:rPr>
              <w:rFonts w:hint="eastAsia" w:ascii="仿宋_GB2312" w:hAnsi="仿宋_GB2312" w:eastAsia="仿宋_GB2312" w:cs="仿宋_GB2312"/>
              <w:szCs w:val="32"/>
            </w:rPr>
            <w:fldChar w:fldCharType="end"/>
          </w:r>
        </w:p>
        <w:p>
          <w:pPr>
            <w:pStyle w:val="11"/>
            <w:tabs>
              <w:tab w:val="right" w:leader="dot" w:pos="8306"/>
              <w:tab w:val="clear" w:pos="829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_Toc30396 </w:instrText>
          </w:r>
          <w:r>
            <w:rPr>
              <w:rFonts w:hint="eastAsia" w:ascii="仿宋_GB2312" w:hAnsi="仿宋_GB2312" w:eastAsia="仿宋_GB2312" w:cs="仿宋_GB2312"/>
              <w:szCs w:val="32"/>
            </w:rPr>
            <w:fldChar w:fldCharType="separate"/>
          </w:r>
          <w:r>
            <w:rPr>
              <w:rFonts w:hint="eastAsia" w:ascii="黑体" w:hAnsi="黑体" w:eastAsia="黑体" w:cs="黑体"/>
              <w:szCs w:val="32"/>
              <w:lang w:eastAsia="zh-CN"/>
            </w:rPr>
            <w:t>十、</w:t>
          </w:r>
          <w:r>
            <w:rPr>
              <w:rFonts w:hint="eastAsia" w:ascii="黑体" w:hAnsi="黑体" w:eastAsia="黑体" w:cs="黑体"/>
              <w:szCs w:val="32"/>
            </w:rPr>
            <w:t>其他重要事项的情况说明</w:t>
          </w:r>
          <w:r>
            <w:tab/>
          </w:r>
          <w:r>
            <w:fldChar w:fldCharType="begin"/>
          </w:r>
          <w:r>
            <w:instrText xml:space="preserve"> PAGEREF _Toc30396 \h </w:instrText>
          </w:r>
          <w:r>
            <w:fldChar w:fldCharType="separate"/>
          </w:r>
          <w:r>
            <w:t>11</w:t>
          </w:r>
          <w:r>
            <w:fldChar w:fldCharType="end"/>
          </w:r>
          <w:r>
            <w:rPr>
              <w:rFonts w:hint="eastAsia" w:ascii="仿宋_GB2312" w:hAnsi="仿宋_GB2312" w:eastAsia="仿宋_GB2312" w:cs="仿宋_GB2312"/>
              <w:szCs w:val="32"/>
            </w:rPr>
            <w:fldChar w:fldCharType="end"/>
          </w:r>
        </w:p>
        <w:p>
          <w:pPr>
            <w:pStyle w:val="10"/>
            <w:tabs>
              <w:tab w:val="right" w:leader="dot" w:pos="8306"/>
              <w:tab w:val="clear" w:pos="829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_Toc21790 </w:instrText>
          </w:r>
          <w:r>
            <w:rPr>
              <w:rFonts w:hint="eastAsia" w:ascii="仿宋_GB2312" w:hAnsi="仿宋_GB2312" w:eastAsia="仿宋_GB2312" w:cs="仿宋_GB2312"/>
              <w:szCs w:val="32"/>
            </w:rPr>
            <w:fldChar w:fldCharType="separate"/>
          </w:r>
          <w:r>
            <w:rPr>
              <w:rFonts w:hint="eastAsia" w:ascii="方正小标宋简体" w:hAnsi="方正小标宋简体" w:eastAsia="方正小标宋简体" w:cs="方正小标宋简体"/>
              <w:szCs w:val="44"/>
              <w:lang w:eastAsia="zh-CN"/>
            </w:rPr>
            <w:t>第三部分</w:t>
          </w:r>
          <w:r>
            <w:rPr>
              <w:rFonts w:hint="eastAsia" w:ascii="方正小标宋简体" w:hAnsi="方正小标宋简体" w:eastAsia="方正小标宋简体" w:cs="方正小标宋简体"/>
              <w:szCs w:val="44"/>
              <w:lang w:val="en-US" w:eastAsia="zh-CN"/>
            </w:rPr>
            <w:t xml:space="preserve"> </w:t>
          </w:r>
          <w:r>
            <w:rPr>
              <w:rFonts w:hint="eastAsia" w:ascii="方正小标宋简体" w:hAnsi="方正小标宋简体" w:eastAsia="方正小标宋简体" w:cs="方正小标宋简体"/>
              <w:szCs w:val="44"/>
            </w:rPr>
            <w:t>名词解释</w:t>
          </w:r>
          <w:r>
            <w:tab/>
          </w:r>
          <w:r>
            <w:fldChar w:fldCharType="begin"/>
          </w:r>
          <w:r>
            <w:instrText xml:space="preserve"> PAGEREF _Toc21790 \h </w:instrText>
          </w:r>
          <w:r>
            <w:fldChar w:fldCharType="separate"/>
          </w:r>
          <w:r>
            <w:t>12</w:t>
          </w:r>
          <w:r>
            <w:fldChar w:fldCharType="end"/>
          </w:r>
          <w:r>
            <w:rPr>
              <w:rFonts w:hint="eastAsia" w:ascii="仿宋_GB2312" w:hAnsi="仿宋_GB2312" w:eastAsia="仿宋_GB2312" w:cs="仿宋_GB2312"/>
              <w:szCs w:val="32"/>
            </w:rPr>
            <w:fldChar w:fldCharType="end"/>
          </w:r>
        </w:p>
        <w:p>
          <w:pPr>
            <w:pStyle w:val="10"/>
            <w:tabs>
              <w:tab w:val="right" w:leader="dot" w:pos="8306"/>
              <w:tab w:val="clear" w:pos="829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_Toc25222 </w:instrText>
          </w:r>
          <w:r>
            <w:rPr>
              <w:rFonts w:hint="eastAsia" w:ascii="仿宋_GB2312" w:hAnsi="仿宋_GB2312" w:eastAsia="仿宋_GB2312" w:cs="仿宋_GB2312"/>
              <w:szCs w:val="32"/>
            </w:rPr>
            <w:fldChar w:fldCharType="separate"/>
          </w:r>
          <w:r>
            <w:rPr>
              <w:rFonts w:hint="eastAsia" w:ascii="方正小标宋简体" w:hAnsi="方正小标宋简体" w:eastAsia="方正小标宋简体" w:cs="方正小标宋简体"/>
              <w:szCs w:val="44"/>
              <w:highlight w:val="none"/>
              <w:lang w:eastAsia="zh-CN"/>
            </w:rPr>
            <w:t>第四部分</w:t>
          </w:r>
          <w:r>
            <w:rPr>
              <w:rFonts w:hint="eastAsia" w:ascii="方正小标宋简体" w:hAnsi="方正小标宋简体" w:eastAsia="方正小标宋简体" w:cs="方正小标宋简体"/>
              <w:szCs w:val="44"/>
              <w:highlight w:val="none"/>
            </w:rPr>
            <w:t xml:space="preserve"> 附件</w:t>
          </w:r>
          <w:r>
            <w:tab/>
          </w:r>
          <w:r>
            <w:fldChar w:fldCharType="begin"/>
          </w:r>
          <w:r>
            <w:instrText xml:space="preserve"> PAGEREF _Toc25222 \h </w:instrText>
          </w:r>
          <w:r>
            <w:fldChar w:fldCharType="separate"/>
          </w:r>
          <w:r>
            <w:t>14</w:t>
          </w:r>
          <w:r>
            <w:fldChar w:fldCharType="end"/>
          </w:r>
          <w:r>
            <w:rPr>
              <w:rFonts w:hint="eastAsia" w:ascii="仿宋_GB2312" w:hAnsi="仿宋_GB2312" w:eastAsia="仿宋_GB2312" w:cs="仿宋_GB2312"/>
              <w:szCs w:val="32"/>
            </w:rPr>
            <w:fldChar w:fldCharType="end"/>
          </w:r>
        </w:p>
        <w:p>
          <w:pPr>
            <w:pStyle w:val="11"/>
            <w:tabs>
              <w:tab w:val="right" w:leader="dot" w:pos="8306"/>
              <w:tab w:val="clear" w:pos="829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_Toc12178 </w:instrText>
          </w:r>
          <w:r>
            <w:rPr>
              <w:rFonts w:hint="eastAsia" w:ascii="仿宋_GB2312" w:hAnsi="仿宋_GB2312" w:eastAsia="仿宋_GB2312" w:cs="仿宋_GB2312"/>
              <w:szCs w:val="32"/>
            </w:rPr>
            <w:fldChar w:fldCharType="separate"/>
          </w:r>
          <w:r>
            <w:rPr>
              <w:rFonts w:hint="eastAsia" w:ascii="方正小标宋简体" w:hAnsi="方正小标宋简体" w:eastAsia="方正小标宋简体" w:cs="方正小标宋简体"/>
              <w:szCs w:val="44"/>
              <w:highlight w:val="none"/>
              <w:shd w:val="clear" w:color="auto" w:fill="FFFFFF"/>
            </w:rPr>
            <w:t>20</w:t>
          </w:r>
          <w:r>
            <w:rPr>
              <w:rFonts w:hint="eastAsia" w:ascii="方正小标宋简体" w:hAnsi="方正小标宋简体" w:eastAsia="方正小标宋简体" w:cs="方正小标宋简体"/>
              <w:szCs w:val="44"/>
              <w:highlight w:val="none"/>
              <w:shd w:val="clear" w:color="auto" w:fill="FFFFFF"/>
              <w:lang w:val="en-US" w:eastAsia="zh-CN"/>
            </w:rPr>
            <w:t>22</w:t>
          </w:r>
          <w:r>
            <w:rPr>
              <w:rFonts w:hint="eastAsia" w:ascii="方正小标宋简体" w:hAnsi="方正小标宋简体" w:eastAsia="方正小标宋简体" w:cs="方正小标宋简体"/>
              <w:szCs w:val="44"/>
              <w:highlight w:val="none"/>
              <w:shd w:val="clear" w:color="auto" w:fill="FFFFFF"/>
            </w:rPr>
            <w:t>年</w:t>
          </w:r>
          <w:r>
            <w:rPr>
              <w:rFonts w:hint="eastAsia" w:ascii="方正小标宋简体" w:hAnsi="方正小标宋简体" w:eastAsia="方正小标宋简体" w:cs="方正小标宋简体"/>
              <w:szCs w:val="44"/>
              <w:highlight w:val="none"/>
              <w:shd w:val="clear" w:color="auto" w:fill="FFFFFF"/>
              <w:lang w:val="en-US" w:eastAsia="zh-CN"/>
            </w:rPr>
            <w:t>部门预算项目支出绩效自评表</w:t>
          </w:r>
          <w:r>
            <w:tab/>
          </w:r>
          <w:r>
            <w:fldChar w:fldCharType="begin"/>
          </w:r>
          <w:r>
            <w:instrText xml:space="preserve"> PAGEREF _Toc12178 \h </w:instrText>
          </w:r>
          <w:r>
            <w:fldChar w:fldCharType="separate"/>
          </w:r>
          <w:r>
            <w:t>14</w:t>
          </w:r>
          <w:r>
            <w:fldChar w:fldCharType="end"/>
          </w:r>
          <w:r>
            <w:rPr>
              <w:rFonts w:hint="eastAsia" w:ascii="仿宋_GB2312" w:hAnsi="仿宋_GB2312" w:eastAsia="仿宋_GB2312" w:cs="仿宋_GB2312"/>
              <w:szCs w:val="32"/>
            </w:rPr>
            <w:fldChar w:fldCharType="end"/>
          </w:r>
        </w:p>
        <w:p>
          <w:pPr>
            <w:pStyle w:val="10"/>
            <w:tabs>
              <w:tab w:val="right" w:leader="dot" w:pos="8306"/>
              <w:tab w:val="clear" w:pos="829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_Toc23508 </w:instrText>
          </w:r>
          <w:r>
            <w:rPr>
              <w:rFonts w:hint="eastAsia" w:ascii="仿宋_GB2312" w:hAnsi="仿宋_GB2312" w:eastAsia="仿宋_GB2312" w:cs="仿宋_GB2312"/>
              <w:szCs w:val="32"/>
            </w:rPr>
            <w:fldChar w:fldCharType="separate"/>
          </w:r>
          <w:r>
            <w:rPr>
              <w:rFonts w:hint="eastAsia" w:ascii="方正小标宋简体" w:hAnsi="方正小标宋简体" w:eastAsia="方正小标宋简体" w:cs="方正小标宋简体"/>
              <w:szCs w:val="44"/>
            </w:rPr>
            <w:t>第五部分 附表</w:t>
          </w:r>
          <w:r>
            <w:tab/>
          </w:r>
          <w:r>
            <w:fldChar w:fldCharType="begin"/>
          </w:r>
          <w:r>
            <w:instrText xml:space="preserve"> PAGEREF _Toc23508 \h </w:instrText>
          </w:r>
          <w:r>
            <w:fldChar w:fldCharType="separate"/>
          </w:r>
          <w:r>
            <w:t>32</w:t>
          </w:r>
          <w:r>
            <w:fldChar w:fldCharType="end"/>
          </w:r>
          <w:r>
            <w:rPr>
              <w:rFonts w:hint="eastAsia" w:ascii="仿宋_GB2312" w:hAnsi="仿宋_GB2312" w:eastAsia="仿宋_GB2312" w:cs="仿宋_GB2312"/>
              <w:szCs w:val="32"/>
            </w:rPr>
            <w:fldChar w:fldCharType="end"/>
          </w:r>
        </w:p>
        <w:p>
          <w:pPr>
            <w:pStyle w:val="11"/>
            <w:tabs>
              <w:tab w:val="right" w:leader="dot" w:pos="8306"/>
              <w:tab w:val="clear" w:pos="829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_Toc844 </w:instrText>
          </w:r>
          <w:r>
            <w:rPr>
              <w:rFonts w:hint="eastAsia" w:ascii="仿宋_GB2312" w:hAnsi="仿宋_GB2312" w:eastAsia="仿宋_GB2312" w:cs="仿宋_GB2312"/>
              <w:szCs w:val="32"/>
            </w:rPr>
            <w:fldChar w:fldCharType="separate"/>
          </w:r>
          <w:r>
            <w:rPr>
              <w:rFonts w:hint="eastAsia"/>
            </w:rPr>
            <w:t>一、收入支出决算总表</w:t>
          </w:r>
          <w:r>
            <w:tab/>
          </w:r>
          <w:r>
            <w:fldChar w:fldCharType="begin"/>
          </w:r>
          <w:r>
            <w:instrText xml:space="preserve"> PAGEREF _Toc844 \h </w:instrText>
          </w:r>
          <w:r>
            <w:fldChar w:fldCharType="separate"/>
          </w:r>
          <w:r>
            <w:t>32</w:t>
          </w:r>
          <w:r>
            <w:fldChar w:fldCharType="end"/>
          </w:r>
          <w:r>
            <w:rPr>
              <w:rFonts w:hint="eastAsia" w:ascii="仿宋_GB2312" w:hAnsi="仿宋_GB2312" w:eastAsia="仿宋_GB2312" w:cs="仿宋_GB2312"/>
              <w:szCs w:val="32"/>
            </w:rPr>
            <w:fldChar w:fldCharType="end"/>
          </w:r>
        </w:p>
        <w:p>
          <w:pPr>
            <w:pStyle w:val="11"/>
            <w:tabs>
              <w:tab w:val="right" w:leader="dot" w:pos="8306"/>
              <w:tab w:val="clear" w:pos="829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_Toc5345 </w:instrText>
          </w:r>
          <w:r>
            <w:rPr>
              <w:rFonts w:hint="eastAsia" w:ascii="仿宋_GB2312" w:hAnsi="仿宋_GB2312" w:eastAsia="仿宋_GB2312" w:cs="仿宋_GB2312"/>
              <w:szCs w:val="32"/>
            </w:rPr>
            <w:fldChar w:fldCharType="separate"/>
          </w:r>
          <w:r>
            <w:rPr>
              <w:rFonts w:hint="eastAsia"/>
            </w:rPr>
            <w:t>二、收入决算表</w:t>
          </w:r>
          <w:r>
            <w:tab/>
          </w:r>
          <w:r>
            <w:fldChar w:fldCharType="begin"/>
          </w:r>
          <w:r>
            <w:instrText xml:space="preserve"> PAGEREF _Toc5345 \h </w:instrText>
          </w:r>
          <w:r>
            <w:fldChar w:fldCharType="separate"/>
          </w:r>
          <w:r>
            <w:t>32</w:t>
          </w:r>
          <w:r>
            <w:fldChar w:fldCharType="end"/>
          </w:r>
          <w:r>
            <w:rPr>
              <w:rFonts w:hint="eastAsia" w:ascii="仿宋_GB2312" w:hAnsi="仿宋_GB2312" w:eastAsia="仿宋_GB2312" w:cs="仿宋_GB2312"/>
              <w:szCs w:val="32"/>
            </w:rPr>
            <w:fldChar w:fldCharType="end"/>
          </w:r>
        </w:p>
        <w:p>
          <w:pPr>
            <w:pStyle w:val="11"/>
            <w:tabs>
              <w:tab w:val="right" w:leader="dot" w:pos="8306"/>
              <w:tab w:val="clear" w:pos="829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_Toc25111 </w:instrText>
          </w:r>
          <w:r>
            <w:rPr>
              <w:rFonts w:hint="eastAsia" w:ascii="仿宋_GB2312" w:hAnsi="仿宋_GB2312" w:eastAsia="仿宋_GB2312" w:cs="仿宋_GB2312"/>
              <w:szCs w:val="32"/>
            </w:rPr>
            <w:fldChar w:fldCharType="separate"/>
          </w:r>
          <w:r>
            <w:rPr>
              <w:rFonts w:hint="eastAsia"/>
            </w:rPr>
            <w:t>三、支出决算表</w:t>
          </w:r>
          <w:r>
            <w:tab/>
          </w:r>
          <w:r>
            <w:fldChar w:fldCharType="begin"/>
          </w:r>
          <w:r>
            <w:instrText xml:space="preserve"> PAGEREF _Toc25111 \h </w:instrText>
          </w:r>
          <w:r>
            <w:fldChar w:fldCharType="separate"/>
          </w:r>
          <w:r>
            <w:t>32</w:t>
          </w:r>
          <w:r>
            <w:fldChar w:fldCharType="end"/>
          </w:r>
          <w:r>
            <w:rPr>
              <w:rFonts w:hint="eastAsia" w:ascii="仿宋_GB2312" w:hAnsi="仿宋_GB2312" w:eastAsia="仿宋_GB2312" w:cs="仿宋_GB2312"/>
              <w:szCs w:val="32"/>
            </w:rPr>
            <w:fldChar w:fldCharType="end"/>
          </w:r>
        </w:p>
        <w:p>
          <w:pPr>
            <w:pStyle w:val="11"/>
            <w:tabs>
              <w:tab w:val="right" w:leader="dot" w:pos="8306"/>
              <w:tab w:val="clear" w:pos="829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_Toc26305 </w:instrText>
          </w:r>
          <w:r>
            <w:rPr>
              <w:rFonts w:hint="eastAsia" w:ascii="仿宋_GB2312" w:hAnsi="仿宋_GB2312" w:eastAsia="仿宋_GB2312" w:cs="仿宋_GB2312"/>
              <w:szCs w:val="32"/>
            </w:rPr>
            <w:fldChar w:fldCharType="separate"/>
          </w:r>
          <w:r>
            <w:rPr>
              <w:rFonts w:hint="eastAsia"/>
            </w:rPr>
            <w:t>四、财政拨款收入支出决算总表</w:t>
          </w:r>
          <w:r>
            <w:tab/>
          </w:r>
          <w:r>
            <w:fldChar w:fldCharType="begin"/>
          </w:r>
          <w:r>
            <w:instrText xml:space="preserve"> PAGEREF _Toc26305 \h </w:instrText>
          </w:r>
          <w:r>
            <w:fldChar w:fldCharType="separate"/>
          </w:r>
          <w:r>
            <w:t>32</w:t>
          </w:r>
          <w:r>
            <w:fldChar w:fldCharType="end"/>
          </w:r>
          <w:r>
            <w:rPr>
              <w:rFonts w:hint="eastAsia" w:ascii="仿宋_GB2312" w:hAnsi="仿宋_GB2312" w:eastAsia="仿宋_GB2312" w:cs="仿宋_GB2312"/>
              <w:szCs w:val="32"/>
            </w:rPr>
            <w:fldChar w:fldCharType="end"/>
          </w:r>
        </w:p>
        <w:p>
          <w:pPr>
            <w:pStyle w:val="11"/>
            <w:tabs>
              <w:tab w:val="right" w:leader="dot" w:pos="8306"/>
              <w:tab w:val="clear" w:pos="829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_Toc32081 </w:instrText>
          </w:r>
          <w:r>
            <w:rPr>
              <w:rFonts w:hint="eastAsia" w:ascii="仿宋_GB2312" w:hAnsi="仿宋_GB2312" w:eastAsia="仿宋_GB2312" w:cs="仿宋_GB2312"/>
              <w:szCs w:val="32"/>
            </w:rPr>
            <w:fldChar w:fldCharType="separate"/>
          </w:r>
          <w:r>
            <w:rPr>
              <w:rFonts w:hint="eastAsia"/>
            </w:rPr>
            <w:t>五、财政拨款支出决算明细表</w:t>
          </w:r>
          <w:r>
            <w:tab/>
          </w:r>
          <w:r>
            <w:fldChar w:fldCharType="begin"/>
          </w:r>
          <w:r>
            <w:instrText xml:space="preserve"> PAGEREF _Toc32081 \h </w:instrText>
          </w:r>
          <w:r>
            <w:fldChar w:fldCharType="separate"/>
          </w:r>
          <w:r>
            <w:t>32</w:t>
          </w:r>
          <w:r>
            <w:fldChar w:fldCharType="end"/>
          </w:r>
          <w:r>
            <w:rPr>
              <w:rFonts w:hint="eastAsia" w:ascii="仿宋_GB2312" w:hAnsi="仿宋_GB2312" w:eastAsia="仿宋_GB2312" w:cs="仿宋_GB2312"/>
              <w:szCs w:val="32"/>
            </w:rPr>
            <w:fldChar w:fldCharType="end"/>
          </w:r>
        </w:p>
        <w:p>
          <w:pPr>
            <w:pStyle w:val="11"/>
            <w:tabs>
              <w:tab w:val="right" w:leader="dot" w:pos="8306"/>
              <w:tab w:val="clear" w:pos="829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_Toc20392 </w:instrText>
          </w:r>
          <w:r>
            <w:rPr>
              <w:rFonts w:hint="eastAsia" w:ascii="仿宋_GB2312" w:hAnsi="仿宋_GB2312" w:eastAsia="仿宋_GB2312" w:cs="仿宋_GB2312"/>
              <w:szCs w:val="32"/>
            </w:rPr>
            <w:fldChar w:fldCharType="separate"/>
          </w:r>
          <w:r>
            <w:rPr>
              <w:rFonts w:hint="eastAsia"/>
            </w:rPr>
            <w:t>六、一般公共预算财政拨款支出决算表</w:t>
          </w:r>
          <w:r>
            <w:tab/>
          </w:r>
          <w:r>
            <w:fldChar w:fldCharType="begin"/>
          </w:r>
          <w:r>
            <w:instrText xml:space="preserve"> PAGEREF _Toc20392 \h </w:instrText>
          </w:r>
          <w:r>
            <w:fldChar w:fldCharType="separate"/>
          </w:r>
          <w:r>
            <w:t>32</w:t>
          </w:r>
          <w:r>
            <w:fldChar w:fldCharType="end"/>
          </w:r>
          <w:r>
            <w:rPr>
              <w:rFonts w:hint="eastAsia" w:ascii="仿宋_GB2312" w:hAnsi="仿宋_GB2312" w:eastAsia="仿宋_GB2312" w:cs="仿宋_GB2312"/>
              <w:szCs w:val="32"/>
            </w:rPr>
            <w:fldChar w:fldCharType="end"/>
          </w:r>
        </w:p>
        <w:p>
          <w:pPr>
            <w:pStyle w:val="11"/>
            <w:tabs>
              <w:tab w:val="right" w:leader="dot" w:pos="8306"/>
              <w:tab w:val="clear" w:pos="829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_Toc19322 </w:instrText>
          </w:r>
          <w:r>
            <w:rPr>
              <w:rFonts w:hint="eastAsia" w:ascii="仿宋_GB2312" w:hAnsi="仿宋_GB2312" w:eastAsia="仿宋_GB2312" w:cs="仿宋_GB2312"/>
              <w:szCs w:val="32"/>
            </w:rPr>
            <w:fldChar w:fldCharType="separate"/>
          </w:r>
          <w:r>
            <w:rPr>
              <w:rFonts w:hint="eastAsia"/>
            </w:rPr>
            <w:t>七、一般公共预算财政拨款支出决算明细表</w:t>
          </w:r>
          <w:r>
            <w:tab/>
          </w:r>
          <w:r>
            <w:fldChar w:fldCharType="begin"/>
          </w:r>
          <w:r>
            <w:instrText xml:space="preserve"> PAGEREF _Toc19322 \h </w:instrText>
          </w:r>
          <w:r>
            <w:fldChar w:fldCharType="separate"/>
          </w:r>
          <w:r>
            <w:t>32</w:t>
          </w:r>
          <w:r>
            <w:fldChar w:fldCharType="end"/>
          </w:r>
          <w:r>
            <w:rPr>
              <w:rFonts w:hint="eastAsia" w:ascii="仿宋_GB2312" w:hAnsi="仿宋_GB2312" w:eastAsia="仿宋_GB2312" w:cs="仿宋_GB2312"/>
              <w:szCs w:val="32"/>
            </w:rPr>
            <w:fldChar w:fldCharType="end"/>
          </w:r>
        </w:p>
        <w:p>
          <w:pPr>
            <w:pStyle w:val="11"/>
            <w:tabs>
              <w:tab w:val="right" w:leader="dot" w:pos="8306"/>
              <w:tab w:val="clear" w:pos="829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_Toc8368 </w:instrText>
          </w:r>
          <w:r>
            <w:rPr>
              <w:rFonts w:hint="eastAsia" w:ascii="仿宋_GB2312" w:hAnsi="仿宋_GB2312" w:eastAsia="仿宋_GB2312" w:cs="仿宋_GB2312"/>
              <w:szCs w:val="32"/>
            </w:rPr>
            <w:fldChar w:fldCharType="separate"/>
          </w:r>
          <w:r>
            <w:rPr>
              <w:rFonts w:hint="eastAsia"/>
            </w:rPr>
            <w:t>八、一般公共预算财政拨款基本支出决算表</w:t>
          </w:r>
          <w:r>
            <w:tab/>
          </w:r>
          <w:r>
            <w:fldChar w:fldCharType="begin"/>
          </w:r>
          <w:r>
            <w:instrText xml:space="preserve"> PAGEREF _Toc8368 \h </w:instrText>
          </w:r>
          <w:r>
            <w:fldChar w:fldCharType="separate"/>
          </w:r>
          <w:r>
            <w:t>32</w:t>
          </w:r>
          <w:r>
            <w:fldChar w:fldCharType="end"/>
          </w:r>
          <w:r>
            <w:rPr>
              <w:rFonts w:hint="eastAsia" w:ascii="仿宋_GB2312" w:hAnsi="仿宋_GB2312" w:eastAsia="仿宋_GB2312" w:cs="仿宋_GB2312"/>
              <w:szCs w:val="32"/>
            </w:rPr>
            <w:fldChar w:fldCharType="end"/>
          </w:r>
        </w:p>
        <w:p>
          <w:pPr>
            <w:pStyle w:val="11"/>
            <w:tabs>
              <w:tab w:val="right" w:leader="dot" w:pos="8306"/>
              <w:tab w:val="clear" w:pos="829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_Toc9081 </w:instrText>
          </w:r>
          <w:r>
            <w:rPr>
              <w:rFonts w:hint="eastAsia" w:ascii="仿宋_GB2312" w:hAnsi="仿宋_GB2312" w:eastAsia="仿宋_GB2312" w:cs="仿宋_GB2312"/>
              <w:szCs w:val="32"/>
            </w:rPr>
            <w:fldChar w:fldCharType="separate"/>
          </w:r>
          <w:r>
            <w:rPr>
              <w:rFonts w:hint="eastAsia"/>
            </w:rPr>
            <w:t>九、一般公共预算财政拨款项目支出决算表</w:t>
          </w:r>
          <w:r>
            <w:tab/>
          </w:r>
          <w:r>
            <w:fldChar w:fldCharType="begin"/>
          </w:r>
          <w:r>
            <w:instrText xml:space="preserve"> PAGEREF _Toc9081 \h </w:instrText>
          </w:r>
          <w:r>
            <w:fldChar w:fldCharType="separate"/>
          </w:r>
          <w:r>
            <w:t>32</w:t>
          </w:r>
          <w:r>
            <w:fldChar w:fldCharType="end"/>
          </w:r>
          <w:r>
            <w:rPr>
              <w:rFonts w:hint="eastAsia" w:ascii="仿宋_GB2312" w:hAnsi="仿宋_GB2312" w:eastAsia="仿宋_GB2312" w:cs="仿宋_GB2312"/>
              <w:szCs w:val="32"/>
            </w:rPr>
            <w:fldChar w:fldCharType="end"/>
          </w:r>
        </w:p>
        <w:p>
          <w:pPr>
            <w:pStyle w:val="11"/>
            <w:tabs>
              <w:tab w:val="right" w:leader="dot" w:pos="8306"/>
              <w:tab w:val="clear" w:pos="829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_Toc16013 </w:instrText>
          </w:r>
          <w:r>
            <w:rPr>
              <w:rFonts w:hint="eastAsia" w:ascii="仿宋_GB2312" w:hAnsi="仿宋_GB2312" w:eastAsia="仿宋_GB2312" w:cs="仿宋_GB2312"/>
              <w:szCs w:val="32"/>
            </w:rPr>
            <w:fldChar w:fldCharType="separate"/>
          </w:r>
          <w:r>
            <w:rPr>
              <w:rFonts w:hint="eastAsia"/>
            </w:rPr>
            <w:t>十、政府性基金预算财政拨款收入支出决算表</w:t>
          </w:r>
          <w:r>
            <w:tab/>
          </w:r>
          <w:r>
            <w:fldChar w:fldCharType="begin"/>
          </w:r>
          <w:r>
            <w:instrText xml:space="preserve"> PAGEREF _Toc16013 \h </w:instrText>
          </w:r>
          <w:r>
            <w:fldChar w:fldCharType="separate"/>
          </w:r>
          <w:r>
            <w:t>32</w:t>
          </w:r>
          <w:r>
            <w:fldChar w:fldCharType="end"/>
          </w:r>
          <w:r>
            <w:rPr>
              <w:rFonts w:hint="eastAsia" w:ascii="仿宋_GB2312" w:hAnsi="仿宋_GB2312" w:eastAsia="仿宋_GB2312" w:cs="仿宋_GB2312"/>
              <w:szCs w:val="32"/>
            </w:rPr>
            <w:fldChar w:fldCharType="end"/>
          </w:r>
        </w:p>
        <w:p>
          <w:pPr>
            <w:pStyle w:val="11"/>
            <w:tabs>
              <w:tab w:val="right" w:leader="dot" w:pos="8306"/>
              <w:tab w:val="clear" w:pos="829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_Toc17141 </w:instrText>
          </w:r>
          <w:r>
            <w:rPr>
              <w:rFonts w:hint="eastAsia" w:ascii="仿宋_GB2312" w:hAnsi="仿宋_GB2312" w:eastAsia="仿宋_GB2312" w:cs="仿宋_GB2312"/>
              <w:szCs w:val="32"/>
            </w:rPr>
            <w:fldChar w:fldCharType="separate"/>
          </w:r>
          <w:r>
            <w:rPr>
              <w:rFonts w:hint="eastAsia"/>
            </w:rPr>
            <w:t>十一、国有资本经营预算</w:t>
          </w:r>
          <w:r>
            <w:rPr>
              <w:rFonts w:hint="eastAsia"/>
              <w:lang w:eastAsia="zh-CN"/>
            </w:rPr>
            <w:t>财政拨款收入</w:t>
          </w:r>
          <w:r>
            <w:rPr>
              <w:rFonts w:hint="eastAsia"/>
            </w:rPr>
            <w:t>支出决算表</w:t>
          </w:r>
          <w:r>
            <w:tab/>
          </w:r>
          <w:r>
            <w:fldChar w:fldCharType="begin"/>
          </w:r>
          <w:r>
            <w:instrText xml:space="preserve"> PAGEREF _Toc17141 \h </w:instrText>
          </w:r>
          <w:r>
            <w:fldChar w:fldCharType="separate"/>
          </w:r>
          <w:r>
            <w:t>32</w:t>
          </w:r>
          <w:r>
            <w:fldChar w:fldCharType="end"/>
          </w:r>
          <w:r>
            <w:rPr>
              <w:rFonts w:hint="eastAsia" w:ascii="仿宋_GB2312" w:hAnsi="仿宋_GB2312" w:eastAsia="仿宋_GB2312" w:cs="仿宋_GB2312"/>
              <w:szCs w:val="32"/>
            </w:rPr>
            <w:fldChar w:fldCharType="end"/>
          </w:r>
        </w:p>
        <w:p>
          <w:pPr>
            <w:pStyle w:val="11"/>
            <w:tabs>
              <w:tab w:val="right" w:leader="dot" w:pos="8306"/>
              <w:tab w:val="clear" w:pos="829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_Toc13575 </w:instrText>
          </w:r>
          <w:r>
            <w:rPr>
              <w:rFonts w:hint="eastAsia" w:ascii="仿宋_GB2312" w:hAnsi="仿宋_GB2312" w:eastAsia="仿宋_GB2312" w:cs="仿宋_GB2312"/>
              <w:szCs w:val="32"/>
            </w:rPr>
            <w:fldChar w:fldCharType="separate"/>
          </w:r>
          <w:r>
            <w:rPr>
              <w:rFonts w:hint="eastAsia"/>
            </w:rPr>
            <w:t>十二、</w:t>
          </w:r>
          <w:r>
            <w:rPr>
              <w:rFonts w:hint="eastAsia"/>
              <w:lang w:eastAsia="zh-CN"/>
            </w:rPr>
            <w:t>国有资本经营预算财政拨款支出决算表</w:t>
          </w:r>
          <w:r>
            <w:tab/>
          </w:r>
          <w:r>
            <w:fldChar w:fldCharType="begin"/>
          </w:r>
          <w:r>
            <w:instrText xml:space="preserve"> PAGEREF _Toc13575 \h </w:instrText>
          </w:r>
          <w:r>
            <w:fldChar w:fldCharType="separate"/>
          </w:r>
          <w:r>
            <w:t>32</w:t>
          </w:r>
          <w:r>
            <w:fldChar w:fldCharType="end"/>
          </w:r>
          <w:r>
            <w:rPr>
              <w:rFonts w:hint="eastAsia" w:ascii="仿宋_GB2312" w:hAnsi="仿宋_GB2312" w:eastAsia="仿宋_GB2312" w:cs="仿宋_GB2312"/>
              <w:szCs w:val="32"/>
            </w:rPr>
            <w:fldChar w:fldCharType="end"/>
          </w:r>
        </w:p>
        <w:p>
          <w:pPr>
            <w:pStyle w:val="11"/>
            <w:tabs>
              <w:tab w:val="right" w:leader="dot" w:pos="8306"/>
              <w:tab w:val="clear" w:pos="8296"/>
            </w:tabs>
          </w:pPr>
          <w:r>
            <w:rPr>
              <w:rFonts w:hint="eastAsia" w:ascii="仿宋_GB2312" w:hAnsi="仿宋_GB2312" w:eastAsia="仿宋_GB2312" w:cs="仿宋_GB2312"/>
              <w:szCs w:val="32"/>
            </w:rPr>
            <w:fldChar w:fldCharType="begin"/>
          </w:r>
          <w:r>
            <w:rPr>
              <w:rFonts w:hint="eastAsia" w:ascii="仿宋_GB2312" w:hAnsi="仿宋_GB2312" w:eastAsia="仿宋_GB2312" w:cs="仿宋_GB2312"/>
              <w:szCs w:val="32"/>
            </w:rPr>
            <w:instrText xml:space="preserve"> HYPERLINK \l _Toc8293 </w:instrText>
          </w:r>
          <w:r>
            <w:rPr>
              <w:rFonts w:hint="eastAsia" w:ascii="仿宋_GB2312" w:hAnsi="仿宋_GB2312" w:eastAsia="仿宋_GB2312" w:cs="仿宋_GB2312"/>
              <w:szCs w:val="32"/>
            </w:rPr>
            <w:fldChar w:fldCharType="separate"/>
          </w:r>
          <w:r>
            <w:rPr>
              <w:rFonts w:hint="eastAsia"/>
            </w:rPr>
            <w:t>十三、</w:t>
          </w:r>
          <w:r>
            <w:rPr>
              <w:rFonts w:hint="eastAsia"/>
              <w:lang w:eastAsia="zh-CN"/>
            </w:rPr>
            <w:t>财政拨款“三公”经费支出决算表</w:t>
          </w:r>
          <w:r>
            <w:tab/>
          </w:r>
          <w:r>
            <w:fldChar w:fldCharType="begin"/>
          </w:r>
          <w:r>
            <w:instrText xml:space="preserve"> PAGEREF _Toc8293 \h </w:instrText>
          </w:r>
          <w:r>
            <w:fldChar w:fldCharType="separate"/>
          </w:r>
          <w:r>
            <w:t>32</w:t>
          </w:r>
          <w:r>
            <w:fldChar w:fldCharType="end"/>
          </w:r>
          <w:r>
            <w:rPr>
              <w:rFonts w:hint="eastAsia" w:ascii="仿宋_GB2312" w:hAnsi="仿宋_GB2312" w:eastAsia="仿宋_GB2312" w:cs="仿宋_GB2312"/>
              <w:szCs w:val="32"/>
            </w:rPr>
            <w:fldChar w:fldCharType="end"/>
          </w:r>
        </w:p>
        <w:p>
          <w:pPr>
            <w:rPr>
              <w:rFonts w:hint="eastAsia" w:ascii="仿宋_GB2312" w:hAnsi="仿宋_GB2312" w:eastAsia="仿宋_GB2312" w:cs="仿宋_GB2312"/>
              <w:sz w:val="32"/>
              <w:szCs w:val="32"/>
            </w:rPr>
          </w:pPr>
          <w:r>
            <w:rPr>
              <w:rFonts w:hint="eastAsia" w:ascii="仿宋_GB2312" w:hAnsi="仿宋_GB2312" w:eastAsia="仿宋_GB2312" w:cs="仿宋_GB2312"/>
              <w:szCs w:val="32"/>
            </w:rPr>
            <w:fldChar w:fldCharType="end"/>
          </w:r>
        </w:p>
      </w:sdtContent>
    </w:sdt>
    <w:p>
      <w:pPr>
        <w:pStyle w:val="3"/>
        <w:jc w:val="center"/>
        <w:rPr>
          <w:rFonts w:hint="eastAsia" w:ascii="方正小标宋简体" w:hAnsi="方正小标宋简体" w:eastAsia="方正小标宋简体" w:cs="方正小标宋简体"/>
          <w:b/>
          <w:bCs/>
          <w:color w:val="auto"/>
          <w:sz w:val="44"/>
          <w:szCs w:val="44"/>
          <w:highlight w:val="none"/>
        </w:rPr>
        <w:sectPr>
          <w:headerReference r:id="rId3" w:type="default"/>
          <w:pgSz w:w="11906" w:h="16838"/>
          <w:pgMar w:top="1440" w:right="1800" w:bottom="1440" w:left="1800" w:header="851" w:footer="992" w:gutter="0"/>
          <w:pgNumType w:start="1"/>
          <w:cols w:space="425" w:num="1"/>
          <w:titlePg/>
          <w:docGrid w:type="lines" w:linePitch="312" w:charSpace="0"/>
        </w:sectPr>
      </w:pPr>
      <w:bookmarkStart w:id="14" w:name="_Toc15377196"/>
      <w:bookmarkStart w:id="15" w:name="_Toc15396599"/>
      <w:bookmarkStart w:id="16" w:name="_Toc31014"/>
    </w:p>
    <w:p>
      <w:pPr>
        <w:pStyle w:val="3"/>
        <w:jc w:val="center"/>
        <w:rPr>
          <w:rFonts w:hint="eastAsia" w:ascii="方正小标宋简体" w:hAnsi="方正小标宋简体" w:eastAsia="方正小标宋简体" w:cs="方正小标宋简体"/>
          <w:b/>
          <w:bCs/>
          <w:color w:val="auto"/>
          <w:sz w:val="44"/>
          <w:szCs w:val="44"/>
          <w:highlight w:val="none"/>
        </w:rPr>
      </w:pPr>
      <w:r>
        <w:rPr>
          <w:rFonts w:hint="eastAsia" w:ascii="方正小标宋简体" w:hAnsi="方正小标宋简体" w:eastAsia="方正小标宋简体" w:cs="方正小标宋简体"/>
          <w:b/>
          <w:bCs/>
          <w:color w:val="auto"/>
          <w:sz w:val="44"/>
          <w:szCs w:val="44"/>
          <w:highlight w:val="none"/>
        </w:rPr>
        <w:t xml:space="preserve">第一部分 </w:t>
      </w:r>
      <w:r>
        <w:rPr>
          <w:rFonts w:hint="eastAsia" w:ascii="方正小标宋简体" w:hAnsi="方正小标宋简体" w:eastAsia="方正小标宋简体" w:cs="方正小标宋简体"/>
          <w:b/>
          <w:bCs/>
          <w:color w:val="auto"/>
          <w:sz w:val="44"/>
          <w:szCs w:val="44"/>
          <w:highlight w:val="none"/>
          <w:lang w:eastAsia="zh-CN"/>
        </w:rPr>
        <w:t>单位</w:t>
      </w:r>
      <w:r>
        <w:rPr>
          <w:rFonts w:hint="eastAsia" w:ascii="方正小标宋简体" w:hAnsi="方正小标宋简体" w:eastAsia="方正小标宋简体" w:cs="方正小标宋简体"/>
          <w:b/>
          <w:bCs/>
          <w:color w:val="auto"/>
          <w:sz w:val="44"/>
          <w:szCs w:val="44"/>
          <w:highlight w:val="none"/>
        </w:rPr>
        <w:t>概况</w:t>
      </w:r>
      <w:bookmarkEnd w:id="14"/>
      <w:bookmarkEnd w:id="15"/>
      <w:bookmarkEnd w:id="16"/>
    </w:p>
    <w:p>
      <w:pPr>
        <w:numPr>
          <w:ilvl w:val="0"/>
          <w:numId w:val="0"/>
        </w:numPr>
        <w:bidi w:val="0"/>
        <w:ind w:firstLine="643" w:firstLineChars="200"/>
        <w:outlineLvl w:val="1"/>
        <w:rPr>
          <w:rFonts w:hint="eastAsia" w:ascii="黑体" w:hAnsi="黑体" w:eastAsia="黑体" w:cs="黑体"/>
          <w:b/>
          <w:bCs/>
          <w:sz w:val="32"/>
          <w:szCs w:val="32"/>
          <w:lang w:eastAsia="zh-CN"/>
        </w:rPr>
      </w:pPr>
      <w:bookmarkStart w:id="17" w:name="_Toc9780"/>
      <w:bookmarkStart w:id="18" w:name="_Toc15377197"/>
      <w:bookmarkStart w:id="19" w:name="_Toc15396600"/>
      <w:r>
        <w:rPr>
          <w:rFonts w:hint="eastAsia" w:ascii="黑体" w:hAnsi="黑体" w:eastAsia="黑体" w:cs="黑体"/>
          <w:b/>
          <w:bCs/>
          <w:sz w:val="32"/>
          <w:szCs w:val="32"/>
          <w:lang w:eastAsia="zh-CN"/>
        </w:rPr>
        <w:t>一、主要职责</w:t>
      </w:r>
      <w:bookmarkEnd w:id="17"/>
    </w:p>
    <w:p>
      <w:pPr>
        <w:pageBreakBefore w:val="0"/>
        <w:numPr>
          <w:ilvl w:val="0"/>
          <w:numId w:val="0"/>
        </w:numPr>
        <w:kinsoku/>
        <w:wordWrap/>
        <w:overflowPunct/>
        <w:topLinePunct w:val="0"/>
        <w:bidi w:val="0"/>
        <w:spacing w:line="576"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1.</w:t>
      </w:r>
      <w:r>
        <w:rPr>
          <w:rFonts w:hint="eastAsia" w:ascii="仿宋_GB2312" w:hAnsi="仿宋_GB2312" w:eastAsia="仿宋_GB2312" w:cs="仿宋_GB2312"/>
          <w:b w:val="0"/>
          <w:bCs w:val="0"/>
          <w:sz w:val="32"/>
          <w:szCs w:val="32"/>
          <w:lang w:eastAsia="zh-CN"/>
        </w:rPr>
        <w:t>负责处理市内外群众给市委、市政府的来信，接待群众来访；及时准确地向市委、市政府领导反映来信来访中提出的重要建议、意见和问题；综合分析信访信息，开展调查研究，提出制定有关政策的建议。</w:t>
      </w:r>
    </w:p>
    <w:p>
      <w:pPr>
        <w:pageBreakBefore w:val="0"/>
        <w:numPr>
          <w:ilvl w:val="0"/>
          <w:numId w:val="0"/>
        </w:numPr>
        <w:kinsoku/>
        <w:wordWrap/>
        <w:overflowPunct/>
        <w:topLinePunct w:val="0"/>
        <w:bidi w:val="0"/>
        <w:spacing w:line="576"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lang w:eastAsia="zh-CN"/>
        </w:rPr>
        <w:t>承办党中央、国务院，省委、省政府，市委、市政府及市委办公室、市政府办公室领导同志交办的群众工作和信访事项，督促检查领导同志对有关群众工作和信访批示的落实情况；向县区、广元经济开发区、市级部门交办群众工作和信访事项，督促检查重要群众工作和信访事项处理和落实；负责群众工作和信访案件的复查复核工作。</w:t>
      </w:r>
    </w:p>
    <w:p>
      <w:pPr>
        <w:pageBreakBefore w:val="0"/>
        <w:numPr>
          <w:ilvl w:val="0"/>
          <w:numId w:val="0"/>
        </w:numPr>
        <w:kinsoku/>
        <w:wordWrap/>
        <w:overflowPunct/>
        <w:topLinePunct w:val="0"/>
        <w:bidi w:val="0"/>
        <w:spacing w:line="576"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val="0"/>
          <w:bCs w:val="0"/>
          <w:sz w:val="32"/>
          <w:szCs w:val="32"/>
          <w:lang w:eastAsia="zh-CN"/>
        </w:rPr>
        <w:t>调协</w:t>
      </w:r>
      <w:r>
        <w:rPr>
          <w:rFonts w:hint="eastAsia" w:ascii="仿宋_GB2312" w:hAnsi="仿宋_GB2312" w:eastAsia="仿宋_GB2312" w:cs="仿宋_GB2312"/>
          <w:b w:val="0"/>
          <w:bCs w:val="0"/>
          <w:sz w:val="32"/>
          <w:szCs w:val="32"/>
          <w:lang w:val="en-US" w:eastAsia="zh-CN"/>
        </w:rPr>
        <w:t>处</w:t>
      </w:r>
      <w:r>
        <w:rPr>
          <w:rFonts w:hint="eastAsia" w:ascii="仿宋_GB2312" w:hAnsi="仿宋_GB2312" w:eastAsia="仿宋_GB2312" w:cs="仿宋_GB2312"/>
          <w:b w:val="0"/>
          <w:bCs w:val="0"/>
          <w:sz w:val="32"/>
          <w:szCs w:val="32"/>
          <w:lang w:eastAsia="zh-CN"/>
        </w:rPr>
        <w:t>理跨县区和部门的重要群众工作和信访问题，协调处理群众集体到市委、市政府及有关部门上访和突发性群体性事件。</w:t>
      </w:r>
    </w:p>
    <w:p>
      <w:pPr>
        <w:pageBreakBefore w:val="0"/>
        <w:numPr>
          <w:ilvl w:val="0"/>
          <w:numId w:val="0"/>
        </w:numPr>
        <w:kinsoku/>
        <w:wordWrap/>
        <w:overflowPunct/>
        <w:topLinePunct w:val="0"/>
        <w:bidi w:val="0"/>
        <w:spacing w:line="576"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4.</w:t>
      </w:r>
      <w:r>
        <w:rPr>
          <w:rFonts w:hint="eastAsia" w:ascii="仿宋_GB2312" w:hAnsi="仿宋_GB2312" w:eastAsia="仿宋_GB2312" w:cs="仿宋_GB2312"/>
          <w:b w:val="0"/>
          <w:bCs w:val="0"/>
          <w:sz w:val="32"/>
          <w:szCs w:val="32"/>
          <w:lang w:eastAsia="zh-CN"/>
        </w:rPr>
        <w:t>检查、指导、协调全市群众和信访工作，负责全市信访信息系统建设；研究、起草全市群众和信访工作规范性文件，总结推广各地、部门群众和信访工作的经验，提出加强和改进群众和信访工作的意见和建议，通报重大群众和信访问题及事件。</w:t>
      </w:r>
    </w:p>
    <w:p>
      <w:pPr>
        <w:pageBreakBefore w:val="0"/>
        <w:numPr>
          <w:ilvl w:val="0"/>
          <w:numId w:val="0"/>
        </w:numPr>
        <w:kinsoku/>
        <w:wordWrap/>
        <w:overflowPunct/>
        <w:topLinePunct w:val="0"/>
        <w:bidi w:val="0"/>
        <w:spacing w:line="576"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5.</w:t>
      </w:r>
      <w:r>
        <w:rPr>
          <w:rFonts w:hint="eastAsia" w:ascii="仿宋_GB2312" w:hAnsi="仿宋_GB2312" w:eastAsia="仿宋_GB2312" w:cs="仿宋_GB2312"/>
          <w:b w:val="0"/>
          <w:bCs w:val="0"/>
          <w:sz w:val="32"/>
          <w:szCs w:val="32"/>
          <w:lang w:eastAsia="zh-CN"/>
        </w:rPr>
        <w:t>保证信访渠道畅通，负责协调市领导接待群众来访和报案处理信访案件，负责联系市党代表、市人大代表、市政协委员定期参与接待群众来访工作。</w:t>
      </w:r>
    </w:p>
    <w:p>
      <w:pPr>
        <w:pageBreakBefore w:val="0"/>
        <w:numPr>
          <w:ilvl w:val="0"/>
          <w:numId w:val="0"/>
        </w:numPr>
        <w:kinsoku/>
        <w:wordWrap/>
        <w:overflowPunct/>
        <w:topLinePunct w:val="0"/>
        <w:bidi w:val="0"/>
        <w:spacing w:line="576"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6.</w:t>
      </w:r>
      <w:r>
        <w:rPr>
          <w:rFonts w:hint="eastAsia" w:ascii="仿宋_GB2312" w:hAnsi="仿宋_GB2312" w:eastAsia="仿宋_GB2312" w:cs="仿宋_GB2312"/>
          <w:b w:val="0"/>
          <w:bCs w:val="0"/>
          <w:sz w:val="32"/>
          <w:szCs w:val="32"/>
          <w:lang w:eastAsia="zh-CN"/>
        </w:rPr>
        <w:t>负责处理市信访工作联席会议综合协调和日常性工作。</w:t>
      </w:r>
    </w:p>
    <w:p>
      <w:pPr>
        <w:pageBreakBefore w:val="0"/>
        <w:numPr>
          <w:ilvl w:val="0"/>
          <w:numId w:val="0"/>
        </w:numPr>
        <w:kinsoku/>
        <w:wordWrap/>
        <w:overflowPunct/>
        <w:topLinePunct w:val="0"/>
        <w:bidi w:val="0"/>
        <w:spacing w:line="576"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7.</w:t>
      </w:r>
      <w:r>
        <w:rPr>
          <w:rFonts w:hint="eastAsia" w:ascii="仿宋_GB2312" w:hAnsi="仿宋_GB2312" w:eastAsia="仿宋_GB2312" w:cs="仿宋_GB2312"/>
          <w:b w:val="0"/>
          <w:bCs w:val="0"/>
          <w:sz w:val="32"/>
          <w:szCs w:val="32"/>
          <w:lang w:eastAsia="zh-CN"/>
        </w:rPr>
        <w:t>承办省信访局、市委市政府领导交办的其他事项。</w:t>
      </w:r>
    </w:p>
    <w:p>
      <w:pPr>
        <w:numPr>
          <w:ilvl w:val="0"/>
          <w:numId w:val="0"/>
        </w:numPr>
        <w:bidi w:val="0"/>
        <w:ind w:firstLine="643" w:firstLineChars="200"/>
        <w:outlineLvl w:val="1"/>
        <w:rPr>
          <w:rFonts w:hint="eastAsia" w:ascii="黑体" w:hAnsi="黑体" w:eastAsia="黑体" w:cs="黑体"/>
          <w:b/>
          <w:bCs/>
          <w:sz w:val="32"/>
          <w:szCs w:val="32"/>
          <w:lang w:val="en-US" w:eastAsia="zh-CN"/>
        </w:rPr>
      </w:pPr>
      <w:bookmarkStart w:id="20" w:name="_Toc7221"/>
      <w:r>
        <w:rPr>
          <w:rFonts w:hint="eastAsia" w:ascii="黑体" w:hAnsi="黑体" w:eastAsia="黑体" w:cs="黑体"/>
          <w:b/>
          <w:bCs/>
          <w:sz w:val="32"/>
          <w:szCs w:val="32"/>
          <w:lang w:val="en-US" w:eastAsia="zh-CN"/>
        </w:rPr>
        <w:t>二、机构设置</w:t>
      </w:r>
      <w:bookmarkEnd w:id="20"/>
    </w:p>
    <w:p>
      <w:pPr>
        <w:pageBreakBefore w:val="0"/>
        <w:numPr>
          <w:ilvl w:val="0"/>
          <w:numId w:val="0"/>
        </w:numPr>
        <w:kinsoku/>
        <w:wordWrap/>
        <w:overflowPunct/>
        <w:topLinePunct w:val="0"/>
        <w:bidi w:val="0"/>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市委群众工作局内设机构共6个，分别为：办公室、群众来信办理科、群众来访接待一科、群众来访接待二科、社情民意调查科、复查复核督办科。</w:t>
      </w:r>
    </w:p>
    <w:bookmarkEnd w:id="18"/>
    <w:bookmarkEnd w:id="19"/>
    <w:p>
      <w:pPr>
        <w:pageBreakBefore w:val="0"/>
        <w:numPr>
          <w:ilvl w:val="0"/>
          <w:numId w:val="0"/>
        </w:numPr>
        <w:kinsoku/>
        <w:wordWrap/>
        <w:overflowPunct/>
        <w:topLinePunct w:val="0"/>
        <w:bidi w:val="0"/>
        <w:spacing w:line="576"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楷体_GB2312" w:hAnsi="楷体_GB2312" w:eastAsia="楷体_GB2312" w:cs="楷体_GB2312"/>
          <w:b w:val="0"/>
          <w:bCs w:val="0"/>
          <w:sz w:val="32"/>
          <w:szCs w:val="32"/>
          <w:lang w:eastAsia="zh-CN"/>
        </w:rPr>
        <w:t>（一）办公室。</w:t>
      </w:r>
      <w:r>
        <w:rPr>
          <w:rFonts w:hint="eastAsia" w:ascii="仿宋_GB2312" w:hAnsi="仿宋_GB2312" w:eastAsia="仿宋_GB2312" w:cs="仿宋_GB2312"/>
          <w:b w:val="0"/>
          <w:bCs w:val="0"/>
          <w:sz w:val="32"/>
          <w:szCs w:val="32"/>
          <w:lang w:eastAsia="zh-CN"/>
        </w:rPr>
        <w:t>组织协调机关党务、政务工作；负责机关综合性文稿起草，机关文件审核工作；组织机关综合性会议；负责机关文秘、机要、档案、保密等行政事务；负责财务管理、后勤保障工作；负责机关目标绩效、宣传、调研、信息工作，总结推广信访工作经验，管理机关门户网站；承办人大代表建议和政协提案的答复工作；负责机关决定事项和领导交办事项督办；负责机关对外联络；协助局领导处理日常事务，完成领导交办的其他工作。</w:t>
      </w:r>
    </w:p>
    <w:p>
      <w:pPr>
        <w:pageBreakBefore w:val="0"/>
        <w:numPr>
          <w:ilvl w:val="0"/>
          <w:numId w:val="0"/>
        </w:numPr>
        <w:kinsoku/>
        <w:wordWrap/>
        <w:overflowPunct/>
        <w:topLinePunct w:val="0"/>
        <w:bidi w:val="0"/>
        <w:spacing w:line="576"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楷体_GB2312" w:hAnsi="楷体_GB2312" w:eastAsia="楷体_GB2312" w:cs="楷体_GB2312"/>
          <w:b w:val="0"/>
          <w:bCs w:val="0"/>
          <w:sz w:val="32"/>
          <w:szCs w:val="32"/>
          <w:lang w:eastAsia="zh-CN"/>
        </w:rPr>
        <w:t>（二）群众来信办理科。</w:t>
      </w:r>
      <w:r>
        <w:rPr>
          <w:rFonts w:hint="eastAsia" w:ascii="仿宋_GB2312" w:hAnsi="仿宋_GB2312" w:eastAsia="仿宋_GB2312" w:cs="仿宋_GB2312"/>
          <w:b w:val="0"/>
          <w:bCs w:val="0"/>
          <w:sz w:val="32"/>
          <w:szCs w:val="32"/>
          <w:lang w:eastAsia="zh-CN"/>
        </w:rPr>
        <w:t>负责接收、转交群众给党中央、国务院，省委、省政府，市委、市政府，国家信访局、省信访局等机构及其领导和本级信访工作机构的纸质信件；负责接收、转交群众向国省、省、市三级信访工作机构网络投诉受理平台的网上投诉；负责接收、转交群众致信省委书记省长信箱的信件；负责承办人民网网民在地方领导留言板给省委书记、省长的留言；负责梳理、汇总群众来信中的重要信息并进行综合分析，牵头负责全市信访事项"三率"工作；负责协调处理群众反映的重大、疑难、复杂问题；负责四川省信访信息系统的运行、维护及管理；负责全市信访信息系统操作培训和业务指导。</w:t>
      </w:r>
    </w:p>
    <w:p>
      <w:pPr>
        <w:pageBreakBefore w:val="0"/>
        <w:numPr>
          <w:ilvl w:val="0"/>
          <w:numId w:val="0"/>
        </w:numPr>
        <w:kinsoku/>
        <w:wordWrap/>
        <w:overflowPunct/>
        <w:topLinePunct w:val="0"/>
        <w:bidi w:val="0"/>
        <w:spacing w:line="576"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楷体_GB2312" w:hAnsi="楷体_GB2312" w:eastAsia="楷体_GB2312" w:cs="楷体_GB2312"/>
          <w:b w:val="0"/>
          <w:bCs w:val="0"/>
          <w:sz w:val="32"/>
          <w:szCs w:val="32"/>
          <w:lang w:eastAsia="zh-CN"/>
        </w:rPr>
        <w:t>（三）群众来访接待一科。</w:t>
      </w:r>
      <w:r>
        <w:rPr>
          <w:rFonts w:hint="eastAsia" w:ascii="仿宋_GB2312" w:hAnsi="仿宋_GB2312" w:eastAsia="仿宋_GB2312" w:cs="仿宋_GB2312"/>
          <w:b w:val="0"/>
          <w:bCs w:val="0"/>
          <w:sz w:val="32"/>
          <w:szCs w:val="32"/>
          <w:lang w:eastAsia="zh-CN"/>
        </w:rPr>
        <w:t>接待市内外群众到市的来访，转送、交办、督办群众来访事项，协调处理来访突出问题；协调群众到省走访联动处置工作；综合分析群众来访情况，为政府决策提供依据；承办市领导接待群众来访和市党代表、市人大代表、市政协委员定期参与接待群众来访相关工作。负责市群众来访接待大厅规范化建设、管理、运行及法律服务、临时救助等工作。</w:t>
      </w:r>
    </w:p>
    <w:p>
      <w:pPr>
        <w:pageBreakBefore w:val="0"/>
        <w:numPr>
          <w:ilvl w:val="0"/>
          <w:numId w:val="0"/>
        </w:numPr>
        <w:kinsoku/>
        <w:wordWrap/>
        <w:overflowPunct/>
        <w:topLinePunct w:val="0"/>
        <w:bidi w:val="0"/>
        <w:spacing w:line="576"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楷体_GB2312" w:hAnsi="楷体_GB2312" w:eastAsia="楷体_GB2312" w:cs="楷体_GB2312"/>
          <w:b w:val="0"/>
          <w:bCs w:val="0"/>
          <w:sz w:val="32"/>
          <w:szCs w:val="32"/>
          <w:lang w:eastAsia="zh-CN"/>
        </w:rPr>
        <w:t>（四）群众来访接待二科。</w:t>
      </w:r>
      <w:r>
        <w:rPr>
          <w:rFonts w:hint="eastAsia" w:ascii="仿宋_GB2312" w:hAnsi="仿宋_GB2312" w:eastAsia="仿宋_GB2312" w:cs="仿宋_GB2312"/>
          <w:b w:val="0"/>
          <w:bCs w:val="0"/>
          <w:sz w:val="32"/>
          <w:szCs w:val="32"/>
          <w:lang w:eastAsia="zh-CN"/>
        </w:rPr>
        <w:t>负责群众到市行政中心来访疏导工作；协调信访突发事件处置工作。</w:t>
      </w:r>
    </w:p>
    <w:p>
      <w:pPr>
        <w:pageBreakBefore w:val="0"/>
        <w:numPr>
          <w:ilvl w:val="0"/>
          <w:numId w:val="0"/>
        </w:numPr>
        <w:kinsoku/>
        <w:wordWrap/>
        <w:overflowPunct/>
        <w:topLinePunct w:val="0"/>
        <w:bidi w:val="0"/>
        <w:spacing w:line="576"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楷体_GB2312" w:hAnsi="楷体_GB2312" w:eastAsia="楷体_GB2312" w:cs="楷体_GB2312"/>
          <w:b w:val="0"/>
          <w:bCs w:val="0"/>
          <w:sz w:val="32"/>
          <w:szCs w:val="32"/>
          <w:lang w:eastAsia="zh-CN"/>
        </w:rPr>
        <w:t>（五）社情民意调查科。</w:t>
      </w:r>
      <w:r>
        <w:rPr>
          <w:rFonts w:hint="eastAsia" w:ascii="仿宋_GB2312" w:hAnsi="仿宋_GB2312" w:eastAsia="仿宋_GB2312" w:cs="仿宋_GB2312"/>
          <w:b w:val="0"/>
          <w:bCs w:val="0"/>
          <w:sz w:val="32"/>
          <w:szCs w:val="32"/>
          <w:lang w:eastAsia="zh-CN"/>
        </w:rPr>
        <w:t>负责对全市范围内各阶段、各时节的矛盾纠纷进行排查，对信息进行汇总收集；负责对全市信访数据收集汇总、统计分析；负责在京信访值班劝返和群众到京走访案件办理；负责突出信访问题、信访工作政策分析研究。</w:t>
      </w:r>
    </w:p>
    <w:p>
      <w:pPr>
        <w:pageBreakBefore w:val="0"/>
        <w:numPr>
          <w:ilvl w:val="0"/>
          <w:numId w:val="0"/>
        </w:numPr>
        <w:kinsoku/>
        <w:wordWrap/>
        <w:overflowPunct/>
        <w:topLinePunct w:val="0"/>
        <w:bidi w:val="0"/>
        <w:spacing w:line="576"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楷体_GB2312" w:hAnsi="楷体_GB2312" w:eastAsia="楷体_GB2312" w:cs="楷体_GB2312"/>
          <w:b w:val="0"/>
          <w:bCs w:val="0"/>
          <w:sz w:val="32"/>
          <w:szCs w:val="32"/>
          <w:lang w:eastAsia="zh-CN"/>
        </w:rPr>
        <w:t>（六）复查复核督办科。</w:t>
      </w:r>
      <w:r>
        <w:rPr>
          <w:rFonts w:hint="eastAsia" w:ascii="仿宋_GB2312" w:hAnsi="仿宋_GB2312" w:eastAsia="仿宋_GB2312" w:cs="仿宋_GB2312"/>
          <w:b w:val="0"/>
          <w:bCs w:val="0"/>
          <w:sz w:val="32"/>
          <w:szCs w:val="32"/>
          <w:lang w:eastAsia="zh-CN"/>
        </w:rPr>
        <w:t>负责对全市各级各部门办理重要信访事项和信访案件的复查、复核工作进行指导、检查、协调和调研督导；按"三级终结制"受理原则和程序，承办应由市委、市政府为复查、复核主体的信访事项和信访案件的复查、复核相关工作；对复查、复核工作进行综合分析，反映重要信息；协助政法部门对涉法涉诉信访问题做好相关化解工作；负责协调处理"三跨三分离"案件；承担领导包案处理信访案件相关工作；负责对群众和信访工作的决策、部署和法律、规章的贯彻实施情况进行督促检查；督查督办重要信访案件；承办信访下基层服务和信访风险评估相关工作；承办推进基层信访代理制度的相关指导和督查工作；负责对改进工作、追究责任、完善政策提出意见和建议；协调指导全市各级各部门的信访事项督查督办工作；负责督促检查中央、省信访工作联席会议及其办公室议定事项的贯彻落实情况。</w:t>
      </w:r>
    </w:p>
    <w:p>
      <w:pPr>
        <w:pageBreakBefore w:val="0"/>
        <w:numPr>
          <w:ilvl w:val="0"/>
          <w:numId w:val="0"/>
        </w:numPr>
        <w:kinsoku/>
        <w:wordWrap/>
        <w:overflowPunct/>
        <w:topLinePunct w:val="0"/>
        <w:bidi w:val="0"/>
        <w:spacing w:line="576" w:lineRule="exact"/>
        <w:ind w:firstLine="640" w:firstLineChars="200"/>
        <w:textAlignment w:val="auto"/>
        <w:rPr>
          <w:rFonts w:hint="eastAsia" w:ascii="仿宋_GB2312" w:hAnsi="仿宋_GB2312" w:eastAsia="仿宋_GB2312" w:cs="仿宋_GB2312"/>
          <w:b w:val="0"/>
          <w:bCs w:val="0"/>
          <w:sz w:val="32"/>
          <w:szCs w:val="32"/>
          <w:lang w:eastAsia="zh-CN"/>
        </w:rPr>
      </w:pPr>
    </w:p>
    <w:p>
      <w:pPr>
        <w:pStyle w:val="2"/>
        <w:rPr>
          <w:rFonts w:hint="eastAsia" w:ascii="仿宋_GB2312" w:hAnsi="仿宋_GB2312" w:eastAsia="仿宋_GB2312" w:cs="仿宋_GB2312"/>
          <w:b w:val="0"/>
          <w:bCs w:val="0"/>
          <w:sz w:val="32"/>
          <w:szCs w:val="32"/>
          <w:lang w:eastAsia="zh-CN"/>
        </w:rPr>
      </w:pPr>
    </w:p>
    <w:p>
      <w:pPr>
        <w:pStyle w:val="2"/>
        <w:rPr>
          <w:rFonts w:hint="eastAsia" w:ascii="仿宋_GB2312" w:hAnsi="仿宋_GB2312" w:eastAsia="仿宋_GB2312" w:cs="仿宋_GB2312"/>
          <w:b w:val="0"/>
          <w:bCs w:val="0"/>
          <w:sz w:val="32"/>
          <w:szCs w:val="32"/>
          <w:lang w:eastAsia="zh-CN"/>
        </w:rPr>
      </w:pPr>
    </w:p>
    <w:p>
      <w:pPr>
        <w:pStyle w:val="2"/>
        <w:rPr>
          <w:rFonts w:hint="eastAsia" w:ascii="仿宋_GB2312" w:hAnsi="仿宋_GB2312" w:eastAsia="仿宋_GB2312" w:cs="仿宋_GB2312"/>
          <w:b w:val="0"/>
          <w:bCs w:val="0"/>
          <w:sz w:val="32"/>
          <w:szCs w:val="32"/>
          <w:lang w:eastAsia="zh-CN"/>
        </w:rPr>
      </w:pPr>
    </w:p>
    <w:p>
      <w:pPr>
        <w:pStyle w:val="2"/>
        <w:rPr>
          <w:rFonts w:hint="eastAsia" w:ascii="仿宋_GB2312" w:hAnsi="仿宋_GB2312" w:eastAsia="仿宋_GB2312" w:cs="仿宋_GB2312"/>
          <w:b w:val="0"/>
          <w:bCs w:val="0"/>
          <w:sz w:val="32"/>
          <w:szCs w:val="32"/>
          <w:lang w:eastAsia="zh-CN"/>
        </w:rPr>
      </w:pPr>
    </w:p>
    <w:p>
      <w:pPr>
        <w:pStyle w:val="2"/>
        <w:rPr>
          <w:rFonts w:hint="eastAsia" w:ascii="仿宋_GB2312" w:hAnsi="仿宋_GB2312" w:eastAsia="仿宋_GB2312" w:cs="仿宋_GB2312"/>
          <w:b w:val="0"/>
          <w:bCs w:val="0"/>
          <w:sz w:val="32"/>
          <w:szCs w:val="32"/>
          <w:lang w:eastAsia="zh-CN"/>
        </w:rPr>
      </w:pPr>
    </w:p>
    <w:p>
      <w:pPr>
        <w:pStyle w:val="2"/>
        <w:rPr>
          <w:rFonts w:hint="eastAsia" w:ascii="仿宋_GB2312" w:hAnsi="仿宋_GB2312" w:eastAsia="仿宋_GB2312" w:cs="仿宋_GB2312"/>
          <w:b w:val="0"/>
          <w:bCs w:val="0"/>
          <w:sz w:val="32"/>
          <w:szCs w:val="32"/>
          <w:lang w:eastAsia="zh-CN"/>
        </w:rPr>
      </w:pPr>
    </w:p>
    <w:p>
      <w:pPr>
        <w:pStyle w:val="2"/>
        <w:rPr>
          <w:rFonts w:hint="eastAsia" w:ascii="仿宋_GB2312" w:hAnsi="仿宋_GB2312" w:eastAsia="仿宋_GB2312" w:cs="仿宋_GB2312"/>
          <w:b w:val="0"/>
          <w:bCs w:val="0"/>
          <w:sz w:val="32"/>
          <w:szCs w:val="32"/>
          <w:lang w:eastAsia="zh-CN"/>
        </w:rPr>
      </w:pPr>
    </w:p>
    <w:p>
      <w:pPr>
        <w:pStyle w:val="2"/>
        <w:rPr>
          <w:rFonts w:hint="eastAsia" w:ascii="仿宋_GB2312" w:hAnsi="仿宋_GB2312" w:eastAsia="仿宋_GB2312" w:cs="仿宋_GB2312"/>
          <w:b w:val="0"/>
          <w:bCs w:val="0"/>
          <w:sz w:val="32"/>
          <w:szCs w:val="32"/>
          <w:lang w:eastAsia="zh-CN"/>
        </w:rPr>
      </w:pPr>
    </w:p>
    <w:p>
      <w:pPr>
        <w:pStyle w:val="2"/>
        <w:rPr>
          <w:rFonts w:hint="eastAsia" w:ascii="仿宋_GB2312" w:hAnsi="仿宋_GB2312" w:eastAsia="仿宋_GB2312" w:cs="仿宋_GB2312"/>
          <w:b w:val="0"/>
          <w:bCs w:val="0"/>
          <w:sz w:val="32"/>
          <w:szCs w:val="32"/>
          <w:lang w:eastAsia="zh-CN"/>
        </w:rPr>
      </w:pPr>
    </w:p>
    <w:p>
      <w:pPr>
        <w:pStyle w:val="2"/>
        <w:rPr>
          <w:rFonts w:hint="eastAsia" w:ascii="仿宋_GB2312" w:hAnsi="仿宋_GB2312" w:eastAsia="仿宋_GB2312" w:cs="仿宋_GB2312"/>
          <w:b w:val="0"/>
          <w:bCs w:val="0"/>
          <w:sz w:val="32"/>
          <w:szCs w:val="32"/>
          <w:lang w:eastAsia="zh-CN"/>
        </w:rPr>
      </w:pPr>
    </w:p>
    <w:p>
      <w:pPr>
        <w:pStyle w:val="3"/>
        <w:numPr>
          <w:ilvl w:val="0"/>
          <w:numId w:val="0"/>
        </w:numPr>
        <w:ind w:right="440" w:rightChars="0"/>
        <w:jc w:val="center"/>
        <w:rPr>
          <w:rFonts w:hint="eastAsia" w:ascii="方正小标宋简体" w:hAnsi="方正小标宋简体" w:eastAsia="方正小标宋简体" w:cs="方正小标宋简体"/>
          <w:sz w:val="44"/>
          <w:szCs w:val="44"/>
          <w:lang w:val="en-US" w:eastAsia="zh-CN"/>
        </w:rPr>
      </w:pPr>
      <w:bookmarkStart w:id="21" w:name="_Toc15396602"/>
      <w:bookmarkStart w:id="22" w:name="_Toc6623"/>
      <w:bookmarkStart w:id="23" w:name="_Toc15377204"/>
      <w:r>
        <w:rPr>
          <w:rFonts w:hint="eastAsia" w:ascii="方正小标宋简体" w:hAnsi="方正小标宋简体" w:eastAsia="方正小标宋简体" w:cs="方正小标宋简体"/>
          <w:b w:val="0"/>
          <w:bCs/>
          <w:color w:val="auto"/>
          <w:sz w:val="44"/>
          <w:szCs w:val="44"/>
          <w:highlight w:val="none"/>
          <w:lang w:val="en-US" w:eastAsia="zh-CN"/>
        </w:rPr>
        <w:t xml:space="preserve">第二部分  </w:t>
      </w:r>
      <w:r>
        <w:rPr>
          <w:rFonts w:hint="eastAsia" w:ascii="方正小标宋简体" w:hAnsi="方正小标宋简体" w:eastAsia="方正小标宋简体" w:cs="方正小标宋简体"/>
          <w:b w:val="0"/>
          <w:bCs w:val="0"/>
          <w:kern w:val="2"/>
          <w:sz w:val="44"/>
          <w:szCs w:val="44"/>
          <w:lang w:val="en-US" w:eastAsia="zh-CN" w:bidi="ar-SA"/>
        </w:rPr>
        <w:t>2022</w:t>
      </w:r>
      <w:r>
        <w:rPr>
          <w:rFonts w:hint="eastAsia" w:ascii="方正小标宋简体" w:hAnsi="方正小标宋简体" w:eastAsia="方正小标宋简体" w:cs="方正小标宋简体"/>
          <w:b w:val="0"/>
          <w:bCs/>
          <w:color w:val="auto"/>
          <w:sz w:val="44"/>
          <w:szCs w:val="44"/>
          <w:highlight w:val="none"/>
          <w:lang w:val="en-US" w:eastAsia="zh-CN"/>
        </w:rPr>
        <w:t>年度单位决算情况说明</w:t>
      </w:r>
      <w:bookmarkEnd w:id="21"/>
      <w:bookmarkEnd w:id="22"/>
      <w:bookmarkEnd w:id="23"/>
      <w:bookmarkStart w:id="24" w:name="_Toc15396603"/>
      <w:bookmarkStart w:id="25" w:name="_Toc15377205"/>
    </w:p>
    <w:p>
      <w:pPr>
        <w:bidi w:val="0"/>
        <w:ind w:firstLine="640" w:firstLineChars="200"/>
        <w:outlineLvl w:val="1"/>
        <w:rPr>
          <w:rFonts w:hint="eastAsia" w:ascii="黑体" w:hAnsi="黑体" w:eastAsia="黑体" w:cs="黑体"/>
          <w:sz w:val="32"/>
          <w:szCs w:val="32"/>
          <w:lang w:val="en-US" w:eastAsia="zh-CN"/>
        </w:rPr>
      </w:pPr>
      <w:bookmarkStart w:id="26" w:name="_Toc15439"/>
      <w:r>
        <w:rPr>
          <w:rFonts w:hint="eastAsia" w:ascii="黑体" w:hAnsi="黑体" w:eastAsia="黑体" w:cs="黑体"/>
          <w:sz w:val="32"/>
          <w:szCs w:val="32"/>
          <w:lang w:val="en-US" w:eastAsia="zh-CN"/>
        </w:rPr>
        <w:t>一、收入支出决算总体情况说明</w:t>
      </w:r>
      <w:bookmarkEnd w:id="24"/>
      <w:bookmarkEnd w:id="25"/>
      <w:bookmarkEnd w:id="2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rPr>
        <w:t>年度收、支总计</w:t>
      </w:r>
      <w:r>
        <w:rPr>
          <w:rFonts w:hint="eastAsia" w:ascii="仿宋_GB2312" w:hAnsi="仿宋_GB2312" w:eastAsia="仿宋_GB2312" w:cs="仿宋_GB2312"/>
          <w:sz w:val="32"/>
          <w:szCs w:val="32"/>
          <w:lang w:val="en-US" w:eastAsia="zh-CN"/>
        </w:rPr>
        <w:t>447.42</w:t>
      </w:r>
      <w:r>
        <w:rPr>
          <w:rFonts w:hint="eastAsia" w:ascii="仿宋_GB2312" w:hAnsi="仿宋_GB2312" w:eastAsia="仿宋_GB2312" w:cs="仿宋_GB2312"/>
          <w:sz w:val="32"/>
          <w:szCs w:val="32"/>
        </w:rPr>
        <w:t>万元。与20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年相比，收、支总计各增加</w:t>
      </w:r>
      <w:r>
        <w:rPr>
          <w:rFonts w:hint="eastAsia" w:ascii="仿宋_GB2312" w:hAnsi="仿宋_GB2312" w:eastAsia="仿宋_GB2312" w:cs="仿宋_GB2312"/>
          <w:sz w:val="32"/>
          <w:szCs w:val="32"/>
          <w:lang w:val="en-US" w:eastAsia="zh-CN"/>
        </w:rPr>
        <w:t>114.36</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34.34</w:t>
      </w:r>
      <w:r>
        <w:rPr>
          <w:rFonts w:hint="eastAsia" w:ascii="仿宋_GB2312" w:hAnsi="仿宋_GB2312" w:eastAsia="仿宋_GB2312" w:cs="仿宋_GB2312"/>
          <w:sz w:val="32"/>
          <w:szCs w:val="32"/>
        </w:rPr>
        <w:t>%。主要变动原因是</w:t>
      </w:r>
      <w:r>
        <w:rPr>
          <w:rFonts w:hint="eastAsia" w:ascii="仿宋_GB2312" w:hAnsi="仿宋_GB2312" w:eastAsia="仿宋_GB2312" w:cs="仿宋_GB2312"/>
          <w:sz w:val="32"/>
          <w:szCs w:val="32"/>
          <w:lang w:eastAsia="zh-CN"/>
        </w:rPr>
        <w:t>人员和项目经费增加。</w:t>
      </w:r>
    </w:p>
    <w:p>
      <w:pPr>
        <w:bidi w:val="0"/>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sz w:val="32"/>
          <w:szCs w:val="32"/>
        </w:rPr>
        <w:t>（图1：收、支决算总计变动情况图）</w:t>
      </w:r>
      <w:bookmarkStart w:id="27" w:name="_Toc15377206"/>
      <w:bookmarkStart w:id="28" w:name="_Toc15396604"/>
    </w:p>
    <w:p>
      <w:pPr>
        <w:pStyle w:val="26"/>
        <w:pageBreakBefore w:val="0"/>
        <w:numPr>
          <w:ilvl w:val="0"/>
          <w:numId w:val="0"/>
        </w:numPr>
        <w:kinsoku/>
        <w:wordWrap/>
        <w:overflowPunct/>
        <w:topLinePunct w:val="0"/>
        <w:bidi w:val="0"/>
        <w:spacing w:line="240" w:lineRule="auto"/>
        <w:jc w:val="center"/>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drawing>
          <wp:inline distT="0" distB="0" distL="114300" distR="114300">
            <wp:extent cx="4383405" cy="2064385"/>
            <wp:effectExtent l="0" t="0" r="17145" b="12065"/>
            <wp:docPr id="2" name="图片 2"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2"/>
                    <pic:cNvPicPr>
                      <a:picLocks noChangeAspect="1"/>
                    </pic:cNvPicPr>
                  </pic:nvPicPr>
                  <pic:blipFill>
                    <a:blip r:embed="rId7"/>
                    <a:stretch>
                      <a:fillRect/>
                    </a:stretch>
                  </pic:blipFill>
                  <pic:spPr>
                    <a:xfrm>
                      <a:off x="0" y="0"/>
                      <a:ext cx="4383405" cy="2064385"/>
                    </a:xfrm>
                    <a:prstGeom prst="rect">
                      <a:avLst/>
                    </a:prstGeom>
                  </pic:spPr>
                </pic:pic>
              </a:graphicData>
            </a:graphic>
          </wp:inline>
        </w:drawing>
      </w:r>
    </w:p>
    <w:p>
      <w:pPr>
        <w:pStyle w:val="26"/>
        <w:pageBreakBefore w:val="0"/>
        <w:numPr>
          <w:ilvl w:val="0"/>
          <w:numId w:val="0"/>
        </w:numPr>
        <w:kinsoku/>
        <w:wordWrap/>
        <w:overflowPunct/>
        <w:topLinePunct w:val="0"/>
        <w:bidi w:val="0"/>
        <w:spacing w:line="576" w:lineRule="exact"/>
        <w:ind w:left="640" w:leftChars="0"/>
        <w:textAlignment w:val="auto"/>
        <w:outlineLvl w:val="1"/>
        <w:rPr>
          <w:rFonts w:hint="eastAsia" w:ascii="黑体" w:hAnsi="黑体" w:eastAsia="黑体" w:cs="黑体"/>
          <w:kern w:val="2"/>
          <w:sz w:val="32"/>
          <w:szCs w:val="32"/>
          <w:lang w:val="en-US" w:eastAsia="zh-CN" w:bidi="ar-SA"/>
        </w:rPr>
      </w:pPr>
      <w:bookmarkStart w:id="29" w:name="_Toc4968"/>
      <w:r>
        <w:rPr>
          <w:rFonts w:hint="eastAsia" w:ascii="黑体" w:hAnsi="黑体" w:eastAsia="黑体" w:cs="黑体"/>
          <w:kern w:val="2"/>
          <w:sz w:val="32"/>
          <w:szCs w:val="32"/>
          <w:lang w:val="en-US" w:eastAsia="zh-CN" w:bidi="ar-SA"/>
        </w:rPr>
        <w:t>二、收入决算情况说明</w:t>
      </w:r>
      <w:bookmarkEnd w:id="27"/>
      <w:bookmarkEnd w:id="28"/>
      <w:bookmarkEnd w:id="2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仿宋_GB2312" w:hAnsi="仿宋_GB2312" w:eastAsia="仿宋_GB2312" w:cs="仿宋_GB2312"/>
          <w:color w:val="auto"/>
          <w:sz w:val="32"/>
          <w:szCs w:val="32"/>
          <w:highlight w:val="none"/>
        </w:rPr>
      </w:pPr>
      <w:bookmarkStart w:id="30" w:name="_Toc24782"/>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年本年收入合计</w:t>
      </w:r>
      <w:r>
        <w:rPr>
          <w:rFonts w:hint="eastAsia" w:ascii="仿宋_GB2312" w:hAnsi="仿宋_GB2312" w:eastAsia="仿宋_GB2312" w:cs="仿宋_GB2312"/>
          <w:color w:val="auto"/>
          <w:sz w:val="32"/>
          <w:szCs w:val="32"/>
          <w:highlight w:val="none"/>
          <w:lang w:val="en-US" w:eastAsia="zh-CN"/>
        </w:rPr>
        <w:t>446.93</w:t>
      </w:r>
      <w:r>
        <w:rPr>
          <w:rFonts w:hint="eastAsia" w:ascii="仿宋_GB2312" w:hAnsi="仿宋_GB2312" w:eastAsia="仿宋_GB2312" w:cs="仿宋_GB2312"/>
          <w:color w:val="auto"/>
          <w:sz w:val="32"/>
          <w:szCs w:val="32"/>
          <w:highlight w:val="none"/>
        </w:rPr>
        <w:t>万元，其中：一般公共预算财政拨款收入</w:t>
      </w:r>
      <w:r>
        <w:rPr>
          <w:rFonts w:hint="eastAsia" w:ascii="仿宋_GB2312" w:hAnsi="仿宋_GB2312" w:eastAsia="仿宋_GB2312" w:cs="仿宋_GB2312"/>
          <w:color w:val="auto"/>
          <w:sz w:val="32"/>
          <w:szCs w:val="32"/>
          <w:highlight w:val="none"/>
          <w:lang w:val="en-US" w:eastAsia="zh-CN"/>
        </w:rPr>
        <w:t>446.93</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bookmarkEnd w:id="30"/>
    </w:p>
    <w:p>
      <w:pPr>
        <w:pageBreakBefore w:val="0"/>
        <w:kinsoku/>
        <w:wordWrap/>
        <w:overflowPunct/>
        <w:topLinePunct w:val="0"/>
        <w:bidi w:val="0"/>
        <w:spacing w:line="576" w:lineRule="exact"/>
        <w:ind w:firstLine="640" w:firstLineChars="200"/>
        <w:jc w:val="center"/>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（图2：收入决算结构图）</w:t>
      </w:r>
    </w:p>
    <w:p>
      <w:pPr>
        <w:pStyle w:val="2"/>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sz w:val="32"/>
          <w:szCs w:val="32"/>
        </w:rPr>
        <w:drawing>
          <wp:inline distT="0" distB="0" distL="114300" distR="114300">
            <wp:extent cx="3211195" cy="2075815"/>
            <wp:effectExtent l="4445" t="4445" r="22860" b="15240"/>
            <wp:docPr id="4"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pStyle w:val="26"/>
        <w:pageBreakBefore w:val="0"/>
        <w:numPr>
          <w:ilvl w:val="0"/>
          <w:numId w:val="0"/>
        </w:numPr>
        <w:kinsoku/>
        <w:wordWrap/>
        <w:overflowPunct/>
        <w:topLinePunct w:val="0"/>
        <w:bidi w:val="0"/>
        <w:spacing w:line="576" w:lineRule="exact"/>
        <w:ind w:firstLine="640" w:firstLineChars="200"/>
        <w:textAlignment w:val="auto"/>
        <w:outlineLvl w:val="1"/>
        <w:rPr>
          <w:rFonts w:hint="eastAsia" w:ascii="黑体" w:hAnsi="黑体" w:eastAsia="黑体" w:cs="黑体"/>
          <w:sz w:val="32"/>
          <w:szCs w:val="32"/>
          <w:lang w:val="en-US" w:eastAsia="zh-CN"/>
        </w:rPr>
      </w:pPr>
      <w:bookmarkStart w:id="31" w:name="_Toc5819"/>
      <w:bookmarkStart w:id="32" w:name="_Toc15396605"/>
      <w:bookmarkStart w:id="33" w:name="_Toc15377207"/>
      <w:r>
        <w:rPr>
          <w:rFonts w:hint="eastAsia" w:ascii="黑体" w:hAnsi="黑体" w:eastAsia="黑体" w:cs="黑体"/>
          <w:sz w:val="32"/>
          <w:szCs w:val="32"/>
          <w:lang w:val="en-US" w:eastAsia="zh-CN"/>
        </w:rPr>
        <w:t>三、支出决算情况说明</w:t>
      </w:r>
      <w:bookmarkEnd w:id="31"/>
      <w:bookmarkEnd w:id="32"/>
      <w:bookmarkEnd w:id="33"/>
    </w:p>
    <w:p>
      <w:pPr>
        <w:pageBreakBefore w:val="0"/>
        <w:kinsoku/>
        <w:wordWrap/>
        <w:overflowPunct/>
        <w:topLinePunct w:val="0"/>
        <w:bidi w:val="0"/>
        <w:spacing w:line="576" w:lineRule="exact"/>
        <w:ind w:firstLine="640" w:firstLineChars="200"/>
        <w:textAlignment w:val="auto"/>
        <w:outlineLvl w:val="1"/>
        <w:rPr>
          <w:rFonts w:hint="eastAsia" w:ascii="仿宋_GB2312" w:hAnsi="仿宋_GB2312" w:eastAsia="仿宋_GB2312" w:cs="仿宋_GB2312"/>
          <w:color w:val="auto"/>
          <w:sz w:val="32"/>
          <w:szCs w:val="32"/>
          <w:highlight w:val="none"/>
          <w:shd w:val="pct10" w:color="auto" w:fill="FFFFFF"/>
        </w:rPr>
      </w:pPr>
      <w:bookmarkStart w:id="34" w:name="_Toc6146"/>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年本年支出合计</w:t>
      </w:r>
      <w:r>
        <w:rPr>
          <w:rFonts w:hint="eastAsia" w:ascii="仿宋_GB2312" w:hAnsi="仿宋_GB2312" w:eastAsia="仿宋_GB2312" w:cs="仿宋_GB2312"/>
          <w:color w:val="auto"/>
          <w:sz w:val="32"/>
          <w:szCs w:val="32"/>
          <w:highlight w:val="none"/>
          <w:lang w:val="en-US" w:eastAsia="zh-CN"/>
        </w:rPr>
        <w:t>447.42</w:t>
      </w:r>
      <w:r>
        <w:rPr>
          <w:rFonts w:hint="eastAsia" w:ascii="仿宋_GB2312" w:hAnsi="仿宋_GB2312" w:eastAsia="仿宋_GB2312" w:cs="仿宋_GB2312"/>
          <w:color w:val="auto"/>
          <w:sz w:val="32"/>
          <w:szCs w:val="32"/>
          <w:highlight w:val="none"/>
        </w:rPr>
        <w:t>万元，其中：基本支出</w:t>
      </w:r>
      <w:r>
        <w:rPr>
          <w:rFonts w:hint="eastAsia" w:ascii="仿宋_GB2312" w:hAnsi="仿宋_GB2312" w:eastAsia="仿宋_GB2312" w:cs="仿宋_GB2312"/>
          <w:color w:val="auto"/>
          <w:sz w:val="32"/>
          <w:szCs w:val="32"/>
          <w:highlight w:val="none"/>
          <w:lang w:val="en-US" w:eastAsia="zh-CN"/>
        </w:rPr>
        <w:t>311.50</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69.62</w:t>
      </w:r>
      <w:r>
        <w:rPr>
          <w:rFonts w:hint="eastAsia" w:ascii="仿宋_GB2312" w:hAnsi="仿宋_GB2312" w:eastAsia="仿宋_GB2312" w:cs="仿宋_GB2312"/>
          <w:color w:val="auto"/>
          <w:sz w:val="32"/>
          <w:szCs w:val="32"/>
          <w:highlight w:val="none"/>
        </w:rPr>
        <w:t>%；项目支出</w:t>
      </w:r>
      <w:r>
        <w:rPr>
          <w:rFonts w:hint="eastAsia" w:ascii="仿宋_GB2312" w:hAnsi="仿宋_GB2312" w:eastAsia="仿宋_GB2312" w:cs="仿宋_GB2312"/>
          <w:color w:val="auto"/>
          <w:sz w:val="32"/>
          <w:szCs w:val="32"/>
          <w:highlight w:val="none"/>
          <w:lang w:val="en-US" w:eastAsia="zh-CN"/>
        </w:rPr>
        <w:t>135.92</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30.38</w:t>
      </w:r>
      <w:r>
        <w:rPr>
          <w:rFonts w:hint="eastAsia" w:ascii="仿宋_GB2312" w:hAnsi="仿宋_GB2312" w:eastAsia="仿宋_GB2312" w:cs="仿宋_GB2312"/>
          <w:color w:val="auto"/>
          <w:sz w:val="32"/>
          <w:szCs w:val="32"/>
          <w:highlight w:val="none"/>
        </w:rPr>
        <w:t>%。</w:t>
      </w:r>
      <w:bookmarkEnd w:id="34"/>
    </w:p>
    <w:p>
      <w:pPr>
        <w:pageBreakBefore w:val="0"/>
        <w:kinsoku/>
        <w:wordWrap/>
        <w:overflowPunct/>
        <w:topLinePunct w:val="0"/>
        <w:bidi w:val="0"/>
        <w:spacing w:line="576" w:lineRule="exact"/>
        <w:ind w:firstLine="640" w:firstLineChars="200"/>
        <w:jc w:val="center"/>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（图3：支出决算结构图）</w:t>
      </w:r>
    </w:p>
    <w:p>
      <w:pPr>
        <w:pStyle w:val="2"/>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sz w:val="32"/>
          <w:szCs w:val="32"/>
        </w:rPr>
        <w:drawing>
          <wp:inline distT="0" distB="0" distL="114300" distR="114300">
            <wp:extent cx="4257675" cy="2162175"/>
            <wp:effectExtent l="5080" t="4445" r="4445" b="5080"/>
            <wp:docPr id="5"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pStyle w:val="26"/>
        <w:pageBreakBefore w:val="0"/>
        <w:numPr>
          <w:ilvl w:val="0"/>
          <w:numId w:val="0"/>
        </w:numPr>
        <w:kinsoku/>
        <w:wordWrap/>
        <w:overflowPunct/>
        <w:topLinePunct w:val="0"/>
        <w:bidi w:val="0"/>
        <w:spacing w:line="576" w:lineRule="exact"/>
        <w:ind w:firstLine="640" w:firstLineChars="200"/>
        <w:textAlignment w:val="auto"/>
        <w:outlineLvl w:val="1"/>
        <w:rPr>
          <w:rFonts w:hint="eastAsia" w:ascii="黑体" w:hAnsi="黑体" w:eastAsia="黑体" w:cs="黑体"/>
          <w:sz w:val="32"/>
          <w:szCs w:val="32"/>
          <w:lang w:val="en-US" w:eastAsia="zh-CN"/>
        </w:rPr>
      </w:pPr>
      <w:bookmarkStart w:id="35" w:name="_Toc15396606"/>
      <w:bookmarkStart w:id="36" w:name="_Toc29364"/>
      <w:bookmarkStart w:id="37" w:name="_Toc15377208"/>
      <w:r>
        <w:rPr>
          <w:rFonts w:hint="eastAsia" w:ascii="黑体" w:hAnsi="黑体" w:eastAsia="黑体" w:cs="黑体"/>
          <w:sz w:val="32"/>
          <w:szCs w:val="32"/>
          <w:lang w:val="en-US" w:eastAsia="zh-CN"/>
        </w:rPr>
        <w:t>四、财政拨款收入支出决算总体情况说明</w:t>
      </w:r>
      <w:bookmarkEnd w:id="35"/>
      <w:bookmarkEnd w:id="36"/>
      <w:bookmarkEnd w:id="37"/>
    </w:p>
    <w:p>
      <w:pPr>
        <w:bidi w:val="0"/>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年财政拨款收、支总计</w:t>
      </w:r>
      <w:r>
        <w:rPr>
          <w:rFonts w:hint="eastAsia" w:ascii="仿宋_GB2312" w:hAnsi="仿宋_GB2312" w:eastAsia="仿宋_GB2312" w:cs="仿宋_GB2312"/>
          <w:color w:val="auto"/>
          <w:sz w:val="32"/>
          <w:szCs w:val="32"/>
          <w:highlight w:val="none"/>
          <w:lang w:val="en-US" w:eastAsia="zh-CN"/>
        </w:rPr>
        <w:t>447.42</w:t>
      </w:r>
      <w:r>
        <w:rPr>
          <w:rFonts w:hint="eastAsia" w:ascii="仿宋_GB2312" w:hAnsi="仿宋_GB2312" w:eastAsia="仿宋_GB2312" w:cs="仿宋_GB2312"/>
          <w:color w:val="auto"/>
          <w:sz w:val="32"/>
          <w:szCs w:val="32"/>
          <w:highlight w:val="none"/>
        </w:rPr>
        <w:t>万元。与20</w:t>
      </w:r>
      <w:r>
        <w:rPr>
          <w:rFonts w:hint="eastAsia" w:ascii="仿宋_GB2312" w:hAnsi="仿宋_GB2312" w:eastAsia="仿宋_GB2312" w:cs="仿宋_GB2312"/>
          <w:color w:val="auto"/>
          <w:sz w:val="32"/>
          <w:szCs w:val="32"/>
          <w:highlight w:val="none"/>
          <w:lang w:val="en-US" w:eastAsia="zh-CN"/>
        </w:rPr>
        <w:t>21</w:t>
      </w:r>
      <w:r>
        <w:rPr>
          <w:rFonts w:hint="eastAsia" w:ascii="仿宋_GB2312" w:hAnsi="仿宋_GB2312" w:eastAsia="仿宋_GB2312" w:cs="仿宋_GB2312"/>
          <w:color w:val="auto"/>
          <w:sz w:val="32"/>
          <w:szCs w:val="32"/>
          <w:highlight w:val="none"/>
        </w:rPr>
        <w:t>年相比，财政拨款收、支总计各增加</w:t>
      </w:r>
      <w:r>
        <w:rPr>
          <w:rFonts w:hint="eastAsia" w:ascii="仿宋_GB2312" w:hAnsi="仿宋_GB2312" w:eastAsia="仿宋_GB2312" w:cs="仿宋_GB2312"/>
          <w:color w:val="auto"/>
          <w:sz w:val="32"/>
          <w:szCs w:val="32"/>
          <w:highlight w:val="none"/>
          <w:lang w:val="en-US" w:eastAsia="zh-CN"/>
        </w:rPr>
        <w:t>114.36</w:t>
      </w:r>
      <w:r>
        <w:rPr>
          <w:rFonts w:hint="eastAsia" w:ascii="仿宋_GB2312" w:hAnsi="仿宋_GB2312" w:eastAsia="仿宋_GB2312" w:cs="仿宋_GB2312"/>
          <w:color w:val="auto"/>
          <w:sz w:val="32"/>
          <w:szCs w:val="32"/>
          <w:highlight w:val="none"/>
        </w:rPr>
        <w:t>万元，增长</w:t>
      </w:r>
      <w:r>
        <w:rPr>
          <w:rFonts w:hint="eastAsia" w:ascii="仿宋_GB2312" w:hAnsi="仿宋_GB2312" w:eastAsia="仿宋_GB2312" w:cs="仿宋_GB2312"/>
          <w:color w:val="auto"/>
          <w:sz w:val="32"/>
          <w:szCs w:val="32"/>
          <w:highlight w:val="none"/>
          <w:lang w:val="en-US" w:eastAsia="zh-CN"/>
        </w:rPr>
        <w:t>34.34</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sz w:val="32"/>
          <w:szCs w:val="32"/>
        </w:rPr>
        <w:t>主要变动原因是</w:t>
      </w:r>
      <w:r>
        <w:rPr>
          <w:rFonts w:hint="eastAsia" w:ascii="仿宋_GB2312" w:hAnsi="仿宋_GB2312" w:eastAsia="仿宋_GB2312" w:cs="仿宋_GB2312"/>
          <w:sz w:val="32"/>
          <w:szCs w:val="32"/>
          <w:lang w:eastAsia="zh-CN"/>
        </w:rPr>
        <w:t>人员和项目经费增加。</w:t>
      </w:r>
    </w:p>
    <w:p>
      <w:pPr>
        <w:pageBreakBefore w:val="0"/>
        <w:kinsoku/>
        <w:wordWrap/>
        <w:overflowPunct/>
        <w:topLinePunct w:val="0"/>
        <w:bidi w:val="0"/>
        <w:spacing w:line="576" w:lineRule="exact"/>
        <w:jc w:val="center"/>
        <w:textAlignment w:val="auto"/>
        <w:rPr>
          <w:rFonts w:hint="eastAsia" w:ascii="仿宋_GB2312" w:hAnsi="仿宋_GB2312" w:eastAsia="仿宋_GB2312" w:cs="仿宋_GB2312"/>
          <w:b/>
          <w:color w:val="auto"/>
          <w:sz w:val="32"/>
          <w:szCs w:val="32"/>
          <w:highlight w:val="none"/>
          <w:lang w:eastAsia="zh-CN"/>
        </w:rPr>
      </w:pPr>
      <w:r>
        <w:rPr>
          <w:rFonts w:hint="eastAsia" w:ascii="仿宋_GB2312" w:hAnsi="仿宋_GB2312" w:eastAsia="仿宋_GB2312" w:cs="仿宋_GB2312"/>
          <w:color w:val="auto"/>
          <w:sz w:val="32"/>
          <w:szCs w:val="32"/>
          <w:highlight w:val="none"/>
        </w:rPr>
        <w:t>（图4：财政拨款收、支决算总计变动情况</w:t>
      </w:r>
      <w:r>
        <w:rPr>
          <w:rFonts w:hint="eastAsia" w:ascii="仿宋_GB2312" w:hAnsi="仿宋_GB2312" w:eastAsia="仿宋_GB2312" w:cs="仿宋_GB2312"/>
          <w:color w:val="auto"/>
          <w:sz w:val="32"/>
          <w:szCs w:val="32"/>
          <w:highlight w:val="none"/>
          <w:lang w:eastAsia="zh-CN"/>
        </w:rPr>
        <w:t>）</w:t>
      </w:r>
    </w:p>
    <w:p>
      <w:pPr>
        <w:pStyle w:val="2"/>
        <w:jc w:val="center"/>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sz w:val="32"/>
          <w:szCs w:val="32"/>
        </w:rPr>
        <w:drawing>
          <wp:inline distT="0" distB="0" distL="114300" distR="114300">
            <wp:extent cx="4107180" cy="2208530"/>
            <wp:effectExtent l="4445" t="4445" r="22225" b="15875"/>
            <wp:docPr id="6"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bidi w:val="0"/>
        <w:ind w:firstLine="640" w:firstLineChars="200"/>
        <w:outlineLvl w:val="1"/>
        <w:rPr>
          <w:rFonts w:hint="eastAsia" w:ascii="黑体" w:hAnsi="黑体" w:eastAsia="黑体" w:cs="黑体"/>
          <w:kern w:val="2"/>
          <w:sz w:val="32"/>
          <w:szCs w:val="32"/>
          <w:lang w:val="en-US" w:eastAsia="zh-CN" w:bidi="ar-SA"/>
        </w:rPr>
      </w:pPr>
      <w:bookmarkStart w:id="38" w:name="_Toc15377209"/>
      <w:bookmarkStart w:id="39" w:name="_Toc15396607"/>
      <w:bookmarkStart w:id="40" w:name="_Toc12286"/>
      <w:r>
        <w:rPr>
          <w:rFonts w:hint="eastAsia" w:ascii="黑体" w:hAnsi="黑体" w:eastAsia="黑体" w:cs="黑体"/>
          <w:kern w:val="2"/>
          <w:sz w:val="32"/>
          <w:szCs w:val="32"/>
          <w:lang w:val="en-US" w:eastAsia="zh-CN" w:bidi="ar-SA"/>
        </w:rPr>
        <w:t>五、一般公共预算财政拨款支出决算情况说明</w:t>
      </w:r>
      <w:bookmarkEnd w:id="38"/>
      <w:bookmarkEnd w:id="39"/>
      <w:bookmarkEnd w:id="40"/>
    </w:p>
    <w:p>
      <w:pPr>
        <w:pageBreakBefore w:val="0"/>
        <w:kinsoku/>
        <w:wordWrap/>
        <w:overflowPunct/>
        <w:topLinePunct w:val="0"/>
        <w:bidi w:val="0"/>
        <w:spacing w:line="576" w:lineRule="exact"/>
        <w:ind w:firstLine="640" w:firstLineChars="200"/>
        <w:textAlignment w:val="auto"/>
        <w:outlineLvl w:val="2"/>
        <w:rPr>
          <w:rFonts w:hint="eastAsia" w:ascii="楷体_GB2312" w:hAnsi="楷体_GB2312" w:eastAsia="楷体_GB2312" w:cs="楷体_GB2312"/>
          <w:b w:val="0"/>
          <w:bCs/>
          <w:color w:val="auto"/>
          <w:sz w:val="32"/>
          <w:szCs w:val="32"/>
          <w:highlight w:val="none"/>
        </w:rPr>
      </w:pPr>
      <w:bookmarkStart w:id="41" w:name="_Toc15377210"/>
      <w:r>
        <w:rPr>
          <w:rFonts w:hint="eastAsia" w:ascii="楷体_GB2312" w:hAnsi="楷体_GB2312" w:eastAsia="楷体_GB2312" w:cs="楷体_GB2312"/>
          <w:b w:val="0"/>
          <w:bCs/>
          <w:color w:val="auto"/>
          <w:sz w:val="32"/>
          <w:szCs w:val="32"/>
          <w:highlight w:val="none"/>
        </w:rPr>
        <w:t>（一）一般公共预算财政拨款支出决算总体情况</w:t>
      </w:r>
      <w:bookmarkEnd w:id="41"/>
    </w:p>
    <w:p>
      <w:pPr>
        <w:pageBreakBefore w:val="0"/>
        <w:kinsoku/>
        <w:wordWrap/>
        <w:overflowPunct/>
        <w:topLinePunct w:val="0"/>
        <w:bidi w:val="0"/>
        <w:spacing w:line="576"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年一般公共预算财政拨款支出</w:t>
      </w:r>
      <w:r>
        <w:rPr>
          <w:rFonts w:hint="eastAsia" w:ascii="仿宋_GB2312" w:hAnsi="仿宋_GB2312" w:eastAsia="仿宋_GB2312" w:cs="仿宋_GB2312"/>
          <w:color w:val="auto"/>
          <w:sz w:val="32"/>
          <w:szCs w:val="32"/>
          <w:highlight w:val="none"/>
          <w:lang w:val="en-US" w:eastAsia="zh-CN"/>
        </w:rPr>
        <w:t>447.42</w:t>
      </w:r>
      <w:r>
        <w:rPr>
          <w:rFonts w:hint="eastAsia" w:ascii="仿宋_GB2312" w:hAnsi="仿宋_GB2312" w:eastAsia="仿宋_GB2312" w:cs="仿宋_GB2312"/>
          <w:color w:val="auto"/>
          <w:sz w:val="32"/>
          <w:szCs w:val="32"/>
          <w:highlight w:val="none"/>
        </w:rPr>
        <w:t>万元，占本年支出合计的</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%。与20</w:t>
      </w:r>
      <w:r>
        <w:rPr>
          <w:rFonts w:hint="eastAsia" w:ascii="仿宋_GB2312" w:hAnsi="仿宋_GB2312" w:eastAsia="仿宋_GB2312" w:cs="仿宋_GB2312"/>
          <w:color w:val="auto"/>
          <w:sz w:val="32"/>
          <w:szCs w:val="32"/>
          <w:highlight w:val="none"/>
          <w:lang w:val="en-US" w:eastAsia="zh-CN"/>
        </w:rPr>
        <w:t>21</w:t>
      </w:r>
      <w:r>
        <w:rPr>
          <w:rFonts w:hint="eastAsia" w:ascii="仿宋_GB2312" w:hAnsi="仿宋_GB2312" w:eastAsia="仿宋_GB2312" w:cs="仿宋_GB2312"/>
          <w:color w:val="auto"/>
          <w:sz w:val="32"/>
          <w:szCs w:val="32"/>
          <w:highlight w:val="none"/>
        </w:rPr>
        <w:t>年相比，一般公共预算财政拨款</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rPr>
        <w:t>增加</w:t>
      </w:r>
      <w:r>
        <w:rPr>
          <w:rFonts w:hint="eastAsia" w:ascii="仿宋_GB2312" w:hAnsi="仿宋_GB2312" w:eastAsia="仿宋_GB2312" w:cs="仿宋_GB2312"/>
          <w:color w:val="auto"/>
          <w:sz w:val="32"/>
          <w:szCs w:val="32"/>
          <w:highlight w:val="none"/>
          <w:lang w:val="en-US" w:eastAsia="zh-CN"/>
        </w:rPr>
        <w:t>114.87</w:t>
      </w:r>
      <w:r>
        <w:rPr>
          <w:rFonts w:hint="eastAsia" w:ascii="仿宋_GB2312" w:hAnsi="仿宋_GB2312" w:eastAsia="仿宋_GB2312" w:cs="仿宋_GB2312"/>
          <w:color w:val="auto"/>
          <w:sz w:val="32"/>
          <w:szCs w:val="32"/>
          <w:highlight w:val="none"/>
        </w:rPr>
        <w:t>万元，增长</w:t>
      </w:r>
      <w:r>
        <w:rPr>
          <w:rFonts w:hint="eastAsia" w:ascii="仿宋_GB2312" w:hAnsi="仿宋_GB2312" w:eastAsia="仿宋_GB2312" w:cs="仿宋_GB2312"/>
          <w:color w:val="auto"/>
          <w:sz w:val="32"/>
          <w:szCs w:val="32"/>
          <w:highlight w:val="none"/>
          <w:lang w:val="en-US" w:eastAsia="zh-CN"/>
        </w:rPr>
        <w:t>34.54</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sz w:val="32"/>
          <w:szCs w:val="32"/>
        </w:rPr>
        <w:t>主要变动原因是</w:t>
      </w:r>
      <w:r>
        <w:rPr>
          <w:rFonts w:hint="eastAsia" w:ascii="仿宋_GB2312" w:hAnsi="仿宋_GB2312" w:eastAsia="仿宋_GB2312" w:cs="仿宋_GB2312"/>
          <w:sz w:val="32"/>
          <w:szCs w:val="32"/>
          <w:lang w:eastAsia="zh-CN"/>
        </w:rPr>
        <w:t>人员和项目经费增加。</w:t>
      </w:r>
    </w:p>
    <w:p>
      <w:pPr>
        <w:pageBreakBefore w:val="0"/>
        <w:kinsoku/>
        <w:wordWrap/>
        <w:overflowPunct/>
        <w:topLinePunct w:val="0"/>
        <w:bidi w:val="0"/>
        <w:spacing w:line="576" w:lineRule="exact"/>
        <w:jc w:val="center"/>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（图5：一般公共预算财政拨款支出决算变动情况）</w:t>
      </w:r>
    </w:p>
    <w:p>
      <w:pPr>
        <w:pStyle w:val="2"/>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sz w:val="32"/>
          <w:szCs w:val="32"/>
        </w:rPr>
        <w:drawing>
          <wp:inline distT="0" distB="0" distL="114300" distR="114300">
            <wp:extent cx="5269230" cy="3173730"/>
            <wp:effectExtent l="4445" t="4445" r="22225" b="22225"/>
            <wp:docPr id="8"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pageBreakBefore w:val="0"/>
        <w:kinsoku/>
        <w:wordWrap/>
        <w:overflowPunct/>
        <w:topLinePunct w:val="0"/>
        <w:bidi w:val="0"/>
        <w:spacing w:line="576" w:lineRule="exact"/>
        <w:ind w:firstLine="640" w:firstLineChars="200"/>
        <w:textAlignment w:val="auto"/>
        <w:outlineLvl w:val="2"/>
        <w:rPr>
          <w:rFonts w:hint="eastAsia" w:ascii="楷体_GB2312" w:hAnsi="楷体_GB2312" w:eastAsia="楷体_GB2312" w:cs="楷体_GB2312"/>
          <w:b w:val="0"/>
          <w:bCs/>
          <w:color w:val="auto"/>
          <w:sz w:val="32"/>
          <w:szCs w:val="32"/>
          <w:highlight w:val="none"/>
        </w:rPr>
      </w:pPr>
      <w:bookmarkStart w:id="42" w:name="_Toc15377211"/>
      <w:r>
        <w:rPr>
          <w:rFonts w:hint="eastAsia" w:ascii="楷体_GB2312" w:hAnsi="楷体_GB2312" w:eastAsia="楷体_GB2312" w:cs="楷体_GB2312"/>
          <w:b w:val="0"/>
          <w:bCs/>
          <w:color w:val="auto"/>
          <w:sz w:val="32"/>
          <w:szCs w:val="32"/>
          <w:highlight w:val="none"/>
        </w:rPr>
        <w:t>（二）一般公共预算财政拨款支出决算结构情况</w:t>
      </w:r>
      <w:bookmarkEnd w:id="42"/>
    </w:p>
    <w:p>
      <w:pPr>
        <w:pageBreakBefore w:val="0"/>
        <w:kinsoku/>
        <w:wordWrap/>
        <w:overflowPunct/>
        <w:topLinePunct w:val="0"/>
        <w:bidi w:val="0"/>
        <w:spacing w:line="576" w:lineRule="exact"/>
        <w:ind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年一般公共预算财政拨款支出</w:t>
      </w:r>
      <w:r>
        <w:rPr>
          <w:rFonts w:hint="eastAsia" w:ascii="仿宋_GB2312" w:hAnsi="仿宋_GB2312" w:eastAsia="仿宋_GB2312" w:cs="仿宋_GB2312"/>
          <w:color w:val="auto"/>
          <w:sz w:val="32"/>
          <w:szCs w:val="32"/>
          <w:highlight w:val="none"/>
          <w:lang w:val="en-US" w:eastAsia="zh-CN"/>
        </w:rPr>
        <w:t>447.42</w:t>
      </w:r>
      <w:r>
        <w:rPr>
          <w:rFonts w:hint="eastAsia" w:ascii="仿宋_GB2312" w:hAnsi="仿宋_GB2312" w:eastAsia="仿宋_GB2312" w:cs="仿宋_GB2312"/>
          <w:color w:val="auto"/>
          <w:sz w:val="32"/>
          <w:szCs w:val="32"/>
          <w:highlight w:val="none"/>
        </w:rPr>
        <w:t>万元，主要用于以下方面:一般公共服务支出</w:t>
      </w:r>
      <w:r>
        <w:rPr>
          <w:rFonts w:hint="eastAsia" w:ascii="仿宋_GB2312" w:hAnsi="仿宋_GB2312" w:eastAsia="仿宋_GB2312" w:cs="仿宋_GB2312"/>
          <w:color w:val="auto"/>
          <w:sz w:val="32"/>
          <w:szCs w:val="32"/>
          <w:highlight w:val="none"/>
          <w:lang w:val="en-US" w:eastAsia="zh-CN"/>
        </w:rPr>
        <w:t>401.86</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89.82</w:t>
      </w:r>
      <w:r>
        <w:rPr>
          <w:rFonts w:hint="eastAsia" w:ascii="仿宋_GB2312" w:hAnsi="仿宋_GB2312" w:eastAsia="仿宋_GB2312" w:cs="仿宋_GB2312"/>
          <w:color w:val="auto"/>
          <w:sz w:val="32"/>
          <w:szCs w:val="32"/>
          <w:highlight w:val="none"/>
        </w:rPr>
        <w:t>%；社会保障和就业支出</w:t>
      </w:r>
      <w:r>
        <w:rPr>
          <w:rFonts w:hint="eastAsia" w:ascii="仿宋_GB2312" w:hAnsi="仿宋_GB2312" w:eastAsia="仿宋_GB2312" w:cs="仿宋_GB2312"/>
          <w:color w:val="auto"/>
          <w:sz w:val="32"/>
          <w:szCs w:val="32"/>
          <w:highlight w:val="none"/>
          <w:lang w:val="en-US" w:eastAsia="zh-CN"/>
        </w:rPr>
        <w:t>17.36</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3.88</w:t>
      </w:r>
      <w:r>
        <w:rPr>
          <w:rFonts w:hint="eastAsia" w:ascii="仿宋_GB2312" w:hAnsi="仿宋_GB2312" w:eastAsia="仿宋_GB2312" w:cs="仿宋_GB2312"/>
          <w:color w:val="auto"/>
          <w:sz w:val="32"/>
          <w:szCs w:val="32"/>
          <w:highlight w:val="none"/>
        </w:rPr>
        <w:t>%；卫生健康支出</w:t>
      </w:r>
      <w:r>
        <w:rPr>
          <w:rFonts w:hint="eastAsia" w:ascii="仿宋_GB2312" w:hAnsi="仿宋_GB2312" w:eastAsia="仿宋_GB2312" w:cs="仿宋_GB2312"/>
          <w:color w:val="auto"/>
          <w:sz w:val="32"/>
          <w:szCs w:val="32"/>
          <w:highlight w:val="none"/>
          <w:lang w:val="en-US" w:eastAsia="zh-CN"/>
        </w:rPr>
        <w:t>8.68</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1.94</w:t>
      </w:r>
      <w:r>
        <w:rPr>
          <w:rFonts w:hint="eastAsia" w:ascii="仿宋_GB2312" w:hAnsi="仿宋_GB2312" w:eastAsia="仿宋_GB2312" w:cs="仿宋_GB2312"/>
          <w:color w:val="auto"/>
          <w:sz w:val="32"/>
          <w:szCs w:val="32"/>
          <w:highlight w:val="none"/>
        </w:rPr>
        <w:t>%；住房保障支出</w:t>
      </w:r>
      <w:r>
        <w:rPr>
          <w:rFonts w:hint="eastAsia" w:ascii="仿宋_GB2312" w:hAnsi="仿宋_GB2312" w:eastAsia="仿宋_GB2312" w:cs="仿宋_GB2312"/>
          <w:color w:val="auto"/>
          <w:sz w:val="32"/>
          <w:szCs w:val="32"/>
          <w:highlight w:val="none"/>
          <w:lang w:val="en-US" w:eastAsia="zh-CN"/>
        </w:rPr>
        <w:t>19.52</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4.36</w:t>
      </w:r>
      <w:r>
        <w:rPr>
          <w:rFonts w:hint="eastAsia" w:ascii="仿宋_GB2312" w:hAnsi="仿宋_GB2312" w:eastAsia="仿宋_GB2312" w:cs="仿宋_GB2312"/>
          <w:color w:val="auto"/>
          <w:sz w:val="32"/>
          <w:szCs w:val="32"/>
          <w:highlight w:val="none"/>
        </w:rPr>
        <w:t>%。</w:t>
      </w:r>
    </w:p>
    <w:p>
      <w:pPr>
        <w:pageBreakBefore w:val="0"/>
        <w:kinsoku/>
        <w:wordWrap/>
        <w:overflowPunct/>
        <w:topLinePunct w:val="0"/>
        <w:bidi w:val="0"/>
        <w:spacing w:line="576" w:lineRule="exact"/>
        <w:jc w:val="center"/>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（图6：一般公共预算财政拨款支出决算结构）</w:t>
      </w:r>
    </w:p>
    <w:p>
      <w:pPr>
        <w:pStyle w:val="2"/>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sz w:val="32"/>
          <w:szCs w:val="32"/>
        </w:rPr>
        <w:drawing>
          <wp:inline distT="0" distB="0" distL="114300" distR="114300">
            <wp:extent cx="4899660" cy="2632075"/>
            <wp:effectExtent l="4445" t="4445" r="10795" b="11430"/>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pageBreakBefore w:val="0"/>
        <w:kinsoku/>
        <w:wordWrap/>
        <w:overflowPunct/>
        <w:topLinePunct w:val="0"/>
        <w:bidi w:val="0"/>
        <w:spacing w:line="576" w:lineRule="exact"/>
        <w:ind w:firstLine="640" w:firstLineChars="200"/>
        <w:textAlignment w:val="auto"/>
        <w:outlineLvl w:val="2"/>
        <w:rPr>
          <w:rFonts w:hint="eastAsia" w:ascii="楷体_GB2312" w:hAnsi="楷体_GB2312" w:eastAsia="楷体_GB2312" w:cs="楷体_GB2312"/>
          <w:b w:val="0"/>
          <w:bCs/>
          <w:color w:val="auto"/>
          <w:sz w:val="32"/>
          <w:szCs w:val="32"/>
          <w:highlight w:val="none"/>
        </w:rPr>
      </w:pPr>
      <w:bookmarkStart w:id="43" w:name="_Toc15377212"/>
      <w:r>
        <w:rPr>
          <w:rFonts w:hint="eastAsia" w:ascii="楷体_GB2312" w:hAnsi="楷体_GB2312" w:eastAsia="楷体_GB2312" w:cs="楷体_GB2312"/>
          <w:b w:val="0"/>
          <w:bCs/>
          <w:color w:val="auto"/>
          <w:sz w:val="32"/>
          <w:szCs w:val="32"/>
          <w:highlight w:val="none"/>
        </w:rPr>
        <w:t>（三）一般公共预算财政拨款支出决算具体情况</w:t>
      </w:r>
      <w:bookmarkEnd w:id="43"/>
    </w:p>
    <w:p>
      <w:pPr>
        <w:pageBreakBefore w:val="0"/>
        <w:kinsoku/>
        <w:wordWrap/>
        <w:overflowPunct/>
        <w:topLinePunct w:val="0"/>
        <w:bidi w:val="0"/>
        <w:spacing w:line="576" w:lineRule="exact"/>
        <w:ind w:firstLine="645"/>
        <w:textAlignment w:val="auto"/>
        <w:rPr>
          <w:rFonts w:hint="eastAsia" w:ascii="仿宋_GB2312" w:hAnsi="仿宋_GB2312" w:eastAsia="仿宋_GB2312" w:cs="仿宋_GB2312"/>
          <w:color w:val="auto"/>
          <w:sz w:val="32"/>
          <w:szCs w:val="32"/>
          <w:highlight w:val="none"/>
          <w:lang w:val="en-US" w:eastAsia="zh-CN"/>
        </w:rPr>
      </w:pPr>
      <w:bookmarkStart w:id="44" w:name="_Toc15378460"/>
      <w:bookmarkStart w:id="45" w:name="_Toc15377444"/>
      <w:bookmarkStart w:id="46" w:name="_Toc15377213"/>
      <w:r>
        <w:rPr>
          <w:rFonts w:hint="eastAsia" w:ascii="仿宋_GB2312" w:hAnsi="仿宋_GB2312" w:eastAsia="仿宋_GB2312" w:cs="仿宋_GB2312"/>
          <w:color w:val="auto"/>
          <w:sz w:val="32"/>
          <w:szCs w:val="32"/>
          <w:highlight w:val="none"/>
          <w:lang w:val="en-US" w:eastAsia="zh-CN"/>
        </w:rPr>
        <w:t>2022年一般公共预算支出决算数为447.42万元，完成预算100%。其中：</w:t>
      </w:r>
      <w:bookmarkEnd w:id="44"/>
      <w:bookmarkEnd w:id="45"/>
      <w:bookmarkEnd w:id="46"/>
    </w:p>
    <w:p>
      <w:pPr>
        <w:pageBreakBefore w:val="0"/>
        <w:kinsoku/>
        <w:wordWrap/>
        <w:overflowPunct/>
        <w:topLinePunct w:val="0"/>
        <w:bidi w:val="0"/>
        <w:spacing w:line="576" w:lineRule="exact"/>
        <w:ind w:firstLine="645"/>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1.一般公共服务（类）政府办公厅（室）及相关机构事务（款） 行政运行（项）: 支出决算为265.93万元，完成预算100%。</w:t>
      </w:r>
    </w:p>
    <w:p>
      <w:pPr>
        <w:pageBreakBefore w:val="0"/>
        <w:kinsoku/>
        <w:wordWrap/>
        <w:overflowPunct/>
        <w:topLinePunct w:val="0"/>
        <w:bidi w:val="0"/>
        <w:spacing w:line="576" w:lineRule="exact"/>
        <w:ind w:firstLine="645"/>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2.一般公共服务（类）政府办公厅（室）及相关机构事务（款）一般行政管理事务（项）: 支出决算为135.92万元，完成预算100%。</w:t>
      </w:r>
    </w:p>
    <w:p>
      <w:pPr>
        <w:pageBreakBefore w:val="0"/>
        <w:kinsoku/>
        <w:wordWrap/>
        <w:overflowPunct/>
        <w:topLinePunct w:val="0"/>
        <w:bidi w:val="0"/>
        <w:spacing w:line="576" w:lineRule="exact"/>
        <w:ind w:firstLine="645"/>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3.社会保障和就业（类）行政事业单位养老支出（款）机关事业单位基本养老保险缴费支出（项）: 支出决算为17.36万元，完成预算100%。</w:t>
      </w:r>
    </w:p>
    <w:p>
      <w:pPr>
        <w:pageBreakBefore w:val="0"/>
        <w:kinsoku/>
        <w:wordWrap/>
        <w:overflowPunct/>
        <w:topLinePunct w:val="0"/>
        <w:bidi w:val="0"/>
        <w:spacing w:line="576" w:lineRule="exact"/>
        <w:ind w:firstLine="645"/>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4.卫生健康（类）行政事业单位医疗（款）行政单位医疗（项）:支出决算为8.68万元，完成预算100%。</w:t>
      </w:r>
    </w:p>
    <w:p>
      <w:pPr>
        <w:pageBreakBefore w:val="0"/>
        <w:kinsoku/>
        <w:wordWrap/>
        <w:overflowPunct/>
        <w:topLinePunct w:val="0"/>
        <w:bidi w:val="0"/>
        <w:spacing w:line="576" w:lineRule="exact"/>
        <w:ind w:firstLine="645"/>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5.住房保障（类）住房改革支出（款）住房公积金（项）:支出决算为19.52万元，完成预算100%。</w:t>
      </w:r>
    </w:p>
    <w:p>
      <w:pPr>
        <w:bidi w:val="0"/>
        <w:ind w:firstLine="640" w:firstLineChars="200"/>
        <w:outlineLvl w:val="1"/>
        <w:rPr>
          <w:rFonts w:hint="eastAsia" w:ascii="黑体" w:hAnsi="黑体" w:eastAsia="黑体" w:cs="黑体"/>
          <w:sz w:val="32"/>
          <w:szCs w:val="32"/>
        </w:rPr>
      </w:pPr>
      <w:bookmarkStart w:id="47" w:name="_Toc5425"/>
      <w:bookmarkStart w:id="48" w:name="_Toc15377214"/>
      <w:bookmarkStart w:id="49" w:name="_Toc15396608"/>
      <w:r>
        <w:rPr>
          <w:rFonts w:hint="eastAsia" w:ascii="黑体" w:hAnsi="黑体" w:eastAsia="黑体" w:cs="黑体"/>
          <w:sz w:val="32"/>
          <w:szCs w:val="32"/>
        </w:rPr>
        <w:t>六、一般公共预算财政拨款基本支出决算情况说明</w:t>
      </w:r>
      <w:bookmarkEnd w:id="47"/>
      <w:bookmarkEnd w:id="48"/>
      <w:bookmarkEnd w:id="49"/>
      <w:r>
        <w:rPr>
          <w:rFonts w:hint="eastAsia" w:ascii="黑体" w:hAnsi="黑体" w:eastAsia="黑体" w:cs="黑体"/>
          <w:sz w:val="32"/>
          <w:szCs w:val="32"/>
        </w:rPr>
        <w:tab/>
      </w:r>
    </w:p>
    <w:p>
      <w:pPr>
        <w:pageBreakBefore w:val="0"/>
        <w:kinsoku/>
        <w:wordWrap/>
        <w:overflowPunct/>
        <w:topLinePunct w:val="0"/>
        <w:bidi w:val="0"/>
        <w:spacing w:line="576" w:lineRule="exact"/>
        <w:ind w:firstLine="645"/>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年一般公共预算财政拨款基本支出</w:t>
      </w:r>
      <w:r>
        <w:rPr>
          <w:rFonts w:hint="eastAsia" w:ascii="仿宋_GB2312" w:hAnsi="仿宋_GB2312" w:eastAsia="仿宋_GB2312" w:cs="仿宋_GB2312"/>
          <w:color w:val="auto"/>
          <w:sz w:val="32"/>
          <w:szCs w:val="32"/>
          <w:highlight w:val="none"/>
          <w:lang w:val="en-US" w:eastAsia="zh-CN"/>
        </w:rPr>
        <w:t>311.50</w:t>
      </w:r>
      <w:r>
        <w:rPr>
          <w:rFonts w:hint="eastAsia" w:ascii="仿宋_GB2312" w:hAnsi="仿宋_GB2312" w:eastAsia="仿宋_GB2312" w:cs="仿宋_GB2312"/>
          <w:color w:val="auto"/>
          <w:sz w:val="32"/>
          <w:szCs w:val="32"/>
          <w:highlight w:val="none"/>
        </w:rPr>
        <w:t>万元，其中：</w:t>
      </w:r>
    </w:p>
    <w:p>
      <w:pPr>
        <w:pageBreakBefore w:val="0"/>
        <w:kinsoku/>
        <w:wordWrap/>
        <w:overflowPunct/>
        <w:topLinePunct w:val="0"/>
        <w:bidi w:val="0"/>
        <w:spacing w:line="576" w:lineRule="exact"/>
        <w:ind w:firstLine="645"/>
        <w:textAlignment w:val="auto"/>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color w:val="auto"/>
          <w:sz w:val="32"/>
          <w:szCs w:val="32"/>
          <w:highlight w:val="none"/>
        </w:rPr>
        <w:t>人员经费</w:t>
      </w:r>
      <w:r>
        <w:rPr>
          <w:rFonts w:hint="eastAsia" w:ascii="仿宋_GB2312" w:hAnsi="仿宋_GB2312" w:eastAsia="仿宋_GB2312" w:cs="仿宋_GB2312"/>
          <w:color w:val="auto"/>
          <w:sz w:val="32"/>
          <w:szCs w:val="32"/>
          <w:highlight w:val="none"/>
          <w:lang w:val="en-US" w:eastAsia="zh-CN"/>
        </w:rPr>
        <w:t>270.67</w:t>
      </w:r>
      <w:r>
        <w:rPr>
          <w:rFonts w:hint="eastAsia" w:ascii="仿宋_GB2312" w:hAnsi="仿宋_GB2312" w:eastAsia="仿宋_GB2312" w:cs="仿宋_GB2312"/>
          <w:color w:val="auto"/>
          <w:sz w:val="32"/>
          <w:szCs w:val="32"/>
          <w:highlight w:val="none"/>
        </w:rPr>
        <w:t>万元，主要包括：基本工资、津贴补贴、奖金、机关事业单位基本养老保险缴费、</w:t>
      </w:r>
      <w:r>
        <w:rPr>
          <w:rFonts w:hint="eastAsia" w:ascii="仿宋_GB2312" w:hAnsi="仿宋_GB2312" w:eastAsia="仿宋_GB2312" w:cs="仿宋_GB2312"/>
          <w:color w:val="auto"/>
          <w:sz w:val="32"/>
          <w:szCs w:val="32"/>
          <w:highlight w:val="none"/>
          <w:lang w:eastAsia="zh-CN"/>
        </w:rPr>
        <w:t>职业基本医疗保险缴费、</w:t>
      </w:r>
      <w:r>
        <w:rPr>
          <w:rFonts w:hint="eastAsia" w:ascii="仿宋_GB2312" w:hAnsi="仿宋_GB2312" w:eastAsia="仿宋_GB2312" w:cs="仿宋_GB2312"/>
          <w:color w:val="auto"/>
          <w:sz w:val="32"/>
          <w:szCs w:val="32"/>
          <w:highlight w:val="none"/>
        </w:rPr>
        <w:t>其他社会保障缴费、住房公积金、</w:t>
      </w:r>
      <w:r>
        <w:rPr>
          <w:rFonts w:hint="eastAsia" w:ascii="仿宋_GB2312" w:hAnsi="仿宋_GB2312" w:eastAsia="仿宋_GB2312" w:cs="仿宋_GB2312"/>
          <w:color w:val="auto"/>
          <w:sz w:val="32"/>
          <w:szCs w:val="32"/>
          <w:highlight w:val="none"/>
          <w:lang w:eastAsia="zh-CN"/>
        </w:rPr>
        <w:t>其他工资福利支出、生活补助、奖励金</w:t>
      </w:r>
      <w:r>
        <w:rPr>
          <w:rFonts w:hint="eastAsia" w:ascii="仿宋_GB2312" w:hAnsi="仿宋_GB2312" w:eastAsia="仿宋_GB2312" w:cs="仿宋_GB2312"/>
          <w:color w:val="auto"/>
          <w:sz w:val="32"/>
          <w:szCs w:val="32"/>
          <w:highlight w:val="none"/>
        </w:rPr>
        <w:t>支出。</w:t>
      </w:r>
      <w:r>
        <w:rPr>
          <w:rFonts w:hint="eastAsia" w:ascii="仿宋_GB2312" w:hAnsi="仿宋_GB2312" w:eastAsia="仿宋_GB2312" w:cs="仿宋_GB2312"/>
          <w:color w:val="auto"/>
          <w:sz w:val="32"/>
          <w:szCs w:val="32"/>
          <w:highlight w:val="none"/>
        </w:rPr>
        <w:br w:type="textWrapping"/>
      </w:r>
      <w:r>
        <w:rPr>
          <w:rFonts w:hint="eastAsia" w:ascii="仿宋_GB2312" w:hAnsi="仿宋_GB2312" w:eastAsia="仿宋_GB2312" w:cs="仿宋_GB2312"/>
          <w:color w:val="auto"/>
          <w:sz w:val="32"/>
          <w:szCs w:val="32"/>
          <w:highlight w:val="none"/>
        </w:rPr>
        <w:t>　　公用经费</w:t>
      </w:r>
      <w:r>
        <w:rPr>
          <w:rFonts w:hint="eastAsia" w:ascii="仿宋_GB2312" w:hAnsi="仿宋_GB2312" w:eastAsia="仿宋_GB2312" w:cs="仿宋_GB2312"/>
          <w:color w:val="auto"/>
          <w:sz w:val="32"/>
          <w:szCs w:val="32"/>
          <w:highlight w:val="none"/>
          <w:lang w:val="en-US" w:eastAsia="zh-CN"/>
        </w:rPr>
        <w:t>40.83</w:t>
      </w:r>
      <w:r>
        <w:rPr>
          <w:rFonts w:hint="eastAsia" w:ascii="仿宋_GB2312" w:hAnsi="仿宋_GB2312" w:eastAsia="仿宋_GB2312" w:cs="仿宋_GB2312"/>
          <w:color w:val="auto"/>
          <w:sz w:val="32"/>
          <w:szCs w:val="32"/>
          <w:highlight w:val="none"/>
        </w:rPr>
        <w:t>万元，主要包括：办公费、印刷费、水费、电费、邮电费、差旅费、维修（护）费、租赁费、会议费、培训费、公务接待费、工会经费、福利费、其他交通费</w:t>
      </w:r>
      <w:r>
        <w:rPr>
          <w:rFonts w:hint="eastAsia" w:ascii="仿宋_GB2312" w:hAnsi="仿宋_GB2312" w:eastAsia="仿宋_GB2312" w:cs="仿宋_GB2312"/>
          <w:color w:val="auto"/>
          <w:sz w:val="32"/>
          <w:szCs w:val="32"/>
          <w:highlight w:val="none"/>
          <w:lang w:val="en-US" w:eastAsia="zh-CN"/>
        </w:rPr>
        <w:t>用</w:t>
      </w:r>
      <w:r>
        <w:rPr>
          <w:rFonts w:hint="eastAsia" w:ascii="仿宋_GB2312" w:hAnsi="仿宋_GB2312" w:eastAsia="仿宋_GB2312" w:cs="仿宋_GB2312"/>
          <w:color w:val="auto"/>
          <w:sz w:val="32"/>
          <w:szCs w:val="32"/>
          <w:highlight w:val="none"/>
        </w:rPr>
        <w:t>、其他商品和服务支出。</w:t>
      </w:r>
    </w:p>
    <w:p>
      <w:pPr>
        <w:bidi w:val="0"/>
        <w:ind w:firstLine="640" w:firstLineChars="200"/>
        <w:outlineLvl w:val="1"/>
        <w:rPr>
          <w:rFonts w:hint="eastAsia" w:ascii="黑体" w:hAnsi="黑体" w:eastAsia="黑体" w:cs="黑体"/>
          <w:sz w:val="32"/>
          <w:szCs w:val="32"/>
        </w:rPr>
      </w:pPr>
      <w:bookmarkStart w:id="50" w:name="_Toc15396609"/>
      <w:bookmarkStart w:id="51" w:name="_Toc16083"/>
      <w:bookmarkStart w:id="52" w:name="_Toc15377215"/>
      <w:r>
        <w:rPr>
          <w:rFonts w:hint="eastAsia" w:ascii="黑体" w:hAnsi="黑体" w:eastAsia="黑体" w:cs="黑体"/>
          <w:sz w:val="32"/>
          <w:szCs w:val="32"/>
        </w:rPr>
        <w:t>七、财政拨款“三公”经费支出决算情况说明</w:t>
      </w:r>
      <w:bookmarkEnd w:id="50"/>
      <w:bookmarkEnd w:id="51"/>
      <w:bookmarkEnd w:id="52"/>
    </w:p>
    <w:p>
      <w:pPr>
        <w:pageBreakBefore w:val="0"/>
        <w:kinsoku/>
        <w:wordWrap/>
        <w:overflowPunct/>
        <w:topLinePunct w:val="0"/>
        <w:bidi w:val="0"/>
        <w:spacing w:line="576" w:lineRule="exact"/>
        <w:ind w:firstLine="640"/>
        <w:textAlignment w:val="auto"/>
        <w:outlineLvl w:val="2"/>
        <w:rPr>
          <w:rFonts w:hint="eastAsia" w:ascii="楷体_GB2312" w:hAnsi="楷体_GB2312" w:eastAsia="楷体_GB2312" w:cs="楷体_GB2312"/>
          <w:b w:val="0"/>
          <w:bCs/>
          <w:color w:val="auto"/>
          <w:sz w:val="32"/>
          <w:szCs w:val="32"/>
          <w:highlight w:val="none"/>
        </w:rPr>
      </w:pPr>
      <w:bookmarkStart w:id="53" w:name="_Toc15377216"/>
      <w:r>
        <w:rPr>
          <w:rFonts w:hint="eastAsia" w:ascii="楷体_GB2312" w:hAnsi="楷体_GB2312" w:eastAsia="楷体_GB2312" w:cs="楷体_GB2312"/>
          <w:b w:val="0"/>
          <w:bCs/>
          <w:color w:val="auto"/>
          <w:sz w:val="32"/>
          <w:szCs w:val="32"/>
          <w:highlight w:val="none"/>
        </w:rPr>
        <w:t>（一）“三公”经费财政拨款支出决算总体情况说明</w:t>
      </w:r>
      <w:bookmarkEnd w:id="53"/>
    </w:p>
    <w:p>
      <w:pPr>
        <w:spacing w:line="600" w:lineRule="exact"/>
        <w:ind w:firstLine="640"/>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年“三公”经费财政拨款支出决算为</w:t>
      </w:r>
      <w:r>
        <w:rPr>
          <w:rFonts w:hint="eastAsia" w:ascii="仿宋_GB2312" w:hAnsi="仿宋_GB2312" w:eastAsia="仿宋_GB2312" w:cs="仿宋_GB2312"/>
          <w:color w:val="auto"/>
          <w:sz w:val="32"/>
          <w:szCs w:val="32"/>
          <w:highlight w:val="none"/>
          <w:lang w:val="en-US" w:eastAsia="zh-CN"/>
        </w:rPr>
        <w:t>0.09</w:t>
      </w:r>
      <w:r>
        <w:rPr>
          <w:rFonts w:hint="eastAsia" w:ascii="仿宋_GB2312" w:hAnsi="仿宋_GB2312" w:eastAsia="仿宋_GB2312" w:cs="仿宋_GB2312"/>
          <w:color w:val="auto"/>
          <w:sz w:val="32"/>
          <w:szCs w:val="32"/>
          <w:highlight w:val="none"/>
        </w:rPr>
        <w:t>万元，完成预算</w:t>
      </w:r>
      <w:r>
        <w:rPr>
          <w:rFonts w:hint="default" w:ascii="仿宋_GB2312" w:hAnsi="仿宋_GB2312" w:eastAsia="仿宋_GB2312" w:cs="仿宋_GB2312"/>
          <w:color w:val="auto"/>
          <w:sz w:val="32"/>
          <w:szCs w:val="32"/>
          <w:highlight w:val="none"/>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较上年</w:t>
      </w:r>
      <w:r>
        <w:rPr>
          <w:rFonts w:hint="eastAsia" w:ascii="仿宋_GB2312" w:hAnsi="仿宋_GB2312" w:eastAsia="仿宋_GB2312" w:cs="仿宋_GB2312"/>
          <w:color w:val="auto"/>
          <w:sz w:val="32"/>
          <w:szCs w:val="32"/>
          <w:highlight w:val="none"/>
          <w:lang w:val="en-US" w:eastAsia="zh-CN"/>
        </w:rPr>
        <w:t>减少0.06万元，下降40%。</w:t>
      </w:r>
      <w:r>
        <w:rPr>
          <w:rFonts w:hint="eastAsia" w:ascii="仿宋_GB2312" w:hAnsi="仿宋_GB2312" w:eastAsia="仿宋_GB2312" w:cs="仿宋_GB2312"/>
          <w:color w:val="auto"/>
          <w:sz w:val="32"/>
          <w:szCs w:val="32"/>
          <w:highlight w:val="none"/>
        </w:rPr>
        <w:t>决算数</w:t>
      </w:r>
      <w:r>
        <w:rPr>
          <w:rFonts w:hint="default" w:ascii="仿宋_GB2312" w:hAnsi="仿宋_GB2312" w:eastAsia="仿宋_GB2312" w:cs="仿宋_GB2312"/>
          <w:color w:val="auto"/>
          <w:sz w:val="32"/>
          <w:szCs w:val="32"/>
          <w:highlight w:val="none"/>
        </w:rPr>
        <w:t>与</w:t>
      </w:r>
      <w:r>
        <w:rPr>
          <w:rFonts w:hint="eastAsia" w:ascii="仿宋_GB2312" w:hAnsi="仿宋_GB2312" w:eastAsia="仿宋_GB2312" w:cs="仿宋_GB2312"/>
          <w:color w:val="auto"/>
          <w:sz w:val="32"/>
          <w:szCs w:val="32"/>
          <w:highlight w:val="none"/>
        </w:rPr>
        <w:t>预算数</w:t>
      </w:r>
      <w:r>
        <w:rPr>
          <w:rFonts w:hint="default" w:ascii="仿宋_GB2312" w:hAnsi="仿宋_GB2312" w:eastAsia="仿宋_GB2312" w:cs="仿宋_GB2312"/>
          <w:color w:val="auto"/>
          <w:sz w:val="32"/>
          <w:szCs w:val="32"/>
          <w:highlight w:val="none"/>
        </w:rPr>
        <w:t>持平</w:t>
      </w:r>
      <w:r>
        <w:rPr>
          <w:rFonts w:hint="eastAsia" w:ascii="仿宋_GB2312" w:hAnsi="仿宋_GB2312" w:eastAsia="仿宋_GB2312" w:cs="仿宋_GB2312"/>
          <w:color w:val="auto"/>
          <w:sz w:val="32"/>
          <w:szCs w:val="32"/>
          <w:highlight w:val="none"/>
        </w:rPr>
        <w:t>。</w:t>
      </w:r>
    </w:p>
    <w:p>
      <w:pPr>
        <w:pageBreakBefore w:val="0"/>
        <w:kinsoku/>
        <w:wordWrap/>
        <w:overflowPunct/>
        <w:topLinePunct w:val="0"/>
        <w:bidi w:val="0"/>
        <w:spacing w:line="576" w:lineRule="exact"/>
        <w:ind w:firstLine="640"/>
        <w:textAlignment w:val="auto"/>
        <w:outlineLvl w:val="2"/>
        <w:rPr>
          <w:rFonts w:hint="eastAsia" w:ascii="楷体_GB2312" w:hAnsi="楷体_GB2312" w:eastAsia="楷体_GB2312" w:cs="楷体_GB2312"/>
          <w:b w:val="0"/>
          <w:bCs/>
          <w:color w:val="auto"/>
          <w:sz w:val="32"/>
          <w:szCs w:val="32"/>
          <w:highlight w:val="none"/>
        </w:rPr>
      </w:pPr>
      <w:bookmarkStart w:id="54" w:name="_Toc15377217"/>
      <w:r>
        <w:rPr>
          <w:rFonts w:hint="eastAsia" w:ascii="楷体_GB2312" w:hAnsi="楷体_GB2312" w:eastAsia="楷体_GB2312" w:cs="楷体_GB2312"/>
          <w:b w:val="0"/>
          <w:bCs/>
          <w:color w:val="auto"/>
          <w:sz w:val="32"/>
          <w:szCs w:val="32"/>
          <w:highlight w:val="none"/>
        </w:rPr>
        <w:t>（二）“三公”经费财政拨款支出决算具体情况说明</w:t>
      </w:r>
      <w:bookmarkEnd w:id="54"/>
    </w:p>
    <w:p>
      <w:pPr>
        <w:pageBreakBefore w:val="0"/>
        <w:kinsoku/>
        <w:wordWrap/>
        <w:overflowPunct/>
        <w:topLinePunct w:val="0"/>
        <w:bidi w:val="0"/>
        <w:spacing w:line="576" w:lineRule="exact"/>
        <w:ind w:firstLine="64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年“三公”经费财政拨款支出决算中，因公出国（境）费支出决算</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%；公务用车购置及运行维护费支出决算</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%；公务接待费支出决算</w:t>
      </w:r>
      <w:r>
        <w:rPr>
          <w:rFonts w:hint="eastAsia" w:ascii="仿宋_GB2312" w:hAnsi="仿宋_GB2312" w:eastAsia="仿宋_GB2312" w:cs="仿宋_GB2312"/>
          <w:color w:val="auto"/>
          <w:sz w:val="32"/>
          <w:szCs w:val="32"/>
          <w:highlight w:val="none"/>
          <w:lang w:val="en-US" w:eastAsia="zh-CN"/>
        </w:rPr>
        <w:t>0.09</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%。具体情况如下：</w:t>
      </w:r>
    </w:p>
    <w:p>
      <w:pPr>
        <w:pageBreakBefore w:val="0"/>
        <w:kinsoku/>
        <w:wordWrap/>
        <w:overflowPunct/>
        <w:topLinePunct w:val="0"/>
        <w:bidi w:val="0"/>
        <w:spacing w:line="576" w:lineRule="exact"/>
        <w:ind w:firstLine="640"/>
        <w:jc w:val="center"/>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（图7：“三公”经费财政拨款支出结构）</w:t>
      </w:r>
    </w:p>
    <w:p>
      <w:pPr>
        <w:pStyle w:val="2"/>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sz w:val="32"/>
          <w:szCs w:val="32"/>
          <w:lang w:val="en-US" w:eastAsia="zh-CN"/>
        </w:rPr>
        <w:drawing>
          <wp:inline distT="0" distB="0" distL="114300" distR="114300">
            <wp:extent cx="4833620" cy="2420620"/>
            <wp:effectExtent l="0" t="0" r="5080" b="0"/>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13"/>
                    <a:stretch>
                      <a:fillRect/>
                    </a:stretch>
                  </pic:blipFill>
                  <pic:spPr>
                    <a:xfrm>
                      <a:off x="0" y="0"/>
                      <a:ext cx="4833620" cy="2420620"/>
                    </a:xfrm>
                    <a:prstGeom prst="rect">
                      <a:avLst/>
                    </a:prstGeom>
                  </pic:spPr>
                </pic:pic>
              </a:graphicData>
            </a:graphic>
          </wp:inline>
        </w:drawing>
      </w:r>
    </w:p>
    <w:p>
      <w:pPr>
        <w:keepNext w:val="0"/>
        <w:keepLines w:val="0"/>
        <w:widowControl/>
        <w:numPr>
          <w:ilvl w:val="0"/>
          <w:numId w:val="1"/>
        </w:numPr>
        <w:suppressLineNumbers w:val="0"/>
        <w:ind w:firstLine="640" w:firstLineChars="200"/>
        <w:jc w:val="left"/>
        <w:rPr>
          <w:rFonts w:hint="eastAsia"/>
        </w:rPr>
      </w:pPr>
      <w:r>
        <w:rPr>
          <w:rFonts w:hint="eastAsia" w:ascii="仿宋_GB2312" w:hAnsi="仿宋_GB2312" w:eastAsia="仿宋_GB2312" w:cs="仿宋_GB2312"/>
          <w:b w:val="0"/>
          <w:bCs/>
          <w:sz w:val="32"/>
          <w:szCs w:val="32"/>
          <w:lang w:val="en-US" w:eastAsia="zh-CN"/>
        </w:rPr>
        <w:t>因公出国（境）经费支出0万元，年初未安排预算。因公出国（境）经费支出决算较2021年无变化。</w:t>
      </w:r>
    </w:p>
    <w:p>
      <w:pPr>
        <w:keepNext w:val="0"/>
        <w:keepLines w:val="0"/>
        <w:widowControl/>
        <w:suppressLineNumbers w:val="0"/>
        <w:ind w:firstLine="640" w:firstLineChars="200"/>
        <w:jc w:val="left"/>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2.公务用车购置及运行维护费支出0万元,年初未安排预算，公务用车购置及运行维护费支出决算数较2021年无变化。截至2022年12月31日，我单位无公务用车。</w:t>
      </w:r>
      <w:r>
        <w:rPr>
          <w:rFonts w:hint="eastAsia" w:ascii="仿宋_GB2312" w:hAnsi="仿宋_GB2312" w:eastAsia="仿宋_GB2312" w:cs="仿宋_GB2312"/>
          <w:b w:val="0"/>
          <w:bCs/>
          <w:sz w:val="32"/>
          <w:szCs w:val="32"/>
          <w:lang w:val="en-US" w:eastAsia="zh-CN"/>
        </w:rPr>
        <w:tab/>
      </w:r>
    </w:p>
    <w:p>
      <w:pPr>
        <w:keepNext w:val="0"/>
        <w:keepLines w:val="0"/>
        <w:widowControl/>
        <w:suppressLineNumbers w:val="0"/>
        <w:ind w:firstLine="640" w:firstLineChars="200"/>
        <w:jc w:val="left"/>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其中：公务用车购置支出0万元。</w:t>
      </w:r>
    </w:p>
    <w:p>
      <w:pPr>
        <w:keepNext w:val="0"/>
        <w:keepLines w:val="0"/>
        <w:widowControl/>
        <w:suppressLineNumbers w:val="0"/>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sz w:val="32"/>
          <w:szCs w:val="32"/>
          <w:lang w:val="en-US" w:eastAsia="zh-CN"/>
        </w:rPr>
        <w:t>公务用车运行维护费支出0万元。</w:t>
      </w:r>
    </w:p>
    <w:p>
      <w:pPr>
        <w:spacing w:line="600" w:lineRule="exact"/>
        <w:ind w:firstLine="64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3.公务接待费支出0.09万元，完成预算</w:t>
      </w:r>
      <w:r>
        <w:rPr>
          <w:rFonts w:hint="default" w:ascii="仿宋_GB2312" w:hAnsi="仿宋_GB2312" w:eastAsia="仿宋_GB2312" w:cs="仿宋_GB2312"/>
          <w:b w:val="0"/>
          <w:bCs/>
          <w:sz w:val="32"/>
          <w:szCs w:val="32"/>
          <w:lang w:eastAsia="zh-CN"/>
        </w:rPr>
        <w:t>100</w:t>
      </w:r>
      <w:r>
        <w:rPr>
          <w:rFonts w:hint="eastAsia" w:ascii="仿宋_GB2312" w:hAnsi="仿宋_GB2312" w:eastAsia="仿宋_GB2312" w:cs="仿宋_GB2312"/>
          <w:b w:val="0"/>
          <w:bCs/>
          <w:sz w:val="32"/>
          <w:szCs w:val="32"/>
          <w:lang w:val="en-US" w:eastAsia="zh-CN"/>
        </w:rPr>
        <w:t>%。公务接待费支出决算比2021年减少0.06万元，下降40%。主要原因是</w:t>
      </w:r>
      <w:r>
        <w:rPr>
          <w:rFonts w:hint="eastAsia" w:ascii="仿宋_GB2312" w:hAnsi="仿宋_GB2312" w:eastAsia="仿宋_GB2312" w:cs="仿宋_GB2312"/>
          <w:color w:val="auto"/>
          <w:sz w:val="32"/>
          <w:szCs w:val="32"/>
          <w:highlight w:val="none"/>
          <w:lang w:eastAsia="zh-CN"/>
        </w:rPr>
        <w:t>公务接待减少，坚持厉行节约、严格控制标准</w:t>
      </w:r>
      <w:r>
        <w:rPr>
          <w:rFonts w:hint="eastAsia" w:ascii="仿宋_GB2312" w:hAnsi="仿宋_GB2312" w:eastAsia="仿宋_GB2312" w:cs="仿宋_GB2312"/>
          <w:b w:val="0"/>
          <w:bCs/>
          <w:sz w:val="32"/>
          <w:szCs w:val="32"/>
          <w:lang w:val="en-US" w:eastAsia="zh-CN"/>
        </w:rPr>
        <w:t>。其中：</w:t>
      </w:r>
    </w:p>
    <w:p>
      <w:pPr>
        <w:keepNext w:val="0"/>
        <w:keepLines w:val="0"/>
        <w:widowControl/>
        <w:suppressLineNumbers w:val="0"/>
        <w:ind w:firstLine="640" w:firstLineChars="200"/>
        <w:jc w:val="left"/>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国内公务接待支出0.09万元，主要用于开展业务活动开支的接待餐费等。国内公务接待1批次，3人次（不包括陪同人员），共计支出0.09万元，具体内容包括：省信访局来广信访督查产生接待费0.09万元。</w:t>
      </w:r>
    </w:p>
    <w:p>
      <w:pPr>
        <w:keepNext w:val="0"/>
        <w:keepLines w:val="0"/>
        <w:widowControl/>
        <w:suppressLineNumbers w:val="0"/>
        <w:ind w:firstLine="640" w:firstLineChars="200"/>
        <w:jc w:val="left"/>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外事接待支出0万元，外事接待0批次，0人次。</w:t>
      </w:r>
    </w:p>
    <w:p>
      <w:pPr>
        <w:bidi w:val="0"/>
        <w:ind w:firstLine="640" w:firstLineChars="200"/>
        <w:outlineLvl w:val="1"/>
        <w:rPr>
          <w:rFonts w:hint="eastAsia" w:ascii="黑体" w:hAnsi="黑体" w:eastAsia="黑体" w:cs="黑体"/>
          <w:sz w:val="32"/>
          <w:szCs w:val="32"/>
        </w:rPr>
      </w:pPr>
      <w:bookmarkStart w:id="55" w:name="_Toc25834"/>
      <w:bookmarkStart w:id="56" w:name="_Toc15377218"/>
      <w:bookmarkStart w:id="57" w:name="_Toc15396610"/>
      <w:r>
        <w:rPr>
          <w:rFonts w:hint="eastAsia" w:ascii="黑体" w:hAnsi="黑体" w:eastAsia="黑体" w:cs="黑体"/>
          <w:sz w:val="32"/>
          <w:szCs w:val="32"/>
        </w:rPr>
        <w:t>八、政府性基金预算支出决算情况说明</w:t>
      </w:r>
      <w:bookmarkEnd w:id="55"/>
      <w:bookmarkEnd w:id="56"/>
      <w:bookmarkEnd w:id="57"/>
    </w:p>
    <w:p>
      <w:pPr>
        <w:keepNext w:val="0"/>
        <w:keepLines w:val="0"/>
        <w:widowControl/>
        <w:suppressLineNumbers w:val="0"/>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val="0"/>
          <w:bCs/>
          <w:sz w:val="32"/>
          <w:szCs w:val="32"/>
          <w:lang w:val="en-US" w:eastAsia="zh-CN"/>
        </w:rPr>
        <w:t>2022年政府性基金预算财政拨款支出0万元。</w:t>
      </w:r>
    </w:p>
    <w:p>
      <w:pPr>
        <w:bidi w:val="0"/>
        <w:ind w:firstLine="640" w:firstLineChars="200"/>
        <w:outlineLvl w:val="1"/>
        <w:rPr>
          <w:rFonts w:hint="eastAsia" w:ascii="黑体" w:hAnsi="黑体" w:eastAsia="黑体" w:cs="黑体"/>
          <w:sz w:val="32"/>
          <w:szCs w:val="32"/>
        </w:rPr>
      </w:pPr>
      <w:bookmarkStart w:id="58" w:name="_Toc15396611"/>
      <w:bookmarkStart w:id="59" w:name="_Toc15377219"/>
      <w:bookmarkStart w:id="60" w:name="_Toc15776"/>
      <w:r>
        <w:rPr>
          <w:rFonts w:hint="eastAsia" w:ascii="黑体" w:hAnsi="黑体" w:eastAsia="黑体" w:cs="黑体"/>
          <w:sz w:val="32"/>
          <w:szCs w:val="32"/>
          <w:lang w:eastAsia="zh-CN"/>
        </w:rPr>
        <w:t>九、</w:t>
      </w:r>
      <w:r>
        <w:rPr>
          <w:rFonts w:hint="eastAsia" w:ascii="黑体" w:hAnsi="黑体" w:eastAsia="黑体" w:cs="黑体"/>
          <w:sz w:val="32"/>
          <w:szCs w:val="32"/>
        </w:rPr>
        <w:t>国有资本经营预算支出决算情况说明</w:t>
      </w:r>
      <w:bookmarkEnd w:id="58"/>
      <w:bookmarkEnd w:id="59"/>
      <w:bookmarkEnd w:id="60"/>
    </w:p>
    <w:p>
      <w:pPr>
        <w:pageBreakBefore w:val="0"/>
        <w:kinsoku/>
        <w:wordWrap/>
        <w:overflowPunct/>
        <w:topLinePunct w:val="0"/>
        <w:bidi w:val="0"/>
        <w:spacing w:line="576"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年国有资本经营预算</w:t>
      </w:r>
      <w:r>
        <w:rPr>
          <w:rFonts w:hint="eastAsia" w:ascii="仿宋_GB2312" w:hAnsi="仿宋_GB2312" w:eastAsia="仿宋_GB2312" w:cs="仿宋_GB2312"/>
          <w:color w:val="auto"/>
          <w:sz w:val="32"/>
          <w:szCs w:val="32"/>
          <w:highlight w:val="none"/>
          <w:lang w:eastAsia="zh-CN"/>
        </w:rPr>
        <w:t>财政</w:t>
      </w:r>
      <w:r>
        <w:rPr>
          <w:rFonts w:hint="eastAsia" w:ascii="仿宋_GB2312" w:hAnsi="仿宋_GB2312" w:eastAsia="仿宋_GB2312" w:cs="仿宋_GB2312"/>
          <w:color w:val="auto"/>
          <w:sz w:val="32"/>
          <w:szCs w:val="32"/>
          <w:highlight w:val="none"/>
        </w:rPr>
        <w:t>拨款支出</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w:t>
      </w:r>
    </w:p>
    <w:p>
      <w:pPr>
        <w:bidi w:val="0"/>
        <w:ind w:firstLine="640" w:firstLineChars="200"/>
        <w:outlineLvl w:val="1"/>
        <w:rPr>
          <w:rFonts w:hint="eastAsia" w:ascii="黑体" w:hAnsi="黑体" w:eastAsia="黑体" w:cs="黑体"/>
          <w:sz w:val="32"/>
          <w:szCs w:val="32"/>
        </w:rPr>
      </w:pPr>
      <w:bookmarkStart w:id="61" w:name="_Toc30396"/>
      <w:bookmarkStart w:id="62" w:name="_Toc15396612"/>
      <w:bookmarkStart w:id="63" w:name="_Toc15377221"/>
      <w:r>
        <w:rPr>
          <w:rFonts w:hint="eastAsia" w:ascii="黑体" w:hAnsi="黑体" w:eastAsia="黑体" w:cs="黑体"/>
          <w:sz w:val="32"/>
          <w:szCs w:val="32"/>
          <w:lang w:eastAsia="zh-CN"/>
        </w:rPr>
        <w:t>十、</w:t>
      </w:r>
      <w:r>
        <w:rPr>
          <w:rFonts w:hint="eastAsia" w:ascii="黑体" w:hAnsi="黑体" w:eastAsia="黑体" w:cs="黑体"/>
          <w:sz w:val="32"/>
          <w:szCs w:val="32"/>
        </w:rPr>
        <w:t>其他重要事项的情况说明</w:t>
      </w:r>
      <w:bookmarkEnd w:id="61"/>
      <w:bookmarkEnd w:id="62"/>
      <w:bookmarkEnd w:id="63"/>
    </w:p>
    <w:p>
      <w:pPr>
        <w:pageBreakBefore w:val="0"/>
        <w:kinsoku/>
        <w:wordWrap/>
        <w:overflowPunct/>
        <w:topLinePunct w:val="0"/>
        <w:bidi w:val="0"/>
        <w:spacing w:line="576" w:lineRule="exact"/>
        <w:ind w:firstLine="640" w:firstLineChars="200"/>
        <w:textAlignment w:val="auto"/>
        <w:outlineLvl w:val="2"/>
        <w:rPr>
          <w:rFonts w:hint="eastAsia" w:ascii="楷体_GB2312" w:hAnsi="楷体_GB2312" w:eastAsia="楷体_GB2312" w:cs="楷体_GB2312"/>
          <w:b w:val="0"/>
          <w:bCs/>
          <w:color w:val="auto"/>
          <w:sz w:val="32"/>
          <w:szCs w:val="32"/>
          <w:highlight w:val="none"/>
        </w:rPr>
      </w:pPr>
      <w:bookmarkStart w:id="64" w:name="_Toc15377222"/>
      <w:r>
        <w:rPr>
          <w:rFonts w:hint="eastAsia" w:ascii="楷体_GB2312" w:hAnsi="楷体_GB2312" w:eastAsia="楷体_GB2312" w:cs="楷体_GB2312"/>
          <w:b w:val="0"/>
          <w:bCs/>
          <w:color w:val="auto"/>
          <w:sz w:val="32"/>
          <w:szCs w:val="32"/>
          <w:highlight w:val="none"/>
        </w:rPr>
        <w:t>（一）机关运行经费支出情况</w:t>
      </w:r>
      <w:bookmarkEnd w:id="64"/>
    </w:p>
    <w:p>
      <w:pPr>
        <w:pageBreakBefore w:val="0"/>
        <w:kinsoku/>
        <w:wordWrap/>
        <w:overflowPunct/>
        <w:topLinePunct w:val="0"/>
        <w:bidi w:val="0"/>
        <w:spacing w:line="576"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中共广元市委群众工作局</w:t>
      </w:r>
      <w:r>
        <w:rPr>
          <w:rFonts w:hint="eastAsia" w:ascii="仿宋_GB2312" w:hAnsi="仿宋_GB2312" w:eastAsia="仿宋_GB2312" w:cs="仿宋_GB2312"/>
          <w:color w:val="auto"/>
          <w:sz w:val="32"/>
          <w:szCs w:val="32"/>
          <w:highlight w:val="none"/>
        </w:rPr>
        <w:t>机关运行经费支出</w:t>
      </w:r>
      <w:r>
        <w:rPr>
          <w:rFonts w:hint="eastAsia" w:ascii="仿宋_GB2312" w:hAnsi="仿宋_GB2312" w:eastAsia="仿宋_GB2312" w:cs="仿宋_GB2312"/>
          <w:color w:val="auto"/>
          <w:sz w:val="32"/>
          <w:szCs w:val="32"/>
          <w:highlight w:val="none"/>
          <w:lang w:val="en-US" w:eastAsia="zh-CN"/>
        </w:rPr>
        <w:t>40.83</w:t>
      </w:r>
      <w:r>
        <w:rPr>
          <w:rFonts w:hint="eastAsia" w:ascii="仿宋_GB2312" w:hAnsi="仿宋_GB2312" w:eastAsia="仿宋_GB2312" w:cs="仿宋_GB2312"/>
          <w:color w:val="auto"/>
          <w:sz w:val="32"/>
          <w:szCs w:val="32"/>
          <w:highlight w:val="none"/>
        </w:rPr>
        <w:t>万元，比20</w:t>
      </w:r>
      <w:r>
        <w:rPr>
          <w:rFonts w:hint="eastAsia" w:ascii="仿宋_GB2312" w:hAnsi="仿宋_GB2312" w:eastAsia="仿宋_GB2312" w:cs="仿宋_GB2312"/>
          <w:color w:val="auto"/>
          <w:sz w:val="32"/>
          <w:szCs w:val="32"/>
          <w:highlight w:val="none"/>
          <w:lang w:val="en-US" w:eastAsia="zh-CN"/>
        </w:rPr>
        <w:t>21</w:t>
      </w:r>
      <w:r>
        <w:rPr>
          <w:rFonts w:hint="eastAsia" w:ascii="仿宋_GB2312" w:hAnsi="仿宋_GB2312" w:eastAsia="仿宋_GB2312" w:cs="仿宋_GB2312"/>
          <w:color w:val="auto"/>
          <w:sz w:val="32"/>
          <w:szCs w:val="32"/>
          <w:highlight w:val="none"/>
        </w:rPr>
        <w:t>年增加</w:t>
      </w:r>
      <w:r>
        <w:rPr>
          <w:rFonts w:hint="eastAsia" w:ascii="仿宋_GB2312" w:hAnsi="仿宋_GB2312" w:eastAsia="仿宋_GB2312" w:cs="仿宋_GB2312"/>
          <w:color w:val="auto"/>
          <w:sz w:val="32"/>
          <w:szCs w:val="32"/>
          <w:highlight w:val="none"/>
          <w:lang w:val="en-US" w:eastAsia="zh-CN"/>
        </w:rPr>
        <w:t>3.39</w:t>
      </w:r>
      <w:r>
        <w:rPr>
          <w:rFonts w:hint="eastAsia" w:ascii="仿宋_GB2312" w:hAnsi="仿宋_GB2312" w:eastAsia="仿宋_GB2312" w:cs="仿宋_GB2312"/>
          <w:color w:val="auto"/>
          <w:sz w:val="32"/>
          <w:szCs w:val="32"/>
          <w:highlight w:val="none"/>
        </w:rPr>
        <w:t>万元，增长</w:t>
      </w:r>
      <w:r>
        <w:rPr>
          <w:rFonts w:hint="eastAsia" w:ascii="仿宋_GB2312" w:hAnsi="仿宋_GB2312" w:eastAsia="仿宋_GB2312" w:cs="仿宋_GB2312"/>
          <w:color w:val="auto"/>
          <w:sz w:val="32"/>
          <w:szCs w:val="32"/>
          <w:highlight w:val="none"/>
          <w:lang w:val="en-US" w:eastAsia="zh-CN"/>
        </w:rPr>
        <w:t>9.05</w:t>
      </w:r>
      <w:r>
        <w:rPr>
          <w:rFonts w:hint="eastAsia" w:ascii="仿宋_GB2312" w:hAnsi="仿宋_GB2312" w:eastAsia="仿宋_GB2312" w:cs="仿宋_GB2312"/>
          <w:color w:val="auto"/>
          <w:sz w:val="32"/>
          <w:szCs w:val="32"/>
          <w:highlight w:val="none"/>
        </w:rPr>
        <w:t>%。主要原因是</w:t>
      </w:r>
      <w:r>
        <w:rPr>
          <w:rFonts w:hint="default" w:ascii="仿宋_GB2312" w:hAnsi="仿宋_GB2312" w:eastAsia="仿宋_GB2312" w:cs="仿宋_GB2312"/>
          <w:color w:val="auto"/>
          <w:sz w:val="32"/>
          <w:szCs w:val="32"/>
          <w:highlight w:val="none"/>
        </w:rPr>
        <w:t>人员增加相关经费</w:t>
      </w:r>
      <w:r>
        <w:rPr>
          <w:rFonts w:hint="eastAsia" w:ascii="仿宋_GB2312" w:hAnsi="仿宋_GB2312" w:eastAsia="仿宋_GB2312" w:cs="仿宋_GB2312"/>
          <w:color w:val="auto"/>
          <w:sz w:val="32"/>
          <w:szCs w:val="32"/>
          <w:highlight w:val="none"/>
          <w:lang w:eastAsia="zh-CN"/>
        </w:rPr>
        <w:t>增加。</w:t>
      </w:r>
    </w:p>
    <w:p>
      <w:pPr>
        <w:pageBreakBefore w:val="0"/>
        <w:kinsoku/>
        <w:wordWrap/>
        <w:overflowPunct/>
        <w:topLinePunct w:val="0"/>
        <w:bidi w:val="0"/>
        <w:spacing w:line="576" w:lineRule="exact"/>
        <w:ind w:firstLine="640" w:firstLineChars="200"/>
        <w:textAlignment w:val="auto"/>
        <w:outlineLvl w:val="2"/>
        <w:rPr>
          <w:rFonts w:hint="eastAsia" w:ascii="楷体_GB2312" w:hAnsi="楷体_GB2312" w:eastAsia="楷体_GB2312" w:cs="楷体_GB2312"/>
          <w:b w:val="0"/>
          <w:bCs/>
          <w:color w:val="auto"/>
          <w:sz w:val="32"/>
          <w:szCs w:val="32"/>
          <w:highlight w:val="none"/>
        </w:rPr>
      </w:pPr>
      <w:bookmarkStart w:id="65" w:name="_Toc15377223"/>
      <w:r>
        <w:rPr>
          <w:rFonts w:hint="eastAsia" w:ascii="楷体_GB2312" w:hAnsi="楷体_GB2312" w:eastAsia="楷体_GB2312" w:cs="楷体_GB2312"/>
          <w:b w:val="0"/>
          <w:bCs/>
          <w:color w:val="auto"/>
          <w:sz w:val="32"/>
          <w:szCs w:val="32"/>
          <w:highlight w:val="none"/>
        </w:rPr>
        <w:t>（二）政府采购支出情况</w:t>
      </w:r>
      <w:bookmarkEnd w:id="65"/>
    </w:p>
    <w:p>
      <w:pPr>
        <w:pageBreakBefore w:val="0"/>
        <w:kinsoku/>
        <w:wordWrap/>
        <w:overflowPunct/>
        <w:topLinePunct w:val="0"/>
        <w:bidi w:val="0"/>
        <w:spacing w:line="576" w:lineRule="exact"/>
        <w:ind w:firstLine="640" w:firstLineChars="200"/>
        <w:textAlignment w:val="auto"/>
        <w:outlineLvl w:val="2"/>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中共广元市委群众工作局</w:t>
      </w:r>
      <w:r>
        <w:rPr>
          <w:rFonts w:hint="eastAsia" w:ascii="仿宋_GB2312" w:hAnsi="仿宋_GB2312" w:eastAsia="仿宋_GB2312" w:cs="仿宋_GB2312"/>
          <w:color w:val="auto"/>
          <w:sz w:val="32"/>
          <w:szCs w:val="32"/>
          <w:highlight w:val="none"/>
        </w:rPr>
        <w:t>政府采购支出总额</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w:t>
      </w:r>
    </w:p>
    <w:p>
      <w:pPr>
        <w:pageBreakBefore w:val="0"/>
        <w:kinsoku/>
        <w:wordWrap/>
        <w:overflowPunct/>
        <w:topLinePunct w:val="0"/>
        <w:bidi w:val="0"/>
        <w:spacing w:line="576" w:lineRule="exact"/>
        <w:ind w:firstLine="640" w:firstLineChars="200"/>
        <w:textAlignment w:val="auto"/>
        <w:outlineLvl w:val="2"/>
        <w:rPr>
          <w:rFonts w:hint="eastAsia" w:ascii="楷体_GB2312" w:hAnsi="楷体_GB2312" w:eastAsia="楷体_GB2312" w:cs="楷体_GB2312"/>
          <w:b w:val="0"/>
          <w:bCs/>
          <w:color w:val="auto"/>
          <w:sz w:val="32"/>
          <w:szCs w:val="32"/>
          <w:highlight w:val="none"/>
        </w:rPr>
      </w:pPr>
      <w:bookmarkStart w:id="66" w:name="_Toc15377224"/>
      <w:r>
        <w:rPr>
          <w:rFonts w:hint="eastAsia" w:ascii="楷体_GB2312" w:hAnsi="楷体_GB2312" w:eastAsia="楷体_GB2312" w:cs="楷体_GB2312"/>
          <w:b w:val="0"/>
          <w:bCs/>
          <w:color w:val="auto"/>
          <w:sz w:val="32"/>
          <w:szCs w:val="32"/>
          <w:highlight w:val="none"/>
        </w:rPr>
        <w:t>（三）国有资产占有使用情况</w:t>
      </w:r>
      <w:bookmarkEnd w:id="66"/>
    </w:p>
    <w:p>
      <w:pPr>
        <w:pageBreakBefore w:val="0"/>
        <w:kinsoku/>
        <w:wordWrap/>
        <w:overflowPunct/>
        <w:topLinePunct w:val="0"/>
        <w:bidi w:val="0"/>
        <w:spacing w:line="576" w:lineRule="exact"/>
        <w:ind w:firstLine="640" w:firstLineChars="200"/>
        <w:textAlignment w:val="auto"/>
        <w:outlineLvl w:val="2"/>
        <w:rPr>
          <w:rFonts w:hint="eastAsia" w:ascii="仿宋_GB2312" w:hAnsi="仿宋_GB2312" w:eastAsia="仿宋"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截至20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年12月31日，</w:t>
      </w:r>
      <w:r>
        <w:rPr>
          <w:rFonts w:hint="eastAsia" w:ascii="仿宋_GB2312" w:hAnsi="仿宋_GB2312" w:eastAsia="仿宋_GB2312" w:cs="仿宋_GB2312"/>
          <w:color w:val="auto"/>
          <w:sz w:val="32"/>
          <w:szCs w:val="32"/>
          <w:highlight w:val="none"/>
          <w:lang w:eastAsia="zh-CN"/>
        </w:rPr>
        <w:t>中共广元市委群众工作局</w:t>
      </w:r>
      <w:r>
        <w:rPr>
          <w:rFonts w:hint="eastAsia" w:ascii="仿宋_GB2312" w:hAnsi="仿宋_GB2312" w:eastAsia="仿宋_GB2312" w:cs="仿宋_GB2312"/>
          <w:color w:val="auto"/>
          <w:sz w:val="32"/>
          <w:szCs w:val="32"/>
          <w:highlight w:val="none"/>
        </w:rPr>
        <w:t>共有车辆</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辆。</w:t>
      </w:r>
      <w:r>
        <w:rPr>
          <w:rFonts w:hint="eastAsia" w:ascii="仿宋" w:hAnsi="仿宋" w:eastAsia="仿宋" w:cs="仿宋"/>
          <w:sz w:val="32"/>
          <w:szCs w:val="32"/>
        </w:rPr>
        <w:t>单价100万元以上专用设备1台（套）</w:t>
      </w:r>
      <w:r>
        <w:rPr>
          <w:rFonts w:hint="eastAsia" w:ascii="仿宋" w:hAnsi="仿宋" w:eastAsia="仿宋" w:cs="仿宋"/>
          <w:sz w:val="32"/>
          <w:szCs w:val="32"/>
          <w:lang w:eastAsia="zh-CN"/>
        </w:rPr>
        <w:t>。</w:t>
      </w:r>
    </w:p>
    <w:p>
      <w:pPr>
        <w:pageBreakBefore w:val="0"/>
        <w:kinsoku/>
        <w:wordWrap/>
        <w:overflowPunct/>
        <w:topLinePunct w:val="0"/>
        <w:autoSpaceDE w:val="0"/>
        <w:autoSpaceDN w:val="0"/>
        <w:bidi w:val="0"/>
        <w:adjustRightInd w:val="0"/>
        <w:spacing w:line="576" w:lineRule="exact"/>
        <w:ind w:firstLine="643" w:firstLineChars="200"/>
        <w:jc w:val="left"/>
        <w:textAlignment w:val="auto"/>
        <w:outlineLvl w:val="2"/>
        <w:rPr>
          <w:rFonts w:hint="eastAsia" w:ascii="仿宋_GB2312" w:hAnsi="仿宋_GB2312" w:eastAsia="仿宋_GB2312" w:cs="仿宋_GB2312"/>
          <w:b/>
          <w:color w:val="auto"/>
          <w:sz w:val="32"/>
          <w:szCs w:val="32"/>
          <w:highlight w:val="none"/>
          <w:lang w:eastAsia="zh-CN"/>
        </w:rPr>
      </w:pPr>
      <w:r>
        <w:rPr>
          <w:rFonts w:hint="eastAsia" w:ascii="仿宋_GB2312" w:hAnsi="仿宋_GB2312" w:eastAsia="仿宋_GB2312" w:cs="仿宋_GB2312"/>
          <w:b/>
          <w:color w:val="auto"/>
          <w:sz w:val="32"/>
          <w:szCs w:val="32"/>
          <w:highlight w:val="none"/>
        </w:rPr>
        <w:t>（四）预算绩效管理情况</w:t>
      </w:r>
    </w:p>
    <w:p>
      <w:pPr>
        <w:pStyle w:val="2"/>
        <w:pageBreakBefore w:val="0"/>
        <w:kinsoku/>
        <w:wordWrap/>
        <w:overflowPunct/>
        <w:topLinePunct w:val="0"/>
        <w:bidi w:val="0"/>
        <w:spacing w:line="576" w:lineRule="exact"/>
        <w:ind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根据预算绩效管理要求，本单位在2022年度预算编制阶段，组织对信访远程视频服务、信访维稳信息费、特殊疑难信访资金、处理违反上访工作经费、乡村振兴工作经费、法律顾问费、信访值班工作经费等11个项目开展了预算事前绩效评估，对11个项目编制了绩效目标，预算执行过程中，选取11个项目开展绩效监控，组织对11个项目开展绩效自评，绩效自评表详见第四部分附件。</w:t>
      </w:r>
    </w:p>
    <w:p>
      <w:pPr>
        <w:pageBreakBefore w:val="0"/>
        <w:widowControl/>
        <w:kinsoku/>
        <w:wordWrap/>
        <w:overflowPunct/>
        <w:topLinePunct w:val="0"/>
        <w:bidi w:val="0"/>
        <w:spacing w:line="576" w:lineRule="exact"/>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br w:type="page"/>
      </w:r>
      <w:bookmarkStart w:id="67" w:name="_Toc15377225"/>
      <w:bookmarkStart w:id="68" w:name="_Toc15396613"/>
    </w:p>
    <w:p>
      <w:pPr>
        <w:numPr>
          <w:ilvl w:val="0"/>
          <w:numId w:val="0"/>
        </w:numPr>
        <w:bidi w:val="0"/>
        <w:jc w:val="center"/>
        <w:outlineLvl w:val="0"/>
        <w:rPr>
          <w:rFonts w:hint="eastAsia"/>
        </w:rPr>
      </w:pPr>
      <w:bookmarkStart w:id="69" w:name="_Toc21790"/>
      <w:r>
        <w:rPr>
          <w:rFonts w:hint="eastAsia" w:ascii="方正小标宋简体" w:hAnsi="方正小标宋简体" w:eastAsia="方正小标宋简体" w:cs="方正小标宋简体"/>
          <w:sz w:val="44"/>
          <w:szCs w:val="44"/>
          <w:lang w:eastAsia="zh-CN"/>
        </w:rPr>
        <w:t>第三部分</w:t>
      </w: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rPr>
        <w:t>名词解释</w:t>
      </w:r>
      <w:bookmarkEnd w:id="67"/>
      <w:bookmarkEnd w:id="68"/>
      <w:bookmarkEnd w:id="69"/>
    </w:p>
    <w:p>
      <w:pPr>
        <w:bidi w:val="0"/>
        <w:rPr>
          <w:rFonts w:hint="eastAsia"/>
        </w:rPr>
      </w:pPr>
    </w:p>
    <w:p>
      <w:pPr>
        <w:pageBreakBefore w:val="0"/>
        <w:numPr>
          <w:ilvl w:val="0"/>
          <w:numId w:val="2"/>
        </w:numPr>
        <w:kinsoku/>
        <w:wordWrap/>
        <w:overflowPunct/>
        <w:topLinePunct w:val="0"/>
        <w:bidi w:val="0"/>
        <w:spacing w:line="576" w:lineRule="exact"/>
        <w:ind w:left="0" w:leftChars="0" w:firstLine="400" w:firstLineChars="0"/>
        <w:jc w:val="left"/>
        <w:textAlignment w:val="auto"/>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 xml:space="preserve">财政拨款收入：指单位从同级财政部门取得的财政预算资金。  </w:t>
      </w:r>
    </w:p>
    <w:p>
      <w:pPr>
        <w:pStyle w:val="2"/>
        <w:keepNext w:val="0"/>
        <w:keepLines w:val="0"/>
        <w:pageBreakBefore w:val="0"/>
        <w:widowControl w:val="0"/>
        <w:numPr>
          <w:ilvl w:val="0"/>
          <w:numId w:val="2"/>
        </w:numPr>
        <w:kinsoku/>
        <w:wordWrap/>
        <w:overflowPunct/>
        <w:topLinePunct w:val="0"/>
        <w:autoSpaceDE/>
        <w:autoSpaceDN/>
        <w:bidi w:val="0"/>
        <w:adjustRightInd/>
        <w:snapToGrid/>
        <w:ind w:left="0" w:leftChars="0" w:firstLine="400" w:firstLineChars="0"/>
        <w:textAlignment w:val="auto"/>
        <w:rPr>
          <w:rFonts w:hint="eastAsia" w:ascii="仿宋_GB2312" w:hAnsi="仿宋_GB2312" w:eastAsia="仿宋_GB2312" w:cs="仿宋_GB2312"/>
          <w:b w:val="0"/>
          <w:bCs/>
          <w:color w:val="auto"/>
          <w:kern w:val="2"/>
          <w:sz w:val="32"/>
          <w:szCs w:val="32"/>
          <w:highlight w:val="none"/>
          <w:lang w:val="en-US" w:eastAsia="zh-CN" w:bidi="ar-SA"/>
        </w:rPr>
      </w:pPr>
      <w:r>
        <w:rPr>
          <w:rFonts w:hint="eastAsia" w:ascii="仿宋_GB2312" w:hAnsi="仿宋_GB2312" w:eastAsia="仿宋_GB2312" w:cs="仿宋_GB2312"/>
          <w:b w:val="0"/>
          <w:bCs/>
          <w:color w:val="auto"/>
          <w:kern w:val="2"/>
          <w:sz w:val="32"/>
          <w:szCs w:val="32"/>
          <w:highlight w:val="none"/>
          <w:lang w:val="en-US" w:eastAsia="zh-CN" w:bidi="ar-SA"/>
        </w:rPr>
        <w:t>年初结转和结余：指以前年度尚未完成、结转到本年按有关规定继续使用的资金。</w:t>
      </w:r>
    </w:p>
    <w:p>
      <w:pPr>
        <w:keepNext w:val="0"/>
        <w:keepLines w:val="0"/>
        <w:widowControl/>
        <w:numPr>
          <w:ilvl w:val="0"/>
          <w:numId w:val="2"/>
        </w:numPr>
        <w:suppressLineNumbers w:val="0"/>
        <w:ind w:left="0" w:leftChars="0" w:firstLine="400" w:firstLineChars="0"/>
        <w:jc w:val="left"/>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color w:val="auto"/>
          <w:sz w:val="32"/>
          <w:szCs w:val="32"/>
          <w:highlight w:val="none"/>
        </w:rPr>
        <w:t>一般公共服务（类）政府办公厅及相关机构事务（款）行政运行（项）</w:t>
      </w: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rPr>
        <w:t>指</w:t>
      </w:r>
      <w:r>
        <w:rPr>
          <w:rFonts w:hint="eastAsia" w:ascii="仿宋_GB2312" w:hAnsi="仿宋_GB2312" w:eastAsia="仿宋_GB2312" w:cs="仿宋_GB2312"/>
          <w:b w:val="0"/>
          <w:bCs/>
          <w:color w:val="auto"/>
          <w:sz w:val="32"/>
          <w:szCs w:val="32"/>
          <w:highlight w:val="none"/>
          <w:lang w:val="en-US" w:eastAsia="zh-CN"/>
        </w:rPr>
        <w:t>行政单位的基本支出。</w:t>
      </w:r>
    </w:p>
    <w:p>
      <w:pPr>
        <w:pageBreakBefore w:val="0"/>
        <w:numPr>
          <w:ilvl w:val="0"/>
          <w:numId w:val="2"/>
        </w:numPr>
        <w:kinsoku/>
        <w:wordWrap/>
        <w:overflowPunct/>
        <w:topLinePunct w:val="0"/>
        <w:bidi w:val="0"/>
        <w:spacing w:line="576" w:lineRule="exact"/>
        <w:ind w:left="0" w:leftChars="0" w:firstLine="400" w:firstLineChars="0"/>
        <w:jc w:val="left"/>
        <w:textAlignment w:val="auto"/>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一般公共服务（类）政府办公厅及相关机构事务（款）一般行政管理事务（项）</w:t>
      </w: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rPr>
        <w:t>指</w:t>
      </w:r>
      <w:r>
        <w:rPr>
          <w:rFonts w:hint="eastAsia" w:ascii="仿宋_GB2312" w:hAnsi="仿宋_GB2312" w:eastAsia="仿宋_GB2312" w:cs="仿宋_GB2312"/>
          <w:b w:val="0"/>
          <w:bCs/>
          <w:color w:val="auto"/>
          <w:sz w:val="32"/>
          <w:szCs w:val="32"/>
          <w:highlight w:val="none"/>
          <w:lang w:eastAsia="zh-CN"/>
        </w:rPr>
        <w:t>行政单位未单独设置项级科目的其他项目支出。</w:t>
      </w:r>
    </w:p>
    <w:p>
      <w:pPr>
        <w:pageBreakBefore w:val="0"/>
        <w:numPr>
          <w:ilvl w:val="0"/>
          <w:numId w:val="2"/>
        </w:numPr>
        <w:kinsoku/>
        <w:wordWrap/>
        <w:overflowPunct/>
        <w:topLinePunct w:val="0"/>
        <w:bidi w:val="0"/>
        <w:spacing w:line="576" w:lineRule="exact"/>
        <w:ind w:left="0" w:leftChars="0" w:firstLine="400" w:firstLineChars="0"/>
        <w:jc w:val="left"/>
        <w:textAlignment w:val="auto"/>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社会保障和就业（类）行政事业单位养老支出（款）机关事业单位基本养老保险支出（项）</w:t>
      </w:r>
      <w:r>
        <w:rPr>
          <w:rFonts w:hint="eastAsia" w:ascii="仿宋_GB2312" w:hAnsi="仿宋_GB2312" w:eastAsia="仿宋_GB2312" w:cs="仿宋_GB2312"/>
          <w:b w:val="0"/>
          <w:bCs/>
          <w:color w:val="auto"/>
          <w:sz w:val="32"/>
          <w:szCs w:val="32"/>
          <w:highlight w:val="none"/>
          <w:lang w:eastAsia="zh-CN"/>
        </w:rPr>
        <w:t>：指机关事业单位实施养老保险制度由单位缴纳的基本养老保险费支出。</w:t>
      </w:r>
    </w:p>
    <w:p>
      <w:pPr>
        <w:pageBreakBefore w:val="0"/>
        <w:numPr>
          <w:ilvl w:val="0"/>
          <w:numId w:val="2"/>
        </w:numPr>
        <w:kinsoku/>
        <w:wordWrap/>
        <w:overflowPunct/>
        <w:topLinePunct w:val="0"/>
        <w:bidi w:val="0"/>
        <w:spacing w:line="576" w:lineRule="exact"/>
        <w:ind w:left="0" w:leftChars="0" w:firstLine="400" w:firstLineChars="0"/>
        <w:jc w:val="left"/>
        <w:textAlignment w:val="auto"/>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卫生健康（类）</w:t>
      </w:r>
      <w:r>
        <w:rPr>
          <w:rFonts w:hint="eastAsia" w:ascii="仿宋_GB2312" w:hAnsi="仿宋_GB2312" w:eastAsia="仿宋_GB2312" w:cs="仿宋_GB2312"/>
          <w:b w:val="0"/>
          <w:bCs/>
          <w:color w:val="auto"/>
          <w:sz w:val="32"/>
          <w:szCs w:val="32"/>
          <w:highlight w:val="none"/>
          <w:lang w:eastAsia="zh-CN"/>
        </w:rPr>
        <w:t>行政事业单位医疗</w:t>
      </w:r>
      <w:r>
        <w:rPr>
          <w:rFonts w:hint="eastAsia" w:ascii="仿宋_GB2312" w:hAnsi="仿宋_GB2312" w:eastAsia="仿宋_GB2312" w:cs="仿宋_GB2312"/>
          <w:b w:val="0"/>
          <w:bCs/>
          <w:color w:val="auto"/>
          <w:sz w:val="32"/>
          <w:szCs w:val="32"/>
          <w:highlight w:val="none"/>
        </w:rPr>
        <w:t>（款）</w:t>
      </w:r>
      <w:r>
        <w:rPr>
          <w:rFonts w:hint="eastAsia" w:ascii="仿宋_GB2312" w:hAnsi="仿宋_GB2312" w:eastAsia="仿宋_GB2312" w:cs="仿宋_GB2312"/>
          <w:b w:val="0"/>
          <w:bCs/>
          <w:color w:val="auto"/>
          <w:sz w:val="32"/>
          <w:szCs w:val="32"/>
          <w:highlight w:val="none"/>
          <w:lang w:eastAsia="zh-CN"/>
        </w:rPr>
        <w:t>行政单位医疗</w:t>
      </w:r>
      <w:r>
        <w:rPr>
          <w:rFonts w:hint="eastAsia" w:ascii="仿宋_GB2312" w:hAnsi="仿宋_GB2312" w:eastAsia="仿宋_GB2312" w:cs="仿宋_GB2312"/>
          <w:b w:val="0"/>
          <w:bCs/>
          <w:color w:val="auto"/>
          <w:sz w:val="32"/>
          <w:szCs w:val="32"/>
          <w:highlight w:val="none"/>
        </w:rPr>
        <w:t>（项）:</w:t>
      </w:r>
      <w:r>
        <w:rPr>
          <w:rFonts w:hint="eastAsia" w:ascii="仿宋_GB2312" w:hAnsi="仿宋_GB2312" w:eastAsia="仿宋_GB2312" w:cs="仿宋_GB2312"/>
          <w:b w:val="0"/>
          <w:bCs/>
          <w:color w:val="auto"/>
          <w:sz w:val="32"/>
          <w:szCs w:val="32"/>
          <w:highlight w:val="none"/>
          <w:lang w:eastAsia="zh-CN"/>
        </w:rPr>
        <w:t>指行政单位</w:t>
      </w:r>
      <w:r>
        <w:rPr>
          <w:rFonts w:hint="eastAsia" w:ascii="仿宋_GB2312" w:hAnsi="仿宋_GB2312" w:eastAsia="仿宋_GB2312" w:cs="仿宋_GB2312"/>
          <w:b w:val="0"/>
          <w:bCs/>
          <w:color w:val="auto"/>
          <w:sz w:val="32"/>
          <w:szCs w:val="32"/>
          <w:highlight w:val="none"/>
        </w:rPr>
        <w:t>用于缴纳基本医疗保险支出。</w:t>
      </w:r>
    </w:p>
    <w:p>
      <w:pPr>
        <w:numPr>
          <w:ilvl w:val="0"/>
          <w:numId w:val="2"/>
        </w:numPr>
        <w:spacing w:line="600" w:lineRule="exact"/>
        <w:ind w:left="0" w:leftChars="0" w:firstLine="400" w:firstLineChars="0"/>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住房保障（类）住房改革支出（款）住房公积金（项）</w:t>
      </w:r>
      <w:r>
        <w:rPr>
          <w:rFonts w:hint="eastAsia" w:ascii="仿宋_GB2312" w:hAnsi="仿宋_GB2312" w:eastAsia="仿宋_GB2312" w:cs="仿宋_GB2312"/>
          <w:b w:val="0"/>
          <w:bCs/>
          <w:color w:val="auto"/>
          <w:sz w:val="32"/>
          <w:szCs w:val="32"/>
          <w:highlight w:val="none"/>
          <w:lang w:eastAsia="zh-CN"/>
        </w:rPr>
        <w:t>：指行政事业单位按人力资源和社会保障部、财政部规定的基本工资和津贴补贴以及规定比例为职工缴纳的住房公积金。</w:t>
      </w:r>
    </w:p>
    <w:p>
      <w:pPr>
        <w:pageBreakBefore w:val="0"/>
        <w:numPr>
          <w:ilvl w:val="0"/>
          <w:numId w:val="2"/>
        </w:numPr>
        <w:kinsoku/>
        <w:wordWrap/>
        <w:overflowPunct/>
        <w:topLinePunct w:val="0"/>
        <w:bidi w:val="0"/>
        <w:spacing w:line="576" w:lineRule="exact"/>
        <w:ind w:left="0" w:leftChars="0" w:firstLine="400" w:firstLineChars="0"/>
        <w:jc w:val="left"/>
        <w:textAlignment w:val="auto"/>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基本支出：指为保障机构正常运转、完成日常工作任务而发生的人员支出和公用支出。</w:t>
      </w:r>
    </w:p>
    <w:p>
      <w:pPr>
        <w:pageBreakBefore w:val="0"/>
        <w:numPr>
          <w:ilvl w:val="0"/>
          <w:numId w:val="2"/>
        </w:numPr>
        <w:kinsoku/>
        <w:wordWrap/>
        <w:overflowPunct/>
        <w:topLinePunct w:val="0"/>
        <w:bidi w:val="0"/>
        <w:spacing w:line="576" w:lineRule="exact"/>
        <w:ind w:left="0" w:leftChars="0" w:firstLine="400" w:firstLineChars="0"/>
        <w:jc w:val="left"/>
        <w:textAlignment w:val="auto"/>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项目支出：指在基本支出之外为完成特定行政任务和事业发展目标所发生的支出。</w:t>
      </w:r>
    </w:p>
    <w:p>
      <w:pPr>
        <w:pageBreakBefore w:val="0"/>
        <w:numPr>
          <w:ilvl w:val="0"/>
          <w:numId w:val="2"/>
        </w:numPr>
        <w:kinsoku/>
        <w:wordWrap/>
        <w:overflowPunct/>
        <w:topLinePunct w:val="0"/>
        <w:bidi w:val="0"/>
        <w:spacing w:line="576" w:lineRule="exact"/>
        <w:ind w:left="0" w:leftChars="0" w:firstLine="400" w:firstLineChars="0"/>
        <w:jc w:val="left"/>
        <w:textAlignment w:val="auto"/>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ageBreakBefore w:val="0"/>
        <w:numPr>
          <w:ilvl w:val="0"/>
          <w:numId w:val="2"/>
        </w:numPr>
        <w:kinsoku/>
        <w:wordWrap/>
        <w:overflowPunct/>
        <w:topLinePunct w:val="0"/>
        <w:bidi w:val="0"/>
        <w:spacing w:line="576" w:lineRule="exact"/>
        <w:ind w:left="0" w:leftChars="0" w:firstLine="400" w:firstLineChars="0"/>
        <w:jc w:val="left"/>
        <w:textAlignment w:val="auto"/>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ageBreakBefore w:val="0"/>
        <w:kinsoku/>
        <w:wordWrap/>
        <w:overflowPunct/>
        <w:topLinePunct w:val="0"/>
        <w:bidi w:val="0"/>
        <w:spacing w:line="576" w:lineRule="exact"/>
        <w:jc w:val="center"/>
        <w:textAlignment w:val="auto"/>
        <w:outlineLvl w:val="9"/>
        <w:rPr>
          <w:rFonts w:hint="eastAsia" w:ascii="仿宋_GB2312" w:hAnsi="仿宋_GB2312" w:eastAsia="仿宋_GB2312" w:cs="仿宋_GB2312"/>
          <w:b w:val="0"/>
          <w:bCs/>
          <w:color w:val="auto"/>
          <w:sz w:val="32"/>
          <w:szCs w:val="32"/>
          <w:highlight w:val="none"/>
        </w:rPr>
      </w:pPr>
      <w:bookmarkStart w:id="70" w:name="_Toc15396614"/>
      <w:bookmarkStart w:id="71" w:name="_Toc15377226"/>
    </w:p>
    <w:p>
      <w:pPr>
        <w:pageBreakBefore w:val="0"/>
        <w:kinsoku/>
        <w:wordWrap/>
        <w:overflowPunct/>
        <w:topLinePunct w:val="0"/>
        <w:bidi w:val="0"/>
        <w:spacing w:line="576" w:lineRule="exact"/>
        <w:jc w:val="center"/>
        <w:textAlignment w:val="auto"/>
        <w:outlineLvl w:val="9"/>
        <w:rPr>
          <w:rFonts w:hint="eastAsia" w:ascii="仿宋_GB2312" w:hAnsi="仿宋_GB2312" w:eastAsia="仿宋_GB2312" w:cs="仿宋_GB2312"/>
          <w:b w:val="0"/>
          <w:bCs/>
          <w:color w:val="auto"/>
          <w:sz w:val="32"/>
          <w:szCs w:val="32"/>
          <w:highlight w:val="none"/>
        </w:rPr>
      </w:pPr>
    </w:p>
    <w:p>
      <w:pPr>
        <w:pageBreakBefore w:val="0"/>
        <w:kinsoku/>
        <w:wordWrap/>
        <w:overflowPunct/>
        <w:topLinePunct w:val="0"/>
        <w:bidi w:val="0"/>
        <w:spacing w:line="576" w:lineRule="exact"/>
        <w:jc w:val="center"/>
        <w:textAlignment w:val="auto"/>
        <w:outlineLvl w:val="9"/>
        <w:rPr>
          <w:rFonts w:hint="eastAsia" w:ascii="仿宋_GB2312" w:hAnsi="仿宋_GB2312" w:eastAsia="仿宋_GB2312" w:cs="仿宋_GB2312"/>
          <w:b w:val="0"/>
          <w:bCs/>
          <w:color w:val="auto"/>
          <w:sz w:val="32"/>
          <w:szCs w:val="32"/>
          <w:highlight w:val="none"/>
        </w:rPr>
      </w:pPr>
    </w:p>
    <w:p>
      <w:pPr>
        <w:pageBreakBefore w:val="0"/>
        <w:kinsoku/>
        <w:wordWrap/>
        <w:overflowPunct/>
        <w:topLinePunct w:val="0"/>
        <w:bidi w:val="0"/>
        <w:spacing w:line="576" w:lineRule="exact"/>
        <w:jc w:val="center"/>
        <w:textAlignment w:val="auto"/>
        <w:outlineLvl w:val="9"/>
        <w:rPr>
          <w:rFonts w:hint="eastAsia" w:ascii="仿宋_GB2312" w:hAnsi="仿宋_GB2312" w:eastAsia="仿宋_GB2312" w:cs="仿宋_GB2312"/>
          <w:b w:val="0"/>
          <w:bCs/>
          <w:color w:val="auto"/>
          <w:sz w:val="32"/>
          <w:szCs w:val="32"/>
          <w:highlight w:val="none"/>
        </w:rPr>
      </w:pPr>
    </w:p>
    <w:p>
      <w:pPr>
        <w:pageBreakBefore w:val="0"/>
        <w:kinsoku/>
        <w:wordWrap/>
        <w:overflowPunct/>
        <w:topLinePunct w:val="0"/>
        <w:bidi w:val="0"/>
        <w:spacing w:line="576" w:lineRule="exact"/>
        <w:jc w:val="center"/>
        <w:textAlignment w:val="auto"/>
        <w:outlineLvl w:val="9"/>
        <w:rPr>
          <w:rFonts w:hint="eastAsia" w:ascii="仿宋_GB2312" w:hAnsi="仿宋_GB2312" w:eastAsia="仿宋_GB2312" w:cs="仿宋_GB2312"/>
          <w:color w:val="auto"/>
          <w:sz w:val="32"/>
          <w:szCs w:val="32"/>
          <w:highlight w:val="none"/>
        </w:rPr>
      </w:pPr>
    </w:p>
    <w:p>
      <w:pPr>
        <w:pageBreakBefore w:val="0"/>
        <w:kinsoku/>
        <w:wordWrap/>
        <w:overflowPunct/>
        <w:topLinePunct w:val="0"/>
        <w:bidi w:val="0"/>
        <w:spacing w:line="576" w:lineRule="exact"/>
        <w:jc w:val="center"/>
        <w:textAlignment w:val="auto"/>
        <w:outlineLvl w:val="9"/>
        <w:rPr>
          <w:rFonts w:hint="eastAsia" w:ascii="仿宋_GB2312" w:hAnsi="仿宋_GB2312" w:eastAsia="仿宋_GB2312" w:cs="仿宋_GB2312"/>
          <w:color w:val="auto"/>
          <w:sz w:val="32"/>
          <w:szCs w:val="32"/>
          <w:highlight w:val="none"/>
        </w:rPr>
      </w:pPr>
    </w:p>
    <w:p>
      <w:pPr>
        <w:pageBreakBefore w:val="0"/>
        <w:kinsoku/>
        <w:wordWrap/>
        <w:overflowPunct/>
        <w:topLinePunct w:val="0"/>
        <w:bidi w:val="0"/>
        <w:spacing w:line="576" w:lineRule="exact"/>
        <w:jc w:val="center"/>
        <w:textAlignment w:val="auto"/>
        <w:outlineLvl w:val="9"/>
        <w:rPr>
          <w:rFonts w:hint="eastAsia" w:ascii="仿宋_GB2312" w:hAnsi="仿宋_GB2312" w:eastAsia="仿宋_GB2312" w:cs="仿宋_GB2312"/>
          <w:color w:val="auto"/>
          <w:sz w:val="32"/>
          <w:szCs w:val="32"/>
          <w:highlight w:val="none"/>
        </w:rPr>
      </w:pPr>
    </w:p>
    <w:p>
      <w:pPr>
        <w:pageBreakBefore w:val="0"/>
        <w:kinsoku/>
        <w:wordWrap/>
        <w:overflowPunct/>
        <w:topLinePunct w:val="0"/>
        <w:bidi w:val="0"/>
        <w:spacing w:line="576" w:lineRule="exact"/>
        <w:jc w:val="center"/>
        <w:textAlignment w:val="auto"/>
        <w:outlineLvl w:val="9"/>
        <w:rPr>
          <w:rFonts w:hint="eastAsia" w:ascii="仿宋_GB2312" w:hAnsi="仿宋_GB2312" w:eastAsia="仿宋_GB2312" w:cs="仿宋_GB2312"/>
          <w:color w:val="auto"/>
          <w:sz w:val="32"/>
          <w:szCs w:val="32"/>
          <w:highlight w:val="none"/>
        </w:rPr>
      </w:pPr>
    </w:p>
    <w:p>
      <w:pPr>
        <w:pageBreakBefore w:val="0"/>
        <w:kinsoku/>
        <w:wordWrap/>
        <w:overflowPunct/>
        <w:topLinePunct w:val="0"/>
        <w:bidi w:val="0"/>
        <w:spacing w:line="576" w:lineRule="exact"/>
        <w:jc w:val="both"/>
        <w:textAlignment w:val="auto"/>
        <w:outlineLvl w:val="9"/>
        <w:rPr>
          <w:rFonts w:hint="eastAsia" w:ascii="仿宋_GB2312" w:hAnsi="仿宋_GB2312" w:eastAsia="仿宋_GB2312" w:cs="仿宋_GB2312"/>
          <w:color w:val="auto"/>
          <w:sz w:val="32"/>
          <w:szCs w:val="32"/>
          <w:highlight w:val="none"/>
        </w:rPr>
      </w:pPr>
    </w:p>
    <w:p>
      <w:pPr>
        <w:pStyle w:val="2"/>
        <w:rPr>
          <w:rFonts w:hint="eastAsia" w:ascii="仿宋_GB2312" w:hAnsi="仿宋_GB2312" w:eastAsia="仿宋_GB2312" w:cs="仿宋_GB2312"/>
          <w:sz w:val="32"/>
          <w:szCs w:val="32"/>
        </w:rPr>
      </w:pPr>
    </w:p>
    <w:p>
      <w:pPr>
        <w:numPr>
          <w:ilvl w:val="0"/>
          <w:numId w:val="0"/>
        </w:numPr>
        <w:bidi w:val="0"/>
        <w:jc w:val="center"/>
        <w:outlineLvl w:val="0"/>
        <w:rPr>
          <w:rFonts w:hint="eastAsia" w:ascii="方正小标宋简体" w:hAnsi="方正小标宋简体" w:eastAsia="方正小标宋简体" w:cs="方正小标宋简体"/>
          <w:sz w:val="44"/>
          <w:szCs w:val="44"/>
        </w:rPr>
      </w:pPr>
      <w:bookmarkStart w:id="72" w:name="_Toc25222"/>
      <w:r>
        <w:rPr>
          <w:rFonts w:hint="eastAsia" w:ascii="方正小标宋简体" w:hAnsi="方正小标宋简体" w:eastAsia="方正小标宋简体" w:cs="方正小标宋简体"/>
          <w:color w:val="auto"/>
          <w:sz w:val="44"/>
          <w:szCs w:val="44"/>
          <w:highlight w:val="none"/>
          <w:lang w:eastAsia="zh-CN"/>
        </w:rPr>
        <w:t>第四部分</w:t>
      </w:r>
      <w:r>
        <w:rPr>
          <w:rFonts w:hint="eastAsia" w:ascii="方正小标宋简体" w:hAnsi="方正小标宋简体" w:eastAsia="方正小标宋简体" w:cs="方正小标宋简体"/>
          <w:color w:val="auto"/>
          <w:sz w:val="44"/>
          <w:szCs w:val="44"/>
          <w:highlight w:val="none"/>
        </w:rPr>
        <w:t xml:space="preserve"> 附件</w:t>
      </w:r>
      <w:bookmarkEnd w:id="70"/>
      <w:bookmarkEnd w:id="72"/>
    </w:p>
    <w:p>
      <w:pPr>
        <w:bidi w:val="0"/>
        <w:rPr>
          <w:rFonts w:hint="eastAsia"/>
        </w:rPr>
      </w:pPr>
    </w:p>
    <w:p>
      <w:pPr>
        <w:keepNext w:val="0"/>
        <w:keepLines w:val="0"/>
        <w:pageBreakBefore w:val="0"/>
        <w:widowControl/>
        <w:kinsoku/>
        <w:wordWrap/>
        <w:overflowPunct/>
        <w:topLinePunct w:val="0"/>
        <w:autoSpaceDE/>
        <w:autoSpaceDN/>
        <w:bidi w:val="0"/>
        <w:spacing w:line="560" w:lineRule="exact"/>
        <w:contextualSpacing/>
        <w:jc w:val="center"/>
        <w:textAlignment w:val="auto"/>
        <w:outlineLvl w:val="1"/>
        <w:rPr>
          <w:rFonts w:hint="eastAsia" w:ascii="方正小标宋简体" w:hAnsi="方正小标宋简体" w:eastAsia="方正小标宋简体" w:cs="方正小标宋简体"/>
          <w:b/>
          <w:color w:val="auto"/>
          <w:sz w:val="44"/>
          <w:szCs w:val="44"/>
          <w:highlight w:val="none"/>
          <w:shd w:val="clear" w:color="auto" w:fill="FFFFFF"/>
          <w:lang w:val="en-US" w:eastAsia="zh-CN"/>
        </w:rPr>
      </w:pPr>
      <w:bookmarkStart w:id="73" w:name="_Toc12178"/>
      <w:bookmarkStart w:id="74" w:name="_Toc15396618"/>
      <w:r>
        <w:rPr>
          <w:rFonts w:hint="eastAsia" w:ascii="方正小标宋简体" w:hAnsi="方正小标宋简体" w:eastAsia="方正小标宋简体" w:cs="方正小标宋简体"/>
          <w:b/>
          <w:color w:val="auto"/>
          <w:sz w:val="44"/>
          <w:szCs w:val="44"/>
          <w:highlight w:val="none"/>
          <w:shd w:val="clear" w:color="auto" w:fill="FFFFFF"/>
        </w:rPr>
        <w:t>20</w:t>
      </w:r>
      <w:r>
        <w:rPr>
          <w:rFonts w:hint="eastAsia" w:ascii="方正小标宋简体" w:hAnsi="方正小标宋简体" w:eastAsia="方正小标宋简体" w:cs="方正小标宋简体"/>
          <w:b/>
          <w:color w:val="auto"/>
          <w:sz w:val="44"/>
          <w:szCs w:val="44"/>
          <w:highlight w:val="none"/>
          <w:shd w:val="clear" w:color="auto" w:fill="FFFFFF"/>
          <w:lang w:val="en-US" w:eastAsia="zh-CN"/>
        </w:rPr>
        <w:t>22</w:t>
      </w:r>
      <w:r>
        <w:rPr>
          <w:rFonts w:hint="eastAsia" w:ascii="方正小标宋简体" w:hAnsi="方正小标宋简体" w:eastAsia="方正小标宋简体" w:cs="方正小标宋简体"/>
          <w:b/>
          <w:color w:val="auto"/>
          <w:sz w:val="44"/>
          <w:szCs w:val="44"/>
          <w:highlight w:val="none"/>
          <w:shd w:val="clear" w:color="auto" w:fill="FFFFFF"/>
        </w:rPr>
        <w:t>年</w:t>
      </w:r>
      <w:r>
        <w:rPr>
          <w:rFonts w:hint="eastAsia" w:ascii="方正小标宋简体" w:hAnsi="方正小标宋简体" w:eastAsia="方正小标宋简体" w:cs="方正小标宋简体"/>
          <w:b/>
          <w:color w:val="auto"/>
          <w:sz w:val="44"/>
          <w:szCs w:val="44"/>
          <w:highlight w:val="none"/>
          <w:shd w:val="clear" w:color="auto" w:fill="FFFFFF"/>
          <w:lang w:val="en-US" w:eastAsia="zh-CN"/>
        </w:rPr>
        <w:t>部门预算项目支出绩效自评表</w:t>
      </w:r>
      <w:bookmarkEnd w:id="73"/>
    </w:p>
    <w:p>
      <w:pPr>
        <w:bidi w:val="0"/>
        <w:rPr>
          <w:rFonts w:hint="eastAsia" w:ascii="仿宋_GB2312" w:hAnsi="仿宋_GB2312" w:eastAsia="仿宋_GB2312" w:cs="仿宋_GB2312"/>
          <w:sz w:val="32"/>
          <w:szCs w:val="32"/>
          <w:lang w:val="en-US" w:eastAsia="zh-CN"/>
        </w:rPr>
      </w:pPr>
    </w:p>
    <w:tbl>
      <w:tblPr>
        <w:tblStyle w:val="12"/>
        <w:tblW w:w="98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36"/>
        <w:gridCol w:w="1266"/>
        <w:gridCol w:w="1686"/>
        <w:gridCol w:w="1686"/>
        <w:gridCol w:w="426"/>
        <w:gridCol w:w="813"/>
        <w:gridCol w:w="636"/>
        <w:gridCol w:w="951"/>
        <w:gridCol w:w="636"/>
        <w:gridCol w:w="636"/>
        <w:gridCol w:w="7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项目名称</w:t>
            </w:r>
          </w:p>
        </w:tc>
        <w:tc>
          <w:tcPr>
            <w:tcW w:w="797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51000021R000000019951-工资性支出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6" w:hRule="atLeast"/>
          <w:jc w:val="center"/>
        </w:trPr>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主管部门</w:t>
            </w:r>
          </w:p>
        </w:tc>
        <w:tc>
          <w:tcPr>
            <w:tcW w:w="48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中共广元市委群众工作局部门</w:t>
            </w:r>
          </w:p>
        </w:tc>
        <w:tc>
          <w:tcPr>
            <w:tcW w:w="846" w:type="dxa"/>
            <w:tcBorders>
              <w:top w:val="nil"/>
              <w:left w:val="nil"/>
              <w:bottom w:val="nil"/>
              <w:right w:val="nil"/>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实施单位 （盖章）</w:t>
            </w:r>
          </w:p>
        </w:tc>
        <w:tc>
          <w:tcPr>
            <w:tcW w:w="2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中共广元市委群众工作局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项目基本情况</w:t>
            </w:r>
          </w:p>
        </w:tc>
        <w:tc>
          <w:tcPr>
            <w:tcW w:w="12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1.项目年度目标完成情况</w:t>
            </w:r>
          </w:p>
        </w:tc>
        <w:tc>
          <w:tcPr>
            <w:tcW w:w="48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项目年度目标</w:t>
            </w:r>
          </w:p>
        </w:tc>
        <w:tc>
          <w:tcPr>
            <w:tcW w:w="31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48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严格执行相关政策，保障工资及时发放、足额发放，预算编制科学合理，减少结余资金。</w:t>
            </w:r>
          </w:p>
        </w:tc>
        <w:tc>
          <w:tcPr>
            <w:tcW w:w="31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2022年已完成在职在编人员工资的正常发放。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6"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2.项目实施内容及过程概述</w:t>
            </w:r>
          </w:p>
        </w:tc>
        <w:tc>
          <w:tcPr>
            <w:tcW w:w="797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每月初按时发放干部工资，按核定数支付，并做到无拖欠。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预算执行情况（10分）</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年度预算数（万元）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年初预算</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调整后预算数</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预算执行数</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得分</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总额</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189.83</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258.46</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249.08</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96.37%</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其中：财政资金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189.83</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258.46</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249.08</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96.37%</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财政专户管理资金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单位资金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其他资金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绩效指标（90分）</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一级指标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二级指标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三级指标</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指标性质</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指标值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度量单位</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得分</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产出指标</w:t>
            </w:r>
          </w:p>
        </w:tc>
        <w:tc>
          <w:tcPr>
            <w:tcW w:w="14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数量指标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足额保障率</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22.5</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4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科目调整次数</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次</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22.5</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时效指标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按时发放率</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lang w:val="en-US"/>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22.5</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效益指标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经济效益指标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结余率（计算方法为：结余数/预算数）</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9%</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lang w:val="en-US"/>
              </w:rPr>
            </w:pPr>
            <w:r>
              <w:rPr>
                <w:rFonts w:hint="eastAsia" w:ascii="仿宋_GB2312" w:hAnsi="仿宋_GB2312" w:eastAsia="仿宋_GB2312" w:cs="仿宋_GB2312"/>
                <w:lang w:val="en-US" w:eastAsia="zh-CN"/>
              </w:rPr>
              <w:t>18.5</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未及时缴纳社会保险，结转到次年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50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lang w:val="en-US"/>
              </w:rPr>
            </w:pPr>
            <w:r>
              <w:rPr>
                <w:rFonts w:hint="eastAsia" w:ascii="仿宋_GB2312" w:hAnsi="仿宋_GB2312" w:eastAsia="仿宋_GB2312" w:cs="仿宋_GB2312"/>
                <w:lang w:val="en-US" w:eastAsia="zh-CN"/>
              </w:rPr>
              <w:t>96</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评价结论</w:t>
            </w:r>
          </w:p>
        </w:tc>
        <w:tc>
          <w:tcPr>
            <w:tcW w:w="92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保障工资及时发放、足额发放，预算编制科学合理，减少结余资金，2022年计划发放公务员共15人工资，执行率96.37%，未超出预算。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存在问题</w:t>
            </w:r>
          </w:p>
        </w:tc>
        <w:tc>
          <w:tcPr>
            <w:tcW w:w="92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预算编制细化程度还不够，相关社保缴纳不及时。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改进措施</w:t>
            </w:r>
          </w:p>
        </w:tc>
        <w:tc>
          <w:tcPr>
            <w:tcW w:w="92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保证资金使用管理的规范性、安全性和有效性，提高财政资金使用效率。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26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项目负责人：王佩成</w:t>
            </w:r>
          </w:p>
        </w:tc>
        <w:tc>
          <w:tcPr>
            <w:tcW w:w="45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财务负责人：王伟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245"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4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509"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463"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813"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p>
            <w:pPr>
              <w:rPr>
                <w:rFonts w:hint="eastAsia" w:ascii="仿宋_GB2312" w:hAnsi="仿宋_GB2312" w:eastAsia="仿宋_GB2312" w:cs="仿宋_GB2312"/>
              </w:rPr>
            </w:pPr>
          </w:p>
        </w:tc>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84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144"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项目名称</w:t>
            </w:r>
          </w:p>
        </w:tc>
        <w:tc>
          <w:tcPr>
            <w:tcW w:w="797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51000021R000000019952-其他人员支出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主管部门</w:t>
            </w:r>
          </w:p>
        </w:tc>
        <w:tc>
          <w:tcPr>
            <w:tcW w:w="48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中共广元市委群众工作局部门</w:t>
            </w:r>
          </w:p>
        </w:tc>
        <w:tc>
          <w:tcPr>
            <w:tcW w:w="846" w:type="dxa"/>
            <w:tcBorders>
              <w:top w:val="nil"/>
              <w:left w:val="nil"/>
              <w:bottom w:val="nil"/>
              <w:right w:val="nil"/>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实施单位 （盖章）</w:t>
            </w:r>
          </w:p>
        </w:tc>
        <w:tc>
          <w:tcPr>
            <w:tcW w:w="2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中共广元市委群众工作局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项目基本情况</w:t>
            </w:r>
          </w:p>
        </w:tc>
        <w:tc>
          <w:tcPr>
            <w:tcW w:w="12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1.项目年度目标完成情况</w:t>
            </w:r>
          </w:p>
        </w:tc>
        <w:tc>
          <w:tcPr>
            <w:tcW w:w="48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项目年度目标</w:t>
            </w:r>
          </w:p>
        </w:tc>
        <w:tc>
          <w:tcPr>
            <w:tcW w:w="31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48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按照人才引进要求落实每月500元补贴。</w:t>
            </w:r>
          </w:p>
        </w:tc>
        <w:tc>
          <w:tcPr>
            <w:tcW w:w="31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按规定发放到位。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2.项目实施内容及过程概述</w:t>
            </w:r>
          </w:p>
        </w:tc>
        <w:tc>
          <w:tcPr>
            <w:tcW w:w="797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根据市委市政府人才引进计划，已向引进人才发放全年0.6万元人才引进补助。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预算执行情况（10分）</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年度预算数（万元）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年初预算</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调整后预算数</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预算执行数</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得分</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总额</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0.60</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0.60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其中：财政资金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0.60</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0.60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财政专户管理资金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单位资金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其他资金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绩效指标（90分）</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一级指标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二级指标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三级指标</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指标性质</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指标值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度量单位</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得分</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产出指标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数量指标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引进人数</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人</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质量指标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按时支付率</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时效指标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完成时限</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成本指标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所需金额</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0.6</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万元</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效益指标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社会效益指标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人才重视度</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96%</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满意度指标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服务对象满意度指标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满意度</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50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评价结论</w:t>
            </w:r>
          </w:p>
        </w:tc>
        <w:tc>
          <w:tcPr>
            <w:tcW w:w="92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按人才引进的要求落实补贴发放，执行率100%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存在问题</w:t>
            </w:r>
          </w:p>
        </w:tc>
        <w:tc>
          <w:tcPr>
            <w:tcW w:w="92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改进措施</w:t>
            </w:r>
          </w:p>
        </w:tc>
        <w:tc>
          <w:tcPr>
            <w:tcW w:w="92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26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项目负责人：何晓芳</w:t>
            </w:r>
          </w:p>
        </w:tc>
        <w:tc>
          <w:tcPr>
            <w:tcW w:w="45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财务负责人：王伟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245"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4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509"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463"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813"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84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144"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项目名称</w:t>
            </w:r>
          </w:p>
        </w:tc>
        <w:tc>
          <w:tcPr>
            <w:tcW w:w="797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51000021R000000019956-离退休费支出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主管部门</w:t>
            </w:r>
          </w:p>
        </w:tc>
        <w:tc>
          <w:tcPr>
            <w:tcW w:w="48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中共广元市委群众工作局部门</w:t>
            </w:r>
          </w:p>
        </w:tc>
        <w:tc>
          <w:tcPr>
            <w:tcW w:w="846" w:type="dxa"/>
            <w:tcBorders>
              <w:top w:val="nil"/>
              <w:left w:val="nil"/>
              <w:bottom w:val="nil"/>
              <w:right w:val="nil"/>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实施单位 （盖章）</w:t>
            </w:r>
          </w:p>
        </w:tc>
        <w:tc>
          <w:tcPr>
            <w:tcW w:w="2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中共广元市委群众工作局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项目基本情况</w:t>
            </w:r>
          </w:p>
        </w:tc>
        <w:tc>
          <w:tcPr>
            <w:tcW w:w="12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1.项目年度目标完成情况</w:t>
            </w:r>
          </w:p>
        </w:tc>
        <w:tc>
          <w:tcPr>
            <w:tcW w:w="48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项目年度目标</w:t>
            </w:r>
          </w:p>
        </w:tc>
        <w:tc>
          <w:tcPr>
            <w:tcW w:w="31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48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保障退休干部补贴足额发放，预算编制科学合理，减少结余资金。</w:t>
            </w:r>
          </w:p>
        </w:tc>
        <w:tc>
          <w:tcPr>
            <w:tcW w:w="31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2022年已完成退休干部补助正常发放。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2.项目实施内容及过程概述</w:t>
            </w:r>
          </w:p>
        </w:tc>
        <w:tc>
          <w:tcPr>
            <w:tcW w:w="797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按月及时足额向退休干部发放补助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预算执行情况（10分）</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年度预算数（万元）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年初预算</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调整后预算数</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预算执行数</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得分</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总额</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8.40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8.40</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8.40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其中：财政资金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8.40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8.40</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8.40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财政专户管理资金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单位资金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其他资金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绩效指标（90分）</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一级指标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二级指标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三级指标</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指标性质</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指标值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度量单位</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得分</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产出指标</w:t>
            </w:r>
          </w:p>
        </w:tc>
        <w:tc>
          <w:tcPr>
            <w:tcW w:w="14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数量指标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科目调整次数</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次</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22.5</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4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足额保障率</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22.5</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时效指标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按时发放率</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22.5</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效益指标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经济效益指标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结余率（计算方法为：结余数/预算数）</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lang w:val="en-US"/>
              </w:rPr>
            </w:pPr>
            <w:r>
              <w:rPr>
                <w:rFonts w:hint="eastAsia" w:ascii="仿宋_GB2312" w:hAnsi="仿宋_GB2312" w:eastAsia="仿宋_GB2312" w:cs="仿宋_GB2312"/>
                <w:lang w:val="en-US" w:eastAsia="zh-CN"/>
              </w:rPr>
              <w:t>1%</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22.5</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50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评价结论</w:t>
            </w:r>
          </w:p>
        </w:tc>
        <w:tc>
          <w:tcPr>
            <w:tcW w:w="92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按时足额向退休干部发放补助，执行率100%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存在问题</w:t>
            </w:r>
          </w:p>
        </w:tc>
        <w:tc>
          <w:tcPr>
            <w:tcW w:w="92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改进措施</w:t>
            </w:r>
          </w:p>
        </w:tc>
        <w:tc>
          <w:tcPr>
            <w:tcW w:w="92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26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项目负责人：王佩成</w:t>
            </w:r>
          </w:p>
        </w:tc>
        <w:tc>
          <w:tcPr>
            <w:tcW w:w="45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财务负责人：王伟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245"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4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509"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p>
            <w:pPr>
              <w:rPr>
                <w:rFonts w:hint="eastAsia" w:ascii="仿宋_GB2312" w:hAnsi="仿宋_GB2312" w:eastAsia="仿宋_GB2312" w:cs="仿宋_GB2312"/>
              </w:rPr>
            </w:pPr>
          </w:p>
          <w:p>
            <w:pPr>
              <w:rPr>
                <w:rFonts w:hint="eastAsia" w:ascii="仿宋_GB2312" w:hAnsi="仿宋_GB2312" w:eastAsia="仿宋_GB2312" w:cs="仿宋_GB2312"/>
              </w:rPr>
            </w:pPr>
          </w:p>
        </w:tc>
        <w:tc>
          <w:tcPr>
            <w:tcW w:w="463"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813"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84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144"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项目名称</w:t>
            </w:r>
          </w:p>
        </w:tc>
        <w:tc>
          <w:tcPr>
            <w:tcW w:w="797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51000021Y000000011490-定额公用经费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主管部门</w:t>
            </w:r>
          </w:p>
        </w:tc>
        <w:tc>
          <w:tcPr>
            <w:tcW w:w="48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中共广元市委群众工作局部门</w:t>
            </w:r>
          </w:p>
        </w:tc>
        <w:tc>
          <w:tcPr>
            <w:tcW w:w="846" w:type="dxa"/>
            <w:tcBorders>
              <w:top w:val="nil"/>
              <w:left w:val="nil"/>
              <w:bottom w:val="nil"/>
              <w:right w:val="nil"/>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实施单位 （盖章）</w:t>
            </w:r>
          </w:p>
        </w:tc>
        <w:tc>
          <w:tcPr>
            <w:tcW w:w="2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中共广元市委群众工作局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项目基本情况</w:t>
            </w:r>
          </w:p>
        </w:tc>
        <w:tc>
          <w:tcPr>
            <w:tcW w:w="12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1.项目年度目标完成情况</w:t>
            </w:r>
          </w:p>
        </w:tc>
        <w:tc>
          <w:tcPr>
            <w:tcW w:w="48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项目年度目标</w:t>
            </w:r>
          </w:p>
        </w:tc>
        <w:tc>
          <w:tcPr>
            <w:tcW w:w="31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48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保障单位日常运转，开展基本工作、维持正常运转所需经费，用于办公费、印刷费、差旅费、邮电费、办公设备购置、接待费等。</w:t>
            </w:r>
          </w:p>
        </w:tc>
        <w:tc>
          <w:tcPr>
            <w:tcW w:w="31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按照财务管理要求支付机关办公和日常运行所需的费用。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2.项目实施内容及过程概述</w:t>
            </w:r>
          </w:p>
        </w:tc>
        <w:tc>
          <w:tcPr>
            <w:tcW w:w="797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2022年度支付办公费、印刷费、差旅费、邮电费、办公设备购置等，对日常办公提供经费保障，保障机关正常运转。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预算执行情况（10分）</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年度预算数（万元）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年初预算</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调整后预算数</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预算执行数</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得分</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总额</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21.00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20.58</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20.57</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其中：财政资金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21.00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20.58</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20.57</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财政专户管理资金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单位资金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其他资金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绩效指标（90分）</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一级指标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二级指标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三级指标</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指标性质</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指标值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度量单位</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得分</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产出指标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数量指标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科目调整次数</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次</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22.5</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质量指标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预算编制准确率（计算方法为：∣（执行数-预算数）/预算数∣）</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lang w:val="en-US"/>
              </w:rPr>
            </w:pPr>
            <w:r>
              <w:rPr>
                <w:rFonts w:hint="eastAsia" w:ascii="仿宋_GB2312" w:hAnsi="仿宋_GB2312" w:eastAsia="仿宋_GB2312" w:cs="仿宋_GB2312"/>
                <w:lang w:val="en-US" w:eastAsia="zh-CN"/>
              </w:rPr>
              <w:t>1%</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22.5</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效益指标</w:t>
            </w:r>
          </w:p>
        </w:tc>
        <w:tc>
          <w:tcPr>
            <w:tcW w:w="14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经济效益指标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运转保障率</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22.5</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4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“三公经费”控制率[计算方法为：（三公经费实际支出数/预算安排数]×100%）</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22.5</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50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评价结论</w:t>
            </w:r>
          </w:p>
        </w:tc>
        <w:tc>
          <w:tcPr>
            <w:tcW w:w="92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对机关日常工作运转的办公费、差旅费、水电费、办公耗材、电话费、网络费、报刊订阅、政府采购等必要支出，为全局工作正常运转提供了保障。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存在问题</w:t>
            </w:r>
          </w:p>
        </w:tc>
        <w:tc>
          <w:tcPr>
            <w:tcW w:w="92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科目预算细化不够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改进措施</w:t>
            </w:r>
          </w:p>
        </w:tc>
        <w:tc>
          <w:tcPr>
            <w:tcW w:w="92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继续完善相关制度，强化项目实施过程的管理和监督。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26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项目负责人：王佩成</w:t>
            </w:r>
          </w:p>
        </w:tc>
        <w:tc>
          <w:tcPr>
            <w:tcW w:w="45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财务负责人：王伟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245"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4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509"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463"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813"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84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144"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项目名称</w:t>
            </w:r>
          </w:p>
        </w:tc>
        <w:tc>
          <w:tcPr>
            <w:tcW w:w="797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51080021T000000054640-信访远程视频服务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主管部门</w:t>
            </w:r>
          </w:p>
        </w:tc>
        <w:tc>
          <w:tcPr>
            <w:tcW w:w="48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中共广元市委群众工作局部门</w:t>
            </w:r>
          </w:p>
        </w:tc>
        <w:tc>
          <w:tcPr>
            <w:tcW w:w="846" w:type="dxa"/>
            <w:tcBorders>
              <w:top w:val="nil"/>
              <w:left w:val="nil"/>
              <w:bottom w:val="nil"/>
              <w:right w:val="nil"/>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实施单位 （盖章）</w:t>
            </w:r>
          </w:p>
        </w:tc>
        <w:tc>
          <w:tcPr>
            <w:tcW w:w="2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中共广元市委群众工作局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项目基本情况</w:t>
            </w:r>
          </w:p>
        </w:tc>
        <w:tc>
          <w:tcPr>
            <w:tcW w:w="12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1.项目年度目标完成情况</w:t>
            </w:r>
          </w:p>
        </w:tc>
        <w:tc>
          <w:tcPr>
            <w:tcW w:w="48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项目年度目标</w:t>
            </w:r>
          </w:p>
        </w:tc>
        <w:tc>
          <w:tcPr>
            <w:tcW w:w="31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83"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48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 xml:space="preserve">联通国家、省、市、县信访部门，实现会议、培训、接访会商、应急调度等工作应用；支付市本级信访视频系统使用费；确保远程视频接访工作顺利开展；确保“国家、省、市、县”四级视频会议、业务培训等链接畅通；对损坏设备进行维修、维护、更换。                                                           </w:t>
            </w:r>
          </w:p>
        </w:tc>
        <w:tc>
          <w:tcPr>
            <w:tcW w:w="31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信访远程视频系统正常运行，保证了上下联通顺畅。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2.项目实施内容及过程概述</w:t>
            </w:r>
          </w:p>
        </w:tc>
        <w:tc>
          <w:tcPr>
            <w:tcW w:w="797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通过项目实施实现了“让数据多跑腿、群众少跑路”，方便群众足不出户实现远程视频信访，领导接访下访。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预算执行情况（10分）</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年度预算数（万元）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年初预算</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调整后预算数</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预算执行数</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得分</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总额</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10.58</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10.58</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10.58</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其中：财政资金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10.58</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10.58</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10.58</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财政专户管理资金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单位资金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其他资金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绩效指标（90分）</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一级指标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二级指标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三级指标</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指标性质</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指标值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度量单位</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得分</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产出指标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数量指标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使用数量</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质量指标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运行情况</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时效指标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合同时间</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成本指标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费用成本</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10.58</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万元</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效益指标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社会效益指标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信访远程接待</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可持续发展指标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会议、培训保障</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满意度指标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服务对象满意度指标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群众满意度</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50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评价结论</w:t>
            </w:r>
          </w:p>
        </w:tc>
        <w:tc>
          <w:tcPr>
            <w:tcW w:w="92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通过信访远程视频的实施，联通了国家、省、市、县四级，在2022年疫情期间实现了信访远程会商、接待，促进了群众越级走访的下降。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存在问题</w:t>
            </w:r>
          </w:p>
        </w:tc>
        <w:tc>
          <w:tcPr>
            <w:tcW w:w="92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该系统使用年限近9年，部分设施设备老化个别县区维护更换不及时，导致传输效果欠佳。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改进措施</w:t>
            </w:r>
          </w:p>
        </w:tc>
        <w:tc>
          <w:tcPr>
            <w:tcW w:w="92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对全市系统进行一次维护和更新摸排，及时改善运行情况。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26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项目负责人：何晓芳</w:t>
            </w:r>
          </w:p>
        </w:tc>
        <w:tc>
          <w:tcPr>
            <w:tcW w:w="45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财务负责人：王伟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245"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4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509"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463"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813"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84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144"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项目名称</w:t>
            </w:r>
          </w:p>
        </w:tc>
        <w:tc>
          <w:tcPr>
            <w:tcW w:w="797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51080021T000000054659-投融资理财非法集资工作经费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主管部门</w:t>
            </w:r>
          </w:p>
        </w:tc>
        <w:tc>
          <w:tcPr>
            <w:tcW w:w="48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中共广元市委群众工作局部门</w:t>
            </w:r>
          </w:p>
        </w:tc>
        <w:tc>
          <w:tcPr>
            <w:tcW w:w="846" w:type="dxa"/>
            <w:tcBorders>
              <w:top w:val="nil"/>
              <w:left w:val="nil"/>
              <w:bottom w:val="nil"/>
              <w:right w:val="nil"/>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实施单位 （盖章）</w:t>
            </w:r>
          </w:p>
        </w:tc>
        <w:tc>
          <w:tcPr>
            <w:tcW w:w="2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中共广元市委群众工作局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项目基本情况</w:t>
            </w:r>
          </w:p>
        </w:tc>
        <w:tc>
          <w:tcPr>
            <w:tcW w:w="12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1.项目年度目标完成情况</w:t>
            </w:r>
          </w:p>
        </w:tc>
        <w:tc>
          <w:tcPr>
            <w:tcW w:w="48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项目年度目标</w:t>
            </w:r>
          </w:p>
        </w:tc>
        <w:tc>
          <w:tcPr>
            <w:tcW w:w="31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48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防范和处置非法集资宣传，日常工作开展经费支出。</w:t>
            </w:r>
          </w:p>
        </w:tc>
        <w:tc>
          <w:tcPr>
            <w:tcW w:w="31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完成非法集资宣传资料印制和开展宣传工作，对非法集资开展追讨协调等工作。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2.项目实施内容及过程概述</w:t>
            </w:r>
          </w:p>
        </w:tc>
        <w:tc>
          <w:tcPr>
            <w:tcW w:w="797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印制宣传资料2万份开展宣传工作8次，召开协调会议12次，接待来访群众700余人次。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预算执行情况（10分）</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年度预算数（万元）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年初预算</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调整后预算数</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预算执行数</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得分</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总额</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6.00</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6.00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其中：财政资金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6.00</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6.00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财政专户管理资金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单位资金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其他资金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绩效指标（90分）</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一级指标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二级指标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三级指标</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指标性质</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指标值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度量单位</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得分</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产出指标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数量指标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涉及非法融资公司</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11</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家</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11</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产出指标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数量指标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涉及非法融资项目</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7</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7</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产出指标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时效指标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完成时限</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效益指标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可持续影响指标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损失挽回率</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16%</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产出指标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成本指标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费用成本</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6</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万元</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6</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满意度指标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服务对象满意度指标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群众满意率</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50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评价结论</w:t>
            </w:r>
          </w:p>
        </w:tc>
        <w:tc>
          <w:tcPr>
            <w:tcW w:w="92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广泛的宣传了非法集资和投融资理财的惯用手段、危害、注意事项，提高了我市群众防范能力，有效避免了群众上当受骗。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存在问题</w:t>
            </w:r>
          </w:p>
        </w:tc>
        <w:tc>
          <w:tcPr>
            <w:tcW w:w="92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教育宣传形式单一，多样化不够。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改进措施</w:t>
            </w:r>
          </w:p>
        </w:tc>
        <w:tc>
          <w:tcPr>
            <w:tcW w:w="92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采用更丰富的形式，加强对群众的宣传和教育。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26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项目负责人：王佩成</w:t>
            </w:r>
          </w:p>
        </w:tc>
        <w:tc>
          <w:tcPr>
            <w:tcW w:w="45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财务负责人：王伟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245"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4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509"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463"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813"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84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144"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项目名称</w:t>
            </w:r>
          </w:p>
        </w:tc>
        <w:tc>
          <w:tcPr>
            <w:tcW w:w="797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51080021T000000054781-信维稳信息费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主管部门</w:t>
            </w:r>
          </w:p>
        </w:tc>
        <w:tc>
          <w:tcPr>
            <w:tcW w:w="48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中共广元市委群众工作局部门</w:t>
            </w:r>
          </w:p>
        </w:tc>
        <w:tc>
          <w:tcPr>
            <w:tcW w:w="846" w:type="dxa"/>
            <w:tcBorders>
              <w:top w:val="nil"/>
              <w:left w:val="nil"/>
              <w:bottom w:val="nil"/>
              <w:right w:val="nil"/>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实施单位 （盖章）</w:t>
            </w:r>
          </w:p>
        </w:tc>
        <w:tc>
          <w:tcPr>
            <w:tcW w:w="2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中共广元市委群众工作局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项目基本情况</w:t>
            </w:r>
          </w:p>
        </w:tc>
        <w:tc>
          <w:tcPr>
            <w:tcW w:w="12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1.项目年度目标完成情况</w:t>
            </w:r>
          </w:p>
        </w:tc>
        <w:tc>
          <w:tcPr>
            <w:tcW w:w="48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项目年度目标</w:t>
            </w:r>
          </w:p>
        </w:tc>
        <w:tc>
          <w:tcPr>
            <w:tcW w:w="31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48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开通信访信息系统全市信访办理过程中及时受理、按期办理、群众满意度评价等数据分析；支付全国信访信息系统、书记市长信息、网投等平台运维费。</w:t>
            </w:r>
          </w:p>
        </w:tc>
        <w:tc>
          <w:tcPr>
            <w:tcW w:w="31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2022年按时支付平台费用，无拖欠情况。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2.项目实施内容及过程概述</w:t>
            </w:r>
          </w:p>
        </w:tc>
        <w:tc>
          <w:tcPr>
            <w:tcW w:w="797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按照合同约定运维公司做好平台维护，我单位及时支付费用。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预算执行情况（10分）</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年度预算数（万元）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年初预算</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调整后预算数</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预算执行数</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得分</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总额</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7.63</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7.63</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7.63</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其中：财政资金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7.63</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7.63</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7.63</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财政专户管理资金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单位资金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其他资金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绩效指标（90分）</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一级指标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二级指标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三级指标</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指标性质</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指标值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度量单位</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得分</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产出指标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数量指标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运维平台</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3</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3</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质量指标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运行保障率</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时效指标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完成时限</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安全指标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信息保密率</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效益指标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社会效益指标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群众便捷使用</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97%</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可持续发展指标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信访部门机构使用</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满意度指标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服务对象满意度指标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群众满意率</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9600%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50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评价结论</w:t>
            </w:r>
          </w:p>
        </w:tc>
        <w:tc>
          <w:tcPr>
            <w:tcW w:w="92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通过信访维稳信息费项目实施，保障了信访投诉平台稳定、安全、保密的运行，使全市群众来访进入到系统和平台，实现了永久保存信访信息，自动进行来访领域分析。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存在问题</w:t>
            </w:r>
          </w:p>
        </w:tc>
        <w:tc>
          <w:tcPr>
            <w:tcW w:w="92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市、县信访部门使用、录入、网上流转办理信访件较多，其他信访机构及乡镇还停留在口头答复的情况，造成信访事项未进入系统，信访人在走访过程中信访部门查无记录。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改进措施</w:t>
            </w:r>
          </w:p>
        </w:tc>
        <w:tc>
          <w:tcPr>
            <w:tcW w:w="92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加强对群众来访应录尽录的要求。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26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项目负责人：李田松</w:t>
            </w:r>
          </w:p>
        </w:tc>
        <w:tc>
          <w:tcPr>
            <w:tcW w:w="45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财务负责人：王伟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245"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4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509"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463"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813"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84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144"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项目名称</w:t>
            </w:r>
          </w:p>
        </w:tc>
        <w:tc>
          <w:tcPr>
            <w:tcW w:w="797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51080021T000000054812-特殊疑难信访资金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主管部门</w:t>
            </w:r>
          </w:p>
        </w:tc>
        <w:tc>
          <w:tcPr>
            <w:tcW w:w="48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中共广元市委群众工作局部门</w:t>
            </w:r>
          </w:p>
        </w:tc>
        <w:tc>
          <w:tcPr>
            <w:tcW w:w="846" w:type="dxa"/>
            <w:tcBorders>
              <w:top w:val="nil"/>
              <w:left w:val="nil"/>
              <w:bottom w:val="nil"/>
              <w:right w:val="nil"/>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实施单位 （盖章）</w:t>
            </w:r>
          </w:p>
        </w:tc>
        <w:tc>
          <w:tcPr>
            <w:tcW w:w="2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中共广元市委群众工作局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项目基本情况</w:t>
            </w:r>
          </w:p>
        </w:tc>
        <w:tc>
          <w:tcPr>
            <w:tcW w:w="12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1.项目年度目标完成情况</w:t>
            </w:r>
          </w:p>
        </w:tc>
        <w:tc>
          <w:tcPr>
            <w:tcW w:w="48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项目年度目标</w:t>
            </w:r>
          </w:p>
        </w:tc>
        <w:tc>
          <w:tcPr>
            <w:tcW w:w="31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8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48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开展到省、进京疑难信访事项化解工作，确保到省、进京信访老户逐步化解，2022年省考核低于下达指标数；召开信访听证会，邀请专家、居民代表、当事人对难以息访息诉的信访事项进行听证支付误工报酬、咨询费等；用于解决“三跨三分离”特殊信访事项的解决。</w:t>
            </w:r>
          </w:p>
        </w:tc>
        <w:tc>
          <w:tcPr>
            <w:tcW w:w="31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2022年化解信访疑难案件3件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2.项目实施内容及过程概述</w:t>
            </w:r>
          </w:p>
        </w:tc>
        <w:tc>
          <w:tcPr>
            <w:tcW w:w="797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通过项目实确定年度信访疑难案件化解数，开展疑难信访事项的化解工作。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预算执行情况（10分）</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年度预算数（万元）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年初预算</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调整后预算数</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预算执行数</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得分</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总额</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4.50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4.50</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4.50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其中：财政资金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4.50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4.50</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4.50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财政专户管理资金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单位资金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其他资金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绩效指标（90分）</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一级指标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二级指标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三级指标</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指标性质</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指标值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度量单位</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得分</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产出指标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数量指标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化解数量</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3</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案件数</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3</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质量指标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化解质量</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时效指标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完成时限</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成本指标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成本费用</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4.5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万元</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4.5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效益指标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社会效益指标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信访老户减少</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17%</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可持续发展指标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上级考核</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名</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满意度指标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服务对象满意度指标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满意率</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91%</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50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评价结论</w:t>
            </w:r>
          </w:p>
        </w:tc>
        <w:tc>
          <w:tcPr>
            <w:tcW w:w="92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通过项目实施完成了既定的疑难案件专项化解。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存在问题</w:t>
            </w:r>
          </w:p>
        </w:tc>
        <w:tc>
          <w:tcPr>
            <w:tcW w:w="92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在化解时间计划上所用时限较长，个别案件超过3个月。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改进措施</w:t>
            </w:r>
          </w:p>
        </w:tc>
        <w:tc>
          <w:tcPr>
            <w:tcW w:w="92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制定好化解时间，在规定的时间内完成化解工作。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26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项目负责人：杨小麟</w:t>
            </w:r>
          </w:p>
        </w:tc>
        <w:tc>
          <w:tcPr>
            <w:tcW w:w="45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财务负责人：王伟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245"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4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509"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463"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813"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84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144"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项目名称</w:t>
            </w:r>
          </w:p>
        </w:tc>
        <w:tc>
          <w:tcPr>
            <w:tcW w:w="797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51080021T000000054850-法律顾问费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主管部门</w:t>
            </w:r>
          </w:p>
        </w:tc>
        <w:tc>
          <w:tcPr>
            <w:tcW w:w="48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中共广元市委群众工作局部门</w:t>
            </w:r>
          </w:p>
        </w:tc>
        <w:tc>
          <w:tcPr>
            <w:tcW w:w="846" w:type="dxa"/>
            <w:tcBorders>
              <w:top w:val="nil"/>
              <w:left w:val="nil"/>
              <w:bottom w:val="nil"/>
              <w:right w:val="nil"/>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实施单位 （盖章）</w:t>
            </w:r>
          </w:p>
        </w:tc>
        <w:tc>
          <w:tcPr>
            <w:tcW w:w="2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中共广元市委群众工作局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项目基本情况</w:t>
            </w:r>
          </w:p>
        </w:tc>
        <w:tc>
          <w:tcPr>
            <w:tcW w:w="12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1.项目年度目标完成情况</w:t>
            </w:r>
          </w:p>
        </w:tc>
        <w:tc>
          <w:tcPr>
            <w:tcW w:w="48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项目年度目标</w:t>
            </w:r>
          </w:p>
        </w:tc>
        <w:tc>
          <w:tcPr>
            <w:tcW w:w="31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6"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48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聘用法律顾问，开展律师参与信访工作，领导信访接待日群众来访接待工作，为接访领导提供法律意见；在信访场所为涉法涉诉信访事项解答法律问题；其他信访事项处置协调过程中需要支付的律师费。</w:t>
            </w:r>
          </w:p>
        </w:tc>
        <w:tc>
          <w:tcPr>
            <w:tcW w:w="31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聘用律师1名，在信访场所设立法律咨询室解答涉法涉诉信访事项，引导司法渠道解决涉法问题。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2.项目实施内容及过程概述</w:t>
            </w:r>
          </w:p>
        </w:tc>
        <w:tc>
          <w:tcPr>
            <w:tcW w:w="797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全年律师参与信访接待87天，解答涉法涉诉群众来访800余人次，参与信访协调会议涉法问题6场次，按协议支付费用2.7万元。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预算执行情况（10分）</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年度预算数（万元）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年初预算</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调整后预算数</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预算执行数</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得分</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总额</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2.70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2.70</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2.70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其中：财政资金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2.70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2.70</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2.70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财政专户管理资金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单位资金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其他资金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绩效指标（90分）</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一级指标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二级指标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三级指标</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指标性质</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指标值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度量单位</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得分</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产出指标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数量指标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服务数量</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70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天</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87</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质量指标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服务质量</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96%</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时效指标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服务时限</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成本指标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成本费用</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2.7</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万元</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2.7</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效益指标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社会效益指标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诉访分离</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30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39%</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可持续发展指标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涉法涉诉来访下降</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21%</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满意度指标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服务对象满意度指标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信访事项处理群众满意率</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80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50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评价结论</w:t>
            </w:r>
          </w:p>
        </w:tc>
        <w:tc>
          <w:tcPr>
            <w:tcW w:w="92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通过项目实现，涉法涉诉群众来访得到专业的法律解答，将涉法涉诉的信访问题，引导到司法途径依法进行解决。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存在问题</w:t>
            </w:r>
          </w:p>
        </w:tc>
        <w:tc>
          <w:tcPr>
            <w:tcW w:w="92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一是个别群众法律意识淡薄，将诉求还是寄托于信访解决；二是个别群众认为打官司费时、费力、费钱，不原因通过司法解决。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改进措施</w:t>
            </w:r>
          </w:p>
        </w:tc>
        <w:tc>
          <w:tcPr>
            <w:tcW w:w="92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选择有效的律师，耐心做好涉法群众引导和法律解释，做好信访受理范围宣传。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26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项目负责人：杨小麟</w:t>
            </w:r>
          </w:p>
        </w:tc>
        <w:tc>
          <w:tcPr>
            <w:tcW w:w="45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财务负责人：王伟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245"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4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509"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463"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813"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84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144"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项目名称</w:t>
            </w:r>
          </w:p>
        </w:tc>
        <w:tc>
          <w:tcPr>
            <w:tcW w:w="797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51080021Y000000176770-其他公用经费（福利、工会、公车补贴、党建、退休活动）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主管部门</w:t>
            </w:r>
          </w:p>
        </w:tc>
        <w:tc>
          <w:tcPr>
            <w:tcW w:w="48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中共广元市委群众工作局部门</w:t>
            </w:r>
          </w:p>
        </w:tc>
        <w:tc>
          <w:tcPr>
            <w:tcW w:w="846" w:type="dxa"/>
            <w:tcBorders>
              <w:top w:val="nil"/>
              <w:left w:val="nil"/>
              <w:bottom w:val="nil"/>
              <w:right w:val="nil"/>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实施单位 （盖章）</w:t>
            </w:r>
          </w:p>
        </w:tc>
        <w:tc>
          <w:tcPr>
            <w:tcW w:w="2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中共广元市委群众工作局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项目基本情况</w:t>
            </w:r>
          </w:p>
        </w:tc>
        <w:tc>
          <w:tcPr>
            <w:tcW w:w="12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1.项目年度目标完成情况</w:t>
            </w:r>
          </w:p>
        </w:tc>
        <w:tc>
          <w:tcPr>
            <w:tcW w:w="48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项目年度目标</w:t>
            </w:r>
          </w:p>
        </w:tc>
        <w:tc>
          <w:tcPr>
            <w:tcW w:w="31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48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保障单位日常运转，提高预算编制质量，严格执行预算。</w:t>
            </w:r>
          </w:p>
        </w:tc>
        <w:tc>
          <w:tcPr>
            <w:tcW w:w="31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2022年完成福利、工会、公务员车补、党建、退休人员活动等经费的支出。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2.项目实施内容及过程概述</w:t>
            </w:r>
          </w:p>
        </w:tc>
        <w:tc>
          <w:tcPr>
            <w:tcW w:w="797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按月支付公务员车补，落实支付福利工会支付；支付党员教育、退休干部活动等费用支出。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预算执行情况（10分）</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年度预算数（万元）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年初预算</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调整后预算数</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预算执行数</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得分</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总额</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18.75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18.75</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18.75</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其中：财政资金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18.75</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18.75</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18.75</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财政专户管理资金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单位资金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其他资金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绩效指标（90分）</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一级指标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二级指标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三级指标</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指标性质</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指标值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度量单位</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得分</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产出指标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数量指标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科目调整次数</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次</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22.5</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质量指标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预算编制准确率（计算方法为：∣（执行数-预算数）/预算数∣）</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lang w:val="en-US"/>
              </w:rPr>
            </w:pPr>
            <w:r>
              <w:rPr>
                <w:rFonts w:hint="eastAsia" w:ascii="仿宋_GB2312" w:hAnsi="仿宋_GB2312" w:eastAsia="仿宋_GB2312" w:cs="仿宋_GB2312"/>
                <w:lang w:val="en-US" w:eastAsia="zh-CN"/>
              </w:rPr>
              <w:t>1%</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22.5</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效益指标</w:t>
            </w:r>
          </w:p>
        </w:tc>
        <w:tc>
          <w:tcPr>
            <w:tcW w:w="14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经济效益指标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“三公经费”控制率[计算方法为：（三公经费实际支出数/预算安排数]×100%）</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22.5</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4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运转保障率</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22.5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22.5</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50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评价结论</w:t>
            </w:r>
          </w:p>
        </w:tc>
        <w:tc>
          <w:tcPr>
            <w:tcW w:w="92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2022年全部完成公务交通补贴、职工福利工会慰问，党员教育绩效目标，按财务要求支付相关费用，执行率100%。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存在问题</w:t>
            </w:r>
          </w:p>
        </w:tc>
        <w:tc>
          <w:tcPr>
            <w:tcW w:w="92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党员教育形式还需要创新提高，退休干部活动组织单一。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改进措施</w:t>
            </w:r>
          </w:p>
        </w:tc>
        <w:tc>
          <w:tcPr>
            <w:tcW w:w="92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进一步做好预算编制，细化号项目实施的细节。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26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项目负责人：毛富勇</w:t>
            </w:r>
          </w:p>
        </w:tc>
        <w:tc>
          <w:tcPr>
            <w:tcW w:w="45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财务负责人：王伟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245"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4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509"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463"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813"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84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144"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项目名称</w:t>
            </w:r>
          </w:p>
        </w:tc>
        <w:tc>
          <w:tcPr>
            <w:tcW w:w="797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51080022T000004919605-乡村振兴工作经费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主管部门</w:t>
            </w:r>
          </w:p>
        </w:tc>
        <w:tc>
          <w:tcPr>
            <w:tcW w:w="48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中共广元市委群众工作局部门</w:t>
            </w:r>
          </w:p>
        </w:tc>
        <w:tc>
          <w:tcPr>
            <w:tcW w:w="846" w:type="dxa"/>
            <w:tcBorders>
              <w:top w:val="nil"/>
              <w:left w:val="nil"/>
              <w:bottom w:val="nil"/>
              <w:right w:val="nil"/>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实施单位 （盖章）</w:t>
            </w:r>
          </w:p>
        </w:tc>
        <w:tc>
          <w:tcPr>
            <w:tcW w:w="2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中共广元市委群众工作局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项目基本情况</w:t>
            </w:r>
          </w:p>
        </w:tc>
        <w:tc>
          <w:tcPr>
            <w:tcW w:w="12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1.项目年度目标完成情况</w:t>
            </w:r>
          </w:p>
        </w:tc>
        <w:tc>
          <w:tcPr>
            <w:tcW w:w="48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项目年度目标</w:t>
            </w:r>
          </w:p>
        </w:tc>
        <w:tc>
          <w:tcPr>
            <w:tcW w:w="31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48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参照扶贫驻村队员的保障要求，解决乡村振兴派驻队员的工作经费。</w:t>
            </w:r>
          </w:p>
        </w:tc>
        <w:tc>
          <w:tcPr>
            <w:tcW w:w="31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向帮扶村派遣常驻工作队员2人，扶持家畜养殖、养蜂等2个项目。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2.项目实施内容及过程概述</w:t>
            </w:r>
          </w:p>
        </w:tc>
        <w:tc>
          <w:tcPr>
            <w:tcW w:w="797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通过项目实施，保证驻村队员经费开支，确定乡村发展项目和计划，提供技术支持，帮助产品销售，实现了村民发展和增收。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预算执行情况（10分）</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年度预算数（万元）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年初预算</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调整后预算数</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预算执行数</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得分</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总额</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3.64</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3.64</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3.64</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其中：财政资金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3.64</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3.64</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3.64</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财政专户管理资金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单位资金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其他资金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绩效指标（90分）</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一级指标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二级指标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三级指标</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指标性质</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指标值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度量单位</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得分</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产出指标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数量指标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月驻村天数</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21</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天</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21</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质量指标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帮扶质量</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96%</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时效指标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完成时限</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成本指标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经费保障</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3.64</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万元</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3.64</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效益指标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可持续发展指标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群众收益指数</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27%</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可持续影响指标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群众增收</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8</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满意度指标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帮扶对象满意度指标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群众满意率</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50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评价结论</w:t>
            </w:r>
          </w:p>
        </w:tc>
        <w:tc>
          <w:tcPr>
            <w:tcW w:w="92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通过项目实施。派遣驻村队员开展乡村振兴帮扶工作，指导和帮助村民建立产业，提供技术咨询，使群众收入增加。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存在问题</w:t>
            </w:r>
          </w:p>
        </w:tc>
        <w:tc>
          <w:tcPr>
            <w:tcW w:w="92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产品销售拓展还不够宽。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改进措施</w:t>
            </w:r>
          </w:p>
        </w:tc>
        <w:tc>
          <w:tcPr>
            <w:tcW w:w="92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想方设法将产品拓宽销售渠道，争取更多资金支持投入到乡村建设中去。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26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项目负责人：李雄明</w:t>
            </w:r>
          </w:p>
        </w:tc>
        <w:tc>
          <w:tcPr>
            <w:tcW w:w="45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财务负责人：王伟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245"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4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509"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463"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813"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84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144"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项目名称</w:t>
            </w:r>
          </w:p>
        </w:tc>
        <w:tc>
          <w:tcPr>
            <w:tcW w:w="797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51080022T000004927863-违法上访处置工作经费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主管部门</w:t>
            </w:r>
          </w:p>
        </w:tc>
        <w:tc>
          <w:tcPr>
            <w:tcW w:w="48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中共广元市委群众工作局部门</w:t>
            </w:r>
          </w:p>
        </w:tc>
        <w:tc>
          <w:tcPr>
            <w:tcW w:w="846" w:type="dxa"/>
            <w:tcBorders>
              <w:top w:val="nil"/>
              <w:left w:val="nil"/>
              <w:bottom w:val="nil"/>
              <w:right w:val="nil"/>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实施单位 （盖章）</w:t>
            </w:r>
          </w:p>
        </w:tc>
        <w:tc>
          <w:tcPr>
            <w:tcW w:w="2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中共广元市委群众工作局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项目基本情况</w:t>
            </w:r>
          </w:p>
        </w:tc>
        <w:tc>
          <w:tcPr>
            <w:tcW w:w="12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1.项目年度目标完成情况</w:t>
            </w:r>
          </w:p>
        </w:tc>
        <w:tc>
          <w:tcPr>
            <w:tcW w:w="48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项目年度目标</w:t>
            </w:r>
          </w:p>
        </w:tc>
        <w:tc>
          <w:tcPr>
            <w:tcW w:w="31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60"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48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对到省、进京非正常上访、集访有效处置和劝返，防止社会不良舆论发生，非正常访下降≤15%。</w:t>
            </w:r>
          </w:p>
        </w:tc>
        <w:tc>
          <w:tcPr>
            <w:tcW w:w="31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信访非访率下降1.33%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2.项目实施内容及过程概述</w:t>
            </w:r>
          </w:p>
        </w:tc>
        <w:tc>
          <w:tcPr>
            <w:tcW w:w="797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通过项目实施，保确保了我市群众到省、进京劝返过程中的经费支出，确保能劝得住返得了。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预算执行情况（10分）</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年度预算数（万元）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年初预算</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调整后预算数</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预算执行数</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得分</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总额</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9.00</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其中：财政资金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9.00</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财政专户管理资金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单位资金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其他资金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绩效指标（90分）</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一级指标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二级指标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三级指标</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指标性质</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指标值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度量单位</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得分</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产出指标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数量指标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上级控制数</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人/次</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质量指标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劝返处置率</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时效指标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完成时限</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成本指标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工作成本</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万元</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效益指标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社会效益指标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依法有序信访</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18%</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可持续发展指标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越级走访减少</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7%</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满意度指标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服务对象满意度指标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群众满意率</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91%</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50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评价结论</w:t>
            </w:r>
          </w:p>
        </w:tc>
        <w:tc>
          <w:tcPr>
            <w:tcW w:w="92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2022年及时对非访、闹访等违法上访行为有效的进行处置，保证了目标任务的完成。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存在问题</w:t>
            </w:r>
          </w:p>
        </w:tc>
        <w:tc>
          <w:tcPr>
            <w:tcW w:w="92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对违法上访行为宣传和教育还不够强。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改进措施</w:t>
            </w:r>
          </w:p>
        </w:tc>
        <w:tc>
          <w:tcPr>
            <w:tcW w:w="92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加强违法上访行为的宣传和教育，引导群众合理、依法信访。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26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项目负责人：罗春蓉</w:t>
            </w:r>
          </w:p>
        </w:tc>
        <w:tc>
          <w:tcPr>
            <w:tcW w:w="45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财务负责人：王伟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245"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4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509"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463"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813"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84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144"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项目名称</w:t>
            </w:r>
          </w:p>
        </w:tc>
        <w:tc>
          <w:tcPr>
            <w:tcW w:w="797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51080022T000004936393-信访值班工作经费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主管部门</w:t>
            </w:r>
          </w:p>
        </w:tc>
        <w:tc>
          <w:tcPr>
            <w:tcW w:w="48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中共广元市委群众工作局部门</w:t>
            </w:r>
          </w:p>
        </w:tc>
        <w:tc>
          <w:tcPr>
            <w:tcW w:w="846" w:type="dxa"/>
            <w:tcBorders>
              <w:top w:val="nil"/>
              <w:left w:val="nil"/>
              <w:bottom w:val="nil"/>
              <w:right w:val="nil"/>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实施单位 （盖章）</w:t>
            </w:r>
          </w:p>
        </w:tc>
        <w:tc>
          <w:tcPr>
            <w:tcW w:w="2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中共广元市委群众工作局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项目基本情况</w:t>
            </w:r>
          </w:p>
        </w:tc>
        <w:tc>
          <w:tcPr>
            <w:tcW w:w="12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1.项目年度目标完成情况</w:t>
            </w:r>
          </w:p>
        </w:tc>
        <w:tc>
          <w:tcPr>
            <w:tcW w:w="48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项目年度目标</w:t>
            </w:r>
          </w:p>
        </w:tc>
        <w:tc>
          <w:tcPr>
            <w:tcW w:w="31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48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解决在信访维稳过程中值班所产生的费用。对到省、进京非访、闹访及群体性上访进行现场劝返、带离等处置。</w:t>
            </w:r>
          </w:p>
        </w:tc>
        <w:tc>
          <w:tcPr>
            <w:tcW w:w="31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信访劝返和处置到进京到省越级上访。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2.项目实施内容及过程概述</w:t>
            </w:r>
          </w:p>
        </w:tc>
        <w:tc>
          <w:tcPr>
            <w:tcW w:w="797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通过经费保障，派驻驻京、驻蓉信访处置工作人员各1名，完成我市群众越级信访的处置。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预算执行情况（10分）</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年度预算数（万元）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年初预算</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调整后预算数</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预算执行数</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得分</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总额</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23.27</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23.27</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23.27</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其中：财政资金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23.27</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23.27</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23.27</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财政专户管理资金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单位资金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其他资金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绩效指标（90分）</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一级指标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二级指标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三级指标</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指标性质</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指标值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度量单位</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得分</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产出指标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数量指标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值班人数</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人/次</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质量指标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处置成功率</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时效指标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完成时限</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成本指标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成本费用</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23.27</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万元</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23.27</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效益指标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社会效益指标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非访减少</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3%</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可持续发展指标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上级非访控制室</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人/次</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12</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满意度指标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服务对象满意度指标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满意率</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50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评价结论</w:t>
            </w:r>
          </w:p>
        </w:tc>
        <w:tc>
          <w:tcPr>
            <w:tcW w:w="92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2022年安排驻蓉、驻京信访值班工作人员各1名，对我市群众越级访开展劝返、对集访进行处置，成功劝返和处置到省137人次，到京48人次。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存在问题</w:t>
            </w:r>
          </w:p>
        </w:tc>
        <w:tc>
          <w:tcPr>
            <w:tcW w:w="92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在值班劝返过程中事涉部门配合力不够。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改进措施</w:t>
            </w:r>
          </w:p>
        </w:tc>
        <w:tc>
          <w:tcPr>
            <w:tcW w:w="92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加强值班过程中与部门的配合。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26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项目负责人：何晓芳</w:t>
            </w:r>
          </w:p>
        </w:tc>
        <w:tc>
          <w:tcPr>
            <w:tcW w:w="45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财务负责人：王伟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245"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4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509"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463"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813"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84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144"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项目名称</w:t>
            </w:r>
          </w:p>
        </w:tc>
        <w:tc>
          <w:tcPr>
            <w:tcW w:w="797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51080022T000006923320-信访接待场所安保经费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主管部门</w:t>
            </w:r>
          </w:p>
        </w:tc>
        <w:tc>
          <w:tcPr>
            <w:tcW w:w="48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中共广元市委群众工作局部门</w:t>
            </w:r>
          </w:p>
        </w:tc>
        <w:tc>
          <w:tcPr>
            <w:tcW w:w="846" w:type="dxa"/>
            <w:tcBorders>
              <w:top w:val="nil"/>
              <w:left w:val="nil"/>
              <w:bottom w:val="nil"/>
              <w:right w:val="nil"/>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实施单位 （盖章）</w:t>
            </w:r>
          </w:p>
        </w:tc>
        <w:tc>
          <w:tcPr>
            <w:tcW w:w="2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中共广元市委群众工作局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项目基本情况</w:t>
            </w:r>
          </w:p>
        </w:tc>
        <w:tc>
          <w:tcPr>
            <w:tcW w:w="12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1.项目年度目标完成情况</w:t>
            </w:r>
          </w:p>
        </w:tc>
        <w:tc>
          <w:tcPr>
            <w:tcW w:w="48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项目年度目标</w:t>
            </w:r>
          </w:p>
        </w:tc>
        <w:tc>
          <w:tcPr>
            <w:tcW w:w="31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48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聘用安保人员3名，维护信访场所秩序，维护接访人员的安全，对突发信访事件进行处置。</w:t>
            </w:r>
          </w:p>
        </w:tc>
        <w:tc>
          <w:tcPr>
            <w:tcW w:w="31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支付聘用安保人员3人费用，使信访有序，来访群众和接访工作人员人身安全得到保障，及时对信访突发事件进行处置。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2.项目实施内容及过程概述</w:t>
            </w:r>
          </w:p>
        </w:tc>
        <w:tc>
          <w:tcPr>
            <w:tcW w:w="797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聘用安保人员3名，按时支付劳务费，维护信访场所秩序，保障来访群众和工作人员人身安全，按合同支付2022年度费用。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预算执行情况（10分）</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年度预算数（万元）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年初预算</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调整后预算数</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预算执行数</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得分</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总额</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9.80</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9.80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其中：财政资金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9.80</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9.80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财政专户管理资金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单位资金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其他资金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绩效指标（90分）</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一级指标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二级指标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三级指标</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指标性质</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指标值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度量单位</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得分</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产出指标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数量指标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聘用人数</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3</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人</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3</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产出指标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时效指标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合同时间</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产出指标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质量指标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服务质量</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产出指标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成本指标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费用成本</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9.8</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万元</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9.8</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效益指标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社会效益指标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突发事件处置率</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93%</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效益指标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可持续影响指标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信访秩序</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满意度指标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服务对象满意度指标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满意率</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50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评价结论</w:t>
            </w:r>
          </w:p>
        </w:tc>
        <w:tc>
          <w:tcPr>
            <w:tcW w:w="92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通过聘用安保人员进驻信访接待场所，规范了信访秩序，对言行过激，突发信访事件有一定遏制，保障了信访群众和接访工作人员的人身安全。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存在问题</w:t>
            </w:r>
          </w:p>
        </w:tc>
        <w:tc>
          <w:tcPr>
            <w:tcW w:w="92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对个体信访群众的过激行为能够有效处置，但是对群体性突发事件处置能力不够，缺乏力量。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改进措施</w:t>
            </w:r>
          </w:p>
        </w:tc>
        <w:tc>
          <w:tcPr>
            <w:tcW w:w="92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加强安保人员技能培训，与派遣公司建立突发性群体事件人员支援机制，保证处置力量充足。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26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项目负责人：何晓芳</w:t>
            </w:r>
          </w:p>
        </w:tc>
        <w:tc>
          <w:tcPr>
            <w:tcW w:w="45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财务负责人：王伟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245"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4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509"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463"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813"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84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144"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项目名称</w:t>
            </w:r>
          </w:p>
        </w:tc>
        <w:tc>
          <w:tcPr>
            <w:tcW w:w="797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51080022T000007276540-人民满意窗口建设项目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主管部门</w:t>
            </w:r>
          </w:p>
        </w:tc>
        <w:tc>
          <w:tcPr>
            <w:tcW w:w="48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中共广元市委群众工作局部门</w:t>
            </w:r>
          </w:p>
        </w:tc>
        <w:tc>
          <w:tcPr>
            <w:tcW w:w="846" w:type="dxa"/>
            <w:tcBorders>
              <w:top w:val="nil"/>
              <w:left w:val="nil"/>
              <w:bottom w:val="nil"/>
              <w:right w:val="nil"/>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实施单位 （盖章）</w:t>
            </w:r>
          </w:p>
        </w:tc>
        <w:tc>
          <w:tcPr>
            <w:tcW w:w="2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中共广元市委群众工作局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项目基本情况</w:t>
            </w:r>
          </w:p>
        </w:tc>
        <w:tc>
          <w:tcPr>
            <w:tcW w:w="12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1.项目年度目标完成情况</w:t>
            </w:r>
          </w:p>
        </w:tc>
        <w:tc>
          <w:tcPr>
            <w:tcW w:w="48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项目年度目标</w:t>
            </w:r>
          </w:p>
        </w:tc>
        <w:tc>
          <w:tcPr>
            <w:tcW w:w="31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48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对信访接待场所进行改造升级，完善接访基础设施建设。</w:t>
            </w:r>
          </w:p>
        </w:tc>
        <w:tc>
          <w:tcPr>
            <w:tcW w:w="31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完成接访大厅改造，采购一批办公设施设备，安装监控系统。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2.项目实施内容及过程概述</w:t>
            </w:r>
          </w:p>
        </w:tc>
        <w:tc>
          <w:tcPr>
            <w:tcW w:w="797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按照标准改造接访大厅400平米，设置接访接谈功能室，完善相关接访设施，安保检测设施，达到接访窗口建设标准。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预算执行情况（10分）</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年度预算数（万元）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年初预算</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调整后预算数</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预算执行数</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得分</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总额</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43.57</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43.55</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99.96%</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其中：财政资金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43.57</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43.55</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99.96%</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财政专户管理资金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单位资金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其他资金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绩效指标（90分）</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一级指标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二级指标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三级指标</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指标性质</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指标值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度量单位</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得分</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产出指标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数量指标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改造场所</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个</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产出指标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时效指标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完成时限</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4</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月</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3</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产出指标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经济成本指标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建设成本</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43.57</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万元</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43.55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产出指标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质量指标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质量合格率</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效益指标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社会效益指标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信访秩序规范</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效益指标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可持续效益指标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信访场所规范</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满意度指标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服务对象满意指标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群众满意率</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50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评价结论</w:t>
            </w:r>
          </w:p>
        </w:tc>
        <w:tc>
          <w:tcPr>
            <w:tcW w:w="92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将原接访场所进行升级改造，设置了接访接谈功能室，完善了安检、监控系统，更换了旧的座椅，使接访场所基础设施完善，信访秩序得到提升。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存在问题</w:t>
            </w:r>
          </w:p>
        </w:tc>
        <w:tc>
          <w:tcPr>
            <w:tcW w:w="92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群众信访未能按照诉求分类选择接待窗口。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改进措施</w:t>
            </w:r>
          </w:p>
        </w:tc>
        <w:tc>
          <w:tcPr>
            <w:tcW w:w="92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引导群众根据诉求不同，选择对口的接访接谈室反映问题。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26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项目负责人：何晓芳</w:t>
            </w:r>
          </w:p>
        </w:tc>
        <w:tc>
          <w:tcPr>
            <w:tcW w:w="45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财务负责人：王伟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245"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4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509"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463"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813"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84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144"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项目名称</w:t>
            </w:r>
          </w:p>
        </w:tc>
        <w:tc>
          <w:tcPr>
            <w:tcW w:w="797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51080022T000007410219-机关办公用房维修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主管部门</w:t>
            </w:r>
          </w:p>
        </w:tc>
        <w:tc>
          <w:tcPr>
            <w:tcW w:w="48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中共广元市委群众工作局部门</w:t>
            </w:r>
          </w:p>
        </w:tc>
        <w:tc>
          <w:tcPr>
            <w:tcW w:w="846" w:type="dxa"/>
            <w:tcBorders>
              <w:top w:val="nil"/>
              <w:left w:val="nil"/>
              <w:bottom w:val="nil"/>
              <w:right w:val="nil"/>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实施单位 （盖章）</w:t>
            </w:r>
          </w:p>
        </w:tc>
        <w:tc>
          <w:tcPr>
            <w:tcW w:w="2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中共广元市委群众工作局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项目基本情况</w:t>
            </w:r>
          </w:p>
        </w:tc>
        <w:tc>
          <w:tcPr>
            <w:tcW w:w="12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1.项目年度目标完成情况</w:t>
            </w:r>
          </w:p>
        </w:tc>
        <w:tc>
          <w:tcPr>
            <w:tcW w:w="48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项目年度目标</w:t>
            </w:r>
          </w:p>
        </w:tc>
        <w:tc>
          <w:tcPr>
            <w:tcW w:w="31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48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对办公用房漏（渗）水、墙体开裂进行修复；对屋顶进行防水处理，对吊顶、地面、线路进行更换。</w:t>
            </w:r>
          </w:p>
        </w:tc>
        <w:tc>
          <w:tcPr>
            <w:tcW w:w="31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完成木质护墙板拆除更换，墙体开裂、渗水修复，地面瓷砖铺设，老旧电路更换，墙面粉刷等。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2.项目实施内容及过程概述</w:t>
            </w:r>
          </w:p>
        </w:tc>
        <w:tc>
          <w:tcPr>
            <w:tcW w:w="797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对机关木质护墙板拆除更换，墙体开裂、渗水修复，地面瓷砖铺设，老旧电路更换，墙面粉刷。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预算执行情况（10分）</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年度预算数（万元）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年初预算</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调整后预算数</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预算执行数</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得分</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总额</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15.00</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15.00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其中：财政资金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15.00</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15.00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财政专户管理资金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单位资金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其他资金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绩效指标（90分）</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一级指标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二级指标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三级指标</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指标性质</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指标值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度量单位</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得分</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屋面防水</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188.9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平米</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188.9</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墙面修复</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604.5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平米</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604.5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吊顶</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平米</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25.5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地面修复</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388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平米</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388</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老旧线路更换</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米</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980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完成时限</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月</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经济成本指标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建设费用</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万元</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可持续发展指标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办公用房安全性</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干部职工满意度</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50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评价结论</w:t>
            </w:r>
          </w:p>
        </w:tc>
        <w:tc>
          <w:tcPr>
            <w:tcW w:w="92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通过项目实施对老旧机关办公楼进行拆旧补新，对年休失修部分就行了维修，更换了老化线路，机关安全性得到提升。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存在问题</w:t>
            </w:r>
          </w:p>
        </w:tc>
        <w:tc>
          <w:tcPr>
            <w:tcW w:w="92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预算和项目计划还不够细。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改进措施</w:t>
            </w:r>
          </w:p>
        </w:tc>
        <w:tc>
          <w:tcPr>
            <w:tcW w:w="92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加强预算细化。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26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项目负责人：王佩成</w:t>
            </w:r>
          </w:p>
        </w:tc>
        <w:tc>
          <w:tcPr>
            <w:tcW w:w="45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财务负责人：王伟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245"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4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509"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463"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813"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84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576"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c>
          <w:tcPr>
            <w:tcW w:w="1144" w:type="dxa"/>
            <w:tcBorders>
              <w:top w:val="nil"/>
              <w:left w:val="nil"/>
              <w:bottom w:val="nil"/>
              <w:right w:val="nil"/>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项目名称</w:t>
            </w:r>
          </w:p>
        </w:tc>
        <w:tc>
          <w:tcPr>
            <w:tcW w:w="797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51080023R000007612345-规范后市级基础绩效奖及生活补助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18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主管部门</w:t>
            </w:r>
          </w:p>
        </w:tc>
        <w:tc>
          <w:tcPr>
            <w:tcW w:w="48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中共广元市委群众工作局部门</w:t>
            </w:r>
          </w:p>
        </w:tc>
        <w:tc>
          <w:tcPr>
            <w:tcW w:w="846" w:type="dxa"/>
            <w:tcBorders>
              <w:top w:val="nil"/>
              <w:left w:val="nil"/>
              <w:bottom w:val="nil"/>
              <w:right w:val="nil"/>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实施单位 （盖章）</w:t>
            </w:r>
          </w:p>
        </w:tc>
        <w:tc>
          <w:tcPr>
            <w:tcW w:w="2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中共广元市委群众工作局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项目基本情况</w:t>
            </w:r>
          </w:p>
        </w:tc>
        <w:tc>
          <w:tcPr>
            <w:tcW w:w="12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1.项目年度目标完成情况</w:t>
            </w:r>
          </w:p>
        </w:tc>
        <w:tc>
          <w:tcPr>
            <w:tcW w:w="48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项目年度目标</w:t>
            </w:r>
          </w:p>
        </w:tc>
        <w:tc>
          <w:tcPr>
            <w:tcW w:w="31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483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根据年度考核情况，按标准支付绩效奖金。</w:t>
            </w:r>
          </w:p>
        </w:tc>
        <w:tc>
          <w:tcPr>
            <w:tcW w:w="31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按时核定标准向职工支付绩效奖金。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2.项目实施内容及过程概述</w:t>
            </w:r>
          </w:p>
        </w:tc>
        <w:tc>
          <w:tcPr>
            <w:tcW w:w="797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按照年度考核情况，逐人核实绩效奖励标准，并按时发放。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预算执行情况（10分）</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年度预算数（万元）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年初预算</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调整后预算数</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预算执行数</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预算执行率</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得分</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总额</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14.16</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12.35</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87.23%</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w:t>
            </w:r>
          </w:p>
        </w:tc>
        <w:tc>
          <w:tcPr>
            <w:tcW w:w="11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预算执行12.35万元，剩余1.81结转用于支付公积金。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其中：财政资金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14.16</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12.35</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87.23%</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财政专户管理资金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单位资金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其他资金</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8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绩效指标（90分）</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一级指标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二级指标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三级指标</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指标性质</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指标值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度量单位</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权重</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得分</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产出指标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数量指标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发放人数</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人</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产出指标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时效指标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完成时间</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天</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产出指标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质量指标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发放率</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产出指标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成本指标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费用金额</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14.16</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万元</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12.35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18</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剩余1.81结转用于支付公积金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效益指标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可持续发展指标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工作积极性</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20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满意度指标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群众满意指标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满意率</w:t>
            </w:r>
          </w:p>
        </w:tc>
        <w:tc>
          <w:tcPr>
            <w:tcW w:w="4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50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合计</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98</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评价结论</w:t>
            </w:r>
          </w:p>
        </w:tc>
        <w:tc>
          <w:tcPr>
            <w:tcW w:w="92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根据下达资金计划要求，及时核定人员标准，按时发放绩效奖。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存在问题</w:t>
            </w:r>
          </w:p>
        </w:tc>
        <w:tc>
          <w:tcPr>
            <w:tcW w:w="92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未能及时缴纳住房公积金，形成资金结余。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改进措施</w:t>
            </w:r>
          </w:p>
        </w:tc>
        <w:tc>
          <w:tcPr>
            <w:tcW w:w="92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及时支付公积金，确保执行率达标。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26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项目负责人：王佩成</w:t>
            </w:r>
          </w:p>
        </w:tc>
        <w:tc>
          <w:tcPr>
            <w:tcW w:w="45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rPr>
            </w:pPr>
            <w:r>
              <w:rPr>
                <w:rFonts w:hint="eastAsia" w:ascii="仿宋_GB2312" w:hAnsi="仿宋_GB2312" w:eastAsia="仿宋_GB2312" w:cs="仿宋_GB2312"/>
                <w:lang w:val="en-US" w:eastAsia="zh-CN"/>
              </w:rPr>
              <w:t>财务负责人：王伟</w:t>
            </w:r>
          </w:p>
        </w:tc>
      </w:tr>
    </w:tbl>
    <w:p>
      <w:pPr>
        <w:pStyle w:val="2"/>
        <w:pageBreakBefore w:val="0"/>
        <w:kinsoku/>
        <w:wordWrap/>
        <w:overflowPunct/>
        <w:topLinePunct w:val="0"/>
        <w:bidi w:val="0"/>
        <w:spacing w:line="576" w:lineRule="exact"/>
        <w:textAlignment w:val="auto"/>
        <w:rPr>
          <w:rFonts w:hint="eastAsia" w:ascii="仿宋_GB2312" w:hAnsi="仿宋_GB2312" w:eastAsia="仿宋_GB2312" w:cs="仿宋_GB2312"/>
          <w:color w:val="auto"/>
          <w:kern w:val="0"/>
          <w:sz w:val="32"/>
          <w:szCs w:val="32"/>
          <w:highlight w:val="none"/>
          <w:lang w:val="en-US" w:eastAsia="zh-CN" w:bidi="ar-SA"/>
        </w:rPr>
      </w:pPr>
    </w:p>
    <w:p>
      <w:pPr>
        <w:pStyle w:val="2"/>
        <w:pageBreakBefore w:val="0"/>
        <w:kinsoku/>
        <w:wordWrap/>
        <w:overflowPunct/>
        <w:topLinePunct w:val="0"/>
        <w:bidi w:val="0"/>
        <w:spacing w:line="576" w:lineRule="exact"/>
        <w:textAlignment w:val="auto"/>
        <w:rPr>
          <w:rFonts w:hint="eastAsia" w:ascii="仿宋_GB2312" w:hAnsi="仿宋_GB2312" w:eastAsia="仿宋_GB2312" w:cs="仿宋_GB2312"/>
          <w:color w:val="auto"/>
          <w:kern w:val="0"/>
          <w:sz w:val="32"/>
          <w:szCs w:val="32"/>
          <w:highlight w:val="none"/>
          <w:lang w:val="en-US" w:eastAsia="zh-CN" w:bidi="ar-SA"/>
        </w:rPr>
      </w:pPr>
    </w:p>
    <w:p>
      <w:pPr>
        <w:pStyle w:val="2"/>
        <w:pageBreakBefore w:val="0"/>
        <w:kinsoku/>
        <w:wordWrap/>
        <w:overflowPunct/>
        <w:topLinePunct w:val="0"/>
        <w:bidi w:val="0"/>
        <w:spacing w:line="576" w:lineRule="exact"/>
        <w:textAlignment w:val="auto"/>
        <w:rPr>
          <w:rFonts w:hint="eastAsia" w:ascii="仿宋_GB2312" w:hAnsi="仿宋_GB2312" w:eastAsia="仿宋_GB2312" w:cs="仿宋_GB2312"/>
          <w:color w:val="auto"/>
          <w:kern w:val="0"/>
          <w:sz w:val="32"/>
          <w:szCs w:val="32"/>
          <w:highlight w:val="none"/>
          <w:lang w:val="en-US" w:eastAsia="zh-CN" w:bidi="ar-SA"/>
        </w:rPr>
      </w:pPr>
    </w:p>
    <w:p>
      <w:pPr>
        <w:bidi w:val="0"/>
        <w:jc w:val="center"/>
        <w:outlineLvl w:val="0"/>
        <w:rPr>
          <w:rFonts w:hint="eastAsia" w:ascii="方正小标宋简体" w:hAnsi="方正小标宋简体" w:eastAsia="方正小标宋简体" w:cs="方正小标宋简体"/>
          <w:sz w:val="44"/>
          <w:szCs w:val="44"/>
        </w:rPr>
      </w:pPr>
      <w:bookmarkStart w:id="75" w:name="_Toc23508"/>
      <w:r>
        <w:rPr>
          <w:rFonts w:hint="eastAsia" w:ascii="方正小标宋简体" w:hAnsi="方正小标宋简体" w:eastAsia="方正小标宋简体" w:cs="方正小标宋简体"/>
          <w:sz w:val="44"/>
          <w:szCs w:val="44"/>
        </w:rPr>
        <w:t>第五部分 附表</w:t>
      </w:r>
      <w:bookmarkEnd w:id="71"/>
      <w:bookmarkEnd w:id="74"/>
      <w:bookmarkEnd w:id="75"/>
      <w:bookmarkStart w:id="76" w:name="_Toc15396619"/>
    </w:p>
    <w:p>
      <w:pPr>
        <w:pStyle w:val="4"/>
        <w:bidi w:val="0"/>
        <w:rPr>
          <w:rFonts w:hint="eastAsia"/>
        </w:rPr>
      </w:pPr>
      <w:bookmarkStart w:id="77" w:name="_Toc844"/>
      <w:r>
        <w:rPr>
          <w:rFonts w:hint="eastAsia"/>
        </w:rPr>
        <w:t>一、收入支出决算总表</w:t>
      </w:r>
      <w:bookmarkEnd w:id="76"/>
      <w:bookmarkEnd w:id="77"/>
    </w:p>
    <w:p>
      <w:pPr>
        <w:pStyle w:val="4"/>
        <w:bidi w:val="0"/>
        <w:rPr>
          <w:rFonts w:hint="eastAsia"/>
        </w:rPr>
      </w:pPr>
      <w:bookmarkStart w:id="78" w:name="_Toc5345"/>
      <w:bookmarkStart w:id="79" w:name="_Toc15396620"/>
      <w:r>
        <w:rPr>
          <w:rFonts w:hint="eastAsia"/>
        </w:rPr>
        <w:t>二、收入决算表</w:t>
      </w:r>
      <w:bookmarkEnd w:id="78"/>
      <w:bookmarkEnd w:id="79"/>
    </w:p>
    <w:p>
      <w:pPr>
        <w:pStyle w:val="4"/>
        <w:bidi w:val="0"/>
        <w:rPr>
          <w:rFonts w:hint="eastAsia"/>
        </w:rPr>
      </w:pPr>
      <w:bookmarkStart w:id="80" w:name="_Toc15396621"/>
      <w:bookmarkStart w:id="81" w:name="_Toc25111"/>
      <w:r>
        <w:rPr>
          <w:rFonts w:hint="eastAsia"/>
        </w:rPr>
        <w:t>三、支出决算表</w:t>
      </w:r>
      <w:bookmarkEnd w:id="80"/>
      <w:bookmarkEnd w:id="81"/>
    </w:p>
    <w:p>
      <w:pPr>
        <w:pStyle w:val="4"/>
        <w:bidi w:val="0"/>
        <w:rPr>
          <w:rFonts w:hint="eastAsia"/>
        </w:rPr>
      </w:pPr>
      <w:bookmarkStart w:id="82" w:name="_Toc15396622"/>
      <w:bookmarkStart w:id="83" w:name="_Toc26305"/>
      <w:r>
        <w:rPr>
          <w:rFonts w:hint="eastAsia"/>
        </w:rPr>
        <w:t>四、财政拨款收入支出决算总表</w:t>
      </w:r>
      <w:bookmarkEnd w:id="82"/>
      <w:bookmarkEnd w:id="83"/>
    </w:p>
    <w:p>
      <w:pPr>
        <w:pStyle w:val="4"/>
        <w:bidi w:val="0"/>
        <w:rPr>
          <w:rFonts w:hint="eastAsia"/>
        </w:rPr>
      </w:pPr>
      <w:bookmarkStart w:id="84" w:name="_Toc32081"/>
      <w:bookmarkStart w:id="85" w:name="_Toc15396623"/>
      <w:r>
        <w:rPr>
          <w:rFonts w:hint="eastAsia"/>
        </w:rPr>
        <w:t>五、财政拨款支出决算明细表</w:t>
      </w:r>
      <w:bookmarkEnd w:id="84"/>
      <w:bookmarkEnd w:id="85"/>
      <w:bookmarkStart w:id="86" w:name="_Toc15396624"/>
    </w:p>
    <w:p>
      <w:pPr>
        <w:pStyle w:val="4"/>
        <w:bidi w:val="0"/>
        <w:rPr>
          <w:rFonts w:hint="eastAsia"/>
        </w:rPr>
      </w:pPr>
      <w:bookmarkStart w:id="87" w:name="_Toc20392"/>
      <w:r>
        <w:rPr>
          <w:rFonts w:hint="eastAsia"/>
        </w:rPr>
        <w:t>六、一般公共预算财政拨款支出决算表</w:t>
      </w:r>
      <w:bookmarkEnd w:id="86"/>
      <w:bookmarkEnd w:id="87"/>
    </w:p>
    <w:p>
      <w:pPr>
        <w:pStyle w:val="4"/>
        <w:bidi w:val="0"/>
        <w:rPr>
          <w:rFonts w:hint="eastAsia"/>
        </w:rPr>
      </w:pPr>
      <w:bookmarkStart w:id="88" w:name="_Toc19322"/>
      <w:bookmarkStart w:id="89" w:name="_Toc15396625"/>
      <w:r>
        <w:rPr>
          <w:rFonts w:hint="eastAsia"/>
        </w:rPr>
        <w:t>七、一般公共预算财政拨款支出决算明细表</w:t>
      </w:r>
      <w:bookmarkEnd w:id="88"/>
      <w:bookmarkEnd w:id="89"/>
    </w:p>
    <w:p>
      <w:pPr>
        <w:pStyle w:val="4"/>
        <w:bidi w:val="0"/>
        <w:rPr>
          <w:rFonts w:hint="eastAsia"/>
        </w:rPr>
      </w:pPr>
      <w:bookmarkStart w:id="90" w:name="_Toc15396626"/>
      <w:bookmarkStart w:id="91" w:name="_Toc8368"/>
      <w:r>
        <w:rPr>
          <w:rFonts w:hint="eastAsia"/>
        </w:rPr>
        <w:t>八、一般公共预算财政拨款基本支出决算表</w:t>
      </w:r>
      <w:bookmarkEnd w:id="90"/>
      <w:bookmarkEnd w:id="91"/>
    </w:p>
    <w:p>
      <w:pPr>
        <w:pStyle w:val="4"/>
        <w:bidi w:val="0"/>
        <w:rPr>
          <w:rFonts w:hint="eastAsia"/>
        </w:rPr>
      </w:pPr>
      <w:bookmarkStart w:id="92" w:name="_Toc15396627"/>
      <w:bookmarkStart w:id="93" w:name="_Toc9081"/>
      <w:r>
        <w:rPr>
          <w:rFonts w:hint="eastAsia"/>
        </w:rPr>
        <w:t>九、一般公共预算财政拨款项目支出决算表</w:t>
      </w:r>
      <w:bookmarkEnd w:id="92"/>
      <w:bookmarkEnd w:id="93"/>
    </w:p>
    <w:p>
      <w:pPr>
        <w:pStyle w:val="4"/>
        <w:bidi w:val="0"/>
        <w:rPr>
          <w:rFonts w:hint="eastAsia"/>
        </w:rPr>
      </w:pPr>
      <w:bookmarkStart w:id="94" w:name="_Toc15396628"/>
      <w:bookmarkStart w:id="95" w:name="_Toc16013"/>
      <w:r>
        <w:rPr>
          <w:rFonts w:hint="eastAsia"/>
        </w:rPr>
        <w:t>十、</w:t>
      </w:r>
      <w:bookmarkEnd w:id="94"/>
      <w:r>
        <w:rPr>
          <w:rFonts w:hint="eastAsia"/>
        </w:rPr>
        <w:t>政府性基金预算财政拨款收入支出决算表</w:t>
      </w:r>
      <w:bookmarkEnd w:id="95"/>
    </w:p>
    <w:p>
      <w:pPr>
        <w:pStyle w:val="4"/>
        <w:bidi w:val="0"/>
        <w:rPr>
          <w:rFonts w:hint="eastAsia"/>
        </w:rPr>
      </w:pPr>
      <w:bookmarkStart w:id="96" w:name="_Toc15396629"/>
      <w:bookmarkStart w:id="97" w:name="_Toc17141"/>
      <w:r>
        <w:rPr>
          <w:rFonts w:hint="eastAsia"/>
        </w:rPr>
        <w:t>十一、</w:t>
      </w:r>
      <w:bookmarkEnd w:id="96"/>
      <w:r>
        <w:rPr>
          <w:rFonts w:hint="eastAsia"/>
        </w:rPr>
        <w:t>国有资本经营预算</w:t>
      </w:r>
      <w:r>
        <w:rPr>
          <w:rFonts w:hint="eastAsia"/>
          <w:lang w:eastAsia="zh-CN"/>
        </w:rPr>
        <w:t>财政拨款收入</w:t>
      </w:r>
      <w:r>
        <w:rPr>
          <w:rFonts w:hint="eastAsia"/>
        </w:rPr>
        <w:t>支出决算表</w:t>
      </w:r>
      <w:bookmarkEnd w:id="97"/>
    </w:p>
    <w:p>
      <w:pPr>
        <w:pStyle w:val="4"/>
        <w:bidi w:val="0"/>
        <w:rPr>
          <w:rFonts w:hint="eastAsia"/>
        </w:rPr>
      </w:pPr>
      <w:bookmarkStart w:id="98" w:name="_Toc15396630"/>
      <w:bookmarkStart w:id="99" w:name="_Toc13575"/>
      <w:r>
        <w:rPr>
          <w:rFonts w:hint="eastAsia"/>
        </w:rPr>
        <w:t>十二、</w:t>
      </w:r>
      <w:bookmarkEnd w:id="98"/>
      <w:r>
        <w:rPr>
          <w:rFonts w:hint="eastAsia"/>
          <w:lang w:eastAsia="zh-CN"/>
        </w:rPr>
        <w:t>国有资本经营预算财政拨款支出决算表</w:t>
      </w:r>
      <w:bookmarkEnd w:id="99"/>
    </w:p>
    <w:p>
      <w:pPr>
        <w:pStyle w:val="4"/>
        <w:bidi w:val="0"/>
        <w:rPr>
          <w:rFonts w:hint="eastAsia" w:ascii="仿宋_GB2312" w:hAnsi="仿宋_GB2312" w:eastAsia="仿宋_GB2312" w:cs="仿宋_GB2312"/>
          <w:szCs w:val="32"/>
          <w:lang w:eastAsia="zh-CN"/>
        </w:rPr>
      </w:pPr>
      <w:bookmarkStart w:id="100" w:name="_Toc15396631"/>
      <w:bookmarkStart w:id="101" w:name="_Toc8293"/>
      <w:r>
        <w:rPr>
          <w:rFonts w:hint="eastAsia"/>
        </w:rPr>
        <w:t>十三、</w:t>
      </w:r>
      <w:bookmarkEnd w:id="100"/>
      <w:r>
        <w:rPr>
          <w:rFonts w:hint="eastAsia"/>
          <w:lang w:eastAsia="zh-CN"/>
        </w:rPr>
        <w:t>财政拨款“三公”经费支出决算表</w:t>
      </w:r>
      <w:bookmarkEnd w:id="101"/>
    </w:p>
    <w:sectPr>
      <w:footerReference r:id="rId5" w:type="first"/>
      <w:footerReference r:id="rId4" w:type="default"/>
      <w:pgSz w:w="11906" w:h="16838"/>
      <w:pgMar w:top="1440" w:right="1800" w:bottom="1440" w:left="180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8BB898"/>
    <w:multiLevelType w:val="singleLevel"/>
    <w:tmpl w:val="578BB898"/>
    <w:lvl w:ilvl="0" w:tentative="0">
      <w:start w:val="1"/>
      <w:numFmt w:val="decimal"/>
      <w:lvlText w:val="%1."/>
      <w:lvlJc w:val="left"/>
      <w:pPr>
        <w:tabs>
          <w:tab w:val="left" w:pos="312"/>
        </w:tabs>
      </w:pPr>
    </w:lvl>
  </w:abstractNum>
  <w:abstractNum w:abstractNumId="1">
    <w:nsid w:val="689EF4F9"/>
    <w:multiLevelType w:val="singleLevel"/>
    <w:tmpl w:val="689EF4F9"/>
    <w:lvl w:ilvl="0" w:tentative="0">
      <w:start w:val="1"/>
      <w:numFmt w:val="decimal"/>
      <w:suff w:val="nothing"/>
      <w:lvlText w:val="%1．"/>
      <w:lvlJc w:val="left"/>
      <w:pPr>
        <w:ind w:left="0" w:firstLine="4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JlZmU3NzIyNjU0Y2QwMWI1ZjkyZGZiMTcwZDQzNTU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3BE360A"/>
    <w:rsid w:val="053A62B5"/>
    <w:rsid w:val="06134C15"/>
    <w:rsid w:val="0766613D"/>
    <w:rsid w:val="09B216AF"/>
    <w:rsid w:val="0A2032A3"/>
    <w:rsid w:val="0B8A37D8"/>
    <w:rsid w:val="0DB581C2"/>
    <w:rsid w:val="10C055FF"/>
    <w:rsid w:val="11543174"/>
    <w:rsid w:val="118107EC"/>
    <w:rsid w:val="11DD6519"/>
    <w:rsid w:val="16BB723D"/>
    <w:rsid w:val="18015F3F"/>
    <w:rsid w:val="1BE8440E"/>
    <w:rsid w:val="1D155CEE"/>
    <w:rsid w:val="1FD75BC5"/>
    <w:rsid w:val="20F57F95"/>
    <w:rsid w:val="23205E64"/>
    <w:rsid w:val="240371BF"/>
    <w:rsid w:val="24E156CF"/>
    <w:rsid w:val="25711CC6"/>
    <w:rsid w:val="25C741E6"/>
    <w:rsid w:val="27842671"/>
    <w:rsid w:val="27FF13DB"/>
    <w:rsid w:val="281C1BFE"/>
    <w:rsid w:val="29FD04D3"/>
    <w:rsid w:val="2ABE7A3E"/>
    <w:rsid w:val="2CA234A8"/>
    <w:rsid w:val="2CCD473A"/>
    <w:rsid w:val="2E204D3E"/>
    <w:rsid w:val="2E3E5656"/>
    <w:rsid w:val="2EFA178C"/>
    <w:rsid w:val="2F5F53F2"/>
    <w:rsid w:val="30B46D73"/>
    <w:rsid w:val="319F7F4E"/>
    <w:rsid w:val="33FF1AE8"/>
    <w:rsid w:val="383D272C"/>
    <w:rsid w:val="39AE70AB"/>
    <w:rsid w:val="3C0C0783"/>
    <w:rsid w:val="3F9F3A96"/>
    <w:rsid w:val="3FFB4CC3"/>
    <w:rsid w:val="41085755"/>
    <w:rsid w:val="48BF60AB"/>
    <w:rsid w:val="493C27E9"/>
    <w:rsid w:val="496F39ED"/>
    <w:rsid w:val="49FF41D3"/>
    <w:rsid w:val="4A6B0497"/>
    <w:rsid w:val="4BE068DB"/>
    <w:rsid w:val="4BF6002B"/>
    <w:rsid w:val="4ECE2238"/>
    <w:rsid w:val="4F7242E4"/>
    <w:rsid w:val="501921E4"/>
    <w:rsid w:val="51DB4B86"/>
    <w:rsid w:val="52650B61"/>
    <w:rsid w:val="534F8C74"/>
    <w:rsid w:val="53A457E6"/>
    <w:rsid w:val="55333C3E"/>
    <w:rsid w:val="574DE97A"/>
    <w:rsid w:val="59FF38D6"/>
    <w:rsid w:val="5BFC7273"/>
    <w:rsid w:val="5E9A6159"/>
    <w:rsid w:val="5FDDEB39"/>
    <w:rsid w:val="60C60602"/>
    <w:rsid w:val="60D61108"/>
    <w:rsid w:val="62EE2D13"/>
    <w:rsid w:val="630914CB"/>
    <w:rsid w:val="632827CD"/>
    <w:rsid w:val="64CA39A1"/>
    <w:rsid w:val="69630ADE"/>
    <w:rsid w:val="6C4A05C8"/>
    <w:rsid w:val="6D3B1A89"/>
    <w:rsid w:val="6DEF55B7"/>
    <w:rsid w:val="71BF4EC2"/>
    <w:rsid w:val="72734D90"/>
    <w:rsid w:val="7412278C"/>
    <w:rsid w:val="74DF63C9"/>
    <w:rsid w:val="776370BD"/>
    <w:rsid w:val="78EFD78B"/>
    <w:rsid w:val="7904082E"/>
    <w:rsid w:val="79E7B28D"/>
    <w:rsid w:val="7A770423"/>
    <w:rsid w:val="7B5FF7BF"/>
    <w:rsid w:val="7BB94E36"/>
    <w:rsid w:val="7D6F943B"/>
    <w:rsid w:val="7DFFFE34"/>
    <w:rsid w:val="7EC83A07"/>
    <w:rsid w:val="7F9F20EE"/>
    <w:rsid w:val="7FEF836D"/>
    <w:rsid w:val="7FF68878"/>
    <w:rsid w:val="7FFE318D"/>
    <w:rsid w:val="9E3A10E2"/>
    <w:rsid w:val="BBFEAC38"/>
    <w:rsid w:val="BEED0153"/>
    <w:rsid w:val="BF5D0F55"/>
    <w:rsid w:val="BFFEC2E8"/>
    <w:rsid w:val="C5FBF18A"/>
    <w:rsid w:val="CB771A06"/>
    <w:rsid w:val="DD634D2F"/>
    <w:rsid w:val="E56BD205"/>
    <w:rsid w:val="EFEC6D2E"/>
    <w:rsid w:val="F2E1F9D4"/>
    <w:rsid w:val="F7880819"/>
    <w:rsid w:val="F9BBD87A"/>
    <w:rsid w:val="FAD71D81"/>
    <w:rsid w:val="FBEFD85E"/>
    <w:rsid w:val="FFFE2D0A"/>
    <w:rsid w:val="FFFFBCB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6"/>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18"/>
    <w:unhideWhenUsed/>
    <w:qFormat/>
    <w:uiPriority w:val="9"/>
    <w:pPr>
      <w:keepNext/>
      <w:keepLines/>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4"/>
    <w:qFormat/>
    <w:uiPriority w:val="99"/>
    <w:pPr>
      <w:spacing w:beforeLines="30"/>
    </w:pPr>
    <w:rPr>
      <w:rFonts w:ascii="仿宋_GB2312" w:eastAsia="仿宋_GB2312"/>
      <w:kern w:val="0"/>
      <w:sz w:val="30"/>
    </w:rPr>
  </w:style>
  <w:style w:type="paragraph" w:styleId="6">
    <w:name w:val="toc 3"/>
    <w:basedOn w:val="1"/>
    <w:next w:val="1"/>
    <w:unhideWhenUsed/>
    <w:qFormat/>
    <w:uiPriority w:val="39"/>
    <w:pPr>
      <w:tabs>
        <w:tab w:val="right" w:leader="dot" w:pos="8296"/>
      </w:tabs>
      <w:ind w:left="840" w:leftChars="400"/>
    </w:pPr>
  </w:style>
  <w:style w:type="paragraph" w:styleId="7">
    <w:name w:val="Balloon Text"/>
    <w:basedOn w:val="1"/>
    <w:link w:val="28"/>
    <w:semiHidden/>
    <w:unhideWhenUsed/>
    <w:qFormat/>
    <w:uiPriority w:val="99"/>
    <w:rPr>
      <w:sz w:val="18"/>
      <w:szCs w:val="18"/>
    </w:rPr>
  </w:style>
  <w:style w:type="paragraph" w:styleId="8">
    <w:name w:val="footer"/>
    <w:basedOn w:val="1"/>
    <w:link w:val="22"/>
    <w:qFormat/>
    <w:uiPriority w:val="99"/>
    <w:pPr>
      <w:tabs>
        <w:tab w:val="center" w:pos="4153"/>
        <w:tab w:val="right" w:pos="8306"/>
      </w:tabs>
      <w:snapToGrid w:val="0"/>
      <w:jc w:val="left"/>
    </w:pPr>
    <w:rPr>
      <w:rFonts w:ascii="Calibri" w:hAnsi="Calibri"/>
      <w:kern w:val="0"/>
      <w:sz w:val="18"/>
      <w:szCs w:val="18"/>
    </w:rPr>
  </w:style>
  <w:style w:type="paragraph" w:styleId="9">
    <w:name w:val="header"/>
    <w:basedOn w:val="1"/>
    <w:link w:val="20"/>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0">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1">
    <w:name w:val="toc 2"/>
    <w:basedOn w:val="1"/>
    <w:next w:val="1"/>
    <w:unhideWhenUsed/>
    <w:qFormat/>
    <w:uiPriority w:val="39"/>
    <w:pPr>
      <w:tabs>
        <w:tab w:val="right" w:leader="dot" w:pos="8296"/>
      </w:tabs>
      <w:ind w:left="420" w:leftChars="200"/>
    </w:pPr>
  </w:style>
  <w:style w:type="character" w:styleId="14">
    <w:name w:val="Strong"/>
    <w:basedOn w:val="13"/>
    <w:qFormat/>
    <w:uiPriority w:val="99"/>
    <w:rPr>
      <w:b/>
    </w:rPr>
  </w:style>
  <w:style w:type="character" w:styleId="15">
    <w:name w:val="Hyperlink"/>
    <w:basedOn w:val="13"/>
    <w:unhideWhenUsed/>
    <w:qFormat/>
    <w:uiPriority w:val="99"/>
    <w:rPr>
      <w:color w:val="0000FF" w:themeColor="hyperlink"/>
      <w:u w:val="single"/>
      <w14:textFill>
        <w14:solidFill>
          <w14:schemeClr w14:val="hlink"/>
        </w14:solidFill>
      </w14:textFill>
    </w:rPr>
  </w:style>
  <w:style w:type="character" w:customStyle="1" w:styleId="16">
    <w:name w:val="标题 1 Char"/>
    <w:basedOn w:val="13"/>
    <w:link w:val="3"/>
    <w:qFormat/>
    <w:uiPriority w:val="9"/>
    <w:rPr>
      <w:rFonts w:ascii="Times New Roman" w:hAnsi="Times New Roman"/>
      <w:b/>
      <w:bCs/>
      <w:kern w:val="44"/>
      <w:sz w:val="44"/>
      <w:szCs w:val="44"/>
    </w:rPr>
  </w:style>
  <w:style w:type="character" w:customStyle="1" w:styleId="17">
    <w:name w:val="标题 2 Char"/>
    <w:basedOn w:val="13"/>
    <w:link w:val="4"/>
    <w:qFormat/>
    <w:uiPriority w:val="9"/>
    <w:rPr>
      <w:rFonts w:asciiTheme="majorHAnsi" w:hAnsiTheme="majorHAnsi" w:eastAsiaTheme="majorEastAsia" w:cstheme="majorBidi"/>
      <w:b/>
      <w:bCs/>
      <w:kern w:val="2"/>
      <w:sz w:val="32"/>
      <w:szCs w:val="32"/>
    </w:rPr>
  </w:style>
  <w:style w:type="character" w:customStyle="1" w:styleId="18">
    <w:name w:val="标题 3 Char"/>
    <w:basedOn w:val="13"/>
    <w:link w:val="5"/>
    <w:qFormat/>
    <w:uiPriority w:val="9"/>
    <w:rPr>
      <w:rFonts w:ascii="Times New Roman" w:hAnsi="Times New Roman"/>
      <w:b/>
      <w:bCs/>
      <w:kern w:val="2"/>
      <w:sz w:val="32"/>
      <w:szCs w:val="32"/>
    </w:rPr>
  </w:style>
  <w:style w:type="character" w:customStyle="1" w:styleId="19">
    <w:name w:val="Header Char"/>
    <w:basedOn w:val="13"/>
    <w:semiHidden/>
    <w:qFormat/>
    <w:uiPriority w:val="99"/>
    <w:rPr>
      <w:rFonts w:ascii="Times New Roman" w:hAnsi="Times New Roman"/>
      <w:sz w:val="18"/>
      <w:szCs w:val="18"/>
    </w:rPr>
  </w:style>
  <w:style w:type="character" w:customStyle="1" w:styleId="20">
    <w:name w:val="页眉 Char"/>
    <w:link w:val="9"/>
    <w:semiHidden/>
    <w:qFormat/>
    <w:locked/>
    <w:uiPriority w:val="99"/>
    <w:rPr>
      <w:sz w:val="18"/>
    </w:rPr>
  </w:style>
  <w:style w:type="character" w:customStyle="1" w:styleId="21">
    <w:name w:val="Footer Char"/>
    <w:basedOn w:val="13"/>
    <w:semiHidden/>
    <w:qFormat/>
    <w:uiPriority w:val="99"/>
    <w:rPr>
      <w:rFonts w:ascii="Times New Roman" w:hAnsi="Times New Roman"/>
      <w:sz w:val="18"/>
      <w:szCs w:val="18"/>
    </w:rPr>
  </w:style>
  <w:style w:type="character" w:customStyle="1" w:styleId="22">
    <w:name w:val="页脚 Char"/>
    <w:link w:val="8"/>
    <w:qFormat/>
    <w:locked/>
    <w:uiPriority w:val="99"/>
    <w:rPr>
      <w:sz w:val="18"/>
    </w:rPr>
  </w:style>
  <w:style w:type="character" w:customStyle="1" w:styleId="23">
    <w:name w:val="Body Text Char"/>
    <w:basedOn w:val="13"/>
    <w:semiHidden/>
    <w:qFormat/>
    <w:uiPriority w:val="99"/>
    <w:rPr>
      <w:rFonts w:ascii="Times New Roman" w:hAnsi="Times New Roman"/>
      <w:szCs w:val="24"/>
    </w:rPr>
  </w:style>
  <w:style w:type="character" w:customStyle="1" w:styleId="24">
    <w:name w:val="正文文本 Char"/>
    <w:link w:val="2"/>
    <w:qFormat/>
    <w:locked/>
    <w:uiPriority w:val="99"/>
    <w:rPr>
      <w:rFonts w:ascii="仿宋_GB2312" w:hAnsi="Times New Roman" w:eastAsia="仿宋_GB2312"/>
      <w:sz w:val="24"/>
    </w:rPr>
  </w:style>
  <w:style w:type="paragraph" w:customStyle="1" w:styleId="25">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6">
    <w:name w:val="List Paragraph"/>
    <w:basedOn w:val="1"/>
    <w:qFormat/>
    <w:uiPriority w:val="34"/>
    <w:pPr>
      <w:ind w:firstLine="420" w:firstLineChars="200"/>
    </w:pPr>
  </w:style>
  <w:style w:type="paragraph" w:customStyle="1" w:styleId="27">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8">
    <w:name w:val="批注框文本 Char"/>
    <w:basedOn w:val="13"/>
    <w:link w:val="7"/>
    <w:semiHidden/>
    <w:qFormat/>
    <w:uiPriority w:val="99"/>
    <w:rPr>
      <w:rFonts w:ascii="Times New Roman" w:hAnsi="Times New Roman"/>
      <w:kern w:val="2"/>
      <w:sz w:val="18"/>
      <w:szCs w:val="18"/>
    </w:rPr>
  </w:style>
  <w:style w:type="paragraph" w:customStyle="1" w:styleId="29">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0">
    <w:name w:val="BodyText1I2"/>
    <w:basedOn w:val="31"/>
    <w:qFormat/>
    <w:uiPriority w:val="0"/>
    <w:pPr>
      <w:spacing w:before="100" w:beforeAutospacing="1" w:after="100" w:afterAutospacing="1"/>
      <w:ind w:firstLine="420" w:firstLineChars="200"/>
      <w:jc w:val="both"/>
      <w:textAlignment w:val="baseline"/>
    </w:pPr>
  </w:style>
  <w:style w:type="paragraph" w:customStyle="1" w:styleId="31">
    <w:name w:val="BodyTextIndent"/>
    <w:basedOn w:val="1"/>
    <w:qFormat/>
    <w:uiPriority w:val="0"/>
    <w:pPr>
      <w:ind w:firstLine="640" w:firstLineChars="200"/>
      <w:jc w:val="both"/>
      <w:textAlignment w:val="baseline"/>
    </w:pPr>
    <w:rPr>
      <w:rFonts w:ascii="Times New Roman" w:hAnsi="Times New Roman" w:eastAsia="仿宋_GB2312"/>
      <w:kern w:val="2"/>
      <w:sz w:val="32"/>
      <w:szCs w:val="24"/>
      <w:lang w:val="en-US" w:eastAsia="zh-CN" w:bidi="ar-SA"/>
    </w:rPr>
  </w:style>
  <w:style w:type="paragraph" w:customStyle="1" w:styleId="32">
    <w:name w:val="WPSOffice手动目录 1"/>
    <w:uiPriority w:val="0"/>
    <w:pPr>
      <w:ind w:leftChars="0"/>
    </w:pPr>
    <w:rPr>
      <w:rFonts w:ascii="Times New Roman" w:hAnsi="Times New Roman" w:eastAsia="宋体" w:cs="Times New Roman"/>
      <w:sz w:val="20"/>
      <w:szCs w:val="20"/>
    </w:rPr>
  </w:style>
  <w:style w:type="paragraph" w:customStyle="1" w:styleId="33">
    <w:name w:val="WPSOffice手动目录 2"/>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png"/><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4" Type="http://schemas.microsoft.com/office/2011/relationships/chartColorStyle" Target="colors1.xml"/><Relationship Id="rId3" Type="http://schemas.microsoft.com/office/2011/relationships/chartStyle" Target="style1.xml"/><Relationship Id="rId2" Type="http://schemas.openxmlformats.org/officeDocument/2006/relationships/themeOverride" Target="../theme/themeOverride1.xml"/><Relationship Id="rId1" Type="http://schemas.openxmlformats.org/officeDocument/2006/relationships/oleObject" Target="/home/user/Desktop/&#26376;&#24230;&#25910;&#25903;&#20998;&#26512;&#26609;&#29366;&#22270;1.xlsx" TargetMode="External"/></Relationships>
</file>

<file path=word/charts/_rels/chart2.xml.rels><?xml version="1.0" encoding="UTF-8" standalone="yes"?>
<Relationships xmlns="http://schemas.openxmlformats.org/package/2006/relationships"><Relationship Id="rId4" Type="http://schemas.microsoft.com/office/2011/relationships/chartColorStyle" Target="colors2.xml"/><Relationship Id="rId3" Type="http://schemas.microsoft.com/office/2011/relationships/chartStyle" Target="style2.xml"/><Relationship Id="rId2" Type="http://schemas.openxmlformats.org/officeDocument/2006/relationships/themeOverride" Target="../theme/themeOverride2.xml"/><Relationship Id="rId1" Type="http://schemas.openxmlformats.org/officeDocument/2006/relationships/oleObject" Target="/home/user/Desktop/&#26376;&#24230;&#25910;&#25903;&#20998;&#26512;&#26609;&#29366;&#22270;1.xlsx" TargetMode="External"/></Relationships>
</file>

<file path=word/charts/_rels/chart3.xml.rels><?xml version="1.0" encoding="UTF-8" standalone="yes"?>
<Relationships xmlns="http://schemas.openxmlformats.org/package/2006/relationships"><Relationship Id="rId4" Type="http://schemas.microsoft.com/office/2011/relationships/chartColorStyle" Target="colors3.xml"/><Relationship Id="rId3" Type="http://schemas.microsoft.com/office/2011/relationships/chartStyle" Target="style3.xml"/><Relationship Id="rId2" Type="http://schemas.openxmlformats.org/officeDocument/2006/relationships/themeOverride" Target="../theme/themeOverride3.xml"/><Relationship Id="rId1" Type="http://schemas.openxmlformats.org/officeDocument/2006/relationships/oleObject" Target="/home/user/Desktop/&#26376;&#24230;&#25910;&#25903;&#20998;&#26512;&#26609;&#29366;&#22270;1.xlsx" TargetMode="External"/></Relationships>
</file>

<file path=word/charts/_rels/chart4.xml.rels><?xml version="1.0" encoding="UTF-8" standalone="yes"?>
<Relationships xmlns="http://schemas.openxmlformats.org/package/2006/relationships"><Relationship Id="rId4" Type="http://schemas.microsoft.com/office/2011/relationships/chartColorStyle" Target="colors4.xml"/><Relationship Id="rId3" Type="http://schemas.microsoft.com/office/2011/relationships/chartStyle" Target="style4.xml"/><Relationship Id="rId2" Type="http://schemas.openxmlformats.org/officeDocument/2006/relationships/themeOverride" Target="../theme/themeOverride4.xml"/><Relationship Id="rId1" Type="http://schemas.openxmlformats.org/officeDocument/2006/relationships/oleObject" Target="/home/user/Desktop/&#26376;&#24230;&#25910;&#25903;&#20998;&#26512;&#26609;&#29366;&#22270;1.xlsx" TargetMode="External"/></Relationships>
</file>

<file path=word/charts/_rels/chart5.xml.rels><?xml version="1.0" encoding="UTF-8" standalone="yes"?>
<Relationships xmlns="http://schemas.openxmlformats.org/package/2006/relationships"><Relationship Id="rId4" Type="http://schemas.microsoft.com/office/2011/relationships/chartColorStyle" Target="colors5.xml"/><Relationship Id="rId3" Type="http://schemas.microsoft.com/office/2011/relationships/chartStyle" Target="style5.xml"/><Relationship Id="rId2" Type="http://schemas.openxmlformats.org/officeDocument/2006/relationships/themeOverride" Target="../theme/themeOverride5.xml"/><Relationship Id="rId1" Type="http://schemas.openxmlformats.org/officeDocument/2006/relationships/oleObject" Target="/home/user/Desktop/&#26376;&#24230;&#25910;&#25903;&#20998;&#26512;&#26609;&#29366;&#22270;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defTabSz="914400">
              <a:defRPr lang="zh-CN" sz="1500" b="0" i="0" u="none" strike="noStrike" kern="1200" spc="0" baseline="0">
                <a:solidFill>
                  <a:sysClr val="windowText" lastClr="000000">
                    <a:lumMod val="65000"/>
                    <a:lumOff val="35000"/>
                  </a:sysClr>
                </a:solidFill>
                <a:latin typeface="+mn-lt"/>
                <a:ea typeface="+mn-ea"/>
                <a:cs typeface="+mn-cs"/>
              </a:defRPr>
            </a:pPr>
            <a:r>
              <a:rPr sz="1500" b="1"/>
              <a:t>收入决算结构图</a:t>
            </a:r>
            <a:endParaRPr sz="1500" b="1"/>
          </a:p>
        </c:rich>
      </c:tx>
      <c:layout>
        <c:manualLayout>
          <c:xMode val="edge"/>
          <c:yMode val="edge"/>
          <c:x val="0.356111111111111"/>
          <c:y val="0.0590277777777778"/>
        </c:manualLayout>
      </c:layout>
      <c:overlay val="0"/>
      <c:spPr>
        <a:noFill/>
        <a:ln>
          <a:noFill/>
        </a:ln>
        <a:effectLst/>
      </c:spPr>
    </c:title>
    <c:autoTitleDeleted val="0"/>
    <c:plotArea>
      <c:layout/>
      <c:pieChart>
        <c:varyColors val="1"/>
        <c:ser>
          <c:idx val="0"/>
          <c:order val="0"/>
          <c:spPr>
            <a:ln w="12700" cmpd="sng">
              <a:noFill/>
              <a:prstDash val="sysDot"/>
            </a:ln>
          </c:spPr>
          <c:explosion val="0"/>
          <c:dPt>
            <c:idx val="0"/>
            <c:bubble3D val="0"/>
            <c:spPr>
              <a:solidFill>
                <a:srgbClr val="4F81BD"/>
              </a:solidFill>
              <a:ln w="12700" cmpd="sng">
                <a:noFill/>
                <a:prstDash val="sysDot"/>
              </a:ln>
              <a:effectLst/>
            </c:spPr>
          </c:dPt>
          <c:dPt>
            <c:idx val="1"/>
            <c:bubble3D val="0"/>
            <c:spPr>
              <a:solidFill>
                <a:srgbClr val="C0504D"/>
              </a:solidFill>
              <a:ln w="12700" cmpd="sng">
                <a:noFill/>
                <a:prstDash val="sysDot"/>
              </a:ln>
              <a:effectLst/>
            </c:spPr>
          </c:dPt>
          <c:dLbls>
            <c:dLbl>
              <c:idx val="0"/>
              <c:layout>
                <c:manualLayout>
                  <c:x val="-0.000596617614240343"/>
                  <c:y val="-0.251084425458114"/>
                </c:manualLayout>
              </c:layout>
              <c:tx>
                <c:rich>
                  <a:bodyPr rot="0" spcFirstLastPara="0" vertOverflow="ellipsis" vert="horz" wrap="square" lIns="38100" tIns="19050" rIns="38100" bIns="19050" anchor="ctr" anchorCtr="1"/>
                  <a:lstStyle/>
                  <a:p>
                    <a:pPr defTabSz="914400">
                      <a:defRPr lang="zh-CN" sz="1000" b="1" i="0" u="none" strike="noStrike" kern="1200" baseline="0">
                        <a:solidFill>
                          <a:sysClr val="windowText" lastClr="000000">
                            <a:lumMod val="75000"/>
                            <a:lumOff val="25000"/>
                          </a:sysClr>
                        </a:solidFill>
                        <a:latin typeface="+mn-lt"/>
                        <a:ea typeface="+mn-ea"/>
                        <a:cs typeface="+mn-cs"/>
                      </a:defRPr>
                    </a:pPr>
                    <a:r>
                      <a:rPr sz="1000" b="1"/>
                      <a:t>占</a:t>
                    </a:r>
                    <a:r>
                      <a:rPr lang="en-US" altLang="zh-CN" sz="1000" b="1"/>
                      <a:t>100%</a:t>
                    </a:r>
                    <a:endParaRPr lang="en-US" altLang="zh-CN" sz="1000" b="1"/>
                  </a:p>
                </c:rich>
              </c:tx>
              <c:dLblPos val="bestFit"/>
              <c:showLegendKey val="0"/>
              <c:showVal val="1"/>
              <c:showCatName val="0"/>
              <c:showSerName val="0"/>
              <c:showPercent val="0"/>
              <c:showBubbleSize val="0"/>
              <c:extLst>
                <c:ext xmlns:c15="http://schemas.microsoft.com/office/drawing/2012/chart" uri="{CE6537A1-D6FC-4f65-9D91-7224C49458BB}">
                  <c15:layout>
                    <c:manualLayout>
                      <c:w val="0.164075727258735"/>
                      <c:h val="0.153055555555556"/>
                    </c:manualLayout>
                  </c15:layout>
                </c:ext>
              </c:extLst>
            </c:dLbl>
            <c:dLbl>
              <c:idx val="1"/>
              <c:layout>
                <c:manualLayout>
                  <c:x val="0.0547408466938216"/>
                  <c:y val="0.147205818297604"/>
                </c:manualLayout>
              </c:layout>
              <c:tx>
                <c:rich>
                  <a:bodyPr rot="0" spcFirstLastPara="0" vertOverflow="ellipsis" vert="horz" wrap="square" lIns="38100" tIns="19050" rIns="38100" bIns="19050" anchor="ctr" anchorCtr="1"/>
                  <a:lstStyle/>
                  <a:p>
                    <a:pPr defTabSz="914400">
                      <a:defRPr lang="zh-CN" sz="1000" b="1" i="0" u="none" strike="noStrike" kern="1200" baseline="0">
                        <a:solidFill>
                          <a:sysClr val="windowText" lastClr="000000">
                            <a:lumMod val="75000"/>
                            <a:lumOff val="25000"/>
                          </a:sysClr>
                        </a:solidFill>
                        <a:latin typeface="+mn-lt"/>
                        <a:ea typeface="+mn-ea"/>
                        <a:cs typeface="+mn-cs"/>
                      </a:defRPr>
                    </a:pPr>
                    <a:r>
                      <a:rPr sz="1000" b="1"/>
                      <a:t>20.01万元</a:t>
                    </a:r>
                    <a:r>
                      <a:rPr lang="en-US" altLang="zh-CN" sz="1000" b="1"/>
                      <a:t>         </a:t>
                    </a:r>
                    <a:r>
                      <a:rPr sz="1000" b="1"/>
                      <a:t>占</a:t>
                    </a:r>
                    <a:r>
                      <a:rPr lang="en-US" altLang="zh-CN" sz="1000" b="1"/>
                      <a:t>15%</a:t>
                    </a:r>
                    <a:endParaRPr lang="en-US" altLang="zh-CN" sz="1000" b="1"/>
                  </a:p>
                </c:rich>
              </c:tx>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1" i="0" u="none" strike="noStrike" kern="1200" baseline="0">
                    <a:solidFill>
                      <a:sysClr val="windowText" lastClr="000000">
                        <a:lumMod val="75000"/>
                        <a:lumOff val="25000"/>
                      </a:sys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[月度收支分析柱状图1.xlsx]Sheet1!$N$46:$N$47</c:f>
              <c:strCache>
                <c:ptCount val="2"/>
                <c:pt idx="0">
                  <c:v>一般公共预算财政拨款收入</c:v>
                </c:pt>
              </c:strCache>
            </c:strRef>
          </c:cat>
          <c:val>
            <c:numRef>
              <c:f>[月度收支分析柱状图1.xlsx]Sheet1!$O$46:$O$47</c:f>
              <c:numCache>
                <c:formatCode>General</c:formatCode>
                <c:ptCount val="2"/>
                <c:pt idx="0">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1000" b="0" i="0" u="none" strike="noStrike" kern="1200" baseline="0">
                <a:solidFill>
                  <a:sysClr val="windowText" lastClr="000000">
                    <a:lumMod val="65000"/>
                    <a:lumOff val="35000"/>
                  </a:sysClr>
                </a:solidFill>
                <a:latin typeface="+mn-lt"/>
                <a:ea typeface="+mn-ea"/>
                <a:cs typeface="+mn-cs"/>
              </a:defRPr>
            </a:pPr>
          </a:p>
        </c:txPr>
      </c:legendEntry>
      <c:legendEntry>
        <c:idx val="1"/>
        <c:delete val="1"/>
      </c:legendEntry>
      <c:layout/>
      <c:overlay val="0"/>
      <c:spPr>
        <a:noFill/>
        <a:ln>
          <a:noFill/>
        </a:ln>
        <a:effectLst/>
      </c:spPr>
      <c:txPr>
        <a:bodyPr rot="0" spcFirstLastPara="0" vertOverflow="ellipsis" vert="horz" wrap="square" anchor="ctr" anchorCtr="1"/>
        <a:lstStyle/>
        <a:p>
          <a:pPr>
            <a:defRPr lang="zh-CN" sz="10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sz="1000"/>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defTabSz="914400">
              <a:defRPr lang="zh-CN" sz="1200" b="0" i="0" u="none" strike="noStrike" kern="1200" spc="0" baseline="0">
                <a:solidFill>
                  <a:sysClr val="windowText" lastClr="000000">
                    <a:lumMod val="65000"/>
                    <a:lumOff val="35000"/>
                  </a:sysClr>
                </a:solidFill>
                <a:latin typeface="+mn-lt"/>
                <a:ea typeface="+mn-ea"/>
                <a:cs typeface="+mn-cs"/>
              </a:defRPr>
            </a:pPr>
            <a:r>
              <a:rPr sz="1200" b="1"/>
              <a:t>支出决算结构图</a:t>
            </a:r>
            <a:endParaRPr sz="1200" b="1"/>
          </a:p>
        </c:rich>
      </c:tx>
      <c:layout>
        <c:manualLayout>
          <c:xMode val="edge"/>
          <c:yMode val="edge"/>
          <c:x val="0.356111111111111"/>
          <c:y val="0.0590277777777778"/>
        </c:manualLayout>
      </c:layout>
      <c:overlay val="0"/>
      <c:spPr>
        <a:noFill/>
        <a:ln>
          <a:noFill/>
        </a:ln>
        <a:effectLst/>
      </c:spPr>
    </c:title>
    <c:autoTitleDeleted val="0"/>
    <c:plotArea>
      <c:layout/>
      <c:pieChart>
        <c:varyColors val="1"/>
        <c:ser>
          <c:idx val="0"/>
          <c:order val="0"/>
          <c:spPr/>
          <c:explosion val="0"/>
          <c:dPt>
            <c:idx val="0"/>
            <c:bubble3D val="0"/>
            <c:spPr>
              <a:solidFill>
                <a:srgbClr val="4472C4"/>
              </a:solidFill>
              <a:ln w="19050">
                <a:solidFill>
                  <a:sysClr val="window" lastClr="FFFFFF"/>
                </a:solidFill>
              </a:ln>
              <a:effectLst/>
            </c:spPr>
          </c:dPt>
          <c:dPt>
            <c:idx val="1"/>
            <c:bubble3D val="0"/>
            <c:spPr>
              <a:solidFill>
                <a:srgbClr val="ED7D31"/>
              </a:solidFill>
              <a:ln w="19050">
                <a:solidFill>
                  <a:sysClr val="window" lastClr="FFFFFF"/>
                </a:solidFill>
              </a:ln>
              <a:effectLst/>
            </c:spPr>
          </c:dPt>
          <c:dLbls>
            <c:dLbl>
              <c:idx val="0"/>
              <c:layout>
                <c:manualLayout>
                  <c:x val="-0.168335894716493"/>
                  <c:y val="-0.0924968156569131"/>
                </c:manualLayout>
              </c:layout>
              <c:tx>
                <c:rich>
                  <a:bodyPr rot="0" spcFirstLastPara="0" vertOverflow="ellipsis" vert="horz" wrap="square" lIns="38100" tIns="19050" rIns="38100" bIns="19050" anchor="ctr" anchorCtr="1"/>
                  <a:lstStyle/>
                  <a:p>
                    <a:pPr defTabSz="914400">
                      <a:defRPr lang="zh-CN" sz="1000" b="1" i="0" u="none" strike="noStrike" kern="1200" baseline="0">
                        <a:solidFill>
                          <a:sysClr val="windowText" lastClr="000000">
                            <a:lumMod val="75000"/>
                            <a:lumOff val="25000"/>
                          </a:sysClr>
                        </a:solidFill>
                        <a:latin typeface="+mn-lt"/>
                        <a:ea typeface="+mn-ea"/>
                        <a:cs typeface="+mn-cs"/>
                      </a:defRPr>
                    </a:pPr>
                    <a:r>
                      <a:rPr lang="en-US" altLang="zh-CN" sz="1000" b="1"/>
                      <a:t>311.50</a:t>
                    </a:r>
                    <a:r>
                      <a:rPr sz="1000" b="1"/>
                      <a:t>万元</a:t>
                    </a:r>
                    <a:r>
                      <a:rPr lang="en-US" altLang="zh-CN" sz="1000" b="1"/>
                      <a:t>        </a:t>
                    </a:r>
                    <a:r>
                      <a:rPr sz="1000" b="1"/>
                      <a:t>占</a:t>
                    </a:r>
                    <a:r>
                      <a:rPr lang="en-US" altLang="zh-CN" sz="1000" b="1"/>
                      <a:t>69.62%</a:t>
                    </a:r>
                    <a:endParaRPr lang="en-US" altLang="zh-CN" sz="1000" b="1"/>
                  </a:p>
                </c:rich>
              </c:tx>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140157513360488"/>
                  <c:y val="0.125227796319582"/>
                </c:manualLayout>
              </c:layout>
              <c:tx>
                <c:rich>
                  <a:bodyPr rot="0" spcFirstLastPara="0" vertOverflow="ellipsis" vert="horz" wrap="square" lIns="38100" tIns="19050" rIns="38100" bIns="19050" anchor="ctr" anchorCtr="1"/>
                  <a:lstStyle/>
                  <a:p>
                    <a:pPr defTabSz="914400">
                      <a:defRPr lang="zh-CN" sz="1000" b="1" i="0" u="none" strike="noStrike" kern="1200" baseline="0">
                        <a:solidFill>
                          <a:sysClr val="windowText" lastClr="000000">
                            <a:lumMod val="75000"/>
                            <a:lumOff val="25000"/>
                          </a:sysClr>
                        </a:solidFill>
                        <a:latin typeface="+mn-lt"/>
                        <a:ea typeface="+mn-ea"/>
                        <a:cs typeface="+mn-cs"/>
                      </a:defRPr>
                    </a:pPr>
                    <a:r>
                      <a:rPr lang="en-US" altLang="zh-CN" sz="1000" b="1"/>
                      <a:t>135.92</a:t>
                    </a:r>
                    <a:r>
                      <a:rPr sz="1000" b="1"/>
                      <a:t>万元</a:t>
                    </a:r>
                    <a:r>
                      <a:rPr lang="en-US" altLang="zh-CN" sz="1000" b="1"/>
                      <a:t>         </a:t>
                    </a:r>
                    <a:r>
                      <a:rPr sz="1000" b="1"/>
                      <a:t>占</a:t>
                    </a:r>
                    <a:r>
                      <a:rPr lang="en-US" altLang="zh-CN" sz="1000" b="1"/>
                      <a:t>30.38%</a:t>
                    </a:r>
                    <a:endParaRPr lang="en-US" altLang="zh-CN" sz="1000" b="1"/>
                  </a:p>
                </c:rich>
              </c:tx>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1" i="0" u="none" strike="noStrike" kern="1200" baseline="0">
                    <a:solidFill>
                      <a:sysClr val="windowText" lastClr="000000">
                        <a:lumMod val="75000"/>
                        <a:lumOff val="25000"/>
                      </a:sys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[月度收支分析柱状图1.xlsx]Sheet1!$J$55:$J$56</c:f>
              <c:strCache>
                <c:ptCount val="2"/>
                <c:pt idx="0">
                  <c:v>基本支出</c:v>
                </c:pt>
                <c:pt idx="1">
                  <c:v>项目支出</c:v>
                </c:pt>
              </c:strCache>
            </c:strRef>
          </c:cat>
          <c:val>
            <c:numRef>
              <c:f>[月度收支分析柱状图1.xlsx]Sheet1!$K$55:$K$56</c:f>
              <c:numCache>
                <c:formatCode>General</c:formatCode>
                <c:ptCount val="2"/>
                <c:pt idx="0">
                  <c:v>311.5</c:v>
                </c:pt>
                <c:pt idx="1">
                  <c:v>135.92</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1000" b="0" i="0" u="none" strike="noStrike" kern="1200" baseline="0">
                <a:solidFill>
                  <a:sysClr val="windowText" lastClr="000000">
                    <a:lumMod val="65000"/>
                    <a:lumOff val="35000"/>
                  </a:sysClr>
                </a:solidFill>
                <a:latin typeface="+mn-lt"/>
                <a:ea typeface="+mn-ea"/>
                <a:cs typeface="+mn-cs"/>
              </a:defRPr>
            </a:pPr>
          </a:p>
        </c:txPr>
      </c:legendEntry>
      <c:legendEntry>
        <c:idx val="1"/>
        <c:txPr>
          <a:bodyPr rot="0" spcFirstLastPara="0" vertOverflow="ellipsis" vert="horz" wrap="square" anchor="ctr" anchorCtr="1"/>
          <a:lstStyle/>
          <a:p>
            <a:pPr>
              <a:defRPr lang="zh-CN" sz="1000" b="0" i="0" u="none" strike="noStrike" kern="1200" baseline="0">
                <a:solidFill>
                  <a:sysClr val="windowText" lastClr="000000">
                    <a:lumMod val="65000"/>
                    <a:lumOff val="35000"/>
                  </a:sysClr>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10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sz="1000"/>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a:defRPr lang="zh-CN" sz="1500" b="1" i="0" u="none" strike="noStrike" kern="1200" spc="0" baseline="0">
                <a:solidFill>
                  <a:sysClr val="windowText" lastClr="000000">
                    <a:lumMod val="65000"/>
                    <a:lumOff val="35000"/>
                  </a:sysClr>
                </a:solidFill>
                <a:latin typeface="+mn-lt"/>
                <a:ea typeface="+mn-ea"/>
                <a:cs typeface="+mn-cs"/>
              </a:defRPr>
            </a:pPr>
            <a:r>
              <a:rPr sz="1500" b="1"/>
              <a:t>财政拨款收、支决算总计变动情况</a:t>
            </a:r>
            <a:endParaRPr sz="1500" b="1"/>
          </a:p>
        </c:rich>
      </c:tx>
      <c:layout>
        <c:manualLayout>
          <c:xMode val="edge"/>
          <c:yMode val="edge"/>
          <c:x val="0.2274506268518"/>
          <c:y val="0.0364137659566387"/>
        </c:manualLayout>
      </c:layout>
      <c:overlay val="0"/>
      <c:spPr>
        <a:noFill/>
        <a:ln>
          <a:noFill/>
        </a:ln>
        <a:effectLst/>
      </c:spPr>
    </c:title>
    <c:autoTitleDeleted val="0"/>
    <c:plotArea>
      <c:layout/>
      <c:barChart>
        <c:barDir val="col"/>
        <c:grouping val="clustered"/>
        <c:varyColors val="0"/>
        <c:ser>
          <c:idx val="0"/>
          <c:order val="0"/>
          <c:spPr>
            <a:solidFill>
              <a:srgbClr val="4472C4"/>
            </a:solidFill>
            <a:ln>
              <a:noFill/>
            </a:ln>
            <a:effectLst/>
          </c:spPr>
          <c:invertIfNegative val="0"/>
          <c:dPt>
            <c:idx val="0"/>
            <c:invertIfNegative val="0"/>
            <c:bubble3D val="0"/>
          </c:dPt>
          <c:dPt>
            <c:idx val="1"/>
            <c:invertIfNegative val="0"/>
            <c:bubble3D val="0"/>
          </c:dPt>
          <c:dLbls>
            <c:dLbl>
              <c:idx val="0"/>
              <c:layout/>
              <c:dLblPos val="outEnd"/>
              <c:showLegendKey val="0"/>
              <c:showVal val="1"/>
              <c:showCatName val="0"/>
              <c:showSerName val="0"/>
              <c:showPercent val="0"/>
              <c:showBubbleSize val="0"/>
              <c:extLst>
                <c:ext xmlns:c15="http://schemas.microsoft.com/office/drawing/2012/chart" uri="{CE6537A1-D6FC-4f65-9D91-7224C49458BB}"/>
              </c:extLst>
            </c:dLbl>
            <c:dLbl>
              <c:idx val="1"/>
              <c:layout/>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600" b="1" i="0" u="none" strike="noStrike" kern="1200" baseline="0">
                    <a:solidFill>
                      <a:sysClr val="windowText" lastClr="000000">
                        <a:lumMod val="75000"/>
                        <a:lumOff val="25000"/>
                      </a:sysClr>
                    </a:solidFill>
                    <a:latin typeface="+mn-lt"/>
                    <a:ea typeface="+mn-ea"/>
                    <a:cs typeface="+mn-cs"/>
                  </a:defRPr>
                </a:pPr>
              </a:p>
            </c:txPr>
            <c:dLblPos val="outEnd"/>
            <c:showLegendKey val="0"/>
            <c:showVal val="0"/>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[月度收支分析柱状图1.xlsx]Sheet1!$N$21:$N$22</c:f>
              <c:strCache>
                <c:ptCount val="2"/>
                <c:pt idx="0">
                  <c:v>2021年</c:v>
                </c:pt>
                <c:pt idx="1">
                  <c:v>2022年</c:v>
                </c:pt>
              </c:strCache>
            </c:strRef>
          </c:cat>
          <c:val>
            <c:numRef>
              <c:f>[月度收支分析柱状图1.xlsx]Sheet1!$O$21:$O$22</c:f>
              <c:numCache>
                <c:formatCode>0.00_ </c:formatCode>
                <c:ptCount val="2"/>
                <c:pt idx="0">
                  <c:v>333.06</c:v>
                </c:pt>
                <c:pt idx="1">
                  <c:v>447.42</c:v>
                </c:pt>
              </c:numCache>
            </c:numRef>
          </c:val>
        </c:ser>
        <c:dLbls>
          <c:showLegendKey val="0"/>
          <c:showVal val="1"/>
          <c:showCatName val="0"/>
          <c:showSerName val="0"/>
          <c:showPercent val="0"/>
          <c:showBubbleSize val="0"/>
        </c:dLbls>
        <c:gapWidth val="219"/>
        <c:overlap val="-27"/>
        <c:axId val="517324296"/>
        <c:axId val="517324952"/>
      </c:barChart>
      <c:catAx>
        <c:axId val="517324296"/>
        <c:scaling>
          <c:orientation val="minMax"/>
        </c:scaling>
        <c:delete val="0"/>
        <c:axPos val="b"/>
        <c:numFmt formatCode="General" sourceLinked="1"/>
        <c:majorTickMark val="out"/>
        <c:minorTickMark val="none"/>
        <c:tickLblPos val="nextTo"/>
        <c:spPr>
          <a:noFill/>
          <a:ln w="38100" cap="flat" cmpd="sng" algn="ctr">
            <a:solidFill>
              <a:sysClr val="windowText" lastClr="000000"/>
            </a:solidFill>
            <a:round/>
          </a:ln>
          <a:effectLst/>
        </c:spPr>
        <c:txPr>
          <a:bodyPr rot="-60000000" spcFirstLastPara="0" vertOverflow="ellipsis" vert="horz" wrap="square" anchor="ctr" anchorCtr="1"/>
          <a:lstStyle/>
          <a:p>
            <a:pPr>
              <a:defRPr lang="zh-CN" sz="1600" b="1" i="0" u="none" strike="noStrike" kern="1200" baseline="0">
                <a:solidFill>
                  <a:sysClr val="windowText" lastClr="000000">
                    <a:lumMod val="65000"/>
                    <a:lumOff val="35000"/>
                  </a:sysClr>
                </a:solidFill>
                <a:latin typeface="+mn-lt"/>
                <a:ea typeface="+mn-ea"/>
                <a:cs typeface="+mn-cs"/>
              </a:defRPr>
            </a:pPr>
          </a:p>
        </c:txPr>
        <c:crossAx val="517324952"/>
        <c:crosses val="autoZero"/>
        <c:auto val="1"/>
        <c:lblAlgn val="ctr"/>
        <c:lblOffset val="100"/>
        <c:noMultiLvlLbl val="0"/>
      </c:catAx>
      <c:valAx>
        <c:axId val="517324952"/>
        <c:scaling>
          <c:orientation val="minMax"/>
          <c:max val="500"/>
        </c:scaling>
        <c:delete val="0"/>
        <c:axPos val="l"/>
        <c:majorGridlines>
          <c:spPr>
            <a:ln w="9525" cap="flat" cmpd="sng" algn="ctr">
              <a:solidFill>
                <a:sysClr val="windowText" lastClr="000000">
                  <a:lumMod val="15000"/>
                  <a:lumOff val="85000"/>
                </a:sysClr>
              </a:solidFill>
              <a:round/>
            </a:ln>
            <a:effectLst/>
          </c:spPr>
        </c:majorGridlines>
        <c:minorGridlines>
          <c:spPr>
            <a:ln w="9525" cap="flat" cmpd="sng" algn="ctr">
              <a:solidFill>
                <a:sysClr val="windowText" lastClr="000000">
                  <a:lumMod val="5000"/>
                  <a:lumOff val="95000"/>
                </a:sysClr>
              </a:solidFill>
              <a:round/>
            </a:ln>
            <a:effectLst/>
          </c:spPr>
        </c:minorGridlines>
        <c:numFmt formatCode="0.00_ " sourceLinked="1"/>
        <c:majorTickMark val="out"/>
        <c:minorTickMark val="none"/>
        <c:tickLblPos val="nextTo"/>
        <c:spPr>
          <a:noFill/>
          <a:ln>
            <a:noFill/>
          </a:ln>
          <a:effectLst/>
        </c:spPr>
        <c:txPr>
          <a:bodyPr rot="-60000000" spcFirstLastPara="0" vertOverflow="ellipsis" vert="horz" wrap="square" anchor="ctr" anchorCtr="1"/>
          <a:lstStyle/>
          <a:p>
            <a:pPr>
              <a:defRPr lang="zh-CN" sz="1600" b="1" i="0" u="none" strike="noStrike" kern="1200" baseline="0">
                <a:solidFill>
                  <a:sysClr val="windowText" lastClr="000000">
                    <a:lumMod val="65000"/>
                    <a:lumOff val="35000"/>
                  </a:sysClr>
                </a:solidFill>
                <a:latin typeface="+mn-lt"/>
                <a:ea typeface="+mn-ea"/>
                <a:cs typeface="+mn-cs"/>
              </a:defRPr>
            </a:pPr>
          </a:p>
        </c:txPr>
        <c:crossAx val="517324296"/>
        <c:crosses val="autoZero"/>
        <c:crossBetween val="between"/>
        <c:majorUnit val="100"/>
        <c:minorUnit val="100"/>
      </c:valAx>
      <c:spPr>
        <a:noFill/>
        <a:ln>
          <a:noFill/>
        </a:ln>
        <a:effectLst/>
      </c:spPr>
    </c:plotArea>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sz="1600" b="1"/>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a:defRPr lang="zh-CN" sz="1700" b="1" i="0" u="none" strike="noStrike" kern="1200" spc="0" baseline="0">
                <a:solidFill>
                  <a:sysClr val="windowText" lastClr="000000">
                    <a:lumMod val="65000"/>
                    <a:lumOff val="35000"/>
                  </a:sysClr>
                </a:solidFill>
                <a:latin typeface="+mn-lt"/>
                <a:ea typeface="+mn-ea"/>
                <a:cs typeface="+mn-cs"/>
              </a:defRPr>
            </a:pPr>
            <a:r>
              <a:rPr sz="1700" b="1"/>
              <a:t>一般公共预算财政拨款支出决算变动情况</a:t>
            </a:r>
            <a:endParaRPr sz="1700" b="1"/>
          </a:p>
        </c:rich>
      </c:tx>
      <c:layout>
        <c:manualLayout>
          <c:xMode val="edge"/>
          <c:yMode val="edge"/>
          <c:x val="0.164182369440376"/>
          <c:y val="0.0394149664368308"/>
        </c:manualLayout>
      </c:layout>
      <c:overlay val="0"/>
      <c:spPr>
        <a:noFill/>
        <a:ln>
          <a:noFill/>
        </a:ln>
        <a:effectLst/>
      </c:spPr>
    </c:title>
    <c:autoTitleDeleted val="0"/>
    <c:plotArea>
      <c:layout/>
      <c:barChart>
        <c:barDir val="col"/>
        <c:grouping val="clustered"/>
        <c:varyColors val="0"/>
        <c:ser>
          <c:idx val="0"/>
          <c:order val="0"/>
          <c:spPr>
            <a:solidFill>
              <a:srgbClr val="4472C4"/>
            </a:solidFill>
            <a:ln>
              <a:noFill/>
            </a:ln>
            <a:effectLst/>
          </c:spPr>
          <c:invertIfNegative val="0"/>
          <c:dPt>
            <c:idx val="0"/>
            <c:invertIfNegative val="0"/>
            <c:bubble3D val="0"/>
          </c:dPt>
          <c:dPt>
            <c:idx val="1"/>
            <c:invertIfNegative val="0"/>
            <c:bubble3D val="0"/>
          </c:dPt>
          <c:dLbls>
            <c:dLbl>
              <c:idx val="0"/>
              <c:layout/>
              <c:tx>
                <c:rich>
                  <a:bodyPr rot="0" spcFirstLastPara="0" vertOverflow="ellipsis" vert="horz" wrap="square" lIns="38100" tIns="19050" rIns="38100" bIns="19050" anchor="ctr" anchorCtr="1"/>
                  <a:lstStyle/>
                  <a:p>
                    <a:pPr defTabSz="914400">
                      <a:defRPr lang="zh-CN" sz="1600" b="1" i="0" u="none" strike="noStrike" kern="1200" baseline="0">
                        <a:solidFill>
                          <a:sysClr val="windowText" lastClr="000000">
                            <a:lumMod val="75000"/>
                            <a:lumOff val="25000"/>
                          </a:sysClr>
                        </a:solidFill>
                        <a:latin typeface="+mn-lt"/>
                        <a:ea typeface="+mn-ea"/>
                        <a:cs typeface="+mn-cs"/>
                      </a:defRPr>
                    </a:pPr>
                    <a:r>
                      <a:rPr lang="en-US" altLang="zh-CN"/>
                      <a:t>332.55</a:t>
                    </a:r>
                    <a:endParaRPr lang="en-US" altLang="zh-CN"/>
                  </a:p>
                </c:rich>
              </c:tx>
              <c:dLblPos val="outEnd"/>
              <c:showLegendKey val="0"/>
              <c:showVal val="1"/>
              <c:showCatName val="0"/>
              <c:showSerName val="0"/>
              <c:showPercent val="0"/>
              <c:showBubbleSize val="0"/>
              <c:extLst>
                <c:ext xmlns:c15="http://schemas.microsoft.com/office/drawing/2012/chart" uri="{CE6537A1-D6FC-4f65-9D91-7224C49458BB}"/>
              </c:extLst>
            </c:dLbl>
            <c:dLbl>
              <c:idx val="1"/>
              <c:layout/>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600" b="1" i="0" u="none" strike="noStrike" kern="1200" baseline="0">
                    <a:solidFill>
                      <a:sysClr val="windowText" lastClr="000000">
                        <a:lumMod val="75000"/>
                        <a:lumOff val="25000"/>
                      </a:sysClr>
                    </a:solidFill>
                    <a:latin typeface="+mn-lt"/>
                    <a:ea typeface="+mn-ea"/>
                    <a:cs typeface="+mn-cs"/>
                  </a:defRPr>
                </a:pPr>
              </a:p>
            </c:txPr>
            <c:dLblPos val="outEnd"/>
            <c:showLegendKey val="0"/>
            <c:showVal val="0"/>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[月度收支分析柱状图1.xlsx]Sheet1!$N$21:$N$22</c:f>
              <c:strCache>
                <c:ptCount val="2"/>
                <c:pt idx="0">
                  <c:v>2021年</c:v>
                </c:pt>
                <c:pt idx="1">
                  <c:v>2022年</c:v>
                </c:pt>
              </c:strCache>
            </c:strRef>
          </c:cat>
          <c:val>
            <c:numRef>
              <c:f>[月度收支分析柱状图1.xlsx]Sheet1!$O$21:$O$22</c:f>
              <c:numCache>
                <c:formatCode>0.00_ </c:formatCode>
                <c:ptCount val="2"/>
                <c:pt idx="0">
                  <c:v>333.06</c:v>
                </c:pt>
                <c:pt idx="1">
                  <c:v>447.42</c:v>
                </c:pt>
              </c:numCache>
            </c:numRef>
          </c:val>
        </c:ser>
        <c:dLbls>
          <c:showLegendKey val="0"/>
          <c:showVal val="1"/>
          <c:showCatName val="0"/>
          <c:showSerName val="0"/>
          <c:showPercent val="0"/>
          <c:showBubbleSize val="0"/>
        </c:dLbls>
        <c:gapWidth val="219"/>
        <c:overlap val="-27"/>
        <c:axId val="517324296"/>
        <c:axId val="517324952"/>
      </c:barChart>
      <c:catAx>
        <c:axId val="517324296"/>
        <c:scaling>
          <c:orientation val="minMax"/>
        </c:scaling>
        <c:delete val="0"/>
        <c:axPos val="b"/>
        <c:numFmt formatCode="General" sourceLinked="1"/>
        <c:majorTickMark val="out"/>
        <c:minorTickMark val="none"/>
        <c:tickLblPos val="nextTo"/>
        <c:spPr>
          <a:noFill/>
          <a:ln w="38100" cap="flat" cmpd="sng" algn="ctr">
            <a:solidFill>
              <a:sysClr val="windowText" lastClr="000000"/>
            </a:solidFill>
            <a:round/>
          </a:ln>
          <a:effectLst/>
        </c:spPr>
        <c:txPr>
          <a:bodyPr rot="-60000000" spcFirstLastPara="0" vertOverflow="ellipsis" vert="horz" wrap="square" anchor="ctr" anchorCtr="1"/>
          <a:lstStyle/>
          <a:p>
            <a:pPr>
              <a:defRPr lang="zh-CN" sz="1600" b="1" i="0" u="none" strike="noStrike" kern="1200" baseline="0">
                <a:solidFill>
                  <a:sysClr val="windowText" lastClr="000000">
                    <a:lumMod val="65000"/>
                    <a:lumOff val="35000"/>
                  </a:sysClr>
                </a:solidFill>
                <a:latin typeface="+mn-lt"/>
                <a:ea typeface="+mn-ea"/>
                <a:cs typeface="+mn-cs"/>
              </a:defRPr>
            </a:pPr>
          </a:p>
        </c:txPr>
        <c:crossAx val="517324952"/>
        <c:crosses val="autoZero"/>
        <c:auto val="1"/>
        <c:lblAlgn val="ctr"/>
        <c:lblOffset val="100"/>
        <c:noMultiLvlLbl val="0"/>
      </c:catAx>
      <c:valAx>
        <c:axId val="517324952"/>
        <c:scaling>
          <c:orientation val="minMax"/>
          <c:max val="500"/>
        </c:scaling>
        <c:delete val="0"/>
        <c:axPos val="l"/>
        <c:majorGridlines>
          <c:spPr>
            <a:ln w="9525" cap="flat" cmpd="sng" algn="ctr">
              <a:solidFill>
                <a:sysClr val="windowText" lastClr="000000">
                  <a:lumMod val="15000"/>
                  <a:lumOff val="85000"/>
                </a:sysClr>
              </a:solidFill>
              <a:round/>
            </a:ln>
            <a:effectLst/>
          </c:spPr>
        </c:majorGridlines>
        <c:minorGridlines>
          <c:spPr>
            <a:ln w="9525" cap="flat" cmpd="sng" algn="ctr">
              <a:solidFill>
                <a:sysClr val="windowText" lastClr="000000">
                  <a:lumMod val="5000"/>
                  <a:lumOff val="95000"/>
                </a:sysClr>
              </a:solidFill>
              <a:round/>
            </a:ln>
            <a:effectLst/>
          </c:spPr>
        </c:minorGridlines>
        <c:numFmt formatCode="0.00_ " sourceLinked="1"/>
        <c:majorTickMark val="out"/>
        <c:minorTickMark val="none"/>
        <c:tickLblPos val="nextTo"/>
        <c:spPr>
          <a:noFill/>
          <a:ln>
            <a:noFill/>
          </a:ln>
          <a:effectLst/>
        </c:spPr>
        <c:txPr>
          <a:bodyPr rot="-60000000" spcFirstLastPara="0" vertOverflow="ellipsis" vert="horz" wrap="square" anchor="ctr" anchorCtr="1"/>
          <a:lstStyle/>
          <a:p>
            <a:pPr>
              <a:defRPr lang="zh-CN" sz="1600" b="1" i="0" u="none" strike="noStrike" kern="1200" baseline="0">
                <a:solidFill>
                  <a:sysClr val="windowText" lastClr="000000">
                    <a:lumMod val="65000"/>
                    <a:lumOff val="35000"/>
                  </a:sysClr>
                </a:solidFill>
                <a:latin typeface="+mn-lt"/>
                <a:ea typeface="+mn-ea"/>
                <a:cs typeface="+mn-cs"/>
              </a:defRPr>
            </a:pPr>
          </a:p>
        </c:txPr>
        <c:crossAx val="517324296"/>
        <c:crosses val="autoZero"/>
        <c:crossBetween val="between"/>
        <c:majorUnit val="100"/>
        <c:minorUnit val="100"/>
      </c:valAx>
      <c:spPr>
        <a:noFill/>
        <a:ln>
          <a:noFill/>
        </a:ln>
        <a:effectLst/>
      </c:spPr>
    </c:plotArea>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sz="1600" b="1"/>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defTabSz="914400">
              <a:defRPr lang="zh-CN" sz="1400" b="1" i="0" u="none" strike="noStrike" kern="1200" spc="0" baseline="0">
                <a:solidFill>
                  <a:sysClr val="windowText" lastClr="000000">
                    <a:lumMod val="65000"/>
                    <a:lumOff val="35000"/>
                  </a:sysClr>
                </a:solidFill>
                <a:latin typeface="+mn-lt"/>
                <a:ea typeface="+mn-ea"/>
                <a:cs typeface="+mn-cs"/>
              </a:defRPr>
            </a:pPr>
            <a:r>
              <a:rPr b="1"/>
              <a:t>一般公共预算财政拨款支出决算结构</a:t>
            </a:r>
            <a:endParaRPr b="1"/>
          </a:p>
        </c:rich>
      </c:tx>
      <c:layout/>
      <c:overlay val="0"/>
      <c:spPr>
        <a:noFill/>
        <a:ln>
          <a:noFill/>
        </a:ln>
        <a:effectLst/>
      </c:spPr>
    </c:title>
    <c:autoTitleDeleted val="0"/>
    <c:plotArea>
      <c:layout/>
      <c:pieChart>
        <c:varyColors val="1"/>
        <c:ser>
          <c:idx val="0"/>
          <c:order val="0"/>
          <c:spPr/>
          <c:explosion val="0"/>
          <c:dPt>
            <c:idx val="0"/>
            <c:bubble3D val="0"/>
            <c:spPr>
              <a:solidFill>
                <a:srgbClr val="4472C4"/>
              </a:solidFill>
              <a:ln w="19050">
                <a:solidFill>
                  <a:sysClr val="window" lastClr="FFFFFF"/>
                </a:solidFill>
              </a:ln>
              <a:effectLst/>
            </c:spPr>
          </c:dPt>
          <c:dPt>
            <c:idx val="1"/>
            <c:bubble3D val="0"/>
            <c:spPr>
              <a:solidFill>
                <a:srgbClr val="ED7D31"/>
              </a:solidFill>
              <a:ln w="19050">
                <a:solidFill>
                  <a:sysClr val="window" lastClr="FFFFFF"/>
                </a:solidFill>
              </a:ln>
              <a:effectLst/>
            </c:spPr>
          </c:dPt>
          <c:dPt>
            <c:idx val="2"/>
            <c:bubble3D val="0"/>
            <c:spPr>
              <a:solidFill>
                <a:srgbClr val="A5A5A5"/>
              </a:solidFill>
              <a:ln w="19050">
                <a:solidFill>
                  <a:sysClr val="window" lastClr="FFFFFF"/>
                </a:solidFill>
              </a:ln>
              <a:effectLst/>
            </c:spPr>
          </c:dPt>
          <c:dPt>
            <c:idx val="3"/>
            <c:bubble3D val="0"/>
            <c:spPr>
              <a:solidFill>
                <a:srgbClr val="FFC000"/>
              </a:solidFill>
              <a:ln w="19050">
                <a:solidFill>
                  <a:sysClr val="window" lastClr="FFFFFF"/>
                </a:solidFill>
              </a:ln>
              <a:effectLst/>
            </c:spPr>
          </c:dPt>
          <c:dLbls>
            <c:dLbl>
              <c:idx val="0"/>
              <c:layout>
                <c:manualLayout>
                  <c:x val="-0.0670864306400849"/>
                  <c:y val="-0.184278727108138"/>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ysClr val="windowText" lastClr="000000">
                            <a:lumMod val="75000"/>
                            <a:lumOff val="25000"/>
                          </a:sysClr>
                        </a:solidFill>
                        <a:latin typeface="+mn-lt"/>
                        <a:ea typeface="+mn-ea"/>
                        <a:cs typeface="+mn-cs"/>
                      </a:defRPr>
                    </a:pPr>
                    <a:r>
                      <a:rPr lang="en-US" altLang="zh-CN" b="1"/>
                      <a:t>401.86</a:t>
                    </a:r>
                    <a:r>
                      <a:rPr b="1"/>
                      <a:t>万元</a:t>
                    </a:r>
                    <a:r>
                      <a:rPr lang="en-US" altLang="zh-CN" b="1"/>
                      <a:t> </a:t>
                    </a:r>
                    <a:endParaRPr lang="en-US" altLang="zh-CN" b="1"/>
                  </a:p>
                  <a:p>
                    <a:pPr defTabSz="914400">
                      <a:defRPr lang="zh-CN" sz="900" b="0" i="0" u="none" strike="noStrike" kern="1200" baseline="0">
                        <a:solidFill>
                          <a:sysClr val="windowText" lastClr="000000">
                            <a:lumMod val="75000"/>
                            <a:lumOff val="25000"/>
                          </a:sysClr>
                        </a:solidFill>
                        <a:latin typeface="+mn-lt"/>
                        <a:ea typeface="+mn-ea"/>
                        <a:cs typeface="+mn-cs"/>
                      </a:defRPr>
                    </a:pPr>
                    <a:r>
                      <a:rPr b="1"/>
                      <a:t>占</a:t>
                    </a:r>
                    <a:r>
                      <a:rPr lang="en-US" altLang="zh-CN" b="1"/>
                      <a:t>89.82%</a:t>
                    </a:r>
                    <a:endParaRPr lang="en-US" altLang="zh-CN" b="1"/>
                  </a:p>
                </c:rich>
              </c:tx>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0600445259782914"/>
                  <c:y val="0.173590803785278"/>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ysClr val="windowText" lastClr="000000">
                            <a:lumMod val="75000"/>
                            <a:lumOff val="25000"/>
                          </a:sysClr>
                        </a:solidFill>
                        <a:latin typeface="+mn-lt"/>
                        <a:ea typeface="+mn-ea"/>
                        <a:cs typeface="+mn-cs"/>
                      </a:defRPr>
                    </a:pPr>
                    <a:r>
                      <a:rPr lang="en-US" altLang="zh-CN"/>
                      <a:t>17.36</a:t>
                    </a:r>
                    <a:r>
                      <a:t>万元</a:t>
                    </a:r>
                  </a:p>
                  <a:p>
                    <a:pPr defTabSz="914400">
                      <a:defRPr lang="zh-CN" sz="900" b="0" i="0" u="none" strike="noStrike" kern="1200" baseline="0">
                        <a:solidFill>
                          <a:sysClr val="windowText" lastClr="000000">
                            <a:lumMod val="75000"/>
                            <a:lumOff val="25000"/>
                          </a:sysClr>
                        </a:solidFill>
                        <a:latin typeface="+mn-lt"/>
                        <a:ea typeface="+mn-ea"/>
                        <a:cs typeface="+mn-cs"/>
                      </a:defRPr>
                    </a:pPr>
                    <a:r>
                      <a:t>占</a:t>
                    </a:r>
                    <a:r>
                      <a:rPr lang="en-US" altLang="zh-CN"/>
                      <a:t>3.88%</a:t>
                    </a:r>
                    <a:endParaRPr lang="en-US" altLang="zh-CN"/>
                  </a:p>
                </c:rich>
              </c:tx>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313524748684658"/>
                  <c:y val="0.0464739953831935"/>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ysClr val="windowText" lastClr="000000">
                            <a:lumMod val="75000"/>
                            <a:lumOff val="25000"/>
                          </a:sysClr>
                        </a:solidFill>
                        <a:latin typeface="+mn-lt"/>
                        <a:ea typeface="+mn-ea"/>
                        <a:cs typeface="+mn-cs"/>
                      </a:defRPr>
                    </a:pPr>
                    <a:r>
                      <a:rPr lang="en-US" altLang="zh-CN"/>
                      <a:t>8.68</a:t>
                    </a:r>
                    <a:r>
                      <a:t>万元</a:t>
                    </a:r>
                  </a:p>
                  <a:p>
                    <a:pPr defTabSz="914400">
                      <a:defRPr lang="zh-CN" sz="900" b="0" i="0" u="none" strike="noStrike" kern="1200" baseline="0">
                        <a:solidFill>
                          <a:sysClr val="windowText" lastClr="000000">
                            <a:lumMod val="75000"/>
                            <a:lumOff val="25000"/>
                          </a:sysClr>
                        </a:solidFill>
                        <a:latin typeface="+mn-lt"/>
                        <a:ea typeface="+mn-ea"/>
                        <a:cs typeface="+mn-cs"/>
                      </a:defRPr>
                    </a:pPr>
                    <a:r>
                      <a:t>占</a:t>
                    </a:r>
                    <a:r>
                      <a:rPr lang="en-US" altLang="zh-CN"/>
                      <a:t>1.94%</a:t>
                    </a:r>
                    <a:endParaRPr lang="en-US" altLang="zh-CN"/>
                  </a:p>
                </c:rich>
              </c:tx>
              <c:dLblPos val="bestFi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0178891385899679"/>
                  <c:y val="0.0219731394211271"/>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ysClr val="windowText" lastClr="000000">
                            <a:lumMod val="75000"/>
                            <a:lumOff val="25000"/>
                          </a:sysClr>
                        </a:solidFill>
                        <a:latin typeface="+mn-lt"/>
                        <a:ea typeface="+mn-ea"/>
                        <a:cs typeface="+mn-cs"/>
                      </a:defRPr>
                    </a:pPr>
                    <a:r>
                      <a:rPr lang="en-US" altLang="zh-CN"/>
                      <a:t>19.52</a:t>
                    </a:r>
                    <a:r>
                      <a:t>万元</a:t>
                    </a:r>
                  </a:p>
                  <a:p>
                    <a:pPr defTabSz="914400">
                      <a:defRPr lang="zh-CN" sz="900" b="0" i="0" u="none" strike="noStrike" kern="1200" baseline="0">
                        <a:solidFill>
                          <a:sysClr val="windowText" lastClr="000000">
                            <a:lumMod val="75000"/>
                            <a:lumOff val="25000"/>
                          </a:sysClr>
                        </a:solidFill>
                        <a:latin typeface="+mn-lt"/>
                        <a:ea typeface="+mn-ea"/>
                        <a:cs typeface="+mn-cs"/>
                      </a:defRPr>
                    </a:pPr>
                    <a:r>
                      <a:t>占</a:t>
                    </a:r>
                    <a:r>
                      <a:rPr lang="en-US" altLang="zh-CN"/>
                      <a:t>4.36%</a:t>
                    </a:r>
                    <a:endParaRPr lang="en-US" altLang="zh-CN"/>
                  </a:p>
                </c:rich>
              </c:tx>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ysClr val="windowText" lastClr="000000">
                        <a:lumMod val="75000"/>
                        <a:lumOff val="25000"/>
                      </a:sys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[月度收支分析柱状图1.xlsx]Sheet1!$N$40:$N$43</c:f>
              <c:strCache>
                <c:ptCount val="4"/>
                <c:pt idx="0">
                  <c:v>一般公共服务（类）</c:v>
                </c:pt>
                <c:pt idx="1">
                  <c:v>社会保障和就业</c:v>
                </c:pt>
                <c:pt idx="2">
                  <c:v>卫生健康支出</c:v>
                </c:pt>
                <c:pt idx="3">
                  <c:v>住房保障</c:v>
                </c:pt>
              </c:strCache>
            </c:strRef>
          </c:cat>
          <c:val>
            <c:numRef>
              <c:f>[月度收支分析柱状图1.xlsx]Sheet1!$O$40:$O$43</c:f>
              <c:numCache>
                <c:formatCode>General</c:formatCode>
                <c:ptCount val="4"/>
                <c:pt idx="0">
                  <c:v>401.86</c:v>
                </c:pt>
                <c:pt idx="1">
                  <c:v>17.36</c:v>
                </c:pt>
                <c:pt idx="2">
                  <c:v>8.68</c:v>
                </c:pt>
                <c:pt idx="3">
                  <c:v>19.52</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1000" b="0" i="0" u="none" strike="noStrike" kern="1200" baseline="0">
                <a:solidFill>
                  <a:sysClr val="windowText" lastClr="000000">
                    <a:lumMod val="65000"/>
                    <a:lumOff val="35000"/>
                  </a:sysClr>
                </a:solidFill>
                <a:latin typeface="+mn-lt"/>
                <a:ea typeface="+mn-ea"/>
                <a:cs typeface="+mn-cs"/>
              </a:defRPr>
            </a:pPr>
          </a:p>
        </c:txPr>
      </c:legendEntry>
      <c:legendEntry>
        <c:idx val="1"/>
        <c:txPr>
          <a:bodyPr rot="0" spcFirstLastPara="0" vertOverflow="ellipsis" vert="horz" wrap="square" anchor="ctr" anchorCtr="1"/>
          <a:lstStyle/>
          <a:p>
            <a:pPr>
              <a:defRPr lang="zh-CN" sz="1000" b="0" i="0" u="none" strike="noStrike" kern="1200" baseline="0">
                <a:solidFill>
                  <a:sysClr val="windowText" lastClr="000000">
                    <a:lumMod val="65000"/>
                    <a:lumOff val="35000"/>
                  </a:sysClr>
                </a:solidFill>
                <a:latin typeface="+mn-lt"/>
                <a:ea typeface="+mn-ea"/>
                <a:cs typeface="+mn-cs"/>
              </a:defRPr>
            </a:pPr>
          </a:p>
        </c:txPr>
      </c:legendEntry>
      <c:legendEntry>
        <c:idx val="2"/>
        <c:txPr>
          <a:bodyPr rot="0" spcFirstLastPara="0" vertOverflow="ellipsis" vert="horz" wrap="square" anchor="ctr" anchorCtr="1"/>
          <a:lstStyle/>
          <a:p>
            <a:pPr>
              <a:defRPr lang="zh-CN" sz="1000" b="0" i="0" u="none" strike="noStrike" kern="1200" baseline="0">
                <a:solidFill>
                  <a:sysClr val="windowText" lastClr="000000">
                    <a:lumMod val="65000"/>
                    <a:lumOff val="35000"/>
                  </a:sysClr>
                </a:solidFill>
                <a:latin typeface="+mn-lt"/>
                <a:ea typeface="+mn-ea"/>
                <a:cs typeface="+mn-cs"/>
              </a:defRPr>
            </a:pPr>
          </a:p>
        </c:txPr>
      </c:legendEntry>
      <c:legendEntry>
        <c:idx val="3"/>
        <c:txPr>
          <a:bodyPr rot="0" spcFirstLastPara="0" vertOverflow="ellipsis" vert="horz" wrap="square" anchor="ctr" anchorCtr="1"/>
          <a:lstStyle/>
          <a:p>
            <a:pPr>
              <a:defRPr lang="zh-CN" sz="1000" b="0" i="0" u="none" strike="noStrike" kern="1200" baseline="0">
                <a:solidFill>
                  <a:sysClr val="windowText" lastClr="000000">
                    <a:lumMod val="65000"/>
                    <a:lumOff val="35000"/>
                  </a:sysClr>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10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9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spPr>
      <a:ln w="19050">
        <a:solidFill>
          <a:sysClr val="window" lastClr="FFFFFF"/>
        </a:solidFill>
      </a:ln>
    </cs:spPr>
  </cs:dataPoint>
  <cs:dataPoint3D>
    <cs:lnRef idx="0"/>
    <cs:fillRef idx="1">
      <cs:styleClr val="auto"/>
    </cs:fillRef>
    <cs:effectRef idx="0"/>
    <cs:fontRef idx="minor">
      <a:sysClr val="windowText" lastClr="000000"/>
    </cs:fontRef>
    <cs:spPr>
      <a:ln w="25400">
        <a:solidFill>
          <a:sysClr val="window" lastClr="FFFFFF"/>
        </a:solidFill>
      </a:ln>
    </cs:spPr>
  </cs:dataPoint3D>
  <cs:dataPointLine>
    <cs:lnRef idx="0">
      <cs:styleClr val="auto"/>
    </cs:lnRef>
    <cs:fillRef idx="0"/>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0"/>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9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spPr>
      <a:ln w="19050">
        <a:solidFill>
          <a:sysClr val="window" lastClr="FFFFFF"/>
        </a:solidFill>
      </a:ln>
    </cs:spPr>
  </cs:dataPoint>
  <cs:dataPoint3D>
    <cs:lnRef idx="0"/>
    <cs:fillRef idx="1">
      <cs:styleClr val="auto"/>
    </cs:fillRef>
    <cs:effectRef idx="0"/>
    <cs:fontRef idx="minor">
      <a:sysClr val="windowText" lastClr="000000"/>
    </cs:fontRef>
    <cs:spPr>
      <a:ln w="25400">
        <a:solidFill>
          <a:sysClr val="window" lastClr="FFFFFF"/>
        </a:solidFill>
      </a:ln>
    </cs:spPr>
  </cs:dataPoint3D>
  <cs:dataPointLine>
    <cs:lnRef idx="0">
      <cs:styleClr val="auto"/>
    </cs:lnRef>
    <cs:fillRef idx="0"/>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0"/>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65000"/>
          <a:lumOff val="35000"/>
        </a:sysClr>
      </a:solidFill>
      <a:ln w="9525">
        <a:solidFill>
          <a:sysClr val="windowText" lastClr="000000">
            <a:lumMod val="65000"/>
            <a:lumOff val="35000"/>
          </a:sysClr>
        </a:solidFill>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75000"/>
            <a:lumOff val="25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a:solidFill>
          <a:sysClr val="windowText" lastClr="000000">
            <a:lumMod val="15000"/>
            <a:lumOff val="85000"/>
          </a:sysClr>
        </a:solidFill>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65000"/>
          <a:lumOff val="35000"/>
        </a:sysClr>
      </a:solidFill>
      <a:ln w="9525">
        <a:solidFill>
          <a:sysClr val="windowText" lastClr="000000">
            <a:lumMod val="65000"/>
            <a:lumOff val="35000"/>
          </a:sysClr>
        </a:solidFill>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75000"/>
            <a:lumOff val="25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a:solidFill>
          <a:sysClr val="windowText" lastClr="000000">
            <a:lumMod val="15000"/>
            <a:lumOff val="85000"/>
          </a:sysClr>
        </a:solidFill>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9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spPr>
      <a:ln w="19050">
        <a:solidFill>
          <a:sysClr val="window" lastClr="FFFFFF"/>
        </a:solidFill>
      </a:ln>
    </cs:spPr>
  </cs:dataPoint>
  <cs:dataPoint3D>
    <cs:lnRef idx="0"/>
    <cs:fillRef idx="1">
      <cs:styleClr val="auto"/>
    </cs:fillRef>
    <cs:effectRef idx="0"/>
    <cs:fontRef idx="minor">
      <a:sysClr val="windowText" lastClr="000000"/>
    </cs:fontRef>
    <cs:spPr>
      <a:ln w="25400">
        <a:solidFill>
          <a:sysClr val="window" lastClr="FFFFFF"/>
        </a:solidFill>
      </a:ln>
    </cs:spPr>
  </cs:dataPoint3D>
  <cs:dataPointLine>
    <cs:lnRef idx="0">
      <cs:styleClr val="auto"/>
    </cs:lnRef>
    <cs:fillRef idx="0"/>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0"/>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四川省财政厅</Company>
  <Pages>24</Pages>
  <Words>1299</Words>
  <Characters>7410</Characters>
  <Lines>61</Lines>
  <Paragraphs>17</Paragraphs>
  <TotalTime>1</TotalTime>
  <ScaleCrop>false</ScaleCrop>
  <LinksUpToDate>false</LinksUpToDate>
  <CharactersWithSpaces>8692</CharactersWithSpaces>
  <Application>WPS Office_12.1.0.15398_F1E327BC-269C-435d-A152-05C5408002CA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2020-08-06T17:49:00Z</dcterms:created>
  <dc:creator>曹颖</dc:creator>
  <cp:lastModifiedBy>狮子座</cp:lastModifiedBy>
  <cp:lastPrinted>2023-08-01T18:35:00Z</cp:lastPrinted>
  <dcterms:modified xsi:type="dcterms:W3CDTF">2023-10-16T01:03:12Z</dcterms:modified>
  <dc:title>四川省***</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2052-12.1.0.15398</vt:lpwstr>
  </property>
  <property fmtid="{D5CDD505-2E9C-101B-9397-08002B2CF9AE}" pid="3" name="ICV">
    <vt:lpwstr>6B70361D626A4593B4A9C4A901EC4F63</vt:lpwstr>
  </property>
</Properties>
</file>