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Override PartName="/word/theme/themeOverride3.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hint="eastAsia" w:ascii="仿宋_GB2312" w:hAnsi="仿宋_GB2312" w:eastAsia="仿宋_GB2312" w:cs="仿宋_GB2312"/>
          <w:color w:val="auto"/>
          <w:sz w:val="32"/>
          <w:szCs w:val="32"/>
          <w:highlight w:val="none"/>
        </w:rPr>
      </w:pPr>
      <w:bookmarkStart w:id="0" w:name="_Toc15306267"/>
    </w:p>
    <w:p>
      <w:pPr>
        <w:spacing w:line="600" w:lineRule="exact"/>
        <w:jc w:val="center"/>
        <w:outlineLvl w:val="9"/>
        <w:rPr>
          <w:rFonts w:hint="eastAsia" w:ascii="仿宋_GB2312" w:hAnsi="仿宋_GB2312" w:eastAsia="仿宋_GB2312" w:cs="仿宋_GB2312"/>
          <w:color w:val="auto"/>
          <w:sz w:val="32"/>
          <w:szCs w:val="32"/>
          <w:highlight w:val="none"/>
        </w:rPr>
      </w:pPr>
    </w:p>
    <w:p>
      <w:pPr>
        <w:spacing w:line="600" w:lineRule="exact"/>
        <w:jc w:val="center"/>
        <w:outlineLvl w:val="9"/>
        <w:rPr>
          <w:rFonts w:hint="eastAsia" w:ascii="方正小标宋简体" w:hAnsi="方正小标宋简体" w:eastAsia="方正小标宋简体" w:cs="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5396475"/>
      <w:bookmarkStart w:id="2" w:name="_Toc15396597"/>
      <w:bookmarkStart w:id="3" w:name="_Toc15377193"/>
      <w:bookmarkStart w:id="4" w:name="_Toc15378441"/>
      <w:bookmarkStart w:id="5" w:name="_Toc8290"/>
      <w:bookmarkStart w:id="6" w:name="_Toc15377425"/>
      <w:bookmarkStart w:id="7" w:name="_Toc3231"/>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bookmarkEnd w:id="7"/>
    </w:p>
    <w:p>
      <w:pPr>
        <w:adjustRightInd w:val="0"/>
        <w:snapToGrid w:val="0"/>
        <w:spacing w:line="360" w:lineRule="auto"/>
        <w:jc w:val="center"/>
        <w:outlineLvl w:val="0"/>
        <w:rPr>
          <w:rFonts w:hint="eastAsia" w:ascii="方正小标宋简体" w:hAnsi="方正小标宋简体" w:eastAsia="方正小标宋简体" w:cs="方正小标宋简体"/>
          <w:b/>
          <w:bCs/>
          <w:color w:val="auto"/>
          <w:sz w:val="72"/>
          <w:szCs w:val="72"/>
          <w:highlight w:val="none"/>
          <w:lang w:val="en-US" w:eastAsia="zh-CN"/>
        </w:rPr>
      </w:pPr>
      <w:bookmarkStart w:id="8" w:name="_Toc18992"/>
      <w:bookmarkStart w:id="9" w:name="_Toc32503"/>
      <w:bookmarkStart w:id="10" w:name="_Toc15377426"/>
      <w:bookmarkStart w:id="11" w:name="_Toc15378442"/>
      <w:bookmarkStart w:id="12" w:name="_Toc15396476"/>
      <w:bookmarkStart w:id="13" w:name="_Toc15377194"/>
      <w:bookmarkStart w:id="14" w:name="_Toc15396598"/>
      <w:r>
        <w:rPr>
          <w:rFonts w:hint="eastAsia" w:ascii="方正小标宋简体" w:hAnsi="方正小标宋简体" w:eastAsia="方正小标宋简体" w:cs="方正小标宋简体"/>
          <w:b/>
          <w:bCs/>
          <w:color w:val="auto"/>
          <w:sz w:val="72"/>
          <w:szCs w:val="72"/>
          <w:highlight w:val="none"/>
          <w:lang w:val="en-US" w:eastAsia="zh-CN"/>
        </w:rPr>
        <w:t>广元市</w:t>
      </w:r>
      <w:bookmarkEnd w:id="0"/>
      <w:bookmarkStart w:id="15" w:name="_Toc15306268"/>
      <w:r>
        <w:rPr>
          <w:rFonts w:hint="eastAsia" w:ascii="方正小标宋简体" w:hAnsi="方正小标宋简体" w:eastAsia="方正小标宋简体" w:cs="方正小标宋简体"/>
          <w:b/>
          <w:bCs/>
          <w:color w:val="auto"/>
          <w:sz w:val="72"/>
          <w:szCs w:val="72"/>
          <w:highlight w:val="none"/>
          <w:lang w:val="en-US" w:eastAsia="zh-CN"/>
        </w:rPr>
        <w:t>群众工作中心</w:t>
      </w:r>
      <w:bookmarkEnd w:id="8"/>
      <w:bookmarkEnd w:id="9"/>
    </w:p>
    <w:p>
      <w:pPr>
        <w:adjustRightInd w:val="0"/>
        <w:snapToGrid w:val="0"/>
        <w:spacing w:line="360" w:lineRule="auto"/>
        <w:jc w:val="center"/>
        <w:outlineLvl w:val="0"/>
        <w:rPr>
          <w:rFonts w:hint="eastAsia" w:ascii="方正小标宋简体" w:hAnsi="方正小标宋简体" w:eastAsia="方正小标宋简体" w:cs="方正小标宋简体"/>
          <w:b/>
          <w:bCs/>
          <w:color w:val="auto"/>
          <w:sz w:val="72"/>
          <w:szCs w:val="72"/>
          <w:highlight w:val="none"/>
          <w:lang w:val="en-US" w:eastAsia="zh-CN"/>
        </w:rPr>
      </w:pPr>
      <w:bookmarkStart w:id="16" w:name="_Toc12345"/>
      <w:bookmarkStart w:id="17" w:name="_Toc8205"/>
      <w:r>
        <w:rPr>
          <w:rFonts w:hint="eastAsia" w:ascii="方正小标宋简体" w:hAnsi="方正小标宋简体" w:eastAsia="方正小标宋简体" w:cs="方正小标宋简体"/>
          <w:b/>
          <w:bCs/>
          <w:color w:val="auto"/>
          <w:sz w:val="72"/>
          <w:szCs w:val="72"/>
          <w:highlight w:val="none"/>
          <w:lang w:val="en-US" w:eastAsia="zh-CN"/>
        </w:rPr>
        <w:t>单位决算</w:t>
      </w:r>
      <w:bookmarkEnd w:id="10"/>
      <w:bookmarkEnd w:id="11"/>
      <w:bookmarkEnd w:id="12"/>
      <w:bookmarkEnd w:id="13"/>
      <w:bookmarkEnd w:id="14"/>
      <w:bookmarkEnd w:id="15"/>
      <w:bookmarkEnd w:id="16"/>
      <w:bookmarkEnd w:id="17"/>
    </w:p>
    <w:p>
      <w:pPr>
        <w:pStyle w:val="11"/>
        <w:adjustRightInd w:val="0"/>
        <w:snapToGrid w:val="0"/>
        <w:spacing w:line="440" w:lineRule="exact"/>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rPr>
        <w:br w:type="page"/>
      </w:r>
      <w:r>
        <w:rPr>
          <w:rFonts w:hint="eastAsia" w:ascii="方正小标宋简体" w:hAnsi="方正小标宋简体" w:eastAsia="方正小标宋简体" w:cs="方正小标宋简体"/>
          <w:color w:val="auto"/>
          <w:kern w:val="2"/>
          <w:sz w:val="32"/>
          <w:szCs w:val="32"/>
          <w:highlight w:val="none"/>
          <w:lang w:val="en-US" w:eastAsia="zh-CN" w:bidi="ar-SA"/>
        </w:rPr>
        <w:t>目录</w:t>
      </w:r>
    </w:p>
    <w:p>
      <w:pPr>
        <w:keepNext w:val="0"/>
        <w:keepLines w:val="0"/>
        <w:pageBreakBefore w:val="0"/>
        <w:widowControl/>
        <w:kinsoku/>
        <w:wordWrap/>
        <w:overflowPunct/>
        <w:topLinePunct w:val="0"/>
        <w:autoSpaceDE/>
        <w:autoSpaceDN/>
        <w:bidi w:val="0"/>
        <w:spacing w:line="576" w:lineRule="exact"/>
        <w:jc w:val="center"/>
        <w:textAlignment w:val="auto"/>
        <w:rPr>
          <w:rFonts w:hint="eastAsia" w:ascii="仿宋_GB2312" w:hAnsi="仿宋_GB2312" w:eastAsia="仿宋_GB2312" w:cs="仿宋_GB2312"/>
          <w:bCs/>
          <w:color w:val="auto"/>
          <w:kern w:val="44"/>
          <w:sz w:val="32"/>
          <w:szCs w:val="32"/>
          <w:highlight w:val="none"/>
        </w:rPr>
      </w:pPr>
      <w:r>
        <w:rPr>
          <w:rFonts w:hint="eastAsia" w:ascii="仿宋_GB2312" w:hAnsi="仿宋_GB2312" w:eastAsia="仿宋_GB2312" w:cs="仿宋_GB2312"/>
          <w:color w:val="auto"/>
          <w:kern w:val="2"/>
          <w:sz w:val="32"/>
          <w:szCs w:val="32"/>
          <w:highlight w:val="none"/>
          <w:lang w:val="en-US" w:eastAsia="zh-CN" w:bidi="ar-SA"/>
        </w:rPr>
        <w:t>公开时间：2023年10月</w:t>
      </w:r>
      <w:bookmarkStart w:id="137" w:name="_GoBack"/>
      <w:bookmarkEnd w:id="137"/>
      <w:r>
        <w:rPr>
          <w:rFonts w:hint="eastAsia" w:ascii="仿宋_GB2312" w:hAnsi="仿宋_GB2312" w:eastAsia="仿宋_GB2312" w:cs="仿宋_GB2312"/>
          <w:color w:val="auto"/>
          <w:kern w:val="2"/>
          <w:sz w:val="32"/>
          <w:szCs w:val="32"/>
          <w:highlight w:val="none"/>
          <w:lang w:val="en-US" w:eastAsia="zh-CN" w:bidi="ar-SA"/>
        </w:rPr>
        <w:t>9日</w:t>
      </w:r>
      <w:bookmarkStart w:id="18" w:name="_Toc15377196"/>
      <w:bookmarkStart w:id="19" w:name="_Toc15396599"/>
    </w:p>
    <w:sdt>
      <w:sdtPr>
        <w:rPr>
          <w:rFonts w:ascii="宋体" w:hAnsi="宋体" w:eastAsia="宋体" w:cs="Times New Roman"/>
          <w:kern w:val="2"/>
          <w:sz w:val="21"/>
          <w:szCs w:val="24"/>
          <w:lang w:val="en-US" w:eastAsia="zh-CN" w:bidi="ar-SA"/>
        </w:rPr>
        <w:id w:val="147458960"/>
        <w15:color w:val="DBDBDB"/>
        <w:docPartObj>
          <w:docPartGallery w:val="Table of Contents"/>
          <w:docPartUnique/>
        </w:docPartObj>
      </w:sdtPr>
      <w:sdtEndPr>
        <w:rPr>
          <w:rFonts w:ascii="宋体" w:hAnsi="宋体" w:eastAsia="宋体" w:cs="Times New Roman"/>
          <w:b/>
          <w:kern w:val="2"/>
          <w:sz w:val="21"/>
          <w:szCs w:val="24"/>
          <w:lang w:val="en-US" w:eastAsia="zh-CN" w:bidi="ar-SA"/>
        </w:rPr>
      </w:sdtEndPr>
      <w:sdtContent>
        <w:p>
          <w:pPr>
            <w:spacing w:before="0" w:beforeLines="0" w:after="0" w:afterLines="0" w:line="240" w:lineRule="auto"/>
            <w:ind w:left="0" w:leftChars="0" w:right="0" w:rightChars="0" w:firstLine="0" w:firstLineChars="0"/>
            <w:jc w:val="center"/>
            <w:rPr>
              <w:b/>
            </w:rPr>
          </w:pPr>
          <w:bookmarkStart w:id="20" w:name="_Toc16284"/>
          <w:r>
            <w:fldChar w:fldCharType="begin"/>
          </w:r>
          <w:r>
            <w:instrText xml:space="preserve">TOC \o "1-2" \h \u </w:instrText>
          </w:r>
          <w:r>
            <w:fldChar w:fldCharType="separate"/>
          </w:r>
        </w:p>
        <w:p>
          <w:pPr>
            <w:pStyle w:val="30"/>
            <w:tabs>
              <w:tab w:val="right" w:leader="dot" w:pos="8306"/>
            </w:tabs>
            <w:rPr>
              <w:b/>
              <w:bCs w:val="0"/>
            </w:rPr>
          </w:pPr>
          <w:r>
            <w:rPr>
              <w:b/>
              <w:bCs w:val="0"/>
            </w:rPr>
            <w:fldChar w:fldCharType="begin"/>
          </w:r>
          <w:r>
            <w:rPr>
              <w:b/>
              <w:bCs w:val="0"/>
            </w:rPr>
            <w:instrText xml:space="preserve"> HYPERLINK \l _Toc7668 </w:instrText>
          </w:r>
          <w:r>
            <w:rPr>
              <w:b/>
              <w:bCs w:val="0"/>
            </w:rPr>
            <w:fldChar w:fldCharType="separate"/>
          </w:r>
          <w:r>
            <w:rPr>
              <w:rFonts w:hint="eastAsia" w:ascii="方正小标宋简体" w:hAnsi="方正小标宋简体" w:eastAsia="方正小标宋简体" w:cs="方正小标宋简体"/>
              <w:b/>
              <w:bCs/>
              <w:szCs w:val="32"/>
              <w:highlight w:val="none"/>
            </w:rPr>
            <w:t xml:space="preserve">第一部分 </w:t>
          </w:r>
          <w:r>
            <w:rPr>
              <w:rFonts w:hint="eastAsia" w:ascii="方正小标宋简体" w:hAnsi="方正小标宋简体" w:eastAsia="方正小标宋简体" w:cs="方正小标宋简体"/>
              <w:b/>
              <w:bCs/>
              <w:szCs w:val="32"/>
              <w:highlight w:val="none"/>
              <w:lang w:eastAsia="zh-CN"/>
            </w:rPr>
            <w:t>单位</w:t>
          </w:r>
          <w:r>
            <w:rPr>
              <w:rFonts w:hint="eastAsia" w:ascii="方正小标宋简体" w:hAnsi="方正小标宋简体" w:eastAsia="方正小标宋简体" w:cs="方正小标宋简体"/>
              <w:b/>
              <w:bCs/>
              <w:szCs w:val="32"/>
              <w:highlight w:val="none"/>
            </w:rPr>
            <w:t>概况</w:t>
          </w:r>
          <w:r>
            <w:rPr>
              <w:b/>
              <w:bCs w:val="0"/>
            </w:rPr>
            <w:tab/>
          </w:r>
          <w:r>
            <w:rPr>
              <w:b/>
              <w:bCs w:val="0"/>
            </w:rPr>
            <w:fldChar w:fldCharType="begin"/>
          </w:r>
          <w:r>
            <w:rPr>
              <w:b/>
              <w:bCs w:val="0"/>
            </w:rPr>
            <w:instrText xml:space="preserve"> PAGEREF _Toc7668 \h </w:instrText>
          </w:r>
          <w:r>
            <w:rPr>
              <w:b/>
              <w:bCs w:val="0"/>
            </w:rPr>
            <w:fldChar w:fldCharType="separate"/>
          </w:r>
          <w:r>
            <w:rPr>
              <w:b/>
              <w:bCs w:val="0"/>
            </w:rPr>
            <w:t>1</w:t>
          </w:r>
          <w:r>
            <w:rPr>
              <w:b/>
              <w:bCs w:val="0"/>
            </w:rPr>
            <w:fldChar w:fldCharType="end"/>
          </w:r>
          <w:r>
            <w:rPr>
              <w:b/>
              <w:bCs w:val="0"/>
            </w:rPr>
            <w:fldChar w:fldCharType="end"/>
          </w:r>
        </w:p>
        <w:p>
          <w:pPr>
            <w:pStyle w:val="31"/>
            <w:tabs>
              <w:tab w:val="right" w:leader="dot" w:pos="8306"/>
            </w:tabs>
          </w:pPr>
          <w:r>
            <w:fldChar w:fldCharType="begin"/>
          </w:r>
          <w:r>
            <w:instrText xml:space="preserve"> HYPERLINK \l _Toc25657 </w:instrText>
          </w:r>
          <w:r>
            <w:fldChar w:fldCharType="separate"/>
          </w:r>
          <w:r>
            <w:rPr>
              <w:rFonts w:hint="eastAsia" w:ascii="黑体" w:hAnsi="黑体" w:eastAsia="黑体" w:cs="黑体"/>
              <w:szCs w:val="32"/>
              <w:lang w:val="en-US" w:eastAsia="zh-CN"/>
            </w:rPr>
            <w:t>一、主要职责</w:t>
          </w:r>
          <w:r>
            <w:tab/>
          </w:r>
          <w:r>
            <w:fldChar w:fldCharType="begin"/>
          </w:r>
          <w:r>
            <w:instrText xml:space="preserve"> PAGEREF _Toc25657 \h </w:instrText>
          </w:r>
          <w:r>
            <w:fldChar w:fldCharType="separate"/>
          </w:r>
          <w:r>
            <w:t>1</w:t>
          </w:r>
          <w:r>
            <w:fldChar w:fldCharType="end"/>
          </w:r>
          <w:r>
            <w:fldChar w:fldCharType="end"/>
          </w:r>
        </w:p>
        <w:p>
          <w:pPr>
            <w:pStyle w:val="31"/>
            <w:tabs>
              <w:tab w:val="right" w:leader="dot" w:pos="8306"/>
            </w:tabs>
          </w:pPr>
          <w:r>
            <w:fldChar w:fldCharType="begin"/>
          </w:r>
          <w:r>
            <w:instrText xml:space="preserve"> HYPERLINK \l _Toc22063 </w:instrText>
          </w:r>
          <w:r>
            <w:fldChar w:fldCharType="separate"/>
          </w:r>
          <w:r>
            <w:rPr>
              <w:rFonts w:hint="eastAsia" w:ascii="黑体" w:hAnsi="黑体" w:eastAsia="黑体" w:cs="黑体"/>
              <w:szCs w:val="32"/>
              <w:lang w:val="en-US" w:eastAsia="zh-CN"/>
            </w:rPr>
            <w:t>二、机构设置</w:t>
          </w:r>
          <w:r>
            <w:tab/>
          </w:r>
          <w:r>
            <w:fldChar w:fldCharType="begin"/>
          </w:r>
          <w:r>
            <w:instrText xml:space="preserve"> PAGEREF _Toc22063 \h </w:instrText>
          </w:r>
          <w:r>
            <w:fldChar w:fldCharType="separate"/>
          </w:r>
          <w:r>
            <w:t>1</w:t>
          </w:r>
          <w:r>
            <w:fldChar w:fldCharType="end"/>
          </w:r>
          <w:r>
            <w:fldChar w:fldCharType="end"/>
          </w:r>
        </w:p>
        <w:p>
          <w:pPr>
            <w:pStyle w:val="30"/>
            <w:tabs>
              <w:tab w:val="right" w:leader="dot" w:pos="8306"/>
            </w:tabs>
            <w:rPr>
              <w:b/>
            </w:rPr>
          </w:pPr>
          <w:r>
            <w:rPr>
              <w:b/>
            </w:rPr>
            <w:fldChar w:fldCharType="begin"/>
          </w:r>
          <w:r>
            <w:rPr>
              <w:b/>
            </w:rPr>
            <w:instrText xml:space="preserve"> HYPERLINK \l _Toc25585 </w:instrText>
          </w:r>
          <w:r>
            <w:rPr>
              <w:b/>
            </w:rPr>
            <w:fldChar w:fldCharType="separate"/>
          </w:r>
          <w:r>
            <w:rPr>
              <w:rFonts w:hint="eastAsia" w:ascii="方正小标宋简体" w:hAnsi="方正小标宋简体" w:eastAsia="方正小标宋简体" w:cs="方正小标宋简体"/>
              <w:b/>
              <w:bCs/>
              <w:szCs w:val="32"/>
            </w:rPr>
            <w:t xml:space="preserve">第二部分 </w:t>
          </w:r>
          <w:r>
            <w:rPr>
              <w:rFonts w:hint="eastAsia" w:ascii="方正小标宋简体" w:hAnsi="方正小标宋简体" w:eastAsia="方正小标宋简体" w:cs="方正小标宋简体"/>
              <w:b/>
              <w:bCs w:val="0"/>
              <w:kern w:val="2"/>
              <w:szCs w:val="32"/>
              <w:highlight w:val="none"/>
              <w:lang w:val="en-US" w:eastAsia="zh-CN" w:bidi="ar-SA"/>
            </w:rPr>
            <w:t>2022</w:t>
          </w:r>
          <w:r>
            <w:rPr>
              <w:rFonts w:hint="eastAsia" w:ascii="方正小标宋简体" w:hAnsi="方正小标宋简体" w:eastAsia="方正小标宋简体" w:cs="方正小标宋简体"/>
              <w:b/>
              <w:bCs/>
              <w:szCs w:val="32"/>
              <w:highlight w:val="none"/>
              <w:lang w:val="en-US" w:eastAsia="zh-CN"/>
            </w:rPr>
            <w:t>年度</w:t>
          </w:r>
          <w:r>
            <w:rPr>
              <w:rFonts w:hint="eastAsia" w:ascii="方正小标宋简体" w:hAnsi="方正小标宋简体" w:eastAsia="方正小标宋简体" w:cs="方正小标宋简体"/>
              <w:b/>
              <w:bCs/>
              <w:szCs w:val="32"/>
              <w:highlight w:val="none"/>
              <w:lang w:eastAsia="zh-CN"/>
            </w:rPr>
            <w:t>单位</w:t>
          </w:r>
          <w:r>
            <w:rPr>
              <w:rFonts w:hint="eastAsia" w:ascii="方正小标宋简体" w:hAnsi="方正小标宋简体" w:eastAsia="方正小标宋简体" w:cs="方正小标宋简体"/>
              <w:b/>
              <w:bCs/>
              <w:szCs w:val="32"/>
              <w:highlight w:val="none"/>
            </w:rPr>
            <w:t>决算情况说明</w:t>
          </w:r>
          <w:r>
            <w:rPr>
              <w:b/>
            </w:rPr>
            <w:tab/>
          </w:r>
          <w:r>
            <w:rPr>
              <w:b/>
            </w:rPr>
            <w:fldChar w:fldCharType="begin"/>
          </w:r>
          <w:r>
            <w:rPr>
              <w:b/>
            </w:rPr>
            <w:instrText xml:space="preserve"> PAGEREF _Toc25585 \h </w:instrText>
          </w:r>
          <w:r>
            <w:rPr>
              <w:b/>
            </w:rPr>
            <w:fldChar w:fldCharType="separate"/>
          </w:r>
          <w:r>
            <w:rPr>
              <w:b/>
            </w:rPr>
            <w:t>2</w:t>
          </w:r>
          <w:r>
            <w:rPr>
              <w:b/>
            </w:rPr>
            <w:fldChar w:fldCharType="end"/>
          </w:r>
          <w:r>
            <w:rPr>
              <w:b/>
            </w:rPr>
            <w:fldChar w:fldCharType="end"/>
          </w:r>
        </w:p>
        <w:p>
          <w:pPr>
            <w:pStyle w:val="31"/>
            <w:tabs>
              <w:tab w:val="right" w:leader="dot" w:pos="8306"/>
            </w:tabs>
          </w:pPr>
          <w:r>
            <w:fldChar w:fldCharType="begin"/>
          </w:r>
          <w:r>
            <w:instrText xml:space="preserve"> HYPERLINK \l _Toc14828 </w:instrText>
          </w:r>
          <w:r>
            <w:fldChar w:fldCharType="separate"/>
          </w:r>
          <w:r>
            <w:rPr>
              <w:rFonts w:hint="default" w:ascii="黑体" w:hAnsi="黑体" w:eastAsia="黑体" w:cs="黑体"/>
              <w:szCs w:val="32"/>
            </w:rPr>
            <w:t xml:space="preserve">一、 </w:t>
          </w:r>
          <w:r>
            <w:rPr>
              <w:rFonts w:hint="eastAsia" w:ascii="黑体" w:hAnsi="黑体" w:eastAsia="黑体" w:cs="黑体"/>
              <w:szCs w:val="32"/>
              <w:highlight w:val="none"/>
            </w:rPr>
            <w:t>收入支出决算总体情况说明</w:t>
          </w:r>
          <w:r>
            <w:tab/>
          </w:r>
          <w:r>
            <w:fldChar w:fldCharType="begin"/>
          </w:r>
          <w:r>
            <w:instrText xml:space="preserve"> PAGEREF _Toc14828 \h </w:instrText>
          </w:r>
          <w:r>
            <w:fldChar w:fldCharType="separate"/>
          </w:r>
          <w:r>
            <w:t>2</w:t>
          </w:r>
          <w:r>
            <w:fldChar w:fldCharType="end"/>
          </w:r>
          <w:r>
            <w:fldChar w:fldCharType="end"/>
          </w:r>
        </w:p>
        <w:p>
          <w:pPr>
            <w:pStyle w:val="31"/>
            <w:tabs>
              <w:tab w:val="right" w:leader="dot" w:pos="8306"/>
            </w:tabs>
          </w:pPr>
          <w:r>
            <w:fldChar w:fldCharType="begin"/>
          </w:r>
          <w:r>
            <w:instrText xml:space="preserve"> HYPERLINK \l _Toc31655 </w:instrText>
          </w:r>
          <w:r>
            <w:fldChar w:fldCharType="separate"/>
          </w:r>
          <w:r>
            <w:rPr>
              <w:rFonts w:hint="default" w:ascii="黑体" w:hAnsi="黑体" w:eastAsia="黑体" w:cs="黑体"/>
              <w:szCs w:val="32"/>
            </w:rPr>
            <w:t xml:space="preserve">二、 </w:t>
          </w:r>
          <w:r>
            <w:rPr>
              <w:rFonts w:hint="eastAsia" w:ascii="黑体" w:hAnsi="黑体" w:eastAsia="黑体" w:cs="黑体"/>
              <w:szCs w:val="32"/>
              <w:highlight w:val="none"/>
            </w:rPr>
            <w:t>收入决算情况说明</w:t>
          </w:r>
          <w:r>
            <w:tab/>
          </w:r>
          <w:r>
            <w:fldChar w:fldCharType="begin"/>
          </w:r>
          <w:r>
            <w:instrText xml:space="preserve"> PAGEREF _Toc31655 \h </w:instrText>
          </w:r>
          <w:r>
            <w:fldChar w:fldCharType="separate"/>
          </w:r>
          <w:r>
            <w:t>2</w:t>
          </w:r>
          <w:r>
            <w:fldChar w:fldCharType="end"/>
          </w:r>
          <w:r>
            <w:fldChar w:fldCharType="end"/>
          </w:r>
        </w:p>
        <w:p>
          <w:pPr>
            <w:pStyle w:val="31"/>
            <w:tabs>
              <w:tab w:val="right" w:leader="dot" w:pos="8306"/>
            </w:tabs>
          </w:pPr>
          <w:r>
            <w:fldChar w:fldCharType="begin"/>
          </w:r>
          <w:r>
            <w:instrText xml:space="preserve"> HYPERLINK \l _Toc24464 </w:instrText>
          </w:r>
          <w:r>
            <w:fldChar w:fldCharType="separate"/>
          </w:r>
          <w:r>
            <w:rPr>
              <w:rFonts w:hint="default" w:ascii="黑体" w:hAnsi="黑体" w:eastAsia="黑体" w:cs="黑体"/>
              <w:szCs w:val="32"/>
            </w:rPr>
            <w:t xml:space="preserve">三、 </w:t>
          </w:r>
          <w:r>
            <w:rPr>
              <w:rFonts w:hint="eastAsia" w:ascii="黑体" w:hAnsi="黑体" w:eastAsia="黑体" w:cs="黑体"/>
              <w:szCs w:val="32"/>
              <w:highlight w:val="none"/>
            </w:rPr>
            <w:t>支出决算情况说明</w:t>
          </w:r>
          <w:r>
            <w:tab/>
          </w:r>
          <w:r>
            <w:fldChar w:fldCharType="begin"/>
          </w:r>
          <w:r>
            <w:instrText xml:space="preserve"> PAGEREF _Toc24464 \h </w:instrText>
          </w:r>
          <w:r>
            <w:fldChar w:fldCharType="separate"/>
          </w:r>
          <w:r>
            <w:t>3</w:t>
          </w:r>
          <w:r>
            <w:fldChar w:fldCharType="end"/>
          </w:r>
          <w:r>
            <w:fldChar w:fldCharType="end"/>
          </w:r>
        </w:p>
        <w:p>
          <w:pPr>
            <w:pStyle w:val="31"/>
            <w:tabs>
              <w:tab w:val="right" w:leader="dot" w:pos="8306"/>
            </w:tabs>
          </w:pPr>
          <w:r>
            <w:fldChar w:fldCharType="begin"/>
          </w:r>
          <w:r>
            <w:instrText xml:space="preserve"> HYPERLINK \l _Toc7165 </w:instrText>
          </w:r>
          <w:r>
            <w:fldChar w:fldCharType="separate"/>
          </w:r>
          <w:r>
            <w:rPr>
              <w:rFonts w:hint="eastAsia" w:ascii="黑体" w:hAnsi="黑体" w:eastAsia="黑体" w:cs="黑体"/>
              <w:szCs w:val="32"/>
              <w:highlight w:val="none"/>
            </w:rPr>
            <w:t>四、财政拨款收入支出决算总体情况说明</w:t>
          </w:r>
          <w:r>
            <w:tab/>
          </w:r>
          <w:r>
            <w:fldChar w:fldCharType="begin"/>
          </w:r>
          <w:r>
            <w:instrText xml:space="preserve"> PAGEREF _Toc7165 \h </w:instrText>
          </w:r>
          <w:r>
            <w:fldChar w:fldCharType="separate"/>
          </w:r>
          <w:r>
            <w:t>3</w:t>
          </w:r>
          <w:r>
            <w:fldChar w:fldCharType="end"/>
          </w:r>
          <w:r>
            <w:fldChar w:fldCharType="end"/>
          </w:r>
        </w:p>
        <w:p>
          <w:pPr>
            <w:pStyle w:val="31"/>
            <w:tabs>
              <w:tab w:val="right" w:leader="dot" w:pos="8306"/>
            </w:tabs>
          </w:pPr>
          <w:r>
            <w:fldChar w:fldCharType="begin"/>
          </w:r>
          <w:r>
            <w:instrText xml:space="preserve"> HYPERLINK \l _Toc5733 </w:instrText>
          </w:r>
          <w:r>
            <w:fldChar w:fldCharType="separate"/>
          </w:r>
          <w:r>
            <w:rPr>
              <w:rFonts w:hint="eastAsia" w:ascii="黑体" w:hAnsi="黑体" w:eastAsia="黑体" w:cs="黑体"/>
              <w:szCs w:val="32"/>
              <w:highlight w:val="none"/>
            </w:rPr>
            <w:t>五、一般公共预算财政拨款支出决算情况说明</w:t>
          </w:r>
          <w:r>
            <w:tab/>
          </w:r>
          <w:r>
            <w:fldChar w:fldCharType="begin"/>
          </w:r>
          <w:r>
            <w:instrText xml:space="preserve"> PAGEREF _Toc5733 \h </w:instrText>
          </w:r>
          <w:r>
            <w:fldChar w:fldCharType="separate"/>
          </w:r>
          <w:r>
            <w:t>4</w:t>
          </w:r>
          <w:r>
            <w:fldChar w:fldCharType="end"/>
          </w:r>
          <w:r>
            <w:fldChar w:fldCharType="end"/>
          </w:r>
        </w:p>
        <w:p>
          <w:pPr>
            <w:pStyle w:val="31"/>
            <w:tabs>
              <w:tab w:val="right" w:leader="dot" w:pos="8306"/>
            </w:tabs>
          </w:pPr>
          <w:r>
            <w:fldChar w:fldCharType="begin"/>
          </w:r>
          <w:r>
            <w:instrText xml:space="preserve"> HYPERLINK \l _Toc10558 </w:instrText>
          </w:r>
          <w:r>
            <w:fldChar w:fldCharType="separate"/>
          </w:r>
          <w:r>
            <w:rPr>
              <w:rFonts w:hint="eastAsia" w:ascii="黑体" w:hAnsi="黑体" w:eastAsia="黑体" w:cs="黑体"/>
              <w:szCs w:val="32"/>
              <w:highlight w:val="none"/>
            </w:rPr>
            <w:t>六、一般公共预算财政拨款基本支出决算情况说明</w:t>
          </w:r>
          <w:r>
            <w:tab/>
          </w:r>
          <w:r>
            <w:fldChar w:fldCharType="begin"/>
          </w:r>
          <w:r>
            <w:instrText xml:space="preserve"> PAGEREF _Toc10558 \h </w:instrText>
          </w:r>
          <w:r>
            <w:fldChar w:fldCharType="separate"/>
          </w:r>
          <w:r>
            <w:t>6</w:t>
          </w:r>
          <w:r>
            <w:fldChar w:fldCharType="end"/>
          </w:r>
          <w:r>
            <w:fldChar w:fldCharType="end"/>
          </w:r>
        </w:p>
        <w:p>
          <w:pPr>
            <w:pStyle w:val="31"/>
            <w:tabs>
              <w:tab w:val="right" w:leader="dot" w:pos="8306"/>
            </w:tabs>
          </w:pPr>
          <w:r>
            <w:fldChar w:fldCharType="begin"/>
          </w:r>
          <w:r>
            <w:instrText xml:space="preserve"> HYPERLINK \l _Toc8883 </w:instrText>
          </w:r>
          <w:r>
            <w:fldChar w:fldCharType="separate"/>
          </w:r>
          <w:r>
            <w:rPr>
              <w:rFonts w:hint="eastAsia" w:ascii="黑体" w:hAnsi="黑体" w:eastAsia="黑体" w:cs="黑体"/>
              <w:szCs w:val="32"/>
              <w:highlight w:val="none"/>
            </w:rPr>
            <w:t>七、财政拨款“三公”经费支出决算情况说明</w:t>
          </w:r>
          <w:r>
            <w:tab/>
          </w:r>
          <w:r>
            <w:fldChar w:fldCharType="begin"/>
          </w:r>
          <w:r>
            <w:instrText xml:space="preserve"> PAGEREF _Toc8883 \h </w:instrText>
          </w:r>
          <w:r>
            <w:fldChar w:fldCharType="separate"/>
          </w:r>
          <w:r>
            <w:t>6</w:t>
          </w:r>
          <w:r>
            <w:fldChar w:fldCharType="end"/>
          </w:r>
          <w:r>
            <w:fldChar w:fldCharType="end"/>
          </w:r>
        </w:p>
        <w:p>
          <w:pPr>
            <w:pStyle w:val="31"/>
            <w:tabs>
              <w:tab w:val="right" w:leader="dot" w:pos="8306"/>
            </w:tabs>
          </w:pPr>
          <w:r>
            <w:fldChar w:fldCharType="begin"/>
          </w:r>
          <w:r>
            <w:instrText xml:space="preserve"> HYPERLINK \l _Toc14280 </w:instrText>
          </w:r>
          <w:r>
            <w:fldChar w:fldCharType="separate"/>
          </w:r>
          <w:r>
            <w:rPr>
              <w:rFonts w:hint="eastAsia" w:ascii="黑体" w:hAnsi="黑体" w:eastAsia="黑体" w:cs="黑体"/>
              <w:szCs w:val="32"/>
              <w:highlight w:val="none"/>
            </w:rPr>
            <w:t>八、政府性基金预算支出决算情况说明</w:t>
          </w:r>
          <w:r>
            <w:tab/>
          </w:r>
          <w:r>
            <w:fldChar w:fldCharType="begin"/>
          </w:r>
          <w:r>
            <w:instrText xml:space="preserve"> PAGEREF _Toc14280 \h </w:instrText>
          </w:r>
          <w:r>
            <w:fldChar w:fldCharType="separate"/>
          </w:r>
          <w:r>
            <w:t>8</w:t>
          </w:r>
          <w:r>
            <w:fldChar w:fldCharType="end"/>
          </w:r>
          <w:r>
            <w:fldChar w:fldCharType="end"/>
          </w:r>
        </w:p>
        <w:p>
          <w:pPr>
            <w:pStyle w:val="31"/>
            <w:tabs>
              <w:tab w:val="right" w:leader="dot" w:pos="8306"/>
            </w:tabs>
          </w:pPr>
          <w:r>
            <w:fldChar w:fldCharType="begin"/>
          </w:r>
          <w:r>
            <w:instrText xml:space="preserve"> HYPERLINK \l _Toc28128 </w:instrText>
          </w:r>
          <w:r>
            <w:fldChar w:fldCharType="separate"/>
          </w:r>
          <w:r>
            <w:rPr>
              <w:rFonts w:hint="eastAsia" w:ascii="黑体" w:hAnsi="黑体" w:eastAsia="黑体" w:cs="黑体"/>
              <w:szCs w:val="32"/>
            </w:rPr>
            <w:t xml:space="preserve">九、 </w:t>
          </w:r>
          <w:r>
            <w:rPr>
              <w:rFonts w:hint="eastAsia" w:ascii="黑体" w:hAnsi="黑体" w:eastAsia="黑体" w:cs="黑体"/>
              <w:szCs w:val="32"/>
              <w:highlight w:val="none"/>
            </w:rPr>
            <w:t>国有资本经营预算支出决算情况说明</w:t>
          </w:r>
          <w:r>
            <w:tab/>
          </w:r>
          <w:r>
            <w:fldChar w:fldCharType="begin"/>
          </w:r>
          <w:r>
            <w:instrText xml:space="preserve"> PAGEREF _Toc28128 \h </w:instrText>
          </w:r>
          <w:r>
            <w:fldChar w:fldCharType="separate"/>
          </w:r>
          <w:r>
            <w:t>8</w:t>
          </w:r>
          <w:r>
            <w:fldChar w:fldCharType="end"/>
          </w:r>
          <w:r>
            <w:fldChar w:fldCharType="end"/>
          </w:r>
        </w:p>
        <w:p>
          <w:pPr>
            <w:pStyle w:val="31"/>
            <w:tabs>
              <w:tab w:val="right" w:leader="dot" w:pos="8306"/>
            </w:tabs>
          </w:pPr>
          <w:r>
            <w:fldChar w:fldCharType="begin"/>
          </w:r>
          <w:r>
            <w:instrText xml:space="preserve"> HYPERLINK \l _Toc15999 </w:instrText>
          </w:r>
          <w:r>
            <w:fldChar w:fldCharType="separate"/>
          </w:r>
          <w:r>
            <w:rPr>
              <w:rFonts w:hint="eastAsia" w:ascii="黑体" w:hAnsi="黑体" w:eastAsia="黑体" w:cs="黑体"/>
              <w:szCs w:val="32"/>
              <w:highlight w:val="none"/>
              <w:lang w:eastAsia="zh-CN"/>
            </w:rPr>
            <w:t>十、</w:t>
          </w:r>
          <w:r>
            <w:rPr>
              <w:rFonts w:hint="eastAsia" w:ascii="黑体" w:hAnsi="黑体" w:eastAsia="黑体" w:cs="黑体"/>
              <w:szCs w:val="32"/>
              <w:highlight w:val="none"/>
            </w:rPr>
            <w:t>其他重要事项的情况说明</w:t>
          </w:r>
          <w:r>
            <w:tab/>
          </w:r>
          <w:r>
            <w:fldChar w:fldCharType="begin"/>
          </w:r>
          <w:r>
            <w:instrText xml:space="preserve"> PAGEREF _Toc15999 \h </w:instrText>
          </w:r>
          <w:r>
            <w:fldChar w:fldCharType="separate"/>
          </w:r>
          <w:r>
            <w:t>8</w:t>
          </w:r>
          <w:r>
            <w:fldChar w:fldCharType="end"/>
          </w:r>
          <w:r>
            <w:fldChar w:fldCharType="end"/>
          </w:r>
        </w:p>
        <w:p>
          <w:pPr>
            <w:pStyle w:val="30"/>
            <w:tabs>
              <w:tab w:val="right" w:leader="dot" w:pos="8306"/>
            </w:tabs>
            <w:rPr>
              <w:b/>
            </w:rPr>
          </w:pPr>
          <w:r>
            <w:rPr>
              <w:b/>
            </w:rPr>
            <w:fldChar w:fldCharType="begin"/>
          </w:r>
          <w:r>
            <w:rPr>
              <w:b/>
            </w:rPr>
            <w:instrText xml:space="preserve"> HYPERLINK \l _Toc15132 </w:instrText>
          </w:r>
          <w:r>
            <w:rPr>
              <w:b/>
            </w:rPr>
            <w:fldChar w:fldCharType="separate"/>
          </w:r>
          <w:r>
            <w:rPr>
              <w:rFonts w:hint="eastAsia" w:ascii="方正小标宋简体" w:hAnsi="方正小标宋简体" w:eastAsia="方正小标宋简体" w:cs="方正小标宋简体"/>
              <w:b/>
              <w:szCs w:val="44"/>
              <w:highlight w:val="none"/>
              <w:lang w:eastAsia="zh-CN"/>
            </w:rPr>
            <w:t>第三部分</w:t>
          </w:r>
          <w:r>
            <w:rPr>
              <w:rFonts w:hint="eastAsia" w:ascii="方正小标宋简体" w:hAnsi="方正小标宋简体" w:eastAsia="方正小标宋简体" w:cs="方正小标宋简体"/>
              <w:b/>
              <w:szCs w:val="44"/>
              <w:highlight w:val="none"/>
              <w:lang w:val="en-US" w:eastAsia="zh-CN"/>
            </w:rPr>
            <w:t xml:space="preserve"> </w:t>
          </w:r>
          <w:r>
            <w:rPr>
              <w:rFonts w:hint="eastAsia" w:ascii="方正小标宋简体" w:hAnsi="方正小标宋简体" w:eastAsia="方正小标宋简体" w:cs="方正小标宋简体"/>
              <w:b/>
              <w:szCs w:val="44"/>
              <w:highlight w:val="none"/>
            </w:rPr>
            <w:t>名词解释</w:t>
          </w:r>
          <w:r>
            <w:rPr>
              <w:b/>
            </w:rPr>
            <w:tab/>
          </w:r>
          <w:r>
            <w:rPr>
              <w:b/>
            </w:rPr>
            <w:fldChar w:fldCharType="begin"/>
          </w:r>
          <w:r>
            <w:rPr>
              <w:b/>
            </w:rPr>
            <w:instrText xml:space="preserve"> PAGEREF _Toc15132 \h </w:instrText>
          </w:r>
          <w:r>
            <w:rPr>
              <w:b/>
            </w:rPr>
            <w:fldChar w:fldCharType="separate"/>
          </w:r>
          <w:r>
            <w:rPr>
              <w:b/>
            </w:rPr>
            <w:t>9</w:t>
          </w:r>
          <w:r>
            <w:rPr>
              <w:b/>
            </w:rPr>
            <w:fldChar w:fldCharType="end"/>
          </w:r>
          <w:r>
            <w:rPr>
              <w:b/>
            </w:rPr>
            <w:fldChar w:fldCharType="end"/>
          </w:r>
        </w:p>
        <w:p>
          <w:pPr>
            <w:pStyle w:val="30"/>
            <w:tabs>
              <w:tab w:val="right" w:leader="dot" w:pos="8306"/>
            </w:tabs>
            <w:rPr>
              <w:b/>
            </w:rPr>
          </w:pPr>
          <w:r>
            <w:rPr>
              <w:b/>
            </w:rPr>
            <w:fldChar w:fldCharType="begin"/>
          </w:r>
          <w:r>
            <w:rPr>
              <w:b/>
            </w:rPr>
            <w:instrText xml:space="preserve"> HYPERLINK \l _Toc25676 </w:instrText>
          </w:r>
          <w:r>
            <w:rPr>
              <w:b/>
            </w:rPr>
            <w:fldChar w:fldCharType="separate"/>
          </w:r>
          <w:r>
            <w:rPr>
              <w:rFonts w:hint="eastAsia" w:ascii="方正小标宋简体" w:hAnsi="方正小标宋简体" w:eastAsia="方正小标宋简体" w:cs="方正小标宋简体"/>
              <w:b/>
              <w:szCs w:val="44"/>
              <w:highlight w:val="none"/>
            </w:rPr>
            <w:t>第四部分 附件</w:t>
          </w:r>
          <w:r>
            <w:rPr>
              <w:b/>
            </w:rPr>
            <w:tab/>
          </w:r>
          <w:r>
            <w:rPr>
              <w:b/>
            </w:rPr>
            <w:fldChar w:fldCharType="begin"/>
          </w:r>
          <w:r>
            <w:rPr>
              <w:b/>
            </w:rPr>
            <w:instrText xml:space="preserve"> PAGEREF _Toc25676 \h </w:instrText>
          </w:r>
          <w:r>
            <w:rPr>
              <w:b/>
            </w:rPr>
            <w:fldChar w:fldCharType="separate"/>
          </w:r>
          <w:r>
            <w:rPr>
              <w:b/>
            </w:rPr>
            <w:t>11</w:t>
          </w:r>
          <w:r>
            <w:rPr>
              <w:b/>
            </w:rPr>
            <w:fldChar w:fldCharType="end"/>
          </w:r>
          <w:r>
            <w:rPr>
              <w:b/>
            </w:rPr>
            <w:fldChar w:fldCharType="end"/>
          </w:r>
        </w:p>
        <w:p>
          <w:pPr>
            <w:pStyle w:val="30"/>
            <w:tabs>
              <w:tab w:val="right" w:leader="dot" w:pos="8306"/>
            </w:tabs>
            <w:rPr>
              <w:b/>
            </w:rPr>
          </w:pPr>
          <w:r>
            <w:rPr>
              <w:b/>
            </w:rPr>
            <w:fldChar w:fldCharType="begin"/>
          </w:r>
          <w:r>
            <w:rPr>
              <w:b/>
            </w:rPr>
            <w:instrText xml:space="preserve"> HYPERLINK \l _Toc3155 </w:instrText>
          </w:r>
          <w:r>
            <w:rPr>
              <w:b/>
            </w:rPr>
            <w:fldChar w:fldCharType="separate"/>
          </w:r>
          <w:r>
            <w:rPr>
              <w:rFonts w:hint="eastAsia" w:ascii="方正小标宋简体" w:hAnsi="方正小标宋简体" w:eastAsia="方正小标宋简体" w:cs="方正小标宋简体"/>
              <w:b/>
              <w:szCs w:val="44"/>
            </w:rPr>
            <w:t xml:space="preserve">第五部分 </w:t>
          </w:r>
          <w:r>
            <w:rPr>
              <w:rFonts w:hint="eastAsia" w:ascii="方正小标宋简体" w:hAnsi="方正小标宋简体" w:eastAsia="方正小标宋简体" w:cs="方正小标宋简体"/>
              <w:b/>
              <w:szCs w:val="44"/>
              <w:highlight w:val="none"/>
            </w:rPr>
            <w:t>附表</w:t>
          </w:r>
          <w:r>
            <w:rPr>
              <w:b/>
            </w:rPr>
            <w:tab/>
          </w:r>
          <w:r>
            <w:rPr>
              <w:b/>
            </w:rPr>
            <w:fldChar w:fldCharType="begin"/>
          </w:r>
          <w:r>
            <w:rPr>
              <w:b/>
            </w:rPr>
            <w:instrText xml:space="preserve"> PAGEREF _Toc3155 \h </w:instrText>
          </w:r>
          <w:r>
            <w:rPr>
              <w:b/>
            </w:rPr>
            <w:fldChar w:fldCharType="separate"/>
          </w:r>
          <w:r>
            <w:rPr>
              <w:b/>
            </w:rPr>
            <w:t>18</w:t>
          </w:r>
          <w:r>
            <w:rPr>
              <w:b/>
            </w:rPr>
            <w:fldChar w:fldCharType="end"/>
          </w:r>
          <w:r>
            <w:rPr>
              <w:b/>
            </w:rPr>
            <w:fldChar w:fldCharType="end"/>
          </w:r>
        </w:p>
        <w:p>
          <w:pPr>
            <w:pStyle w:val="31"/>
            <w:tabs>
              <w:tab w:val="right" w:leader="dot" w:pos="8306"/>
            </w:tabs>
          </w:pPr>
          <w:r>
            <w:fldChar w:fldCharType="begin"/>
          </w:r>
          <w:r>
            <w:instrText xml:space="preserve"> HYPERLINK \l _Toc26475 </w:instrText>
          </w:r>
          <w:r>
            <w:fldChar w:fldCharType="separate"/>
          </w:r>
          <w:r>
            <w:rPr>
              <w:rFonts w:hint="eastAsia"/>
            </w:rPr>
            <w:t>一、收入支出决算总表</w:t>
          </w:r>
          <w:r>
            <w:tab/>
          </w:r>
          <w:r>
            <w:fldChar w:fldCharType="begin"/>
          </w:r>
          <w:r>
            <w:instrText xml:space="preserve"> PAGEREF _Toc26475 \h </w:instrText>
          </w:r>
          <w:r>
            <w:fldChar w:fldCharType="separate"/>
          </w:r>
          <w:r>
            <w:t>18</w:t>
          </w:r>
          <w:r>
            <w:fldChar w:fldCharType="end"/>
          </w:r>
          <w:r>
            <w:fldChar w:fldCharType="end"/>
          </w:r>
        </w:p>
        <w:p>
          <w:pPr>
            <w:pStyle w:val="31"/>
            <w:tabs>
              <w:tab w:val="right" w:leader="dot" w:pos="8306"/>
            </w:tabs>
          </w:pPr>
          <w:r>
            <w:fldChar w:fldCharType="begin"/>
          </w:r>
          <w:r>
            <w:instrText xml:space="preserve"> HYPERLINK \l _Toc25294 </w:instrText>
          </w:r>
          <w:r>
            <w:fldChar w:fldCharType="separate"/>
          </w:r>
          <w:r>
            <w:rPr>
              <w:rFonts w:hint="eastAsia"/>
            </w:rPr>
            <w:t>二、收入决算表</w:t>
          </w:r>
          <w:r>
            <w:tab/>
          </w:r>
          <w:r>
            <w:fldChar w:fldCharType="begin"/>
          </w:r>
          <w:r>
            <w:instrText xml:space="preserve"> PAGEREF _Toc25294 \h </w:instrText>
          </w:r>
          <w:r>
            <w:fldChar w:fldCharType="separate"/>
          </w:r>
          <w:r>
            <w:t>18</w:t>
          </w:r>
          <w:r>
            <w:fldChar w:fldCharType="end"/>
          </w:r>
          <w:r>
            <w:fldChar w:fldCharType="end"/>
          </w:r>
        </w:p>
        <w:p>
          <w:pPr>
            <w:pStyle w:val="31"/>
            <w:tabs>
              <w:tab w:val="right" w:leader="dot" w:pos="8306"/>
            </w:tabs>
          </w:pPr>
          <w:r>
            <w:fldChar w:fldCharType="begin"/>
          </w:r>
          <w:r>
            <w:instrText xml:space="preserve"> HYPERLINK \l _Toc30736 </w:instrText>
          </w:r>
          <w:r>
            <w:fldChar w:fldCharType="separate"/>
          </w:r>
          <w:r>
            <w:rPr>
              <w:rFonts w:hint="eastAsia"/>
            </w:rPr>
            <w:t>三、支出决算表</w:t>
          </w:r>
          <w:r>
            <w:tab/>
          </w:r>
          <w:r>
            <w:fldChar w:fldCharType="begin"/>
          </w:r>
          <w:r>
            <w:instrText xml:space="preserve"> PAGEREF _Toc30736 \h </w:instrText>
          </w:r>
          <w:r>
            <w:fldChar w:fldCharType="separate"/>
          </w:r>
          <w:r>
            <w:t>18</w:t>
          </w:r>
          <w:r>
            <w:fldChar w:fldCharType="end"/>
          </w:r>
          <w:r>
            <w:fldChar w:fldCharType="end"/>
          </w:r>
        </w:p>
        <w:p>
          <w:pPr>
            <w:pStyle w:val="31"/>
            <w:tabs>
              <w:tab w:val="right" w:leader="dot" w:pos="8306"/>
            </w:tabs>
          </w:pPr>
          <w:r>
            <w:fldChar w:fldCharType="begin"/>
          </w:r>
          <w:r>
            <w:instrText xml:space="preserve"> HYPERLINK \l _Toc22971 </w:instrText>
          </w:r>
          <w:r>
            <w:fldChar w:fldCharType="separate"/>
          </w:r>
          <w:r>
            <w:rPr>
              <w:rFonts w:hint="eastAsia"/>
            </w:rPr>
            <w:t>四、财政拨款收入支出决算总表</w:t>
          </w:r>
          <w:r>
            <w:tab/>
          </w:r>
          <w:r>
            <w:fldChar w:fldCharType="begin"/>
          </w:r>
          <w:r>
            <w:instrText xml:space="preserve"> PAGEREF _Toc22971 \h </w:instrText>
          </w:r>
          <w:r>
            <w:fldChar w:fldCharType="separate"/>
          </w:r>
          <w:r>
            <w:t>18</w:t>
          </w:r>
          <w:r>
            <w:fldChar w:fldCharType="end"/>
          </w:r>
          <w:r>
            <w:fldChar w:fldCharType="end"/>
          </w:r>
        </w:p>
        <w:p>
          <w:pPr>
            <w:pStyle w:val="31"/>
            <w:tabs>
              <w:tab w:val="right" w:leader="dot" w:pos="8306"/>
            </w:tabs>
          </w:pPr>
          <w:r>
            <w:fldChar w:fldCharType="begin"/>
          </w:r>
          <w:r>
            <w:instrText xml:space="preserve"> HYPERLINK \l _Toc26967 </w:instrText>
          </w:r>
          <w:r>
            <w:fldChar w:fldCharType="separate"/>
          </w:r>
          <w:r>
            <w:rPr>
              <w:rFonts w:hint="eastAsia"/>
            </w:rPr>
            <w:t>五、财政拨款支出决算明细表</w:t>
          </w:r>
          <w:r>
            <w:tab/>
          </w:r>
          <w:r>
            <w:fldChar w:fldCharType="begin"/>
          </w:r>
          <w:r>
            <w:instrText xml:space="preserve"> PAGEREF _Toc26967 \h </w:instrText>
          </w:r>
          <w:r>
            <w:fldChar w:fldCharType="separate"/>
          </w:r>
          <w:r>
            <w:t>18</w:t>
          </w:r>
          <w:r>
            <w:fldChar w:fldCharType="end"/>
          </w:r>
          <w:r>
            <w:fldChar w:fldCharType="end"/>
          </w:r>
        </w:p>
        <w:p>
          <w:pPr>
            <w:pStyle w:val="31"/>
            <w:tabs>
              <w:tab w:val="right" w:leader="dot" w:pos="8306"/>
            </w:tabs>
          </w:pPr>
          <w:r>
            <w:fldChar w:fldCharType="begin"/>
          </w:r>
          <w:r>
            <w:instrText xml:space="preserve"> HYPERLINK \l _Toc4576 </w:instrText>
          </w:r>
          <w:r>
            <w:fldChar w:fldCharType="separate"/>
          </w:r>
          <w:r>
            <w:rPr>
              <w:rFonts w:hint="eastAsia"/>
            </w:rPr>
            <w:t>六、一般公共预算财政拨款支出决算表</w:t>
          </w:r>
          <w:r>
            <w:tab/>
          </w:r>
          <w:r>
            <w:fldChar w:fldCharType="begin"/>
          </w:r>
          <w:r>
            <w:instrText xml:space="preserve"> PAGEREF _Toc4576 \h </w:instrText>
          </w:r>
          <w:r>
            <w:fldChar w:fldCharType="separate"/>
          </w:r>
          <w:r>
            <w:t>18</w:t>
          </w:r>
          <w:r>
            <w:fldChar w:fldCharType="end"/>
          </w:r>
          <w:r>
            <w:fldChar w:fldCharType="end"/>
          </w:r>
        </w:p>
        <w:p>
          <w:pPr>
            <w:pStyle w:val="31"/>
            <w:tabs>
              <w:tab w:val="right" w:leader="dot" w:pos="8306"/>
            </w:tabs>
          </w:pPr>
          <w:r>
            <w:fldChar w:fldCharType="begin"/>
          </w:r>
          <w:r>
            <w:instrText xml:space="preserve"> HYPERLINK \l _Toc29341 </w:instrText>
          </w:r>
          <w:r>
            <w:fldChar w:fldCharType="separate"/>
          </w:r>
          <w:r>
            <w:rPr>
              <w:rFonts w:hint="eastAsia"/>
            </w:rPr>
            <w:t>七、一般公共预算财政拨款支出决算明细表</w:t>
          </w:r>
          <w:r>
            <w:tab/>
          </w:r>
          <w:r>
            <w:fldChar w:fldCharType="begin"/>
          </w:r>
          <w:r>
            <w:instrText xml:space="preserve"> PAGEREF _Toc29341 \h </w:instrText>
          </w:r>
          <w:r>
            <w:fldChar w:fldCharType="separate"/>
          </w:r>
          <w:r>
            <w:t>18</w:t>
          </w:r>
          <w:r>
            <w:fldChar w:fldCharType="end"/>
          </w:r>
          <w:r>
            <w:fldChar w:fldCharType="end"/>
          </w:r>
        </w:p>
        <w:p>
          <w:pPr>
            <w:pStyle w:val="31"/>
            <w:tabs>
              <w:tab w:val="right" w:leader="dot" w:pos="8306"/>
            </w:tabs>
          </w:pPr>
          <w:r>
            <w:fldChar w:fldCharType="begin"/>
          </w:r>
          <w:r>
            <w:instrText xml:space="preserve"> HYPERLINK \l _Toc24590 </w:instrText>
          </w:r>
          <w:r>
            <w:fldChar w:fldCharType="separate"/>
          </w:r>
          <w:r>
            <w:rPr>
              <w:rFonts w:hint="eastAsia"/>
            </w:rPr>
            <w:t>八、一般公共预算财政拨款基本支出决算表</w:t>
          </w:r>
          <w:r>
            <w:tab/>
          </w:r>
          <w:r>
            <w:fldChar w:fldCharType="begin"/>
          </w:r>
          <w:r>
            <w:instrText xml:space="preserve"> PAGEREF _Toc24590 \h </w:instrText>
          </w:r>
          <w:r>
            <w:fldChar w:fldCharType="separate"/>
          </w:r>
          <w:r>
            <w:t>18</w:t>
          </w:r>
          <w:r>
            <w:fldChar w:fldCharType="end"/>
          </w:r>
          <w:r>
            <w:fldChar w:fldCharType="end"/>
          </w:r>
        </w:p>
        <w:p>
          <w:pPr>
            <w:pStyle w:val="31"/>
            <w:tabs>
              <w:tab w:val="right" w:leader="dot" w:pos="8306"/>
            </w:tabs>
          </w:pPr>
          <w:r>
            <w:fldChar w:fldCharType="begin"/>
          </w:r>
          <w:r>
            <w:instrText xml:space="preserve"> HYPERLINK \l _Toc19633 </w:instrText>
          </w:r>
          <w:r>
            <w:fldChar w:fldCharType="separate"/>
          </w:r>
          <w:r>
            <w:rPr>
              <w:rFonts w:hint="eastAsia"/>
            </w:rPr>
            <w:t>九、一般公共预算财政拨款项目支出决算表</w:t>
          </w:r>
          <w:r>
            <w:tab/>
          </w:r>
          <w:r>
            <w:fldChar w:fldCharType="begin"/>
          </w:r>
          <w:r>
            <w:instrText xml:space="preserve"> PAGEREF _Toc19633 \h </w:instrText>
          </w:r>
          <w:r>
            <w:fldChar w:fldCharType="separate"/>
          </w:r>
          <w:r>
            <w:t>18</w:t>
          </w:r>
          <w:r>
            <w:fldChar w:fldCharType="end"/>
          </w:r>
          <w:r>
            <w:fldChar w:fldCharType="end"/>
          </w:r>
        </w:p>
        <w:p>
          <w:pPr>
            <w:pStyle w:val="31"/>
            <w:tabs>
              <w:tab w:val="right" w:leader="dot" w:pos="8306"/>
            </w:tabs>
          </w:pPr>
          <w:r>
            <w:fldChar w:fldCharType="begin"/>
          </w:r>
          <w:r>
            <w:instrText xml:space="preserve"> HYPERLINK \l _Toc31762 </w:instrText>
          </w:r>
          <w:r>
            <w:fldChar w:fldCharType="separate"/>
          </w:r>
          <w:r>
            <w:rPr>
              <w:rFonts w:hint="eastAsia"/>
            </w:rPr>
            <w:t>十、政府性基金预算财政拨款收入支出决算表</w:t>
          </w:r>
          <w:r>
            <w:tab/>
          </w:r>
          <w:r>
            <w:fldChar w:fldCharType="begin"/>
          </w:r>
          <w:r>
            <w:instrText xml:space="preserve"> PAGEREF _Toc31762 \h </w:instrText>
          </w:r>
          <w:r>
            <w:fldChar w:fldCharType="separate"/>
          </w:r>
          <w:r>
            <w:t>18</w:t>
          </w:r>
          <w:r>
            <w:fldChar w:fldCharType="end"/>
          </w:r>
          <w:r>
            <w:fldChar w:fldCharType="end"/>
          </w:r>
        </w:p>
        <w:p>
          <w:pPr>
            <w:pStyle w:val="31"/>
            <w:tabs>
              <w:tab w:val="right" w:leader="dot" w:pos="8306"/>
            </w:tabs>
          </w:pPr>
          <w:r>
            <w:fldChar w:fldCharType="begin"/>
          </w:r>
          <w:r>
            <w:instrText xml:space="preserve"> HYPERLINK \l _Toc4482 </w:instrText>
          </w:r>
          <w:r>
            <w:fldChar w:fldCharType="separate"/>
          </w:r>
          <w:r>
            <w:rPr>
              <w:rFonts w:hint="eastAsia"/>
            </w:rPr>
            <w:t>十一、国有资本经营预算</w:t>
          </w:r>
          <w:r>
            <w:rPr>
              <w:rFonts w:hint="eastAsia"/>
              <w:lang w:eastAsia="zh-CN"/>
            </w:rPr>
            <w:t>财政拨款收入</w:t>
          </w:r>
          <w:r>
            <w:rPr>
              <w:rFonts w:hint="eastAsia"/>
            </w:rPr>
            <w:t>支出决算表</w:t>
          </w:r>
          <w:r>
            <w:tab/>
          </w:r>
          <w:r>
            <w:fldChar w:fldCharType="begin"/>
          </w:r>
          <w:r>
            <w:instrText xml:space="preserve"> PAGEREF _Toc4482 \h </w:instrText>
          </w:r>
          <w:r>
            <w:fldChar w:fldCharType="separate"/>
          </w:r>
          <w:r>
            <w:t>18</w:t>
          </w:r>
          <w:r>
            <w:fldChar w:fldCharType="end"/>
          </w:r>
          <w:r>
            <w:fldChar w:fldCharType="end"/>
          </w:r>
        </w:p>
        <w:p>
          <w:pPr>
            <w:pStyle w:val="31"/>
            <w:tabs>
              <w:tab w:val="right" w:leader="dot" w:pos="8306"/>
            </w:tabs>
          </w:pPr>
          <w:r>
            <w:fldChar w:fldCharType="begin"/>
          </w:r>
          <w:r>
            <w:instrText xml:space="preserve"> HYPERLINK \l _Toc7212 </w:instrText>
          </w:r>
          <w:r>
            <w:fldChar w:fldCharType="separate"/>
          </w:r>
          <w:r>
            <w:rPr>
              <w:rFonts w:hint="eastAsia"/>
            </w:rPr>
            <w:t>十二、</w:t>
          </w:r>
          <w:r>
            <w:rPr>
              <w:rFonts w:hint="eastAsia"/>
              <w:lang w:eastAsia="zh-CN"/>
            </w:rPr>
            <w:t>国有资本经营预算财政拨款支出决算表</w:t>
          </w:r>
          <w:r>
            <w:tab/>
          </w:r>
          <w:r>
            <w:fldChar w:fldCharType="begin"/>
          </w:r>
          <w:r>
            <w:instrText xml:space="preserve"> PAGEREF _Toc7212 \h </w:instrText>
          </w:r>
          <w:r>
            <w:fldChar w:fldCharType="separate"/>
          </w:r>
          <w:r>
            <w:t>18</w:t>
          </w:r>
          <w:r>
            <w:fldChar w:fldCharType="end"/>
          </w:r>
          <w:r>
            <w:fldChar w:fldCharType="end"/>
          </w:r>
        </w:p>
        <w:p>
          <w:pPr>
            <w:pStyle w:val="31"/>
            <w:tabs>
              <w:tab w:val="right" w:leader="dot" w:pos="8306"/>
            </w:tabs>
          </w:pPr>
          <w:r>
            <w:fldChar w:fldCharType="begin"/>
          </w:r>
          <w:r>
            <w:instrText xml:space="preserve"> HYPERLINK \l _Toc14892 </w:instrText>
          </w:r>
          <w:r>
            <w:fldChar w:fldCharType="separate"/>
          </w:r>
          <w:r>
            <w:rPr>
              <w:rFonts w:hint="eastAsia"/>
            </w:rPr>
            <w:t>十三、</w:t>
          </w:r>
          <w:r>
            <w:rPr>
              <w:rFonts w:hint="eastAsia"/>
              <w:lang w:eastAsia="zh-CN"/>
            </w:rPr>
            <w:t>财政拨款“三公”经费支出决算表</w:t>
          </w:r>
          <w:r>
            <w:tab/>
          </w:r>
          <w:r>
            <w:fldChar w:fldCharType="begin"/>
          </w:r>
          <w:r>
            <w:instrText xml:space="preserve"> PAGEREF _Toc14892 \h </w:instrText>
          </w:r>
          <w:r>
            <w:fldChar w:fldCharType="separate"/>
          </w:r>
          <w:r>
            <w:t>18</w:t>
          </w:r>
          <w:r>
            <w:fldChar w:fldCharType="end"/>
          </w:r>
          <w:r>
            <w:fldChar w:fldCharType="end"/>
          </w:r>
        </w:p>
        <w:p>
          <w:r>
            <w:rPr>
              <w:b/>
            </w:rPr>
            <w:fldChar w:fldCharType="end"/>
          </w:r>
        </w:p>
      </w:sdtContent>
    </w:sdt>
    <w:p>
      <w:pPr>
        <w:bidi w:val="0"/>
        <w:jc w:val="center"/>
        <w:outlineLvl w:val="0"/>
        <w:rPr>
          <w:rFonts w:hint="eastAsia" w:ascii="宋体" w:hAnsi="宋体" w:eastAsia="宋体" w:cs="宋体"/>
          <w:sz w:val="44"/>
          <w:szCs w:val="44"/>
        </w:rPr>
        <w:sectPr>
          <w:headerReference r:id="rId3" w:type="default"/>
          <w:pgSz w:w="11906" w:h="16838"/>
          <w:pgMar w:top="1440" w:right="1800" w:bottom="1440" w:left="1800" w:header="851" w:footer="992" w:gutter="0"/>
          <w:pgNumType w:start="1"/>
          <w:cols w:space="425" w:num="1"/>
          <w:titlePg/>
          <w:docGrid w:type="lines" w:linePitch="312" w:charSpace="0"/>
        </w:sectPr>
      </w:pPr>
      <w:bookmarkStart w:id="21" w:name="_Toc7668"/>
    </w:p>
    <w:p>
      <w:pPr>
        <w:bidi w:val="0"/>
        <w:jc w:val="center"/>
        <w:outlineLvl w:val="0"/>
        <w:rPr>
          <w:rFonts w:hint="eastAsia" w:ascii="宋体" w:hAnsi="宋体" w:eastAsia="宋体" w:cs="宋体"/>
          <w:sz w:val="44"/>
          <w:szCs w:val="44"/>
        </w:rPr>
      </w:pPr>
      <w:r>
        <w:rPr>
          <w:rFonts w:hint="eastAsia" w:ascii="宋体" w:hAnsi="宋体" w:eastAsia="宋体" w:cs="宋体"/>
          <w:sz w:val="44"/>
          <w:szCs w:val="44"/>
        </w:rPr>
        <w:t xml:space="preserve">第一部分 </w:t>
      </w:r>
      <w:r>
        <w:rPr>
          <w:rFonts w:hint="eastAsia" w:ascii="宋体" w:hAnsi="宋体" w:eastAsia="宋体" w:cs="宋体"/>
          <w:sz w:val="44"/>
          <w:szCs w:val="44"/>
          <w:lang w:eastAsia="zh-CN"/>
        </w:rPr>
        <w:t>单位</w:t>
      </w:r>
      <w:r>
        <w:rPr>
          <w:rFonts w:hint="eastAsia" w:ascii="宋体" w:hAnsi="宋体" w:eastAsia="宋体" w:cs="宋体"/>
          <w:sz w:val="44"/>
          <w:szCs w:val="44"/>
        </w:rPr>
        <w:t>概况</w:t>
      </w:r>
      <w:bookmarkEnd w:id="18"/>
      <w:bookmarkEnd w:id="19"/>
      <w:bookmarkEnd w:id="20"/>
      <w:bookmarkEnd w:id="21"/>
    </w:p>
    <w:p>
      <w:pPr>
        <w:bidi w:val="0"/>
        <w:rPr>
          <w:rFonts w:hint="eastAsia"/>
        </w:rPr>
      </w:pP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outlineLvl w:val="1"/>
        <w:rPr>
          <w:rFonts w:hint="eastAsia" w:ascii="黑体" w:hAnsi="黑体" w:eastAsia="黑体" w:cs="黑体"/>
          <w:sz w:val="32"/>
          <w:szCs w:val="32"/>
          <w:lang w:val="en-US" w:eastAsia="zh-CN"/>
        </w:rPr>
      </w:pPr>
      <w:bookmarkStart w:id="22" w:name="_Toc25657"/>
      <w:bookmarkStart w:id="23" w:name="_Toc13565"/>
      <w:bookmarkStart w:id="24" w:name="_Toc15377197"/>
      <w:bookmarkStart w:id="25" w:name="_Toc15396600"/>
      <w:r>
        <w:rPr>
          <w:rFonts w:hint="eastAsia" w:ascii="黑体" w:hAnsi="黑体" w:eastAsia="黑体" w:cs="黑体"/>
          <w:sz w:val="32"/>
          <w:szCs w:val="32"/>
          <w:lang w:val="en-US" w:eastAsia="zh-CN"/>
        </w:rPr>
        <w:t>一、主要职责</w:t>
      </w:r>
      <w:bookmarkEnd w:id="22"/>
      <w:bookmarkEnd w:id="23"/>
    </w:p>
    <w:p>
      <w:pPr>
        <w:keepNext w:val="0"/>
        <w:keepLines w:val="0"/>
        <w:pageBreakBefore w:val="0"/>
        <w:widowControl/>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1、承办</w:t>
      </w:r>
      <w:r>
        <w:rPr>
          <w:rFonts w:hint="eastAsia" w:ascii="仿宋_GB2312" w:hAnsi="仿宋_GB2312" w:eastAsia="仿宋_GB2312" w:cs="仿宋_GB2312"/>
          <w:color w:val="auto"/>
          <w:sz w:val="32"/>
          <w:szCs w:val="32"/>
          <w:highlight w:val="none"/>
        </w:rPr>
        <w:t>书记市长信箱信件批转、办理，依法处理群众诉求，回复群众咨询、意见和建议，及日常管理维护等事务工作</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2、负责</w:t>
      </w:r>
      <w:r>
        <w:rPr>
          <w:rFonts w:hint="eastAsia" w:ascii="仿宋_GB2312" w:hAnsi="仿宋_GB2312" w:eastAsia="仿宋_GB2312" w:cs="仿宋_GB2312"/>
          <w:color w:val="auto"/>
          <w:sz w:val="32"/>
          <w:szCs w:val="32"/>
          <w:highlight w:val="none"/>
        </w:rPr>
        <w:t>信访法规宣传，参与进京到省上访、跨区域信访等特殊群体人员信访法制教育工作</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3、开展对</w:t>
      </w:r>
      <w:r>
        <w:rPr>
          <w:rFonts w:hint="eastAsia" w:ascii="仿宋_GB2312" w:hAnsi="仿宋_GB2312" w:eastAsia="仿宋_GB2312" w:cs="仿宋_GB2312"/>
          <w:color w:val="auto"/>
          <w:sz w:val="32"/>
          <w:szCs w:val="32"/>
          <w:highlight w:val="none"/>
          <w:lang w:eastAsia="zh-CN"/>
        </w:rPr>
        <w:t>困难信访群众的帮扶、救助等工作。</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outlineLvl w:val="1"/>
        <w:rPr>
          <w:rFonts w:hint="eastAsia" w:ascii="黑体" w:hAnsi="黑体" w:eastAsia="黑体" w:cs="黑体"/>
          <w:sz w:val="32"/>
          <w:szCs w:val="32"/>
          <w:lang w:val="en-US" w:eastAsia="zh-CN"/>
        </w:rPr>
      </w:pPr>
      <w:bookmarkStart w:id="26" w:name="_Toc22063"/>
      <w:bookmarkStart w:id="27" w:name="_Toc7614"/>
      <w:r>
        <w:rPr>
          <w:rFonts w:hint="eastAsia" w:ascii="黑体" w:hAnsi="黑体" w:eastAsia="黑体" w:cs="黑体"/>
          <w:sz w:val="32"/>
          <w:szCs w:val="32"/>
          <w:lang w:val="en-US" w:eastAsia="zh-CN"/>
        </w:rPr>
        <w:t>二、机构设置</w:t>
      </w:r>
      <w:bookmarkEnd w:id="26"/>
      <w:bookmarkEnd w:id="27"/>
    </w:p>
    <w:bookmarkEnd w:id="24"/>
    <w:bookmarkEnd w:id="25"/>
    <w:p>
      <w:pPr>
        <w:keepNext w:val="0"/>
        <w:keepLines w:val="0"/>
        <w:pageBreakBefore w:val="0"/>
        <w:widowControl/>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市群众工作中心内设机构4个，分别为：信息调研科、书记市长信箱管理科、信访法规宣教科、困难信访群众帮扶科。</w:t>
      </w:r>
    </w:p>
    <w:p>
      <w:pPr>
        <w:keepNext w:val="0"/>
        <w:keepLines w:val="0"/>
        <w:pageBreakBefore w:val="0"/>
        <w:widowControl/>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楷体_GB2312" w:hAnsi="楷体_GB2312" w:eastAsia="楷体_GB2312" w:cs="楷体_GB2312"/>
          <w:color w:val="auto"/>
          <w:sz w:val="32"/>
          <w:szCs w:val="32"/>
          <w:highlight w:val="none"/>
        </w:rPr>
        <w:t>（一）信息调研科。</w:t>
      </w:r>
      <w:r>
        <w:rPr>
          <w:rFonts w:hint="eastAsia" w:ascii="仿宋_GB2312" w:hAnsi="仿宋_GB2312" w:eastAsia="仿宋_GB2312" w:cs="仿宋_GB2312"/>
          <w:color w:val="auto"/>
          <w:sz w:val="32"/>
          <w:szCs w:val="32"/>
          <w:highlight w:val="none"/>
        </w:rPr>
        <w:t>主要职责是：负责进京到省非访、越级访动态信息掌控处理和动向趋势调研。</w:t>
      </w:r>
    </w:p>
    <w:p>
      <w:pPr>
        <w:keepNext w:val="0"/>
        <w:keepLines w:val="0"/>
        <w:pageBreakBefore w:val="0"/>
        <w:widowControl/>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楷体_GB2312" w:hAnsi="楷体_GB2312" w:eastAsia="楷体_GB2312" w:cs="楷体_GB2312"/>
          <w:color w:val="auto"/>
          <w:sz w:val="32"/>
          <w:szCs w:val="32"/>
          <w:highlight w:val="none"/>
        </w:rPr>
        <w:t>（二）书记市长信箱管理科。</w:t>
      </w:r>
      <w:r>
        <w:rPr>
          <w:rFonts w:hint="eastAsia" w:ascii="仿宋_GB2312" w:hAnsi="仿宋_GB2312" w:eastAsia="仿宋_GB2312" w:cs="仿宋_GB2312"/>
          <w:color w:val="auto"/>
          <w:sz w:val="32"/>
          <w:szCs w:val="32"/>
          <w:highlight w:val="none"/>
        </w:rPr>
        <w:t>主要职责是：负责书记市长信箱信件批转、办理，依法处理群众诉求，回复群众咨询、意见和建议，以及日常管理维护等事务工作。</w:t>
      </w:r>
    </w:p>
    <w:p>
      <w:pPr>
        <w:keepNext w:val="0"/>
        <w:keepLines w:val="0"/>
        <w:pageBreakBefore w:val="0"/>
        <w:widowControl/>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楷体_GB2312" w:hAnsi="楷体_GB2312" w:eastAsia="楷体_GB2312" w:cs="楷体_GB2312"/>
          <w:color w:val="auto"/>
          <w:sz w:val="32"/>
          <w:szCs w:val="32"/>
          <w:highlight w:val="none"/>
        </w:rPr>
        <w:t>（三）信访法规宣教科。</w:t>
      </w:r>
      <w:r>
        <w:rPr>
          <w:rFonts w:hint="eastAsia" w:ascii="仿宋_GB2312" w:hAnsi="仿宋_GB2312" w:eastAsia="仿宋_GB2312" w:cs="仿宋_GB2312"/>
          <w:color w:val="auto"/>
          <w:sz w:val="32"/>
          <w:szCs w:val="32"/>
          <w:highlight w:val="none"/>
        </w:rPr>
        <w:t>主要职责是：负责信访法规宣传，</w:t>
      </w:r>
      <w:r>
        <w:rPr>
          <w:rFonts w:hint="eastAsia" w:ascii="仿宋_GB2312" w:hAnsi="仿宋_GB2312" w:eastAsia="仿宋_GB2312" w:cs="仿宋_GB2312"/>
          <w:color w:val="auto"/>
          <w:sz w:val="32"/>
          <w:szCs w:val="32"/>
          <w:highlight w:val="none"/>
          <w:lang w:eastAsia="zh-CN"/>
        </w:rPr>
        <w:t>参与</w:t>
      </w:r>
      <w:r>
        <w:rPr>
          <w:rFonts w:hint="eastAsia" w:ascii="仿宋_GB2312" w:hAnsi="仿宋_GB2312" w:eastAsia="仿宋_GB2312" w:cs="仿宋_GB2312"/>
          <w:color w:val="auto"/>
          <w:sz w:val="32"/>
          <w:szCs w:val="32"/>
          <w:highlight w:val="none"/>
        </w:rPr>
        <w:t>京到省上访、跨区域信访等特殊群体人员信访法制教育工作。</w:t>
      </w:r>
    </w:p>
    <w:p>
      <w:pPr>
        <w:keepNext w:val="0"/>
        <w:keepLines w:val="0"/>
        <w:pageBreakBefore w:val="0"/>
        <w:widowControl/>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楷体_GB2312" w:hAnsi="楷体_GB2312" w:eastAsia="楷体_GB2312" w:cs="楷体_GB2312"/>
          <w:color w:val="auto"/>
          <w:sz w:val="32"/>
          <w:szCs w:val="32"/>
          <w:highlight w:val="none"/>
        </w:rPr>
        <w:t>（四）困难信访群众帮扶科。</w:t>
      </w:r>
      <w:r>
        <w:rPr>
          <w:rFonts w:hint="eastAsia" w:ascii="仿宋_GB2312" w:hAnsi="仿宋_GB2312" w:eastAsia="仿宋_GB2312" w:cs="仿宋_GB2312"/>
          <w:color w:val="auto"/>
          <w:sz w:val="32"/>
          <w:szCs w:val="32"/>
          <w:highlight w:val="none"/>
        </w:rPr>
        <w:t>主要职责是：负责困难信访群众的帮扶、救助等工作。</w:t>
      </w:r>
    </w:p>
    <w:p>
      <w:pPr>
        <w:pStyle w:val="2"/>
        <w:jc w:val="center"/>
        <w:rPr>
          <w:rFonts w:hint="eastAsia"/>
        </w:rPr>
      </w:pPr>
    </w:p>
    <w:p>
      <w:pPr>
        <w:numPr>
          <w:ilvl w:val="0"/>
          <w:numId w:val="1"/>
        </w:numPr>
        <w:bidi w:val="0"/>
        <w:jc w:val="center"/>
        <w:outlineLvl w:val="0"/>
        <w:rPr>
          <w:rStyle w:val="16"/>
          <w:rFonts w:hint="eastAsia" w:ascii="方正小标宋简体" w:hAnsi="方正小标宋简体" w:eastAsia="方正小标宋简体" w:cs="方正小标宋简体"/>
          <w:b w:val="0"/>
          <w:bCs/>
          <w:color w:val="auto"/>
          <w:sz w:val="32"/>
          <w:szCs w:val="32"/>
          <w:highlight w:val="none"/>
        </w:rPr>
      </w:pPr>
      <w:bookmarkStart w:id="28" w:name="_Toc15377204"/>
      <w:bookmarkStart w:id="29" w:name="_Toc25585"/>
      <w:bookmarkStart w:id="30" w:name="_Toc3708"/>
      <w:bookmarkStart w:id="31" w:name="_Toc15396602"/>
      <w:r>
        <w:rPr>
          <w:rFonts w:hint="eastAsia" w:ascii="方正小标宋简体" w:hAnsi="方正小标宋简体" w:eastAsia="方正小标宋简体" w:cs="方正小标宋简体"/>
          <w:b w:val="0"/>
          <w:bCs w:val="0"/>
          <w:color w:val="auto"/>
          <w:kern w:val="2"/>
          <w:sz w:val="32"/>
          <w:szCs w:val="32"/>
          <w:highlight w:val="none"/>
          <w:lang w:val="en-US" w:eastAsia="zh-CN" w:bidi="ar-SA"/>
        </w:rPr>
        <w:t>2022</w:t>
      </w:r>
      <w:r>
        <w:rPr>
          <w:rFonts w:hint="eastAsia" w:ascii="方正小标宋简体" w:hAnsi="方正小标宋简体" w:eastAsia="方正小标宋简体" w:cs="方正小标宋简体"/>
          <w:b w:val="0"/>
          <w:bCs/>
          <w:color w:val="auto"/>
          <w:sz w:val="32"/>
          <w:szCs w:val="32"/>
          <w:highlight w:val="none"/>
          <w:lang w:val="en-US" w:eastAsia="zh-CN"/>
        </w:rPr>
        <w:t>年度</w:t>
      </w:r>
      <w:r>
        <w:rPr>
          <w:rStyle w:val="16"/>
          <w:rFonts w:hint="eastAsia" w:ascii="方正小标宋简体" w:hAnsi="方正小标宋简体" w:eastAsia="方正小标宋简体" w:cs="方正小标宋简体"/>
          <w:b w:val="0"/>
          <w:bCs/>
          <w:color w:val="auto"/>
          <w:sz w:val="32"/>
          <w:szCs w:val="32"/>
          <w:highlight w:val="none"/>
          <w:lang w:eastAsia="zh-CN"/>
        </w:rPr>
        <w:t>单位</w:t>
      </w:r>
      <w:r>
        <w:rPr>
          <w:rStyle w:val="16"/>
          <w:rFonts w:hint="eastAsia" w:ascii="方正小标宋简体" w:hAnsi="方正小标宋简体" w:eastAsia="方正小标宋简体" w:cs="方正小标宋简体"/>
          <w:b w:val="0"/>
          <w:bCs/>
          <w:color w:val="auto"/>
          <w:sz w:val="32"/>
          <w:szCs w:val="32"/>
          <w:highlight w:val="none"/>
        </w:rPr>
        <w:t>决算情况说明</w:t>
      </w:r>
      <w:bookmarkEnd w:id="28"/>
      <w:bookmarkEnd w:id="29"/>
      <w:bookmarkEnd w:id="30"/>
      <w:bookmarkEnd w:id="31"/>
    </w:p>
    <w:p>
      <w:pPr>
        <w:bidi w:val="0"/>
        <w:rPr>
          <w:rFonts w:hint="eastAsia"/>
        </w:rPr>
      </w:pPr>
    </w:p>
    <w:p>
      <w:pPr>
        <w:numPr>
          <w:ilvl w:val="0"/>
          <w:numId w:val="2"/>
        </w:numPr>
        <w:bidi w:val="0"/>
        <w:outlineLvl w:val="1"/>
        <w:rPr>
          <w:rStyle w:val="17"/>
          <w:rFonts w:hint="eastAsia" w:ascii="黑体" w:hAnsi="黑体" w:eastAsia="黑体" w:cs="黑体"/>
          <w:b w:val="0"/>
          <w:color w:val="auto"/>
          <w:sz w:val="32"/>
          <w:szCs w:val="32"/>
          <w:highlight w:val="none"/>
        </w:rPr>
      </w:pPr>
      <w:bookmarkStart w:id="32" w:name="_Toc15377205"/>
      <w:bookmarkStart w:id="33" w:name="_Toc15396603"/>
      <w:bookmarkStart w:id="34" w:name="_Toc14828"/>
      <w:bookmarkStart w:id="35" w:name="_Toc27189"/>
      <w:r>
        <w:rPr>
          <w:rFonts w:hint="eastAsia" w:ascii="黑体" w:hAnsi="黑体" w:eastAsia="黑体" w:cs="黑体"/>
          <w:color w:val="auto"/>
          <w:sz w:val="32"/>
          <w:szCs w:val="32"/>
          <w:highlight w:val="none"/>
        </w:rPr>
        <w:t>收</w:t>
      </w:r>
      <w:r>
        <w:rPr>
          <w:rStyle w:val="17"/>
          <w:rFonts w:hint="eastAsia" w:ascii="黑体" w:hAnsi="黑体" w:eastAsia="黑体" w:cs="黑体"/>
          <w:b w:val="0"/>
          <w:color w:val="auto"/>
          <w:sz w:val="32"/>
          <w:szCs w:val="32"/>
          <w:highlight w:val="none"/>
        </w:rPr>
        <w:t>入支出决算总体情况说明</w:t>
      </w:r>
      <w:bookmarkEnd w:id="32"/>
      <w:bookmarkEnd w:id="33"/>
      <w:bookmarkEnd w:id="34"/>
      <w:bookmarkEnd w:id="35"/>
    </w:p>
    <w:p>
      <w:pPr>
        <w:spacing w:line="60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年度收、支总计</w:t>
      </w:r>
      <w:r>
        <w:rPr>
          <w:rFonts w:hint="eastAsia" w:ascii="仿宋_GB2312" w:hAnsi="仿宋_GB2312" w:eastAsia="仿宋_GB2312" w:cs="仿宋_GB2312"/>
          <w:color w:val="auto"/>
          <w:sz w:val="32"/>
          <w:szCs w:val="32"/>
          <w:highlight w:val="none"/>
          <w:lang w:val="en-US" w:eastAsia="zh-CN"/>
        </w:rPr>
        <w:t>203.94</w:t>
      </w:r>
      <w:r>
        <w:rPr>
          <w:rFonts w:hint="eastAsia" w:ascii="仿宋_GB2312" w:hAnsi="仿宋_GB2312" w:eastAsia="仿宋_GB2312" w:cs="仿宋_GB2312"/>
          <w:color w:val="auto"/>
          <w:sz w:val="32"/>
          <w:szCs w:val="32"/>
          <w:highlight w:val="none"/>
        </w:rPr>
        <w:t>万元。与20</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年相比，收、支总计各增加</w:t>
      </w:r>
      <w:r>
        <w:rPr>
          <w:rFonts w:hint="eastAsia" w:ascii="仿宋_GB2312" w:hAnsi="仿宋_GB2312" w:eastAsia="仿宋_GB2312" w:cs="仿宋_GB2312"/>
          <w:color w:val="auto"/>
          <w:sz w:val="32"/>
          <w:szCs w:val="32"/>
          <w:highlight w:val="none"/>
          <w:lang w:val="en-US" w:eastAsia="zh-CN"/>
        </w:rPr>
        <w:t>68.1</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50.13</w:t>
      </w:r>
      <w:r>
        <w:rPr>
          <w:rFonts w:hint="eastAsia" w:ascii="仿宋_GB2312" w:hAnsi="仿宋_GB2312" w:eastAsia="仿宋_GB2312" w:cs="仿宋_GB2312"/>
          <w:color w:val="auto"/>
          <w:sz w:val="32"/>
          <w:szCs w:val="32"/>
          <w:highlight w:val="none"/>
        </w:rPr>
        <w:t>%。主要变动原因是</w:t>
      </w:r>
      <w:r>
        <w:rPr>
          <w:rFonts w:hint="eastAsia" w:ascii="仿宋_GB2312" w:hAnsi="仿宋_GB2312" w:eastAsia="仿宋_GB2312" w:cs="仿宋_GB2312"/>
          <w:color w:val="auto"/>
          <w:sz w:val="32"/>
          <w:szCs w:val="32"/>
          <w:highlight w:val="none"/>
          <w:lang w:eastAsia="zh-CN"/>
        </w:rPr>
        <w:t>人员经费增加。</w:t>
      </w:r>
    </w:p>
    <w:p>
      <w:pPr>
        <w:spacing w:line="600" w:lineRule="exact"/>
        <w:ind w:firstLine="640" w:firstLineChars="200"/>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（图1：收、支决算总计变动情况图）</w:t>
      </w:r>
    </w:p>
    <w:p>
      <w:pPr>
        <w:spacing w:line="240" w:lineRule="auto"/>
        <w:jc w:val="left"/>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drawing>
          <wp:inline distT="0" distB="0" distL="114300" distR="114300">
            <wp:extent cx="5273675" cy="2104390"/>
            <wp:effectExtent l="0" t="0" r="3175" b="10160"/>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7"/>
                    <a:stretch>
                      <a:fillRect/>
                    </a:stretch>
                  </pic:blipFill>
                  <pic:spPr>
                    <a:xfrm>
                      <a:off x="0" y="0"/>
                      <a:ext cx="5273675" cy="2104390"/>
                    </a:xfrm>
                    <a:prstGeom prst="rect">
                      <a:avLst/>
                    </a:prstGeom>
                  </pic:spPr>
                </pic:pic>
              </a:graphicData>
            </a:graphic>
          </wp:inline>
        </w:drawing>
      </w:r>
    </w:p>
    <w:p>
      <w:pPr>
        <w:pStyle w:val="26"/>
        <w:numPr>
          <w:ilvl w:val="0"/>
          <w:numId w:val="2"/>
        </w:numPr>
        <w:spacing w:line="600" w:lineRule="exact"/>
        <w:ind w:firstLineChars="0"/>
        <w:outlineLvl w:val="1"/>
        <w:rPr>
          <w:rStyle w:val="17"/>
          <w:rFonts w:hint="eastAsia" w:ascii="黑体" w:hAnsi="黑体" w:eastAsia="黑体" w:cs="黑体"/>
          <w:b w:val="0"/>
          <w:color w:val="auto"/>
          <w:sz w:val="32"/>
          <w:szCs w:val="32"/>
          <w:highlight w:val="none"/>
        </w:rPr>
      </w:pPr>
      <w:bookmarkStart w:id="36" w:name="_Toc15396604"/>
      <w:bookmarkStart w:id="37" w:name="_Toc15377206"/>
      <w:bookmarkStart w:id="38" w:name="_Toc96"/>
      <w:bookmarkStart w:id="39" w:name="_Toc31655"/>
      <w:r>
        <w:rPr>
          <w:rFonts w:hint="eastAsia" w:ascii="黑体" w:hAnsi="黑体" w:eastAsia="黑体" w:cs="黑体"/>
          <w:color w:val="auto"/>
          <w:sz w:val="32"/>
          <w:szCs w:val="32"/>
          <w:highlight w:val="none"/>
        </w:rPr>
        <w:t>收</w:t>
      </w:r>
      <w:r>
        <w:rPr>
          <w:rStyle w:val="17"/>
          <w:rFonts w:hint="eastAsia" w:ascii="黑体" w:hAnsi="黑体" w:eastAsia="黑体" w:cs="黑体"/>
          <w:b w:val="0"/>
          <w:color w:val="auto"/>
          <w:sz w:val="32"/>
          <w:szCs w:val="32"/>
          <w:highlight w:val="none"/>
        </w:rPr>
        <w:t>入决算情况说明</w:t>
      </w:r>
      <w:bookmarkEnd w:id="36"/>
      <w:bookmarkEnd w:id="37"/>
      <w:bookmarkEnd w:id="38"/>
      <w:bookmarkEnd w:id="39"/>
    </w:p>
    <w:p>
      <w:pPr>
        <w:spacing w:line="600" w:lineRule="exact"/>
        <w:ind w:firstLine="640" w:firstLineChars="200"/>
        <w:outlineLvl w:val="1"/>
        <w:rPr>
          <w:rFonts w:hint="eastAsia" w:ascii="仿宋_GB2312" w:hAnsi="仿宋_GB2312" w:eastAsia="仿宋_GB2312" w:cs="仿宋_GB2312"/>
          <w:color w:val="auto"/>
          <w:sz w:val="32"/>
          <w:szCs w:val="32"/>
          <w:highlight w:val="none"/>
          <w:lang w:val="en-US" w:eastAsia="zh-CN"/>
        </w:rPr>
      </w:pPr>
      <w:bookmarkStart w:id="40" w:name="_Toc26699"/>
      <w:bookmarkStart w:id="41" w:name="_Toc26404"/>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年本年收入合计</w:t>
      </w:r>
      <w:r>
        <w:rPr>
          <w:rFonts w:hint="eastAsia" w:ascii="仿宋_GB2312" w:hAnsi="仿宋_GB2312" w:eastAsia="仿宋_GB2312" w:cs="仿宋_GB2312"/>
          <w:color w:val="auto"/>
          <w:sz w:val="32"/>
          <w:szCs w:val="32"/>
          <w:highlight w:val="none"/>
          <w:lang w:val="en-US" w:eastAsia="zh-CN"/>
        </w:rPr>
        <w:t>203.90</w:t>
      </w:r>
      <w:r>
        <w:rPr>
          <w:rFonts w:hint="eastAsia" w:ascii="仿宋_GB2312" w:hAnsi="仿宋_GB2312" w:eastAsia="仿宋_GB2312" w:cs="仿宋_GB2312"/>
          <w:color w:val="auto"/>
          <w:sz w:val="32"/>
          <w:szCs w:val="32"/>
          <w:highlight w:val="none"/>
        </w:rPr>
        <w:t>万元，其中：一般公共预算财政拨款收入</w:t>
      </w:r>
      <w:r>
        <w:rPr>
          <w:rFonts w:hint="eastAsia" w:ascii="仿宋_GB2312" w:hAnsi="仿宋_GB2312" w:eastAsia="仿宋_GB2312" w:cs="仿宋_GB2312"/>
          <w:color w:val="auto"/>
          <w:sz w:val="32"/>
          <w:szCs w:val="32"/>
          <w:highlight w:val="none"/>
          <w:lang w:val="en-US" w:eastAsia="zh-CN"/>
        </w:rPr>
        <w:t>203.90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w:t>
      </w:r>
      <w:bookmarkEnd w:id="40"/>
      <w:bookmarkEnd w:id="41"/>
    </w:p>
    <w:p>
      <w:pPr>
        <w:spacing w:line="60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（图2：收入决算结构图）</w:t>
      </w:r>
    </w:p>
    <w:p>
      <w:pPr>
        <w:pStyle w:val="2"/>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sz w:val="32"/>
          <w:szCs w:val="32"/>
        </w:rPr>
        <w:drawing>
          <wp:inline distT="0" distB="0" distL="114300" distR="114300">
            <wp:extent cx="3325495" cy="2286635"/>
            <wp:effectExtent l="4445" t="5080" r="22860" b="13335"/>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pStyle w:val="26"/>
        <w:numPr>
          <w:ilvl w:val="0"/>
          <w:numId w:val="2"/>
        </w:numPr>
        <w:spacing w:line="600" w:lineRule="exact"/>
        <w:ind w:firstLineChars="0"/>
        <w:outlineLvl w:val="1"/>
        <w:rPr>
          <w:rStyle w:val="17"/>
          <w:rFonts w:hint="eastAsia" w:ascii="黑体" w:hAnsi="黑体" w:eastAsia="黑体" w:cs="黑体"/>
          <w:b w:val="0"/>
          <w:color w:val="auto"/>
          <w:sz w:val="32"/>
          <w:szCs w:val="32"/>
          <w:highlight w:val="none"/>
        </w:rPr>
      </w:pPr>
      <w:bookmarkStart w:id="42" w:name="_Toc15377207"/>
      <w:bookmarkStart w:id="43" w:name="_Toc15396605"/>
      <w:bookmarkStart w:id="44" w:name="_Toc24464"/>
      <w:bookmarkStart w:id="45" w:name="_Toc32248"/>
      <w:r>
        <w:rPr>
          <w:rFonts w:hint="eastAsia" w:ascii="黑体" w:hAnsi="黑体" w:eastAsia="黑体" w:cs="黑体"/>
          <w:color w:val="auto"/>
          <w:sz w:val="32"/>
          <w:szCs w:val="32"/>
          <w:highlight w:val="none"/>
        </w:rPr>
        <w:t>支</w:t>
      </w:r>
      <w:r>
        <w:rPr>
          <w:rStyle w:val="17"/>
          <w:rFonts w:hint="eastAsia" w:ascii="黑体" w:hAnsi="黑体" w:eastAsia="黑体" w:cs="黑体"/>
          <w:b w:val="0"/>
          <w:color w:val="auto"/>
          <w:sz w:val="32"/>
          <w:szCs w:val="32"/>
          <w:highlight w:val="none"/>
        </w:rPr>
        <w:t>出决算情况说明</w:t>
      </w:r>
      <w:bookmarkEnd w:id="42"/>
      <w:bookmarkEnd w:id="43"/>
      <w:bookmarkEnd w:id="44"/>
      <w:bookmarkEnd w:id="45"/>
    </w:p>
    <w:p>
      <w:pPr>
        <w:spacing w:line="600" w:lineRule="exact"/>
        <w:ind w:firstLine="640" w:firstLineChars="200"/>
        <w:outlineLvl w:val="1"/>
        <w:rPr>
          <w:rFonts w:hint="eastAsia" w:ascii="仿宋_GB2312" w:hAnsi="仿宋_GB2312" w:eastAsia="仿宋_GB2312" w:cs="仿宋_GB2312"/>
          <w:color w:val="auto"/>
          <w:sz w:val="32"/>
          <w:szCs w:val="32"/>
          <w:highlight w:val="none"/>
          <w:shd w:val="pct10" w:color="auto" w:fill="FFFFFF"/>
          <w:lang w:val="en-US" w:eastAsia="zh-CN"/>
        </w:rPr>
      </w:pPr>
      <w:bookmarkStart w:id="46" w:name="_Toc11926"/>
      <w:bookmarkStart w:id="47" w:name="_Toc7886"/>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年本年支出合计</w:t>
      </w:r>
      <w:r>
        <w:rPr>
          <w:rFonts w:hint="eastAsia" w:ascii="仿宋_GB2312" w:hAnsi="仿宋_GB2312" w:eastAsia="仿宋_GB2312" w:cs="仿宋_GB2312"/>
          <w:color w:val="auto"/>
          <w:sz w:val="32"/>
          <w:szCs w:val="32"/>
          <w:highlight w:val="none"/>
          <w:lang w:val="en-US" w:eastAsia="zh-CN"/>
        </w:rPr>
        <w:t>203.94</w:t>
      </w:r>
      <w:r>
        <w:rPr>
          <w:rFonts w:hint="eastAsia" w:ascii="仿宋_GB2312" w:hAnsi="仿宋_GB2312" w:eastAsia="仿宋_GB2312" w:cs="仿宋_GB2312"/>
          <w:color w:val="auto"/>
          <w:sz w:val="32"/>
          <w:szCs w:val="32"/>
          <w:highlight w:val="none"/>
        </w:rPr>
        <w:t>万元，其中：基本支出</w:t>
      </w:r>
      <w:r>
        <w:rPr>
          <w:rFonts w:hint="eastAsia" w:ascii="仿宋_GB2312" w:hAnsi="仿宋_GB2312" w:eastAsia="仿宋_GB2312" w:cs="仿宋_GB2312"/>
          <w:color w:val="auto"/>
          <w:sz w:val="32"/>
          <w:szCs w:val="32"/>
          <w:highlight w:val="none"/>
          <w:lang w:val="en-US" w:eastAsia="zh-CN"/>
        </w:rPr>
        <w:t>183.94</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90.2</w:t>
      </w:r>
      <w:r>
        <w:rPr>
          <w:rFonts w:hint="eastAsia" w:ascii="仿宋_GB2312" w:hAnsi="仿宋_GB2312" w:eastAsia="仿宋_GB2312" w:cs="仿宋_GB2312"/>
          <w:color w:val="auto"/>
          <w:sz w:val="32"/>
          <w:szCs w:val="32"/>
          <w:highlight w:val="none"/>
        </w:rPr>
        <w:t>%；项目支出</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9.8</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w:t>
      </w:r>
      <w:bookmarkEnd w:id="46"/>
      <w:bookmarkEnd w:id="47"/>
    </w:p>
    <w:p>
      <w:pPr>
        <w:spacing w:line="60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（图3：支出决算结构图）</w:t>
      </w:r>
    </w:p>
    <w:p>
      <w:pPr>
        <w:pStyle w:val="2"/>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sz w:val="32"/>
          <w:szCs w:val="32"/>
        </w:rPr>
        <w:drawing>
          <wp:inline distT="0" distB="0" distL="114300" distR="114300">
            <wp:extent cx="5143500" cy="2857500"/>
            <wp:effectExtent l="5080" t="4445" r="13970" b="14605"/>
            <wp:docPr id="6"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0" w:firstLineChars="200"/>
        <w:outlineLvl w:val="1"/>
        <w:rPr>
          <w:rStyle w:val="17"/>
          <w:rFonts w:hint="eastAsia" w:ascii="黑体" w:hAnsi="黑体" w:eastAsia="黑体" w:cs="黑体"/>
          <w:b w:val="0"/>
          <w:color w:val="auto"/>
          <w:sz w:val="32"/>
          <w:szCs w:val="32"/>
          <w:highlight w:val="none"/>
        </w:rPr>
      </w:pPr>
      <w:bookmarkStart w:id="48" w:name="_Toc7165"/>
      <w:bookmarkStart w:id="49" w:name="_Toc31225"/>
      <w:bookmarkStart w:id="50" w:name="_Toc15396606"/>
      <w:bookmarkStart w:id="51" w:name="_Toc15377208"/>
      <w:r>
        <w:rPr>
          <w:rFonts w:hint="eastAsia" w:ascii="黑体" w:hAnsi="黑体" w:eastAsia="黑体" w:cs="黑体"/>
          <w:color w:val="auto"/>
          <w:sz w:val="32"/>
          <w:szCs w:val="32"/>
          <w:highlight w:val="none"/>
        </w:rPr>
        <w:t>四、财</w:t>
      </w:r>
      <w:r>
        <w:rPr>
          <w:rStyle w:val="17"/>
          <w:rFonts w:hint="eastAsia" w:ascii="黑体" w:hAnsi="黑体" w:eastAsia="黑体" w:cs="黑体"/>
          <w:b w:val="0"/>
          <w:color w:val="auto"/>
          <w:sz w:val="32"/>
          <w:szCs w:val="32"/>
          <w:highlight w:val="none"/>
        </w:rPr>
        <w:t>政拨款收入支出决算总体情况说明</w:t>
      </w:r>
      <w:bookmarkEnd w:id="48"/>
      <w:bookmarkEnd w:id="49"/>
      <w:bookmarkEnd w:id="50"/>
      <w:bookmarkEnd w:id="51"/>
    </w:p>
    <w:p>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年财政拨款收、支总计</w:t>
      </w:r>
      <w:r>
        <w:rPr>
          <w:rFonts w:hint="eastAsia" w:ascii="仿宋_GB2312" w:hAnsi="仿宋_GB2312" w:eastAsia="仿宋_GB2312" w:cs="仿宋_GB2312"/>
          <w:color w:val="auto"/>
          <w:sz w:val="32"/>
          <w:szCs w:val="32"/>
          <w:highlight w:val="none"/>
          <w:lang w:val="en-US" w:eastAsia="zh-CN"/>
        </w:rPr>
        <w:t>203.94</w:t>
      </w:r>
      <w:r>
        <w:rPr>
          <w:rFonts w:hint="eastAsia" w:ascii="仿宋_GB2312" w:hAnsi="仿宋_GB2312" w:eastAsia="仿宋_GB2312" w:cs="仿宋_GB2312"/>
          <w:color w:val="auto"/>
          <w:sz w:val="32"/>
          <w:szCs w:val="32"/>
          <w:highlight w:val="none"/>
        </w:rPr>
        <w:t>万元。与20</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年相比，财政拨款收、支总计各增加</w:t>
      </w:r>
      <w:r>
        <w:rPr>
          <w:rFonts w:hint="eastAsia" w:ascii="仿宋_GB2312" w:hAnsi="仿宋_GB2312" w:eastAsia="仿宋_GB2312" w:cs="仿宋_GB2312"/>
          <w:color w:val="auto"/>
          <w:sz w:val="32"/>
          <w:szCs w:val="32"/>
          <w:highlight w:val="none"/>
          <w:lang w:val="en-US" w:eastAsia="zh-CN"/>
        </w:rPr>
        <w:t>68.1</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50.13</w:t>
      </w:r>
      <w:r>
        <w:rPr>
          <w:rFonts w:hint="eastAsia" w:ascii="仿宋_GB2312" w:hAnsi="仿宋_GB2312" w:eastAsia="仿宋_GB2312" w:cs="仿宋_GB2312"/>
          <w:color w:val="auto"/>
          <w:sz w:val="32"/>
          <w:szCs w:val="32"/>
          <w:highlight w:val="none"/>
        </w:rPr>
        <w:t>%。主要变动原因是</w:t>
      </w:r>
      <w:r>
        <w:rPr>
          <w:rFonts w:hint="eastAsia" w:ascii="仿宋_GB2312" w:hAnsi="仿宋_GB2312" w:eastAsia="仿宋_GB2312" w:cs="仿宋_GB2312"/>
          <w:color w:val="auto"/>
          <w:sz w:val="32"/>
          <w:szCs w:val="32"/>
          <w:highlight w:val="none"/>
          <w:lang w:eastAsia="zh-CN"/>
        </w:rPr>
        <w:t>人员经费增加。</w:t>
      </w:r>
    </w:p>
    <w:p>
      <w:pPr>
        <w:spacing w:line="600" w:lineRule="exact"/>
        <w:jc w:val="center"/>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rPr>
        <w:t>（图4：财政拨款收、支决算总计变动情况）</w:t>
      </w:r>
    </w:p>
    <w:p>
      <w:pPr>
        <w:pStyle w:val="2"/>
        <w:jc w:val="center"/>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sz w:val="32"/>
          <w:szCs w:val="32"/>
        </w:rPr>
        <w:drawing>
          <wp:inline distT="0" distB="0" distL="114300" distR="114300">
            <wp:extent cx="4878070" cy="2160270"/>
            <wp:effectExtent l="4445" t="4445" r="13335" b="6985"/>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firstLineChars="200"/>
        <w:outlineLvl w:val="1"/>
        <w:rPr>
          <w:rStyle w:val="17"/>
          <w:rFonts w:hint="eastAsia" w:ascii="黑体" w:hAnsi="黑体" w:eastAsia="黑体" w:cs="黑体"/>
          <w:b w:val="0"/>
          <w:color w:val="auto"/>
          <w:sz w:val="32"/>
          <w:szCs w:val="32"/>
          <w:highlight w:val="none"/>
        </w:rPr>
      </w:pPr>
      <w:bookmarkStart w:id="52" w:name="_Toc10637"/>
      <w:bookmarkStart w:id="53" w:name="_Toc15377209"/>
      <w:bookmarkStart w:id="54" w:name="_Toc15396607"/>
      <w:bookmarkStart w:id="55" w:name="_Toc5733"/>
      <w:r>
        <w:rPr>
          <w:rFonts w:hint="eastAsia" w:ascii="黑体" w:hAnsi="黑体" w:eastAsia="黑体" w:cs="黑体"/>
          <w:color w:val="auto"/>
          <w:sz w:val="32"/>
          <w:szCs w:val="32"/>
          <w:highlight w:val="none"/>
        </w:rPr>
        <w:t>五、</w:t>
      </w:r>
      <w:r>
        <w:rPr>
          <w:rFonts w:hint="eastAsia" w:ascii="黑体" w:hAnsi="黑体" w:eastAsia="黑体" w:cs="黑体"/>
          <w:b/>
          <w:color w:val="auto"/>
          <w:sz w:val="32"/>
          <w:szCs w:val="32"/>
          <w:highlight w:val="none"/>
        </w:rPr>
        <w:t>一</w:t>
      </w:r>
      <w:r>
        <w:rPr>
          <w:rStyle w:val="17"/>
          <w:rFonts w:hint="eastAsia" w:ascii="黑体" w:hAnsi="黑体" w:eastAsia="黑体" w:cs="黑体"/>
          <w:b w:val="0"/>
          <w:color w:val="auto"/>
          <w:sz w:val="32"/>
          <w:szCs w:val="32"/>
          <w:highlight w:val="none"/>
        </w:rPr>
        <w:t>般公共预算财政拨款支出决算情况说明</w:t>
      </w:r>
      <w:bookmarkEnd w:id="52"/>
      <w:bookmarkEnd w:id="53"/>
      <w:bookmarkEnd w:id="54"/>
      <w:bookmarkEnd w:id="55"/>
    </w:p>
    <w:p>
      <w:pPr>
        <w:spacing w:line="600" w:lineRule="exact"/>
        <w:ind w:firstLine="640" w:firstLineChars="200"/>
        <w:outlineLvl w:val="2"/>
        <w:rPr>
          <w:rFonts w:hint="eastAsia" w:ascii="仿宋_GB2312" w:hAnsi="仿宋_GB2312" w:eastAsia="仿宋_GB2312" w:cs="仿宋_GB2312"/>
          <w:b w:val="0"/>
          <w:bCs/>
          <w:color w:val="auto"/>
          <w:sz w:val="32"/>
          <w:szCs w:val="32"/>
          <w:highlight w:val="none"/>
        </w:rPr>
      </w:pPr>
      <w:bookmarkStart w:id="56" w:name="_Toc15377210"/>
      <w:r>
        <w:rPr>
          <w:rFonts w:hint="eastAsia" w:ascii="仿宋_GB2312" w:hAnsi="仿宋_GB2312" w:eastAsia="仿宋_GB2312" w:cs="仿宋_GB2312"/>
          <w:b w:val="0"/>
          <w:bCs/>
          <w:color w:val="auto"/>
          <w:sz w:val="32"/>
          <w:szCs w:val="32"/>
          <w:highlight w:val="none"/>
        </w:rPr>
        <w:t>（一）一般公共预算财政拨款支出决算总体情况</w:t>
      </w:r>
      <w:bookmarkEnd w:id="56"/>
    </w:p>
    <w:p>
      <w:pPr>
        <w:spacing w:line="60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年一般公共预算财政拨款支出</w:t>
      </w:r>
      <w:r>
        <w:rPr>
          <w:rFonts w:hint="eastAsia" w:ascii="仿宋_GB2312" w:hAnsi="仿宋_GB2312" w:eastAsia="仿宋_GB2312" w:cs="仿宋_GB2312"/>
          <w:color w:val="auto"/>
          <w:sz w:val="32"/>
          <w:szCs w:val="32"/>
          <w:highlight w:val="none"/>
          <w:lang w:val="en-US" w:eastAsia="zh-CN"/>
        </w:rPr>
        <w:t>203.94</w:t>
      </w:r>
      <w:r>
        <w:rPr>
          <w:rFonts w:hint="eastAsia" w:ascii="仿宋_GB2312" w:hAnsi="仿宋_GB2312" w:eastAsia="仿宋_GB2312" w:cs="仿宋_GB2312"/>
          <w:color w:val="auto"/>
          <w:sz w:val="32"/>
          <w:szCs w:val="32"/>
          <w:highlight w:val="none"/>
        </w:rPr>
        <w:t>万元，占本年支出合计的</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%。与20</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年相比，一般公共预算财政拨款</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rPr>
        <w:t>增加</w:t>
      </w:r>
      <w:r>
        <w:rPr>
          <w:rFonts w:hint="eastAsia" w:ascii="仿宋_GB2312" w:hAnsi="仿宋_GB2312" w:eastAsia="仿宋_GB2312" w:cs="仿宋_GB2312"/>
          <w:color w:val="auto"/>
          <w:sz w:val="32"/>
          <w:szCs w:val="32"/>
          <w:highlight w:val="none"/>
          <w:lang w:val="en-US" w:eastAsia="zh-CN"/>
        </w:rPr>
        <w:t>68.15</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50.18</w:t>
      </w:r>
      <w:r>
        <w:rPr>
          <w:rFonts w:hint="eastAsia" w:ascii="仿宋_GB2312" w:hAnsi="仿宋_GB2312" w:eastAsia="仿宋_GB2312" w:cs="仿宋_GB2312"/>
          <w:color w:val="auto"/>
          <w:sz w:val="32"/>
          <w:szCs w:val="32"/>
          <w:highlight w:val="none"/>
        </w:rPr>
        <w:t>%。主要变动原因是</w:t>
      </w:r>
      <w:r>
        <w:rPr>
          <w:rFonts w:hint="eastAsia" w:ascii="仿宋_GB2312" w:hAnsi="仿宋_GB2312" w:eastAsia="仿宋_GB2312" w:cs="仿宋_GB2312"/>
          <w:color w:val="auto"/>
          <w:sz w:val="32"/>
          <w:szCs w:val="32"/>
          <w:highlight w:val="none"/>
          <w:lang w:eastAsia="zh-CN"/>
        </w:rPr>
        <w:t>人员经费支出增加。</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（图5：一般公共预算财政拨款支出决算变动情况）</w:t>
      </w:r>
    </w:p>
    <w:p>
      <w:pPr>
        <w:pStyle w:val="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sz w:val="32"/>
          <w:szCs w:val="32"/>
        </w:rPr>
        <w:drawing>
          <wp:inline distT="0" distB="0" distL="114300" distR="114300">
            <wp:extent cx="5269230" cy="3173730"/>
            <wp:effectExtent l="4445" t="4445" r="22225" b="22225"/>
            <wp:docPr id="8"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outlineLvl w:val="2"/>
        <w:rPr>
          <w:rFonts w:hint="eastAsia" w:ascii="黑体" w:hAnsi="黑体" w:eastAsia="黑体" w:cs="黑体"/>
          <w:b w:val="0"/>
          <w:bCs/>
          <w:color w:val="auto"/>
          <w:sz w:val="32"/>
          <w:szCs w:val="32"/>
          <w:highlight w:val="none"/>
        </w:rPr>
      </w:pPr>
      <w:bookmarkStart w:id="57" w:name="_Toc15377211"/>
      <w:r>
        <w:rPr>
          <w:rFonts w:hint="eastAsia" w:ascii="黑体" w:hAnsi="黑体" w:eastAsia="黑体" w:cs="黑体"/>
          <w:b w:val="0"/>
          <w:bCs/>
          <w:color w:val="auto"/>
          <w:sz w:val="32"/>
          <w:szCs w:val="32"/>
          <w:highlight w:val="none"/>
        </w:rPr>
        <w:t>（二）一般公共预算财政拨款支出决算结构情况</w:t>
      </w:r>
      <w:bookmarkEnd w:id="57"/>
    </w:p>
    <w:p>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val="0"/>
          <w:bCs w:val="0"/>
          <w:color w:val="auto"/>
          <w:sz w:val="32"/>
          <w:szCs w:val="32"/>
          <w:highlight w:val="none"/>
        </w:rPr>
        <w:t>20</w:t>
      </w:r>
      <w:r>
        <w:rPr>
          <w:rFonts w:hint="eastAsia" w:ascii="仿宋_GB2312" w:hAnsi="仿宋_GB2312" w:eastAsia="仿宋_GB2312" w:cs="仿宋_GB2312"/>
          <w:b w:val="0"/>
          <w:bCs w:val="0"/>
          <w:color w:val="auto"/>
          <w:sz w:val="32"/>
          <w:szCs w:val="32"/>
          <w:highlight w:val="none"/>
          <w:lang w:val="en-US" w:eastAsia="zh-CN"/>
        </w:rPr>
        <w:t>22</w:t>
      </w:r>
      <w:r>
        <w:rPr>
          <w:rFonts w:hint="eastAsia" w:ascii="仿宋_GB2312" w:hAnsi="仿宋_GB2312" w:eastAsia="仿宋_GB2312" w:cs="仿宋_GB2312"/>
          <w:b w:val="0"/>
          <w:bCs w:val="0"/>
          <w:color w:val="auto"/>
          <w:sz w:val="32"/>
          <w:szCs w:val="32"/>
          <w:highlight w:val="none"/>
        </w:rPr>
        <w:t>年一般公共预算财政拨款支出</w:t>
      </w:r>
      <w:r>
        <w:rPr>
          <w:rFonts w:hint="eastAsia" w:ascii="仿宋_GB2312" w:hAnsi="仿宋_GB2312" w:eastAsia="仿宋_GB2312" w:cs="仿宋_GB2312"/>
          <w:b w:val="0"/>
          <w:bCs w:val="0"/>
          <w:color w:val="auto"/>
          <w:sz w:val="32"/>
          <w:szCs w:val="32"/>
          <w:highlight w:val="none"/>
          <w:lang w:val="en-US" w:eastAsia="zh-CN"/>
        </w:rPr>
        <w:t>203.94</w:t>
      </w:r>
      <w:r>
        <w:rPr>
          <w:rFonts w:hint="eastAsia" w:ascii="仿宋_GB2312" w:hAnsi="仿宋_GB2312" w:eastAsia="仿宋_GB2312" w:cs="仿宋_GB2312"/>
          <w:b w:val="0"/>
          <w:bCs w:val="0"/>
          <w:color w:val="auto"/>
          <w:sz w:val="32"/>
          <w:szCs w:val="32"/>
          <w:highlight w:val="none"/>
        </w:rPr>
        <w:t>万元，主要用于以下方面:一般公共服务支出</w:t>
      </w:r>
      <w:r>
        <w:rPr>
          <w:rFonts w:hint="eastAsia" w:ascii="仿宋_GB2312" w:hAnsi="仿宋_GB2312" w:eastAsia="仿宋_GB2312" w:cs="仿宋_GB2312"/>
          <w:b w:val="0"/>
          <w:bCs w:val="0"/>
          <w:color w:val="auto"/>
          <w:sz w:val="32"/>
          <w:szCs w:val="32"/>
          <w:highlight w:val="none"/>
          <w:lang w:val="en-US" w:eastAsia="zh-CN"/>
        </w:rPr>
        <w:t>170.28</w:t>
      </w:r>
      <w:r>
        <w:rPr>
          <w:rFonts w:hint="eastAsia" w:ascii="仿宋_GB2312" w:hAnsi="仿宋_GB2312" w:eastAsia="仿宋_GB2312" w:cs="仿宋_GB2312"/>
          <w:b w:val="0"/>
          <w:bCs w:val="0"/>
          <w:color w:val="auto"/>
          <w:sz w:val="32"/>
          <w:szCs w:val="32"/>
          <w:highlight w:val="none"/>
        </w:rPr>
        <w:t>万元，占</w:t>
      </w:r>
      <w:r>
        <w:rPr>
          <w:rFonts w:hint="eastAsia" w:ascii="仿宋_GB2312" w:hAnsi="仿宋_GB2312" w:eastAsia="仿宋_GB2312" w:cs="仿宋_GB2312"/>
          <w:b w:val="0"/>
          <w:bCs w:val="0"/>
          <w:color w:val="auto"/>
          <w:sz w:val="32"/>
          <w:szCs w:val="32"/>
          <w:highlight w:val="none"/>
          <w:lang w:val="en-US" w:eastAsia="zh-CN"/>
        </w:rPr>
        <w:t>83.49</w:t>
      </w:r>
      <w:r>
        <w:rPr>
          <w:rFonts w:hint="eastAsia" w:ascii="仿宋_GB2312" w:hAnsi="仿宋_GB2312" w:eastAsia="仿宋_GB2312" w:cs="仿宋_GB2312"/>
          <w:b w:val="0"/>
          <w:bCs w:val="0"/>
          <w:color w:val="auto"/>
          <w:sz w:val="32"/>
          <w:szCs w:val="32"/>
          <w:highlight w:val="none"/>
        </w:rPr>
        <w:t>%；社会保障和就业支出</w:t>
      </w:r>
      <w:r>
        <w:rPr>
          <w:rFonts w:hint="eastAsia" w:ascii="仿宋_GB2312" w:hAnsi="仿宋_GB2312" w:eastAsia="仿宋_GB2312" w:cs="仿宋_GB2312"/>
          <w:b w:val="0"/>
          <w:bCs w:val="0"/>
          <w:color w:val="auto"/>
          <w:sz w:val="32"/>
          <w:szCs w:val="32"/>
          <w:highlight w:val="none"/>
          <w:lang w:val="en-US" w:eastAsia="zh-CN"/>
        </w:rPr>
        <w:t>14.92</w:t>
      </w:r>
      <w:r>
        <w:rPr>
          <w:rFonts w:hint="eastAsia" w:ascii="仿宋_GB2312" w:hAnsi="仿宋_GB2312" w:eastAsia="仿宋_GB2312" w:cs="仿宋_GB2312"/>
          <w:b w:val="0"/>
          <w:bCs w:val="0"/>
          <w:color w:val="auto"/>
          <w:sz w:val="32"/>
          <w:szCs w:val="32"/>
          <w:highlight w:val="none"/>
        </w:rPr>
        <w:t>万元，占</w:t>
      </w:r>
      <w:r>
        <w:rPr>
          <w:rFonts w:hint="eastAsia" w:ascii="仿宋_GB2312" w:hAnsi="仿宋_GB2312" w:eastAsia="仿宋_GB2312" w:cs="仿宋_GB2312"/>
          <w:b w:val="0"/>
          <w:bCs w:val="0"/>
          <w:color w:val="auto"/>
          <w:sz w:val="32"/>
          <w:szCs w:val="32"/>
          <w:highlight w:val="none"/>
          <w:lang w:val="en-US" w:eastAsia="zh-CN"/>
        </w:rPr>
        <w:t>7.32</w:t>
      </w:r>
      <w:r>
        <w:rPr>
          <w:rFonts w:hint="eastAsia" w:ascii="仿宋_GB2312" w:hAnsi="仿宋_GB2312" w:eastAsia="仿宋_GB2312" w:cs="仿宋_GB2312"/>
          <w:b w:val="0"/>
          <w:bCs w:val="0"/>
          <w:color w:val="auto"/>
          <w:sz w:val="32"/>
          <w:szCs w:val="32"/>
          <w:highlight w:val="none"/>
        </w:rPr>
        <w:t>%；卫生健康支出</w:t>
      </w:r>
      <w:r>
        <w:rPr>
          <w:rFonts w:hint="eastAsia" w:ascii="仿宋_GB2312" w:hAnsi="仿宋_GB2312" w:eastAsia="仿宋_GB2312" w:cs="仿宋_GB2312"/>
          <w:b w:val="0"/>
          <w:bCs w:val="0"/>
          <w:color w:val="auto"/>
          <w:sz w:val="32"/>
          <w:szCs w:val="32"/>
          <w:highlight w:val="none"/>
          <w:lang w:val="en-US" w:eastAsia="zh-CN"/>
        </w:rPr>
        <w:t>5.64</w:t>
      </w:r>
      <w:r>
        <w:rPr>
          <w:rFonts w:hint="eastAsia" w:ascii="仿宋_GB2312" w:hAnsi="仿宋_GB2312" w:eastAsia="仿宋_GB2312" w:cs="仿宋_GB2312"/>
          <w:b w:val="0"/>
          <w:bCs w:val="0"/>
          <w:color w:val="auto"/>
          <w:sz w:val="32"/>
          <w:szCs w:val="32"/>
          <w:highlight w:val="none"/>
        </w:rPr>
        <w:t>万元，占</w:t>
      </w:r>
      <w:r>
        <w:rPr>
          <w:rFonts w:hint="eastAsia" w:ascii="仿宋_GB2312" w:hAnsi="仿宋_GB2312" w:eastAsia="仿宋_GB2312" w:cs="仿宋_GB2312"/>
          <w:b w:val="0"/>
          <w:bCs w:val="0"/>
          <w:color w:val="auto"/>
          <w:sz w:val="32"/>
          <w:szCs w:val="32"/>
          <w:highlight w:val="none"/>
          <w:lang w:val="en-US" w:eastAsia="zh-CN"/>
        </w:rPr>
        <w:t>2.77</w:t>
      </w:r>
      <w:r>
        <w:rPr>
          <w:rFonts w:hint="eastAsia" w:ascii="仿宋_GB2312" w:hAnsi="仿宋_GB2312" w:eastAsia="仿宋_GB2312" w:cs="仿宋_GB2312"/>
          <w:b w:val="0"/>
          <w:bCs w:val="0"/>
          <w:color w:val="auto"/>
          <w:sz w:val="32"/>
          <w:szCs w:val="32"/>
          <w:highlight w:val="none"/>
        </w:rPr>
        <w:t>%；住房保障支出</w:t>
      </w:r>
      <w:r>
        <w:rPr>
          <w:rFonts w:hint="eastAsia" w:ascii="仿宋_GB2312" w:hAnsi="仿宋_GB2312" w:eastAsia="仿宋_GB2312" w:cs="仿宋_GB2312"/>
          <w:b w:val="0"/>
          <w:bCs w:val="0"/>
          <w:color w:val="auto"/>
          <w:sz w:val="32"/>
          <w:szCs w:val="32"/>
          <w:highlight w:val="none"/>
          <w:lang w:val="en-US" w:eastAsia="zh-CN"/>
        </w:rPr>
        <w:t>13.09</w:t>
      </w:r>
      <w:r>
        <w:rPr>
          <w:rFonts w:hint="eastAsia" w:ascii="仿宋_GB2312" w:hAnsi="仿宋_GB2312" w:eastAsia="仿宋_GB2312" w:cs="仿宋_GB2312"/>
          <w:b w:val="0"/>
          <w:bCs w:val="0"/>
          <w:color w:val="auto"/>
          <w:sz w:val="32"/>
          <w:szCs w:val="32"/>
          <w:highlight w:val="none"/>
        </w:rPr>
        <w:t>万元，占</w:t>
      </w:r>
      <w:r>
        <w:rPr>
          <w:rFonts w:hint="eastAsia" w:ascii="仿宋_GB2312" w:hAnsi="仿宋_GB2312" w:eastAsia="仿宋_GB2312" w:cs="仿宋_GB2312"/>
          <w:b w:val="0"/>
          <w:bCs w:val="0"/>
          <w:color w:val="auto"/>
          <w:sz w:val="32"/>
          <w:szCs w:val="32"/>
          <w:highlight w:val="none"/>
          <w:lang w:val="en-US" w:eastAsia="zh-CN"/>
        </w:rPr>
        <w:t>6.42</w:t>
      </w:r>
      <w:r>
        <w:rPr>
          <w:rFonts w:hint="eastAsia" w:ascii="仿宋_GB2312" w:hAnsi="仿宋_GB2312" w:eastAsia="仿宋_GB2312" w:cs="仿宋_GB2312"/>
          <w:b w:val="0"/>
          <w:bCs w:val="0"/>
          <w:color w:val="auto"/>
          <w:sz w:val="32"/>
          <w:szCs w:val="32"/>
          <w:highlight w:val="none"/>
        </w:rPr>
        <w:t>%。</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（图6：一般公共预算财政拨款支出决算结构）</w:t>
      </w:r>
    </w:p>
    <w:p>
      <w:pPr>
        <w:pStyle w:val="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sz w:val="32"/>
          <w:szCs w:val="32"/>
        </w:rPr>
        <w:drawing>
          <wp:inline distT="0" distB="0" distL="114300" distR="114300">
            <wp:extent cx="5269230" cy="2860675"/>
            <wp:effectExtent l="4445" t="4445" r="22225" b="11430"/>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firstLineChars="200"/>
        <w:outlineLvl w:val="2"/>
        <w:rPr>
          <w:rFonts w:hint="eastAsia" w:ascii="仿宋_GB2312" w:hAnsi="仿宋_GB2312" w:eastAsia="仿宋_GB2312" w:cs="仿宋_GB2312"/>
          <w:b w:val="0"/>
          <w:bCs/>
          <w:color w:val="auto"/>
          <w:sz w:val="32"/>
          <w:szCs w:val="32"/>
          <w:highlight w:val="none"/>
        </w:rPr>
      </w:pPr>
      <w:bookmarkStart w:id="58" w:name="_Toc15377212"/>
      <w:r>
        <w:rPr>
          <w:rFonts w:hint="eastAsia" w:ascii="仿宋_GB2312" w:hAnsi="仿宋_GB2312" w:eastAsia="仿宋_GB2312" w:cs="仿宋_GB2312"/>
          <w:b w:val="0"/>
          <w:bCs/>
          <w:color w:val="auto"/>
          <w:sz w:val="32"/>
          <w:szCs w:val="32"/>
          <w:highlight w:val="none"/>
        </w:rPr>
        <w:t>（三）一般公共预算财政拨款支出决算具体情况</w:t>
      </w:r>
      <w:bookmarkEnd w:id="58"/>
    </w:p>
    <w:p>
      <w:pPr>
        <w:spacing w:line="600" w:lineRule="exact"/>
        <w:ind w:firstLine="640" w:firstLineChars="200"/>
        <w:rPr>
          <w:rStyle w:val="14"/>
          <w:rFonts w:hint="eastAsia" w:ascii="仿宋_GB2312" w:hAnsi="仿宋_GB2312" w:eastAsia="仿宋_GB2312" w:cs="仿宋_GB2312"/>
          <w:b w:val="0"/>
          <w:bCs/>
          <w:color w:val="auto"/>
          <w:sz w:val="32"/>
          <w:szCs w:val="32"/>
          <w:highlight w:val="none"/>
        </w:rPr>
      </w:pPr>
      <w:bookmarkStart w:id="59" w:name="_Toc15377444"/>
      <w:bookmarkStart w:id="60" w:name="_Toc15378460"/>
      <w:bookmarkStart w:id="61" w:name="_Toc15377213"/>
      <w:r>
        <w:rPr>
          <w:rStyle w:val="14"/>
          <w:rFonts w:hint="eastAsia" w:ascii="仿宋_GB2312" w:hAnsi="仿宋_GB2312" w:eastAsia="仿宋_GB2312" w:cs="仿宋_GB2312"/>
          <w:b w:val="0"/>
          <w:bCs/>
          <w:color w:val="auto"/>
          <w:sz w:val="32"/>
          <w:szCs w:val="32"/>
          <w:highlight w:val="none"/>
        </w:rPr>
        <w:t>20</w:t>
      </w:r>
      <w:r>
        <w:rPr>
          <w:rStyle w:val="14"/>
          <w:rFonts w:hint="eastAsia" w:ascii="仿宋_GB2312" w:hAnsi="仿宋_GB2312" w:eastAsia="仿宋_GB2312" w:cs="仿宋_GB2312"/>
          <w:b w:val="0"/>
          <w:bCs/>
          <w:color w:val="auto"/>
          <w:sz w:val="32"/>
          <w:szCs w:val="32"/>
          <w:highlight w:val="none"/>
          <w:lang w:val="en-US" w:eastAsia="zh-CN"/>
        </w:rPr>
        <w:t>22</w:t>
      </w:r>
      <w:r>
        <w:rPr>
          <w:rStyle w:val="14"/>
          <w:rFonts w:hint="eastAsia" w:ascii="仿宋_GB2312" w:hAnsi="仿宋_GB2312" w:eastAsia="仿宋_GB2312" w:cs="仿宋_GB2312"/>
          <w:b w:val="0"/>
          <w:bCs/>
          <w:color w:val="auto"/>
          <w:sz w:val="32"/>
          <w:szCs w:val="32"/>
          <w:highlight w:val="none"/>
        </w:rPr>
        <w:t>年</w:t>
      </w:r>
      <w:r>
        <w:rPr>
          <w:rStyle w:val="14"/>
          <w:rFonts w:hint="eastAsia" w:ascii="仿宋_GB2312" w:hAnsi="仿宋_GB2312" w:eastAsia="仿宋_GB2312" w:cs="仿宋_GB2312"/>
          <w:b w:val="0"/>
          <w:bCs/>
          <w:color w:val="auto"/>
          <w:sz w:val="32"/>
          <w:szCs w:val="32"/>
          <w:highlight w:val="none"/>
          <w:lang w:eastAsia="zh-CN"/>
        </w:rPr>
        <w:t>一</w:t>
      </w:r>
      <w:r>
        <w:rPr>
          <w:rStyle w:val="14"/>
          <w:rFonts w:hint="eastAsia" w:ascii="仿宋_GB2312" w:hAnsi="仿宋_GB2312" w:eastAsia="仿宋_GB2312" w:cs="仿宋_GB2312"/>
          <w:b w:val="0"/>
          <w:bCs/>
          <w:color w:val="auto"/>
          <w:sz w:val="32"/>
          <w:szCs w:val="32"/>
          <w:highlight w:val="none"/>
        </w:rPr>
        <w:t>般公共预算支出决算数为</w:t>
      </w:r>
      <w:r>
        <w:rPr>
          <w:rStyle w:val="14"/>
          <w:rFonts w:hint="eastAsia" w:ascii="仿宋_GB2312" w:hAnsi="仿宋_GB2312" w:eastAsia="仿宋_GB2312" w:cs="仿宋_GB2312"/>
          <w:b w:val="0"/>
          <w:bCs/>
          <w:color w:val="auto"/>
          <w:sz w:val="32"/>
          <w:szCs w:val="32"/>
          <w:highlight w:val="none"/>
          <w:lang w:val="en-US" w:eastAsia="zh-CN"/>
        </w:rPr>
        <w:t>203.94万元</w:t>
      </w:r>
      <w:r>
        <w:rPr>
          <w:rStyle w:val="14"/>
          <w:rFonts w:hint="eastAsia" w:ascii="仿宋_GB2312" w:hAnsi="仿宋_GB2312" w:eastAsia="仿宋_GB2312" w:cs="仿宋_GB2312"/>
          <w:b w:val="0"/>
          <w:bCs/>
          <w:color w:val="auto"/>
          <w:sz w:val="32"/>
          <w:szCs w:val="32"/>
          <w:highlight w:val="none"/>
        </w:rPr>
        <w:t>，完成预算</w:t>
      </w:r>
      <w:r>
        <w:rPr>
          <w:rStyle w:val="14"/>
          <w:rFonts w:hint="eastAsia" w:ascii="仿宋_GB2312" w:hAnsi="仿宋_GB2312" w:eastAsia="仿宋_GB2312" w:cs="仿宋_GB2312"/>
          <w:b w:val="0"/>
          <w:bCs/>
          <w:color w:val="auto"/>
          <w:sz w:val="32"/>
          <w:szCs w:val="32"/>
          <w:highlight w:val="none"/>
          <w:lang w:val="en-US" w:eastAsia="zh-CN"/>
        </w:rPr>
        <w:t>100</w:t>
      </w:r>
      <w:r>
        <w:rPr>
          <w:rStyle w:val="14"/>
          <w:rFonts w:hint="eastAsia" w:ascii="仿宋_GB2312" w:hAnsi="仿宋_GB2312" w:eastAsia="仿宋_GB2312" w:cs="仿宋_GB2312"/>
          <w:b w:val="0"/>
          <w:bCs/>
          <w:color w:val="auto"/>
          <w:sz w:val="32"/>
          <w:szCs w:val="32"/>
          <w:highlight w:val="none"/>
        </w:rPr>
        <w:t>%。其中：</w:t>
      </w:r>
      <w:bookmarkEnd w:id="59"/>
      <w:bookmarkEnd w:id="60"/>
      <w:bookmarkEnd w:id="61"/>
    </w:p>
    <w:p>
      <w:pPr>
        <w:spacing w:line="600" w:lineRule="exact"/>
        <w:ind w:firstLine="640" w:firstLineChars="200"/>
        <w:rPr>
          <w:rStyle w:val="14"/>
          <w:rFonts w:hint="eastAsia" w:ascii="仿宋_GB2312" w:hAnsi="仿宋_GB2312" w:eastAsia="仿宋_GB2312" w:cs="仿宋_GB2312"/>
          <w:b w:val="0"/>
          <w:bCs/>
          <w:color w:val="auto"/>
          <w:sz w:val="32"/>
          <w:szCs w:val="32"/>
          <w:highlight w:val="none"/>
          <w:lang w:val="en-US" w:eastAsia="zh-CN"/>
        </w:rPr>
      </w:pPr>
      <w:r>
        <w:rPr>
          <w:rStyle w:val="14"/>
          <w:rFonts w:hint="eastAsia" w:ascii="仿宋_GB2312" w:hAnsi="仿宋_GB2312" w:eastAsia="仿宋_GB2312" w:cs="仿宋_GB2312"/>
          <w:b w:val="0"/>
          <w:bCs/>
          <w:color w:val="auto"/>
          <w:sz w:val="32"/>
          <w:szCs w:val="32"/>
          <w:highlight w:val="none"/>
          <w:lang w:val="en-US" w:eastAsia="zh-CN"/>
        </w:rPr>
        <w:t>1.一般公共服务（类）</w:t>
      </w:r>
      <w:r>
        <w:rPr>
          <w:rStyle w:val="14"/>
          <w:rFonts w:hint="eastAsia" w:ascii="仿宋_GB2312" w:hAnsi="仿宋_GB2312" w:eastAsia="仿宋_GB2312" w:cs="仿宋_GB2312"/>
          <w:b w:val="0"/>
          <w:bCs/>
          <w:color w:val="auto"/>
          <w:sz w:val="32"/>
          <w:szCs w:val="32"/>
          <w:highlight w:val="none"/>
        </w:rPr>
        <w:t>政府办公厅（室）及相关机构事务</w:t>
      </w:r>
      <w:r>
        <w:rPr>
          <w:rStyle w:val="14"/>
          <w:rFonts w:hint="eastAsia" w:ascii="仿宋_GB2312" w:hAnsi="仿宋_GB2312" w:eastAsia="仿宋_GB2312" w:cs="仿宋_GB2312"/>
          <w:b w:val="0"/>
          <w:bCs/>
          <w:color w:val="auto"/>
          <w:sz w:val="32"/>
          <w:szCs w:val="32"/>
          <w:highlight w:val="none"/>
          <w:lang w:val="en-US" w:eastAsia="zh-CN"/>
        </w:rPr>
        <w:t>（款）信访事务（项）: 支出决算为20万元，完成预算100%。</w:t>
      </w:r>
    </w:p>
    <w:p>
      <w:pPr>
        <w:spacing w:line="600" w:lineRule="exact"/>
        <w:ind w:firstLine="640" w:firstLineChars="200"/>
        <w:rPr>
          <w:rStyle w:val="14"/>
          <w:rFonts w:hint="eastAsia" w:ascii="仿宋_GB2312" w:hAnsi="仿宋_GB2312" w:eastAsia="仿宋_GB2312" w:cs="仿宋_GB2312"/>
          <w:b w:val="0"/>
          <w:bCs/>
          <w:color w:val="auto"/>
          <w:sz w:val="32"/>
          <w:szCs w:val="32"/>
          <w:highlight w:val="none"/>
          <w:lang w:val="en-US" w:eastAsia="zh-CN"/>
        </w:rPr>
      </w:pPr>
      <w:r>
        <w:rPr>
          <w:rStyle w:val="14"/>
          <w:rFonts w:hint="eastAsia" w:ascii="仿宋_GB2312" w:hAnsi="仿宋_GB2312" w:eastAsia="仿宋_GB2312" w:cs="仿宋_GB2312"/>
          <w:b w:val="0"/>
          <w:bCs/>
          <w:color w:val="auto"/>
          <w:sz w:val="32"/>
          <w:szCs w:val="32"/>
          <w:highlight w:val="none"/>
          <w:lang w:val="en-US" w:eastAsia="zh-CN"/>
        </w:rPr>
        <w:t>2.一般公共服务（类）政府办公厅（室）及相关机构事务（款）事业运行（项）: 支出决算为150.28万元，完成预算100%。</w:t>
      </w:r>
    </w:p>
    <w:p>
      <w:pPr>
        <w:spacing w:line="600" w:lineRule="exact"/>
        <w:ind w:firstLine="640" w:firstLineChars="200"/>
        <w:rPr>
          <w:rStyle w:val="14"/>
          <w:rFonts w:hint="eastAsia" w:ascii="仿宋_GB2312" w:hAnsi="仿宋_GB2312" w:eastAsia="仿宋_GB2312" w:cs="仿宋_GB2312"/>
          <w:b w:val="0"/>
          <w:bCs/>
          <w:color w:val="auto"/>
          <w:sz w:val="32"/>
          <w:szCs w:val="32"/>
          <w:highlight w:val="none"/>
        </w:rPr>
      </w:pPr>
      <w:r>
        <w:rPr>
          <w:rStyle w:val="14"/>
          <w:rFonts w:hint="eastAsia" w:ascii="仿宋_GB2312" w:hAnsi="仿宋_GB2312" w:eastAsia="仿宋_GB2312" w:cs="仿宋_GB2312"/>
          <w:b w:val="0"/>
          <w:bCs/>
          <w:color w:val="auto"/>
          <w:sz w:val="32"/>
          <w:szCs w:val="32"/>
          <w:highlight w:val="none"/>
          <w:lang w:val="en-US" w:eastAsia="zh-CN"/>
        </w:rPr>
        <w:t>3</w:t>
      </w:r>
      <w:r>
        <w:rPr>
          <w:rStyle w:val="14"/>
          <w:rFonts w:hint="eastAsia" w:ascii="仿宋_GB2312" w:hAnsi="仿宋_GB2312" w:eastAsia="仿宋_GB2312" w:cs="仿宋_GB2312"/>
          <w:b w:val="0"/>
          <w:bCs/>
          <w:color w:val="auto"/>
          <w:sz w:val="32"/>
          <w:szCs w:val="32"/>
          <w:highlight w:val="none"/>
        </w:rPr>
        <w:t>.社会保障和就业（类）行政事业单位养老支出（款）机关事业单位基本养老保险缴费支出（项）: 支出决算为</w:t>
      </w:r>
      <w:r>
        <w:rPr>
          <w:rStyle w:val="14"/>
          <w:rFonts w:hint="eastAsia" w:ascii="仿宋_GB2312" w:hAnsi="仿宋_GB2312" w:eastAsia="仿宋_GB2312" w:cs="仿宋_GB2312"/>
          <w:b w:val="0"/>
          <w:bCs/>
          <w:color w:val="auto"/>
          <w:sz w:val="32"/>
          <w:szCs w:val="32"/>
          <w:highlight w:val="none"/>
          <w:lang w:val="en-US" w:eastAsia="zh-CN"/>
        </w:rPr>
        <w:t>11.28</w:t>
      </w:r>
      <w:r>
        <w:rPr>
          <w:rStyle w:val="14"/>
          <w:rFonts w:hint="eastAsia" w:ascii="仿宋_GB2312" w:hAnsi="仿宋_GB2312" w:eastAsia="仿宋_GB2312" w:cs="仿宋_GB2312"/>
          <w:b w:val="0"/>
          <w:bCs/>
          <w:color w:val="auto"/>
          <w:sz w:val="32"/>
          <w:szCs w:val="32"/>
          <w:highlight w:val="none"/>
        </w:rPr>
        <w:t>万元，完成预算</w:t>
      </w:r>
      <w:r>
        <w:rPr>
          <w:rStyle w:val="14"/>
          <w:rFonts w:hint="eastAsia" w:ascii="仿宋_GB2312" w:hAnsi="仿宋_GB2312" w:eastAsia="仿宋_GB2312" w:cs="仿宋_GB2312"/>
          <w:b w:val="0"/>
          <w:bCs/>
          <w:color w:val="auto"/>
          <w:sz w:val="32"/>
          <w:szCs w:val="32"/>
          <w:highlight w:val="none"/>
          <w:lang w:val="en-US" w:eastAsia="zh-CN"/>
        </w:rPr>
        <w:t>100</w:t>
      </w:r>
      <w:r>
        <w:rPr>
          <w:rStyle w:val="14"/>
          <w:rFonts w:hint="eastAsia" w:ascii="仿宋_GB2312" w:hAnsi="仿宋_GB2312" w:eastAsia="仿宋_GB2312" w:cs="仿宋_GB2312"/>
          <w:b w:val="0"/>
          <w:bCs/>
          <w:color w:val="auto"/>
          <w:sz w:val="32"/>
          <w:szCs w:val="32"/>
          <w:highlight w:val="none"/>
        </w:rPr>
        <w:t>%。</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Style w:val="14"/>
          <w:rFonts w:hint="eastAsia" w:ascii="仿宋_GB2312" w:hAnsi="仿宋_GB2312" w:eastAsia="仿宋_GB2312" w:cs="仿宋_GB2312"/>
          <w:b w:val="0"/>
          <w:bCs/>
          <w:color w:val="auto"/>
          <w:sz w:val="32"/>
          <w:szCs w:val="32"/>
          <w:highlight w:val="none"/>
          <w:lang w:val="en-US" w:eastAsia="zh-CN"/>
        </w:rPr>
        <w:t>4</w:t>
      </w:r>
      <w:r>
        <w:rPr>
          <w:rStyle w:val="14"/>
          <w:rFonts w:hint="eastAsia" w:ascii="仿宋_GB2312" w:hAnsi="仿宋_GB2312" w:eastAsia="仿宋_GB2312" w:cs="仿宋_GB2312"/>
          <w:b w:val="0"/>
          <w:bCs/>
          <w:color w:val="auto"/>
          <w:sz w:val="32"/>
          <w:szCs w:val="32"/>
          <w:highlight w:val="none"/>
        </w:rPr>
        <w:t>.社会保障和就业（类）行政事业单位养老支出（款）机关事业单位</w:t>
      </w:r>
      <w:r>
        <w:rPr>
          <w:rStyle w:val="14"/>
          <w:rFonts w:hint="eastAsia" w:ascii="仿宋_GB2312" w:hAnsi="仿宋_GB2312" w:eastAsia="仿宋_GB2312" w:cs="仿宋_GB2312"/>
          <w:b w:val="0"/>
          <w:bCs/>
          <w:color w:val="auto"/>
          <w:sz w:val="32"/>
          <w:szCs w:val="32"/>
          <w:highlight w:val="none"/>
          <w:lang w:eastAsia="zh-CN"/>
        </w:rPr>
        <w:t>职业年金</w:t>
      </w:r>
      <w:r>
        <w:rPr>
          <w:rStyle w:val="14"/>
          <w:rFonts w:hint="eastAsia" w:ascii="仿宋_GB2312" w:hAnsi="仿宋_GB2312" w:eastAsia="仿宋_GB2312" w:cs="仿宋_GB2312"/>
          <w:b w:val="0"/>
          <w:bCs/>
          <w:color w:val="auto"/>
          <w:sz w:val="32"/>
          <w:szCs w:val="32"/>
          <w:highlight w:val="none"/>
        </w:rPr>
        <w:t>缴费支出（项）: 支出决算为</w:t>
      </w:r>
      <w:r>
        <w:rPr>
          <w:rStyle w:val="14"/>
          <w:rFonts w:hint="eastAsia" w:ascii="仿宋_GB2312" w:hAnsi="仿宋_GB2312" w:eastAsia="仿宋_GB2312" w:cs="仿宋_GB2312"/>
          <w:b w:val="0"/>
          <w:bCs/>
          <w:color w:val="auto"/>
          <w:sz w:val="32"/>
          <w:szCs w:val="32"/>
          <w:highlight w:val="none"/>
          <w:lang w:val="en-US" w:eastAsia="zh-CN"/>
        </w:rPr>
        <w:t>3.64</w:t>
      </w:r>
      <w:r>
        <w:rPr>
          <w:rStyle w:val="14"/>
          <w:rFonts w:hint="eastAsia" w:ascii="仿宋_GB2312" w:hAnsi="仿宋_GB2312" w:eastAsia="仿宋_GB2312" w:cs="仿宋_GB2312"/>
          <w:b w:val="0"/>
          <w:bCs/>
          <w:color w:val="auto"/>
          <w:sz w:val="32"/>
          <w:szCs w:val="32"/>
          <w:highlight w:val="none"/>
        </w:rPr>
        <w:t>万元，完成预算</w:t>
      </w:r>
      <w:r>
        <w:rPr>
          <w:rStyle w:val="14"/>
          <w:rFonts w:hint="eastAsia" w:ascii="仿宋_GB2312" w:hAnsi="仿宋_GB2312" w:eastAsia="仿宋_GB2312" w:cs="仿宋_GB2312"/>
          <w:b w:val="0"/>
          <w:bCs/>
          <w:color w:val="auto"/>
          <w:sz w:val="32"/>
          <w:szCs w:val="32"/>
          <w:highlight w:val="none"/>
          <w:lang w:val="en-US" w:eastAsia="zh-CN"/>
        </w:rPr>
        <w:t>100</w:t>
      </w:r>
      <w:r>
        <w:rPr>
          <w:rStyle w:val="14"/>
          <w:rFonts w:hint="eastAsia" w:ascii="仿宋_GB2312" w:hAnsi="仿宋_GB2312" w:eastAsia="仿宋_GB2312" w:cs="仿宋_GB2312"/>
          <w:b w:val="0"/>
          <w:bCs/>
          <w:color w:val="auto"/>
          <w:sz w:val="32"/>
          <w:szCs w:val="32"/>
          <w:highlight w:val="none"/>
        </w:rPr>
        <w:t>%。</w:t>
      </w:r>
    </w:p>
    <w:p>
      <w:pPr>
        <w:spacing w:line="600" w:lineRule="exact"/>
        <w:ind w:firstLine="640" w:firstLineChars="200"/>
        <w:rPr>
          <w:rStyle w:val="14"/>
          <w:rFonts w:hint="eastAsia" w:ascii="仿宋_GB2312" w:hAnsi="仿宋_GB2312" w:eastAsia="仿宋_GB2312" w:cs="仿宋_GB2312"/>
          <w:b w:val="0"/>
          <w:bCs/>
          <w:color w:val="auto"/>
          <w:sz w:val="32"/>
          <w:szCs w:val="32"/>
          <w:highlight w:val="none"/>
          <w:lang w:val="en-US" w:eastAsia="zh-CN"/>
        </w:rPr>
      </w:pPr>
      <w:r>
        <w:rPr>
          <w:rStyle w:val="14"/>
          <w:rFonts w:hint="eastAsia" w:ascii="仿宋_GB2312" w:hAnsi="仿宋_GB2312" w:eastAsia="仿宋_GB2312" w:cs="仿宋_GB2312"/>
          <w:b w:val="0"/>
          <w:bCs/>
          <w:color w:val="auto"/>
          <w:sz w:val="32"/>
          <w:szCs w:val="32"/>
          <w:highlight w:val="none"/>
          <w:lang w:val="en-US" w:eastAsia="zh-CN"/>
        </w:rPr>
        <w:t>5.卫生健康（类）</w:t>
      </w:r>
      <w:r>
        <w:rPr>
          <w:rStyle w:val="14"/>
          <w:rFonts w:hint="eastAsia" w:ascii="仿宋_GB2312" w:hAnsi="仿宋_GB2312" w:eastAsia="仿宋_GB2312" w:cs="仿宋_GB2312"/>
          <w:b w:val="0"/>
          <w:bCs/>
          <w:color w:val="auto"/>
          <w:sz w:val="32"/>
          <w:szCs w:val="32"/>
          <w:highlight w:val="none"/>
        </w:rPr>
        <w:t>行政事业单位医疗</w:t>
      </w:r>
      <w:r>
        <w:rPr>
          <w:rStyle w:val="14"/>
          <w:rFonts w:hint="eastAsia" w:ascii="仿宋_GB2312" w:hAnsi="仿宋_GB2312" w:eastAsia="仿宋_GB2312" w:cs="仿宋_GB2312"/>
          <w:b w:val="0"/>
          <w:bCs/>
          <w:color w:val="auto"/>
          <w:sz w:val="32"/>
          <w:szCs w:val="32"/>
          <w:highlight w:val="none"/>
          <w:lang w:val="en-US" w:eastAsia="zh-CN"/>
        </w:rPr>
        <w:t>（款）</w:t>
      </w:r>
      <w:r>
        <w:rPr>
          <w:rStyle w:val="14"/>
          <w:rFonts w:hint="eastAsia" w:ascii="仿宋_GB2312" w:hAnsi="仿宋_GB2312" w:eastAsia="仿宋_GB2312" w:cs="仿宋_GB2312"/>
          <w:b w:val="0"/>
          <w:bCs/>
          <w:color w:val="auto"/>
          <w:sz w:val="32"/>
          <w:szCs w:val="32"/>
          <w:highlight w:val="none"/>
        </w:rPr>
        <w:t>事业单位医疗</w:t>
      </w:r>
      <w:r>
        <w:rPr>
          <w:rStyle w:val="14"/>
          <w:rFonts w:hint="eastAsia" w:ascii="仿宋_GB2312" w:hAnsi="仿宋_GB2312" w:eastAsia="仿宋_GB2312" w:cs="仿宋_GB2312"/>
          <w:b w:val="0"/>
          <w:bCs/>
          <w:color w:val="auto"/>
          <w:sz w:val="32"/>
          <w:szCs w:val="32"/>
          <w:highlight w:val="none"/>
          <w:lang w:val="en-US" w:eastAsia="zh-CN"/>
        </w:rPr>
        <w:t>（项）:支出决算为5.64万元，完成预算100%。</w:t>
      </w:r>
    </w:p>
    <w:p>
      <w:pPr>
        <w:spacing w:line="600" w:lineRule="exact"/>
        <w:ind w:firstLine="640" w:firstLineChars="200"/>
        <w:rPr>
          <w:rStyle w:val="14"/>
          <w:rFonts w:hint="eastAsia" w:ascii="仿宋_GB2312" w:hAnsi="仿宋_GB2312" w:eastAsia="仿宋_GB2312" w:cs="仿宋_GB2312"/>
          <w:b w:val="0"/>
          <w:bCs/>
          <w:color w:val="auto"/>
          <w:sz w:val="32"/>
          <w:szCs w:val="32"/>
          <w:highlight w:val="none"/>
        </w:rPr>
      </w:pPr>
      <w:r>
        <w:rPr>
          <w:rStyle w:val="14"/>
          <w:rFonts w:hint="eastAsia" w:ascii="仿宋_GB2312" w:hAnsi="仿宋_GB2312" w:eastAsia="仿宋_GB2312" w:cs="仿宋_GB2312"/>
          <w:b w:val="0"/>
          <w:bCs/>
          <w:color w:val="auto"/>
          <w:sz w:val="32"/>
          <w:szCs w:val="32"/>
          <w:highlight w:val="none"/>
          <w:lang w:val="en-US" w:eastAsia="zh-CN"/>
        </w:rPr>
        <w:t>6、住房保障（类）住房改革支出（款）住房公积金（项）决算数为13.09万元，完成预算100%。</w:t>
      </w:r>
    </w:p>
    <w:p>
      <w:pPr>
        <w:tabs>
          <w:tab w:val="right" w:pos="8306"/>
        </w:tabs>
        <w:spacing w:line="600" w:lineRule="exact"/>
        <w:ind w:firstLine="640"/>
        <w:outlineLvl w:val="1"/>
        <w:rPr>
          <w:rStyle w:val="17"/>
          <w:rFonts w:hint="eastAsia" w:ascii="黑体" w:hAnsi="黑体" w:eastAsia="黑体" w:cs="黑体"/>
          <w:color w:val="auto"/>
          <w:sz w:val="32"/>
          <w:szCs w:val="32"/>
          <w:highlight w:val="none"/>
        </w:rPr>
      </w:pPr>
      <w:bookmarkStart w:id="62" w:name="_Toc15396608"/>
      <w:bookmarkStart w:id="63" w:name="_Toc10570"/>
      <w:bookmarkStart w:id="64" w:name="_Toc10558"/>
      <w:bookmarkStart w:id="65" w:name="_Toc15377214"/>
      <w:r>
        <w:rPr>
          <w:rFonts w:hint="eastAsia" w:ascii="黑体" w:hAnsi="黑体" w:eastAsia="黑体" w:cs="黑体"/>
          <w:color w:val="auto"/>
          <w:sz w:val="32"/>
          <w:szCs w:val="32"/>
          <w:highlight w:val="none"/>
        </w:rPr>
        <w:t>六</w:t>
      </w:r>
      <w:r>
        <w:rPr>
          <w:rFonts w:hint="eastAsia" w:ascii="黑体" w:hAnsi="黑体" w:eastAsia="黑体" w:cs="黑体"/>
          <w:b/>
          <w:color w:val="auto"/>
          <w:sz w:val="32"/>
          <w:szCs w:val="32"/>
          <w:highlight w:val="none"/>
        </w:rPr>
        <w:t>、一</w:t>
      </w:r>
      <w:r>
        <w:rPr>
          <w:rStyle w:val="17"/>
          <w:rFonts w:hint="eastAsia" w:ascii="黑体" w:hAnsi="黑体" w:eastAsia="黑体" w:cs="黑体"/>
          <w:b w:val="0"/>
          <w:color w:val="auto"/>
          <w:sz w:val="32"/>
          <w:szCs w:val="32"/>
          <w:highlight w:val="none"/>
        </w:rPr>
        <w:t>般公共预算财政拨款基本支出决算情况说明</w:t>
      </w:r>
      <w:bookmarkEnd w:id="62"/>
      <w:bookmarkEnd w:id="63"/>
      <w:bookmarkEnd w:id="64"/>
      <w:bookmarkEnd w:id="65"/>
      <w:r>
        <w:rPr>
          <w:rStyle w:val="17"/>
          <w:rFonts w:hint="eastAsia" w:ascii="黑体" w:hAnsi="黑体" w:eastAsia="黑体" w:cs="黑体"/>
          <w:b w:val="0"/>
          <w:color w:val="auto"/>
          <w:sz w:val="32"/>
          <w:szCs w:val="32"/>
          <w:highlight w:val="none"/>
        </w:rPr>
        <w:tab/>
      </w:r>
    </w:p>
    <w:p>
      <w:pPr>
        <w:spacing w:line="600" w:lineRule="exact"/>
        <w:ind w:firstLine="645"/>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年一般公共预算财政拨款基本支出</w:t>
      </w:r>
      <w:r>
        <w:rPr>
          <w:rFonts w:hint="eastAsia" w:ascii="仿宋_GB2312" w:hAnsi="仿宋_GB2312" w:eastAsia="仿宋_GB2312" w:cs="仿宋_GB2312"/>
          <w:color w:val="auto"/>
          <w:sz w:val="32"/>
          <w:szCs w:val="32"/>
          <w:highlight w:val="none"/>
          <w:lang w:val="en-US" w:eastAsia="zh-CN"/>
        </w:rPr>
        <w:t>183.94</w:t>
      </w:r>
      <w:r>
        <w:rPr>
          <w:rFonts w:hint="eastAsia" w:ascii="仿宋_GB2312" w:hAnsi="仿宋_GB2312" w:eastAsia="仿宋_GB2312" w:cs="仿宋_GB2312"/>
          <w:color w:val="auto"/>
          <w:sz w:val="32"/>
          <w:szCs w:val="32"/>
          <w:highlight w:val="none"/>
        </w:rPr>
        <w:t>万元，其中：</w:t>
      </w:r>
    </w:p>
    <w:p>
      <w:pPr>
        <w:spacing w:line="600" w:lineRule="exact"/>
        <w:ind w:firstLine="645"/>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rPr>
        <w:t>人员经费</w:t>
      </w:r>
      <w:r>
        <w:rPr>
          <w:rFonts w:hint="eastAsia" w:ascii="仿宋_GB2312" w:hAnsi="仿宋_GB2312" w:eastAsia="仿宋_GB2312" w:cs="仿宋_GB2312"/>
          <w:color w:val="auto"/>
          <w:sz w:val="32"/>
          <w:szCs w:val="32"/>
          <w:highlight w:val="none"/>
          <w:lang w:val="en-US" w:eastAsia="zh-CN"/>
        </w:rPr>
        <w:t>164.23</w:t>
      </w:r>
      <w:r>
        <w:rPr>
          <w:rFonts w:hint="eastAsia" w:ascii="仿宋_GB2312" w:hAnsi="仿宋_GB2312" w:eastAsia="仿宋_GB2312" w:cs="仿宋_GB2312"/>
          <w:color w:val="auto"/>
          <w:sz w:val="32"/>
          <w:szCs w:val="32"/>
          <w:highlight w:val="none"/>
        </w:rPr>
        <w:t>万元，主要包括：基本工资、津贴补贴、奖金、绩效工资、机关事业单位基本养老保险缴费、职业年金缴费、</w:t>
      </w:r>
      <w:r>
        <w:rPr>
          <w:rFonts w:hint="eastAsia" w:ascii="仿宋_GB2312" w:hAnsi="仿宋_GB2312" w:eastAsia="仿宋_GB2312" w:cs="仿宋_GB2312"/>
          <w:color w:val="auto"/>
          <w:sz w:val="32"/>
          <w:szCs w:val="32"/>
          <w:highlight w:val="none"/>
          <w:lang w:eastAsia="zh-CN"/>
        </w:rPr>
        <w:t>职工基本医疗保险缴费、</w:t>
      </w:r>
      <w:r>
        <w:rPr>
          <w:rFonts w:hint="eastAsia" w:ascii="仿宋_GB2312" w:hAnsi="仿宋_GB2312" w:eastAsia="仿宋_GB2312" w:cs="仿宋_GB2312"/>
          <w:color w:val="auto"/>
          <w:sz w:val="32"/>
          <w:szCs w:val="32"/>
          <w:highlight w:val="none"/>
        </w:rPr>
        <w:t>其他社会保障缴费、住房公积金。</w:t>
      </w:r>
      <w:r>
        <w:rPr>
          <w:rFonts w:hint="eastAsia" w:ascii="仿宋_GB2312" w:hAnsi="仿宋_GB2312" w:eastAsia="仿宋_GB2312" w:cs="仿宋_GB2312"/>
          <w:color w:val="auto"/>
          <w:sz w:val="32"/>
          <w:szCs w:val="32"/>
          <w:highlight w:val="none"/>
        </w:rPr>
        <w:br w:type="textWrapping"/>
      </w:r>
      <w:r>
        <w:rPr>
          <w:rFonts w:hint="eastAsia" w:ascii="仿宋_GB2312" w:hAnsi="仿宋_GB2312" w:eastAsia="仿宋_GB2312" w:cs="仿宋_GB2312"/>
          <w:color w:val="auto"/>
          <w:sz w:val="32"/>
          <w:szCs w:val="32"/>
          <w:highlight w:val="none"/>
        </w:rPr>
        <w:t>　　公用经费</w:t>
      </w:r>
      <w:r>
        <w:rPr>
          <w:rFonts w:hint="eastAsia" w:ascii="仿宋_GB2312" w:hAnsi="仿宋_GB2312" w:eastAsia="仿宋_GB2312" w:cs="仿宋_GB2312"/>
          <w:color w:val="auto"/>
          <w:sz w:val="32"/>
          <w:szCs w:val="32"/>
          <w:highlight w:val="none"/>
          <w:lang w:val="en-US" w:eastAsia="zh-CN"/>
        </w:rPr>
        <w:t>19.70</w:t>
      </w:r>
      <w:r>
        <w:rPr>
          <w:rFonts w:hint="eastAsia" w:ascii="仿宋_GB2312" w:hAnsi="仿宋_GB2312" w:eastAsia="仿宋_GB2312" w:cs="仿宋_GB2312"/>
          <w:color w:val="auto"/>
          <w:sz w:val="32"/>
          <w:szCs w:val="32"/>
          <w:highlight w:val="none"/>
        </w:rPr>
        <w:t>万元，主要包括：办公费、印刷费、水费、电费、邮电费、差旅费、租赁费、会议费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公务接待费、工会经费、福利费、其他商品和服务支出。</w:t>
      </w:r>
    </w:p>
    <w:p>
      <w:pPr>
        <w:spacing w:line="600" w:lineRule="exact"/>
        <w:ind w:firstLine="640"/>
        <w:outlineLvl w:val="1"/>
        <w:rPr>
          <w:rStyle w:val="17"/>
          <w:rFonts w:hint="eastAsia" w:ascii="黑体" w:hAnsi="黑体" w:eastAsia="黑体" w:cs="黑体"/>
          <w:b w:val="0"/>
          <w:color w:val="auto"/>
          <w:sz w:val="32"/>
          <w:szCs w:val="32"/>
          <w:highlight w:val="none"/>
        </w:rPr>
      </w:pPr>
      <w:bookmarkStart w:id="66" w:name="_Toc15377215"/>
      <w:bookmarkStart w:id="67" w:name="_Toc15396609"/>
      <w:bookmarkStart w:id="68" w:name="_Toc29594"/>
      <w:bookmarkStart w:id="69" w:name="_Toc8883"/>
      <w:r>
        <w:rPr>
          <w:rFonts w:hint="eastAsia" w:ascii="黑体" w:hAnsi="黑体" w:eastAsia="黑体" w:cs="黑体"/>
          <w:color w:val="auto"/>
          <w:sz w:val="32"/>
          <w:szCs w:val="32"/>
          <w:highlight w:val="none"/>
        </w:rPr>
        <w:t>七、</w:t>
      </w:r>
      <w:r>
        <w:rPr>
          <w:rStyle w:val="17"/>
          <w:rFonts w:hint="eastAsia" w:ascii="黑体" w:hAnsi="黑体" w:eastAsia="黑体" w:cs="黑体"/>
          <w:b w:val="0"/>
          <w:color w:val="auto"/>
          <w:sz w:val="32"/>
          <w:szCs w:val="32"/>
          <w:highlight w:val="none"/>
        </w:rPr>
        <w:t>财政拨款</w:t>
      </w:r>
      <w:r>
        <w:rPr>
          <w:rStyle w:val="17"/>
          <w:rFonts w:hint="eastAsia" w:ascii="黑体" w:hAnsi="黑体" w:eastAsia="黑体" w:cs="黑体"/>
          <w:color w:val="auto"/>
          <w:sz w:val="32"/>
          <w:szCs w:val="32"/>
          <w:highlight w:val="none"/>
        </w:rPr>
        <w:t>“</w:t>
      </w:r>
      <w:r>
        <w:rPr>
          <w:rStyle w:val="17"/>
          <w:rFonts w:hint="eastAsia" w:ascii="黑体" w:hAnsi="黑体" w:eastAsia="黑体" w:cs="黑体"/>
          <w:b w:val="0"/>
          <w:color w:val="auto"/>
          <w:sz w:val="32"/>
          <w:szCs w:val="32"/>
          <w:highlight w:val="none"/>
        </w:rPr>
        <w:t>三公”经费支出决算情况说明</w:t>
      </w:r>
      <w:bookmarkEnd w:id="66"/>
      <w:bookmarkEnd w:id="67"/>
      <w:bookmarkEnd w:id="68"/>
      <w:bookmarkEnd w:id="69"/>
    </w:p>
    <w:p>
      <w:pPr>
        <w:spacing w:line="600" w:lineRule="exact"/>
        <w:ind w:firstLine="640" w:firstLineChars="200"/>
        <w:outlineLvl w:val="2"/>
        <w:rPr>
          <w:rFonts w:hint="eastAsia" w:ascii="楷体_GB2312" w:hAnsi="楷体_GB2312" w:eastAsia="楷体_GB2312" w:cs="楷体_GB2312"/>
          <w:b w:val="0"/>
          <w:bCs/>
          <w:color w:val="auto"/>
          <w:sz w:val="32"/>
          <w:szCs w:val="32"/>
          <w:highlight w:val="none"/>
        </w:rPr>
      </w:pPr>
      <w:bookmarkStart w:id="70" w:name="_Toc15377216"/>
      <w:r>
        <w:rPr>
          <w:rFonts w:hint="eastAsia" w:ascii="楷体_GB2312" w:hAnsi="楷体_GB2312" w:eastAsia="楷体_GB2312" w:cs="楷体_GB2312"/>
          <w:b w:val="0"/>
          <w:bCs/>
          <w:color w:val="auto"/>
          <w:sz w:val="32"/>
          <w:szCs w:val="32"/>
          <w:highlight w:val="none"/>
        </w:rPr>
        <w:t>（一）“三公”经费财政拨款支出决算总体情况说明</w:t>
      </w:r>
      <w:bookmarkEnd w:id="70"/>
    </w:p>
    <w:p>
      <w:pPr>
        <w:spacing w:line="600" w:lineRule="exact"/>
        <w:ind w:firstLine="640"/>
        <w:rPr>
          <w:rFonts w:hint="default"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年“三公”经费财政拨款支出决算为</w:t>
      </w:r>
      <w:r>
        <w:rPr>
          <w:rFonts w:hint="eastAsia" w:ascii="仿宋_GB2312" w:hAnsi="仿宋_GB2312" w:eastAsia="仿宋_GB2312" w:cs="仿宋_GB2312"/>
          <w:color w:val="auto"/>
          <w:sz w:val="32"/>
          <w:szCs w:val="32"/>
          <w:highlight w:val="none"/>
          <w:lang w:val="en-US" w:eastAsia="zh-CN"/>
        </w:rPr>
        <w:t>0.26</w:t>
      </w:r>
      <w:r>
        <w:rPr>
          <w:rFonts w:hint="eastAsia" w:ascii="仿宋_GB2312" w:hAnsi="仿宋_GB2312" w:eastAsia="仿宋_GB2312" w:cs="仿宋_GB2312"/>
          <w:color w:val="auto"/>
          <w:sz w:val="32"/>
          <w:szCs w:val="32"/>
          <w:highlight w:val="none"/>
        </w:rPr>
        <w:t>万元，完成预算</w:t>
      </w:r>
      <w:r>
        <w:rPr>
          <w:rFonts w:hint="default" w:ascii="仿宋_GB2312" w:hAnsi="仿宋_GB2312" w:eastAsia="仿宋_GB2312" w:cs="仿宋_GB2312"/>
          <w:color w:val="auto"/>
          <w:sz w:val="32"/>
          <w:szCs w:val="32"/>
          <w:highlight w:val="none"/>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较上年</w:t>
      </w:r>
      <w:r>
        <w:rPr>
          <w:rFonts w:hint="eastAsia" w:ascii="仿宋_GB2312" w:hAnsi="仿宋_GB2312" w:eastAsia="仿宋_GB2312" w:cs="仿宋_GB2312"/>
          <w:color w:val="auto"/>
          <w:sz w:val="32"/>
          <w:szCs w:val="32"/>
          <w:highlight w:val="none"/>
          <w:lang w:val="en-US" w:eastAsia="zh-CN"/>
        </w:rPr>
        <w:t>减少0.11万元，下降29.73%。</w:t>
      </w:r>
      <w:r>
        <w:rPr>
          <w:rFonts w:hint="eastAsia" w:ascii="仿宋_GB2312" w:hAnsi="仿宋_GB2312" w:eastAsia="仿宋_GB2312" w:cs="仿宋_GB2312"/>
          <w:color w:val="auto"/>
          <w:sz w:val="32"/>
          <w:szCs w:val="32"/>
          <w:highlight w:val="none"/>
        </w:rPr>
        <w:t>决算数</w:t>
      </w:r>
      <w:r>
        <w:rPr>
          <w:rFonts w:hint="default" w:ascii="仿宋_GB2312" w:hAnsi="仿宋_GB2312" w:eastAsia="仿宋_GB2312" w:cs="仿宋_GB2312"/>
          <w:color w:val="auto"/>
          <w:sz w:val="32"/>
          <w:szCs w:val="32"/>
          <w:highlight w:val="none"/>
        </w:rPr>
        <w:t>与</w:t>
      </w:r>
      <w:r>
        <w:rPr>
          <w:rFonts w:hint="eastAsia" w:ascii="仿宋_GB2312" w:hAnsi="仿宋_GB2312" w:eastAsia="仿宋_GB2312" w:cs="仿宋_GB2312"/>
          <w:color w:val="auto"/>
          <w:sz w:val="32"/>
          <w:szCs w:val="32"/>
          <w:highlight w:val="none"/>
        </w:rPr>
        <w:t>预算数</w:t>
      </w:r>
      <w:r>
        <w:rPr>
          <w:rFonts w:hint="default" w:ascii="仿宋_GB2312" w:hAnsi="仿宋_GB2312" w:eastAsia="仿宋_GB2312" w:cs="仿宋_GB2312"/>
          <w:color w:val="auto"/>
          <w:sz w:val="32"/>
          <w:szCs w:val="32"/>
          <w:highlight w:val="none"/>
        </w:rPr>
        <w:t>持平。</w:t>
      </w:r>
    </w:p>
    <w:p>
      <w:pPr>
        <w:spacing w:line="600" w:lineRule="exact"/>
        <w:ind w:firstLine="640" w:firstLineChars="200"/>
        <w:outlineLvl w:val="2"/>
        <w:rPr>
          <w:rFonts w:hint="eastAsia" w:ascii="楷体_GB2312" w:hAnsi="楷体_GB2312" w:eastAsia="楷体_GB2312" w:cs="楷体_GB2312"/>
          <w:b w:val="0"/>
          <w:bCs/>
          <w:color w:val="auto"/>
          <w:sz w:val="32"/>
          <w:szCs w:val="32"/>
          <w:highlight w:val="none"/>
        </w:rPr>
      </w:pPr>
      <w:bookmarkStart w:id="71" w:name="_Toc15377217"/>
      <w:r>
        <w:rPr>
          <w:rFonts w:hint="eastAsia" w:ascii="楷体_GB2312" w:hAnsi="楷体_GB2312" w:eastAsia="楷体_GB2312" w:cs="楷体_GB2312"/>
          <w:b w:val="0"/>
          <w:bCs/>
          <w:color w:val="auto"/>
          <w:sz w:val="32"/>
          <w:szCs w:val="32"/>
          <w:highlight w:val="none"/>
        </w:rPr>
        <w:t>（二）“三公”经费财政拨款支出决算具体情况说明</w:t>
      </w:r>
      <w:bookmarkEnd w:id="71"/>
    </w:p>
    <w:p>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年“三公”经费财政拨款支出决算中，因公出国（境）费支出决算</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%；公务用车购置及运行维护费支出决算</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%；公务接待费支出决算</w:t>
      </w:r>
      <w:r>
        <w:rPr>
          <w:rFonts w:hint="eastAsia" w:ascii="仿宋_GB2312" w:hAnsi="仿宋_GB2312" w:eastAsia="仿宋_GB2312" w:cs="仿宋_GB2312"/>
          <w:color w:val="auto"/>
          <w:sz w:val="32"/>
          <w:szCs w:val="32"/>
          <w:highlight w:val="none"/>
          <w:lang w:val="en-US" w:eastAsia="zh-CN"/>
        </w:rPr>
        <w:t>0.26</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%。具体情况如下：</w:t>
      </w:r>
    </w:p>
    <w:p>
      <w:pPr>
        <w:spacing w:line="600" w:lineRule="exact"/>
        <w:ind w:firstLine="640"/>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（图7：“三公”经费财政拨款支出结构）</w:t>
      </w:r>
    </w:p>
    <w:p>
      <w:pPr>
        <w:pStyle w:val="2"/>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sz w:val="32"/>
          <w:szCs w:val="32"/>
          <w:lang w:val="en-US" w:eastAsia="zh-CN"/>
        </w:rPr>
        <w:drawing>
          <wp:inline distT="0" distB="0" distL="114300" distR="114300">
            <wp:extent cx="3638550" cy="1821815"/>
            <wp:effectExtent l="0" t="0" r="0" b="6985"/>
            <wp:docPr id="7" name="图片 7"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片1"/>
                    <pic:cNvPicPr>
                      <a:picLocks noChangeAspect="1"/>
                    </pic:cNvPicPr>
                  </pic:nvPicPr>
                  <pic:blipFill>
                    <a:blip r:embed="rId13"/>
                    <a:stretch>
                      <a:fillRect/>
                    </a:stretch>
                  </pic:blipFill>
                  <pic:spPr>
                    <a:xfrm>
                      <a:off x="0" y="0"/>
                      <a:ext cx="3638550" cy="1821815"/>
                    </a:xfrm>
                    <a:prstGeom prst="rect">
                      <a:avLst/>
                    </a:prstGeom>
                  </pic:spPr>
                </pic:pic>
              </a:graphicData>
            </a:graphic>
          </wp:inline>
        </w:drawing>
      </w:r>
    </w:p>
    <w:p>
      <w:pPr>
        <w:keepNext w:val="0"/>
        <w:keepLines w:val="0"/>
        <w:pageBreakBefore w:val="0"/>
        <w:widowControl/>
        <w:suppressLineNumbers w:val="0"/>
        <w:kinsoku/>
        <w:wordWrap/>
        <w:overflowPunct/>
        <w:topLinePunct w:val="0"/>
        <w:bidi w:val="0"/>
        <w:snapToGrid/>
        <w:spacing w:line="576" w:lineRule="exact"/>
        <w:ind w:firstLine="640" w:firstLineChars="200"/>
        <w:jc w:val="left"/>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1.因公出国（境）经费支出0万元，年初未安排预算。因公出国（境）经费支出决算较2021年无变化。</w:t>
      </w:r>
    </w:p>
    <w:p>
      <w:pPr>
        <w:keepNext w:val="0"/>
        <w:keepLines w:val="0"/>
        <w:pageBreakBefore w:val="0"/>
        <w:widowControl/>
        <w:suppressLineNumbers w:val="0"/>
        <w:kinsoku/>
        <w:wordWrap/>
        <w:overflowPunct/>
        <w:topLinePunct w:val="0"/>
        <w:bidi w:val="0"/>
        <w:snapToGrid/>
        <w:spacing w:line="576" w:lineRule="exact"/>
        <w:ind w:firstLine="640" w:firstLineChars="200"/>
        <w:jc w:val="left"/>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2.公务用车购置及运行维护费支出0万元,年初未安排预算，公务用车购置及运行维护费支出决算数较2021年无变化。截至2022年12月31日，我单位无公务用车。</w:t>
      </w:r>
      <w:r>
        <w:rPr>
          <w:rFonts w:hint="eastAsia" w:ascii="仿宋_GB2312" w:hAnsi="仿宋_GB2312" w:eastAsia="仿宋_GB2312" w:cs="仿宋_GB2312"/>
          <w:b w:val="0"/>
          <w:bCs/>
          <w:sz w:val="32"/>
          <w:szCs w:val="32"/>
          <w:lang w:val="en-US" w:eastAsia="zh-CN"/>
        </w:rPr>
        <w:tab/>
      </w:r>
    </w:p>
    <w:p>
      <w:pPr>
        <w:keepNext w:val="0"/>
        <w:keepLines w:val="0"/>
        <w:pageBreakBefore w:val="0"/>
        <w:widowControl/>
        <w:suppressLineNumbers w:val="0"/>
        <w:kinsoku/>
        <w:wordWrap/>
        <w:overflowPunct/>
        <w:topLinePunct w:val="0"/>
        <w:bidi w:val="0"/>
        <w:snapToGrid/>
        <w:spacing w:line="576" w:lineRule="exact"/>
        <w:ind w:firstLine="640" w:firstLineChars="200"/>
        <w:jc w:val="left"/>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其中：公务用车购置支出0万元。</w:t>
      </w:r>
    </w:p>
    <w:p>
      <w:pPr>
        <w:keepNext w:val="0"/>
        <w:keepLines w:val="0"/>
        <w:pageBreakBefore w:val="0"/>
        <w:widowControl/>
        <w:suppressLineNumbers w:val="0"/>
        <w:kinsoku/>
        <w:wordWrap/>
        <w:overflowPunct/>
        <w:topLinePunct w:val="0"/>
        <w:bidi w:val="0"/>
        <w:snapToGrid/>
        <w:spacing w:line="576"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sz w:val="32"/>
          <w:szCs w:val="32"/>
          <w:lang w:val="en-US" w:eastAsia="zh-CN"/>
        </w:rPr>
        <w:t>公务用车运行维护费支出0万元。</w:t>
      </w:r>
    </w:p>
    <w:p>
      <w:pPr>
        <w:keepNext w:val="0"/>
        <w:keepLines w:val="0"/>
        <w:pageBreakBefore w:val="0"/>
        <w:kinsoku/>
        <w:wordWrap/>
        <w:overflowPunct/>
        <w:topLinePunct w:val="0"/>
        <w:bidi w:val="0"/>
        <w:snapToGrid/>
        <w:spacing w:line="576" w:lineRule="exact"/>
        <w:ind w:firstLine="640"/>
        <w:textAlignment w:val="auto"/>
        <w:rPr>
          <w:rFonts w:hint="eastAsia" w:ascii="仿宋_GB2312" w:hAnsi="仿宋_GB2312" w:eastAsia="仿宋_GB2312" w:cs="仿宋_GB2312"/>
          <w:b w:val="0"/>
          <w:bCs/>
          <w:spacing w:val="-6"/>
          <w:sz w:val="32"/>
          <w:szCs w:val="32"/>
          <w:lang w:val="en-US" w:eastAsia="zh-CN"/>
        </w:rPr>
      </w:pPr>
      <w:r>
        <w:rPr>
          <w:rFonts w:hint="eastAsia" w:ascii="仿宋_GB2312" w:hAnsi="仿宋_GB2312" w:eastAsia="仿宋_GB2312" w:cs="仿宋_GB2312"/>
          <w:b w:val="0"/>
          <w:bCs/>
          <w:spacing w:val="-6"/>
          <w:sz w:val="32"/>
          <w:szCs w:val="32"/>
          <w:lang w:val="en-US" w:eastAsia="zh-CN"/>
        </w:rPr>
        <w:t>3.公务接待费支出0.26万元，完成预算86.67%。公务接待费支出决算比2021年减少0.11万元，下降29.73%。主要原因是公务接待减少，坚持厉行节约、严格控制标准。其中：</w:t>
      </w:r>
    </w:p>
    <w:p>
      <w:pPr>
        <w:keepNext w:val="0"/>
        <w:keepLines w:val="0"/>
        <w:pageBreakBefore w:val="0"/>
        <w:widowControl/>
        <w:suppressLineNumbers w:val="0"/>
        <w:kinsoku/>
        <w:wordWrap/>
        <w:overflowPunct/>
        <w:topLinePunct w:val="0"/>
        <w:bidi w:val="0"/>
        <w:snapToGrid/>
        <w:spacing w:line="576" w:lineRule="exact"/>
        <w:ind w:firstLine="640" w:firstLineChars="200"/>
        <w:jc w:val="left"/>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国内公务接待支出0.26万元，主要用于开展业务活动开支的接待餐费。国内公务接待2批次，19人次（不包括陪同人员），共计支出0.26万元，具体内容包括：内江市信访局“全国两会”期间驻广维稳产生接待餐费0.17万元；省信访局在“全国两会”期间来广督导产生接待餐费0.09万元。</w:t>
      </w:r>
    </w:p>
    <w:p>
      <w:pPr>
        <w:keepNext w:val="0"/>
        <w:keepLines w:val="0"/>
        <w:pageBreakBefore w:val="0"/>
        <w:widowControl/>
        <w:suppressLineNumbers w:val="0"/>
        <w:kinsoku/>
        <w:wordWrap/>
        <w:overflowPunct/>
        <w:topLinePunct w:val="0"/>
        <w:bidi w:val="0"/>
        <w:snapToGrid/>
        <w:spacing w:line="576" w:lineRule="exact"/>
        <w:ind w:firstLine="640" w:firstLineChars="200"/>
        <w:jc w:val="left"/>
        <w:textAlignment w:val="auto"/>
        <w:rPr>
          <w:rFonts w:hint="eastAsia" w:ascii="仿宋_GB2312" w:hAnsi="仿宋_GB2312" w:eastAsia="仿宋_GB2312" w:cs="仿宋_GB2312"/>
          <w:b w:val="0"/>
          <w:bCs/>
          <w:sz w:val="32"/>
          <w:szCs w:val="32"/>
          <w:lang w:val="en-US" w:eastAsia="zh-CN"/>
        </w:rPr>
      </w:pPr>
      <w:bookmarkStart w:id="72" w:name="_Toc15396610"/>
      <w:bookmarkStart w:id="73" w:name="_Toc15377218"/>
      <w:r>
        <w:rPr>
          <w:rFonts w:hint="eastAsia" w:ascii="仿宋_GB2312" w:hAnsi="仿宋_GB2312" w:eastAsia="仿宋_GB2312" w:cs="仿宋_GB2312"/>
          <w:b w:val="0"/>
          <w:bCs/>
          <w:sz w:val="32"/>
          <w:szCs w:val="32"/>
          <w:lang w:val="en-US" w:eastAsia="zh-CN"/>
        </w:rPr>
        <w:t>外事接待支出0万元，外事接待0批次，0人次。</w:t>
      </w:r>
    </w:p>
    <w:p>
      <w:pPr>
        <w:keepNext w:val="0"/>
        <w:keepLines w:val="0"/>
        <w:pageBreakBefore w:val="0"/>
        <w:kinsoku/>
        <w:wordWrap/>
        <w:overflowPunct/>
        <w:topLinePunct w:val="0"/>
        <w:bidi w:val="0"/>
        <w:snapToGrid/>
        <w:spacing w:line="576" w:lineRule="exact"/>
        <w:ind w:firstLine="640"/>
        <w:textAlignment w:val="auto"/>
        <w:outlineLvl w:val="1"/>
        <w:rPr>
          <w:rStyle w:val="17"/>
          <w:rFonts w:hint="eastAsia" w:ascii="黑体" w:hAnsi="黑体" w:eastAsia="黑体" w:cs="黑体"/>
          <w:color w:val="auto"/>
          <w:sz w:val="32"/>
          <w:szCs w:val="32"/>
          <w:highlight w:val="none"/>
        </w:rPr>
      </w:pPr>
      <w:bookmarkStart w:id="74" w:name="_Toc6469"/>
      <w:bookmarkStart w:id="75" w:name="_Toc14280"/>
      <w:r>
        <w:rPr>
          <w:rFonts w:hint="eastAsia" w:ascii="黑体" w:hAnsi="黑体" w:eastAsia="黑体" w:cs="黑体"/>
          <w:color w:val="auto"/>
          <w:sz w:val="32"/>
          <w:szCs w:val="32"/>
          <w:highlight w:val="none"/>
        </w:rPr>
        <w:t>八、</w:t>
      </w:r>
      <w:r>
        <w:rPr>
          <w:rStyle w:val="17"/>
          <w:rFonts w:hint="eastAsia" w:ascii="黑体" w:hAnsi="黑体" w:eastAsia="黑体" w:cs="黑体"/>
          <w:b w:val="0"/>
          <w:color w:val="auto"/>
          <w:sz w:val="32"/>
          <w:szCs w:val="32"/>
          <w:highlight w:val="none"/>
        </w:rPr>
        <w:t>政府性基金预算支出决算情况说明</w:t>
      </w:r>
      <w:bookmarkEnd w:id="72"/>
      <w:bookmarkEnd w:id="73"/>
      <w:bookmarkEnd w:id="74"/>
      <w:bookmarkEnd w:id="75"/>
    </w:p>
    <w:p>
      <w:pPr>
        <w:keepNext w:val="0"/>
        <w:keepLines w:val="0"/>
        <w:pageBreakBefore w:val="0"/>
        <w:kinsoku/>
        <w:wordWrap/>
        <w:overflowPunct/>
        <w:topLinePunct w:val="0"/>
        <w:bidi w:val="0"/>
        <w:snapToGrid/>
        <w:spacing w:line="576"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年政府性基金预算</w:t>
      </w:r>
      <w:r>
        <w:rPr>
          <w:rFonts w:hint="eastAsia" w:ascii="仿宋_GB2312" w:hAnsi="仿宋_GB2312" w:eastAsia="仿宋_GB2312" w:cs="仿宋_GB2312"/>
          <w:color w:val="auto"/>
          <w:sz w:val="32"/>
          <w:szCs w:val="32"/>
          <w:highlight w:val="none"/>
          <w:lang w:eastAsia="zh-CN"/>
        </w:rPr>
        <w:t>财政</w:t>
      </w:r>
      <w:r>
        <w:rPr>
          <w:rFonts w:hint="eastAsia" w:ascii="仿宋_GB2312" w:hAnsi="仿宋_GB2312" w:eastAsia="仿宋_GB2312" w:cs="仿宋_GB2312"/>
          <w:color w:val="auto"/>
          <w:sz w:val="32"/>
          <w:szCs w:val="32"/>
          <w:highlight w:val="none"/>
        </w:rPr>
        <w:t>拨款支出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w:t>
      </w:r>
    </w:p>
    <w:p>
      <w:pPr>
        <w:keepNext w:val="0"/>
        <w:keepLines w:val="0"/>
        <w:pageBreakBefore w:val="0"/>
        <w:numPr>
          <w:ilvl w:val="0"/>
          <w:numId w:val="3"/>
        </w:numPr>
        <w:kinsoku/>
        <w:wordWrap/>
        <w:overflowPunct/>
        <w:topLinePunct w:val="0"/>
        <w:bidi w:val="0"/>
        <w:snapToGrid/>
        <w:spacing w:line="576" w:lineRule="exact"/>
        <w:ind w:firstLine="640"/>
        <w:textAlignment w:val="auto"/>
        <w:outlineLvl w:val="1"/>
        <w:rPr>
          <w:rStyle w:val="17"/>
          <w:rFonts w:hint="eastAsia" w:ascii="黑体" w:hAnsi="黑体" w:eastAsia="黑体" w:cs="黑体"/>
          <w:b w:val="0"/>
          <w:color w:val="auto"/>
          <w:sz w:val="32"/>
          <w:szCs w:val="32"/>
          <w:highlight w:val="none"/>
        </w:rPr>
      </w:pPr>
      <w:bookmarkStart w:id="76" w:name="_Toc15377219"/>
      <w:bookmarkStart w:id="77" w:name="_Toc15396611"/>
      <w:bookmarkStart w:id="78" w:name="_Toc14047"/>
      <w:bookmarkStart w:id="79" w:name="_Toc28128"/>
      <w:r>
        <w:rPr>
          <w:rStyle w:val="17"/>
          <w:rFonts w:hint="eastAsia" w:ascii="黑体" w:hAnsi="黑体" w:eastAsia="黑体" w:cs="黑体"/>
          <w:b w:val="0"/>
          <w:color w:val="auto"/>
          <w:sz w:val="32"/>
          <w:szCs w:val="32"/>
          <w:highlight w:val="none"/>
        </w:rPr>
        <w:t>国有资本经营预算支出决算情况说明</w:t>
      </w:r>
      <w:bookmarkEnd w:id="76"/>
      <w:bookmarkEnd w:id="77"/>
      <w:bookmarkEnd w:id="78"/>
      <w:bookmarkEnd w:id="79"/>
    </w:p>
    <w:p>
      <w:pPr>
        <w:keepNext w:val="0"/>
        <w:keepLines w:val="0"/>
        <w:pageBreakBefore w:val="0"/>
        <w:kinsoku/>
        <w:wordWrap/>
        <w:overflowPunct/>
        <w:topLinePunct w:val="0"/>
        <w:bidi w:val="0"/>
        <w:snapToGrid/>
        <w:spacing w:line="576"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年国有资本经营预算</w:t>
      </w:r>
      <w:r>
        <w:rPr>
          <w:rFonts w:hint="eastAsia" w:ascii="仿宋_GB2312" w:hAnsi="仿宋_GB2312" w:eastAsia="仿宋_GB2312" w:cs="仿宋_GB2312"/>
          <w:color w:val="auto"/>
          <w:sz w:val="32"/>
          <w:szCs w:val="32"/>
          <w:highlight w:val="none"/>
          <w:lang w:eastAsia="zh-CN"/>
        </w:rPr>
        <w:t>财政</w:t>
      </w:r>
      <w:r>
        <w:rPr>
          <w:rFonts w:hint="eastAsia" w:ascii="仿宋_GB2312" w:hAnsi="仿宋_GB2312" w:eastAsia="仿宋_GB2312" w:cs="仿宋_GB2312"/>
          <w:color w:val="auto"/>
          <w:sz w:val="32"/>
          <w:szCs w:val="32"/>
          <w:highlight w:val="none"/>
        </w:rPr>
        <w:t>拨款支出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w:t>
      </w:r>
    </w:p>
    <w:p>
      <w:pPr>
        <w:keepNext w:val="0"/>
        <w:keepLines w:val="0"/>
        <w:pageBreakBefore w:val="0"/>
        <w:kinsoku/>
        <w:wordWrap/>
        <w:overflowPunct/>
        <w:topLinePunct w:val="0"/>
        <w:bidi w:val="0"/>
        <w:snapToGrid/>
        <w:spacing w:line="576" w:lineRule="exact"/>
        <w:ind w:firstLine="640"/>
        <w:textAlignment w:val="auto"/>
        <w:outlineLvl w:val="1"/>
        <w:rPr>
          <w:rFonts w:hint="eastAsia" w:ascii="黑体" w:hAnsi="黑体" w:eastAsia="黑体" w:cs="黑体"/>
          <w:color w:val="auto"/>
          <w:sz w:val="32"/>
          <w:szCs w:val="32"/>
          <w:highlight w:val="none"/>
        </w:rPr>
      </w:pPr>
      <w:bookmarkStart w:id="80" w:name="_Toc15396612"/>
      <w:bookmarkStart w:id="81" w:name="_Toc15377221"/>
      <w:bookmarkStart w:id="82" w:name="_Toc7410"/>
      <w:bookmarkStart w:id="83" w:name="_Toc15999"/>
      <w:r>
        <w:rPr>
          <w:rFonts w:hint="eastAsia" w:ascii="黑体" w:hAnsi="黑体" w:eastAsia="黑体" w:cs="黑体"/>
          <w:color w:val="auto"/>
          <w:sz w:val="32"/>
          <w:szCs w:val="32"/>
          <w:highlight w:val="none"/>
          <w:lang w:eastAsia="zh-CN"/>
        </w:rPr>
        <w:t>十、</w:t>
      </w:r>
      <w:r>
        <w:rPr>
          <w:rFonts w:hint="eastAsia" w:ascii="黑体" w:hAnsi="黑体" w:eastAsia="黑体" w:cs="黑体"/>
          <w:color w:val="auto"/>
          <w:sz w:val="32"/>
          <w:szCs w:val="32"/>
          <w:highlight w:val="none"/>
        </w:rPr>
        <w:t>其他重要事项的情况说明</w:t>
      </w:r>
      <w:bookmarkEnd w:id="80"/>
      <w:bookmarkEnd w:id="81"/>
      <w:bookmarkEnd w:id="82"/>
      <w:bookmarkEnd w:id="83"/>
    </w:p>
    <w:p>
      <w:pPr>
        <w:keepNext w:val="0"/>
        <w:keepLines w:val="0"/>
        <w:pageBreakBefore w:val="0"/>
        <w:kinsoku/>
        <w:wordWrap/>
        <w:overflowPunct/>
        <w:topLinePunct w:val="0"/>
        <w:bidi w:val="0"/>
        <w:snapToGrid/>
        <w:spacing w:line="576" w:lineRule="exact"/>
        <w:ind w:firstLine="640" w:firstLineChars="200"/>
        <w:textAlignment w:val="auto"/>
        <w:outlineLvl w:val="2"/>
        <w:rPr>
          <w:rFonts w:hint="eastAsia" w:ascii="楷体_GB2312" w:hAnsi="楷体_GB2312" w:eastAsia="楷体_GB2312" w:cs="楷体_GB2312"/>
          <w:b w:val="0"/>
          <w:bCs/>
          <w:color w:val="auto"/>
          <w:sz w:val="32"/>
          <w:szCs w:val="32"/>
          <w:highlight w:val="none"/>
        </w:rPr>
      </w:pPr>
      <w:bookmarkStart w:id="84" w:name="_Toc15377222"/>
      <w:r>
        <w:rPr>
          <w:rFonts w:hint="eastAsia" w:ascii="楷体_GB2312" w:hAnsi="楷体_GB2312" w:eastAsia="楷体_GB2312" w:cs="楷体_GB2312"/>
          <w:b w:val="0"/>
          <w:bCs/>
          <w:color w:val="auto"/>
          <w:sz w:val="32"/>
          <w:szCs w:val="32"/>
          <w:highlight w:val="none"/>
        </w:rPr>
        <w:t>（一）机关运行经费支出情况</w:t>
      </w:r>
      <w:bookmarkEnd w:id="84"/>
    </w:p>
    <w:p>
      <w:pPr>
        <w:keepNext w:val="0"/>
        <w:keepLines w:val="0"/>
        <w:pageBreakBefore w:val="0"/>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b w:val="0"/>
          <w:bCs w:val="0"/>
          <w:color w:val="auto"/>
          <w:sz w:val="32"/>
          <w:szCs w:val="32"/>
          <w:highlight w:val="none"/>
        </w:rPr>
      </w:pPr>
      <w:bookmarkStart w:id="85" w:name="_Toc15377223"/>
      <w:r>
        <w:rPr>
          <w:rFonts w:hint="eastAsia" w:ascii="仿宋_GB2312" w:hAnsi="仿宋_GB2312" w:eastAsia="仿宋_GB2312" w:cs="仿宋_GB2312"/>
          <w:b w:val="0"/>
          <w:bCs w:val="0"/>
          <w:color w:val="auto"/>
          <w:sz w:val="32"/>
          <w:szCs w:val="32"/>
          <w:highlight w:val="none"/>
        </w:rPr>
        <w:t>202</w:t>
      </w:r>
      <w:r>
        <w:rPr>
          <w:rFonts w:hint="eastAsia" w:ascii="仿宋_GB2312" w:hAnsi="仿宋_GB2312" w:eastAsia="仿宋_GB2312" w:cs="仿宋_GB2312"/>
          <w:b w:val="0"/>
          <w:bCs w:val="0"/>
          <w:color w:val="auto"/>
          <w:sz w:val="32"/>
          <w:szCs w:val="32"/>
          <w:highlight w:val="none"/>
          <w:lang w:val="en-US" w:eastAsia="zh-CN"/>
        </w:rPr>
        <w:t>2</w:t>
      </w:r>
      <w:r>
        <w:rPr>
          <w:rFonts w:hint="eastAsia" w:ascii="仿宋_GB2312" w:hAnsi="仿宋_GB2312" w:eastAsia="仿宋_GB2312" w:cs="仿宋_GB2312"/>
          <w:b w:val="0"/>
          <w:bCs w:val="0"/>
          <w:color w:val="auto"/>
          <w:sz w:val="32"/>
          <w:szCs w:val="32"/>
          <w:highlight w:val="none"/>
        </w:rPr>
        <w:t>年未发生机关运行经费支出，与202</w:t>
      </w:r>
      <w:r>
        <w:rPr>
          <w:rFonts w:hint="eastAsia" w:ascii="仿宋_GB2312" w:hAnsi="仿宋_GB2312" w:eastAsia="仿宋_GB2312" w:cs="仿宋_GB2312"/>
          <w:b w:val="0"/>
          <w:bCs w:val="0"/>
          <w:color w:val="auto"/>
          <w:sz w:val="32"/>
          <w:szCs w:val="32"/>
          <w:highlight w:val="none"/>
          <w:lang w:val="en-US" w:eastAsia="zh-CN"/>
        </w:rPr>
        <w:t>1</w:t>
      </w:r>
      <w:r>
        <w:rPr>
          <w:rFonts w:hint="eastAsia" w:ascii="仿宋_GB2312" w:hAnsi="仿宋_GB2312" w:eastAsia="仿宋_GB2312" w:cs="仿宋_GB2312"/>
          <w:b w:val="0"/>
          <w:bCs w:val="0"/>
          <w:color w:val="auto"/>
          <w:sz w:val="32"/>
          <w:szCs w:val="32"/>
          <w:highlight w:val="none"/>
        </w:rPr>
        <w:t>年决算数持平</w:t>
      </w:r>
      <w:r>
        <w:rPr>
          <w:rFonts w:hint="eastAsia" w:ascii="仿宋_GB2312" w:hAnsi="仿宋_GB2312" w:eastAsia="仿宋_GB2312" w:cs="仿宋_GB2312"/>
          <w:b w:val="0"/>
          <w:bCs w:val="0"/>
          <w:color w:val="auto"/>
          <w:sz w:val="32"/>
          <w:szCs w:val="32"/>
          <w:highlight w:val="none"/>
          <w:lang w:eastAsia="zh-CN"/>
        </w:rPr>
        <w:t>。</w:t>
      </w:r>
    </w:p>
    <w:p>
      <w:pPr>
        <w:keepNext w:val="0"/>
        <w:keepLines w:val="0"/>
        <w:pageBreakBefore w:val="0"/>
        <w:kinsoku/>
        <w:wordWrap/>
        <w:overflowPunct/>
        <w:topLinePunct w:val="0"/>
        <w:bidi w:val="0"/>
        <w:snapToGrid/>
        <w:spacing w:line="576" w:lineRule="exact"/>
        <w:ind w:firstLine="640" w:firstLineChars="200"/>
        <w:textAlignment w:val="auto"/>
        <w:outlineLvl w:val="2"/>
        <w:rPr>
          <w:rFonts w:hint="eastAsia" w:ascii="楷体_GB2312" w:hAnsi="楷体_GB2312" w:eastAsia="楷体_GB2312" w:cs="楷体_GB2312"/>
          <w:b w:val="0"/>
          <w:bCs/>
          <w:color w:val="auto"/>
          <w:sz w:val="32"/>
          <w:szCs w:val="32"/>
          <w:highlight w:val="none"/>
        </w:rPr>
      </w:pPr>
      <w:r>
        <w:rPr>
          <w:rFonts w:hint="eastAsia" w:ascii="楷体_GB2312" w:hAnsi="楷体_GB2312" w:eastAsia="楷体_GB2312" w:cs="楷体_GB2312"/>
          <w:b w:val="0"/>
          <w:bCs/>
          <w:color w:val="auto"/>
          <w:sz w:val="32"/>
          <w:szCs w:val="32"/>
          <w:highlight w:val="none"/>
        </w:rPr>
        <w:t>（二）政府采购支出情况</w:t>
      </w:r>
      <w:bookmarkEnd w:id="85"/>
    </w:p>
    <w:p>
      <w:pPr>
        <w:keepNext w:val="0"/>
        <w:keepLines w:val="0"/>
        <w:pageBreakBefore w:val="0"/>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广元市群众工作局</w:t>
      </w:r>
      <w:r>
        <w:rPr>
          <w:rFonts w:hint="eastAsia" w:ascii="仿宋_GB2312" w:hAnsi="仿宋_GB2312" w:eastAsia="仿宋_GB2312" w:cs="仿宋_GB2312"/>
          <w:color w:val="auto"/>
          <w:sz w:val="32"/>
          <w:szCs w:val="32"/>
          <w:highlight w:val="none"/>
        </w:rPr>
        <w:t>政府采购支出总额</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万元，其中：政府采购货物支出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万元、政府采购工程支出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万元、政府采购服务支出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w:t>
      </w:r>
    </w:p>
    <w:p>
      <w:pPr>
        <w:keepNext w:val="0"/>
        <w:keepLines w:val="0"/>
        <w:pageBreakBefore w:val="0"/>
        <w:kinsoku/>
        <w:wordWrap/>
        <w:overflowPunct/>
        <w:topLinePunct w:val="0"/>
        <w:bidi w:val="0"/>
        <w:snapToGrid/>
        <w:spacing w:line="576" w:lineRule="exact"/>
        <w:ind w:firstLine="640" w:firstLineChars="200"/>
        <w:textAlignment w:val="auto"/>
        <w:outlineLvl w:val="2"/>
        <w:rPr>
          <w:rFonts w:hint="eastAsia" w:ascii="楷体_GB2312" w:hAnsi="楷体_GB2312" w:eastAsia="楷体_GB2312" w:cs="楷体_GB2312"/>
          <w:b w:val="0"/>
          <w:bCs/>
          <w:color w:val="auto"/>
          <w:sz w:val="32"/>
          <w:szCs w:val="32"/>
          <w:highlight w:val="none"/>
        </w:rPr>
      </w:pPr>
      <w:bookmarkStart w:id="86" w:name="_Toc15377224"/>
      <w:r>
        <w:rPr>
          <w:rFonts w:hint="eastAsia" w:ascii="楷体_GB2312" w:hAnsi="楷体_GB2312" w:eastAsia="楷体_GB2312" w:cs="楷体_GB2312"/>
          <w:b w:val="0"/>
          <w:bCs/>
          <w:color w:val="auto"/>
          <w:sz w:val="32"/>
          <w:szCs w:val="32"/>
          <w:highlight w:val="none"/>
        </w:rPr>
        <w:t>（三）国有资产占有使用情况</w:t>
      </w:r>
      <w:bookmarkEnd w:id="86"/>
    </w:p>
    <w:p>
      <w:pPr>
        <w:keepNext w:val="0"/>
        <w:keepLines w:val="0"/>
        <w:pageBreakBefore w:val="0"/>
        <w:widowControl/>
        <w:suppressLineNumbers w:val="0"/>
        <w:kinsoku/>
        <w:wordWrap/>
        <w:overflowPunct/>
        <w:topLinePunct w:val="0"/>
        <w:autoSpaceDE w:val="0"/>
        <w:autoSpaceDN w:val="0"/>
        <w:bidi w:val="0"/>
        <w:adjustRightInd w:val="0"/>
        <w:snapToGrid/>
        <w:spacing w:before="0" w:beforeAutospacing="1" w:after="0" w:afterAutospacing="1" w:line="576" w:lineRule="exact"/>
        <w:ind w:left="0" w:right="0" w:firstLine="640" w:firstLineChars="200"/>
        <w:jc w:val="left"/>
        <w:textAlignment w:val="auto"/>
        <w:rPr>
          <w:rFonts w:hint="default"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截至20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年12月31日，</w:t>
      </w:r>
      <w:r>
        <w:rPr>
          <w:rFonts w:hint="eastAsia" w:ascii="仿宋_GB2312" w:hAnsi="仿宋_GB2312" w:eastAsia="仿宋_GB2312" w:cs="仿宋_GB2312"/>
          <w:color w:val="auto"/>
          <w:sz w:val="32"/>
          <w:szCs w:val="32"/>
          <w:highlight w:val="none"/>
          <w:lang w:eastAsia="zh-CN"/>
        </w:rPr>
        <w:t>广元市群众工作中心</w:t>
      </w:r>
      <w:r>
        <w:rPr>
          <w:rFonts w:hint="eastAsia" w:ascii="仿宋_GB2312" w:hAnsi="仿宋_GB2312" w:eastAsia="仿宋_GB2312" w:cs="仿宋_GB2312"/>
          <w:color w:val="auto"/>
          <w:sz w:val="32"/>
          <w:szCs w:val="32"/>
          <w:highlight w:val="none"/>
        </w:rPr>
        <w:t>共有车辆</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辆。</w:t>
      </w:r>
      <w:r>
        <w:rPr>
          <w:rFonts w:ascii="方正仿宋简体" w:hAnsi="方正仿宋简体" w:eastAsia="方正仿宋简体" w:cs="方正仿宋简体"/>
          <w:kern w:val="2"/>
          <w:sz w:val="32"/>
          <w:szCs w:val="32"/>
          <w:lang w:val="en-US" w:eastAsia="zh-CN" w:bidi="ar"/>
        </w:rPr>
        <w:t>单价</w:t>
      </w:r>
      <w:r>
        <w:rPr>
          <w:rFonts w:hint="default" w:ascii="方正仿宋简体" w:hAnsi="方正仿宋简体" w:eastAsia="方正仿宋简体" w:cs="方正仿宋简体"/>
          <w:kern w:val="2"/>
          <w:sz w:val="32"/>
          <w:szCs w:val="32"/>
          <w:lang w:val="en-US" w:eastAsia="zh-CN" w:bidi="ar"/>
        </w:rPr>
        <w:t>100万元以上专用设备1台（套）</w:t>
      </w:r>
      <w:r>
        <w:rPr>
          <w:rFonts w:hint="default" w:ascii="方正仿宋简体" w:hAnsi="方正仿宋简体" w:eastAsia="方正仿宋简体" w:cs="方正仿宋简体"/>
          <w:kern w:val="2"/>
          <w:sz w:val="32"/>
          <w:szCs w:val="32"/>
          <w:lang w:eastAsia="zh-CN" w:bidi="ar"/>
        </w:rPr>
        <w:t>。</w:t>
      </w:r>
    </w:p>
    <w:p>
      <w:pPr>
        <w:keepNext w:val="0"/>
        <w:keepLines w:val="0"/>
        <w:pageBreakBefore w:val="0"/>
        <w:kinsoku/>
        <w:wordWrap/>
        <w:overflowPunct/>
        <w:topLinePunct w:val="0"/>
        <w:bidi w:val="0"/>
        <w:snapToGrid/>
        <w:spacing w:line="576" w:lineRule="exact"/>
        <w:ind w:firstLine="640" w:firstLineChars="200"/>
        <w:textAlignment w:val="auto"/>
        <w:outlineLvl w:val="2"/>
        <w:rPr>
          <w:rFonts w:hint="eastAsia" w:ascii="楷体_GB2312" w:hAnsi="楷体_GB2312" w:eastAsia="楷体_GB2312" w:cs="楷体_GB2312"/>
          <w:b w:val="0"/>
          <w:bCs/>
          <w:color w:val="auto"/>
          <w:sz w:val="32"/>
          <w:szCs w:val="32"/>
          <w:highlight w:val="none"/>
          <w:lang w:eastAsia="zh-CN"/>
        </w:rPr>
      </w:pPr>
      <w:r>
        <w:rPr>
          <w:rFonts w:hint="eastAsia" w:ascii="楷体_GB2312" w:hAnsi="楷体_GB2312" w:eastAsia="楷体_GB2312" w:cs="楷体_GB2312"/>
          <w:b w:val="0"/>
          <w:bCs/>
          <w:color w:val="auto"/>
          <w:sz w:val="32"/>
          <w:szCs w:val="32"/>
          <w:highlight w:val="none"/>
        </w:rPr>
        <w:t>（四）预算绩效管理情况</w:t>
      </w:r>
    </w:p>
    <w:p>
      <w:pPr>
        <w:pStyle w:val="2"/>
        <w:keepNext w:val="0"/>
        <w:keepLines w:val="0"/>
        <w:pageBreakBefore w:val="0"/>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w:t>
      </w:r>
      <w:r>
        <w:rPr>
          <w:rFonts w:hint="eastAsia" w:ascii="仿宋_GB2312" w:hAnsi="仿宋_GB2312" w:eastAsia="仿宋_GB2312" w:cs="仿宋_GB2312"/>
          <w:color w:val="auto"/>
          <w:sz w:val="32"/>
          <w:szCs w:val="32"/>
          <w:highlight w:val="none"/>
          <w:lang w:eastAsia="zh-CN"/>
        </w:rPr>
        <w:t>资助救助</w:t>
      </w:r>
      <w:r>
        <w:rPr>
          <w:rFonts w:hint="eastAsia" w:ascii="仿宋_GB2312" w:hAnsi="仿宋_GB2312" w:eastAsia="仿宋_GB2312" w:cs="仿宋_GB2312"/>
          <w:color w:val="auto"/>
          <w:sz w:val="32"/>
          <w:szCs w:val="32"/>
          <w:highlight w:val="none"/>
        </w:rPr>
        <w:t>等</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个项目开展了预算事前绩效评估，对</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个项目编制了绩效目标，预算执行过程中，选取</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个项目开展绩效监控，组织对</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个项目开展绩效自评，绩效自评表详见</w:t>
      </w:r>
      <w:r>
        <w:rPr>
          <w:rFonts w:hint="eastAsia" w:ascii="仿宋_GB2312" w:hAnsi="仿宋_GB2312" w:eastAsia="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p>
    <w:p>
      <w:pPr>
        <w:widowControl/>
        <w:jc w:val="left"/>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br w:type="page"/>
      </w:r>
    </w:p>
    <w:p>
      <w:pPr>
        <w:numPr>
          <w:ilvl w:val="0"/>
          <w:numId w:val="0"/>
        </w:numPr>
        <w:spacing w:line="600" w:lineRule="exact"/>
        <w:jc w:val="center"/>
        <w:outlineLvl w:val="0"/>
        <w:rPr>
          <w:rStyle w:val="16"/>
          <w:rFonts w:hint="eastAsia" w:ascii="方正小标宋简体" w:hAnsi="方正小标宋简体" w:eastAsia="方正小标宋简体" w:cs="方正小标宋简体"/>
          <w:b w:val="0"/>
          <w:color w:val="auto"/>
          <w:sz w:val="44"/>
          <w:szCs w:val="44"/>
          <w:highlight w:val="none"/>
        </w:rPr>
      </w:pPr>
      <w:bookmarkStart w:id="87" w:name="_Toc15132"/>
      <w:bookmarkStart w:id="88" w:name="_Toc11786"/>
      <w:bookmarkStart w:id="89" w:name="_Toc15396613"/>
      <w:bookmarkStart w:id="90" w:name="_Toc15377225"/>
      <w:r>
        <w:rPr>
          <w:rFonts w:hint="eastAsia" w:ascii="方正小标宋简体" w:hAnsi="方正小标宋简体" w:eastAsia="方正小标宋简体" w:cs="方正小标宋简体"/>
          <w:color w:val="auto"/>
          <w:sz w:val="44"/>
          <w:szCs w:val="44"/>
          <w:highlight w:val="none"/>
          <w:lang w:eastAsia="zh-CN"/>
        </w:rPr>
        <w:t>第三部分</w:t>
      </w:r>
      <w:r>
        <w:rPr>
          <w:rFonts w:hint="eastAsia" w:ascii="方正小标宋简体" w:hAnsi="方正小标宋简体" w:eastAsia="方正小标宋简体" w:cs="方正小标宋简体"/>
          <w:color w:val="auto"/>
          <w:sz w:val="44"/>
          <w:szCs w:val="44"/>
          <w:highlight w:val="none"/>
          <w:lang w:val="en-US" w:eastAsia="zh-CN"/>
        </w:rPr>
        <w:t xml:space="preserve"> </w:t>
      </w:r>
      <w:r>
        <w:rPr>
          <w:rFonts w:hint="eastAsia" w:ascii="方正小标宋简体" w:hAnsi="方正小标宋简体" w:eastAsia="方正小标宋简体" w:cs="方正小标宋简体"/>
          <w:color w:val="auto"/>
          <w:sz w:val="44"/>
          <w:szCs w:val="44"/>
          <w:highlight w:val="none"/>
        </w:rPr>
        <w:t>名</w:t>
      </w:r>
      <w:r>
        <w:rPr>
          <w:rStyle w:val="16"/>
          <w:rFonts w:hint="eastAsia" w:ascii="方正小标宋简体" w:hAnsi="方正小标宋简体" w:eastAsia="方正小标宋简体" w:cs="方正小标宋简体"/>
          <w:b w:val="0"/>
          <w:color w:val="auto"/>
          <w:sz w:val="44"/>
          <w:szCs w:val="44"/>
          <w:highlight w:val="none"/>
        </w:rPr>
        <w:t>词解释</w:t>
      </w:r>
      <w:bookmarkEnd w:id="87"/>
      <w:bookmarkEnd w:id="88"/>
      <w:bookmarkEnd w:id="89"/>
      <w:bookmarkEnd w:id="90"/>
    </w:p>
    <w:p>
      <w:pPr>
        <w:spacing w:line="600" w:lineRule="exact"/>
        <w:jc w:val="left"/>
        <w:rPr>
          <w:rFonts w:hint="eastAsia" w:ascii="仿宋_GB2312" w:hAnsi="仿宋_GB2312" w:eastAsia="仿宋_GB2312" w:cs="仿宋_GB2312"/>
          <w:b/>
          <w:color w:val="auto"/>
          <w:sz w:val="32"/>
          <w:szCs w:val="32"/>
          <w:highlight w:val="none"/>
        </w:rPr>
      </w:pPr>
    </w:p>
    <w:p>
      <w:pPr>
        <w:pStyle w:val="25"/>
        <w:numPr>
          <w:ilvl w:val="0"/>
          <w:numId w:val="4"/>
        </w:numPr>
        <w:spacing w:line="560" w:lineRule="exact"/>
        <w:ind w:left="0" w:leftChars="0" w:firstLine="400" w:firstLineChars="0"/>
        <w:rPr>
          <w:rFonts w:hint="eastAsia" w:ascii="仿宋_GB2312" w:hAnsi="仿宋_GB2312" w:eastAsia="仿宋_GB2312" w:cs="仿宋_GB2312"/>
          <w:b w:val="0"/>
          <w:bCs/>
          <w:color w:val="auto"/>
          <w:kern w:val="2"/>
          <w:sz w:val="32"/>
          <w:szCs w:val="32"/>
          <w:highlight w:val="none"/>
          <w:lang w:val="en-US" w:eastAsia="zh-CN" w:bidi="ar-SA"/>
        </w:rPr>
      </w:pPr>
      <w:bookmarkStart w:id="91" w:name="_Toc15377226"/>
      <w:r>
        <w:rPr>
          <w:rFonts w:hint="eastAsia" w:ascii="仿宋_GB2312" w:hAnsi="仿宋_GB2312" w:eastAsia="仿宋_GB2312" w:cs="仿宋_GB2312"/>
          <w:b w:val="0"/>
          <w:bCs/>
          <w:color w:val="auto"/>
          <w:kern w:val="2"/>
          <w:sz w:val="32"/>
          <w:szCs w:val="32"/>
          <w:highlight w:val="none"/>
          <w:lang w:val="en-US" w:eastAsia="zh-CN" w:bidi="ar-SA"/>
        </w:rPr>
        <w:t xml:space="preserve">财政拨款收入：指单位从同级财政部门取得的财政预算资金。  </w:t>
      </w:r>
    </w:p>
    <w:p>
      <w:pPr>
        <w:pStyle w:val="25"/>
        <w:numPr>
          <w:ilvl w:val="0"/>
          <w:numId w:val="4"/>
        </w:numPr>
        <w:spacing w:line="560" w:lineRule="exact"/>
        <w:ind w:left="0" w:leftChars="0" w:firstLine="400" w:firstLineChars="0"/>
        <w:rPr>
          <w:rFonts w:hint="eastAsia" w:ascii="仿宋_GB2312" w:hAnsi="仿宋_GB2312" w:eastAsia="仿宋_GB2312" w:cs="仿宋_GB2312"/>
          <w:b w:val="0"/>
          <w:bCs/>
          <w:color w:val="auto"/>
          <w:kern w:val="2"/>
          <w:sz w:val="32"/>
          <w:szCs w:val="32"/>
          <w:highlight w:val="none"/>
          <w:lang w:val="en-US" w:eastAsia="zh-CN" w:bidi="ar-SA"/>
        </w:rPr>
      </w:pPr>
      <w:r>
        <w:rPr>
          <w:rFonts w:hint="eastAsia" w:ascii="仿宋_GB2312" w:hAnsi="仿宋_GB2312" w:eastAsia="仿宋_GB2312" w:cs="仿宋_GB2312"/>
          <w:b w:val="0"/>
          <w:bCs/>
          <w:color w:val="auto"/>
          <w:kern w:val="2"/>
          <w:sz w:val="32"/>
          <w:szCs w:val="32"/>
          <w:highlight w:val="none"/>
          <w:lang w:val="en-US" w:eastAsia="zh-CN" w:bidi="ar-SA"/>
        </w:rPr>
        <w:t>年初结转和结余：指以前年度尚未完成、结转到本年按有关规定继续使用的资金。</w:t>
      </w:r>
    </w:p>
    <w:p>
      <w:pPr>
        <w:keepNext w:val="0"/>
        <w:keepLines w:val="0"/>
        <w:widowControl/>
        <w:numPr>
          <w:ilvl w:val="0"/>
          <w:numId w:val="4"/>
        </w:numPr>
        <w:suppressLineNumbers w:val="0"/>
        <w:ind w:left="0" w:leftChars="0" w:firstLine="400" w:firstLineChars="0"/>
        <w:jc w:val="left"/>
        <w:rPr>
          <w:rFonts w:hint="eastAsia" w:ascii="仿宋_GB2312" w:hAnsi="仿宋_GB2312" w:eastAsia="仿宋_GB2312" w:cs="仿宋_GB2312"/>
          <w:b w:val="0"/>
          <w:bCs/>
          <w:color w:val="auto"/>
          <w:kern w:val="2"/>
          <w:sz w:val="32"/>
          <w:szCs w:val="32"/>
          <w:highlight w:val="none"/>
          <w:lang w:val="en-US" w:eastAsia="zh-CN" w:bidi="ar-SA"/>
        </w:rPr>
      </w:pPr>
      <w:r>
        <w:rPr>
          <w:rFonts w:hint="eastAsia" w:ascii="仿宋_GB2312" w:hAnsi="仿宋_GB2312" w:eastAsia="仿宋_GB2312" w:cs="仿宋_GB2312"/>
          <w:b w:val="0"/>
          <w:bCs/>
          <w:color w:val="auto"/>
          <w:kern w:val="2"/>
          <w:sz w:val="32"/>
          <w:szCs w:val="32"/>
          <w:highlight w:val="none"/>
          <w:lang w:val="en-US" w:eastAsia="zh-CN" w:bidi="ar-SA"/>
        </w:rPr>
        <w:t>一般公共服务（类）政府办公厅及相关机构事务（款）信访事务（项）指用于信访事项化解方面的支出。</w:t>
      </w:r>
    </w:p>
    <w:p>
      <w:pPr>
        <w:pStyle w:val="25"/>
        <w:pageBreakBefore w:val="0"/>
        <w:numPr>
          <w:ilvl w:val="0"/>
          <w:numId w:val="4"/>
        </w:numPr>
        <w:kinsoku/>
        <w:wordWrap/>
        <w:overflowPunct/>
        <w:topLinePunct w:val="0"/>
        <w:bidi w:val="0"/>
        <w:spacing w:line="576" w:lineRule="exact"/>
        <w:ind w:left="0" w:leftChars="0" w:firstLine="400" w:firstLineChars="0"/>
        <w:rPr>
          <w:rFonts w:hint="eastAsia" w:ascii="仿宋_GB2312" w:hAnsi="仿宋_GB2312" w:eastAsia="仿宋_GB2312" w:cs="仿宋_GB2312"/>
          <w:b w:val="0"/>
          <w:bCs/>
          <w:color w:val="auto"/>
          <w:kern w:val="2"/>
          <w:sz w:val="32"/>
          <w:szCs w:val="32"/>
          <w:highlight w:val="none"/>
          <w:lang w:val="en-US" w:eastAsia="zh-CN" w:bidi="ar-SA"/>
        </w:rPr>
      </w:pPr>
      <w:r>
        <w:rPr>
          <w:rFonts w:hint="eastAsia" w:ascii="仿宋_GB2312" w:hAnsi="仿宋_GB2312" w:eastAsia="仿宋_GB2312" w:cs="仿宋_GB2312"/>
          <w:b w:val="0"/>
          <w:bCs/>
          <w:color w:val="auto"/>
          <w:kern w:val="2"/>
          <w:sz w:val="32"/>
          <w:szCs w:val="32"/>
          <w:highlight w:val="none"/>
          <w:lang w:val="en-US" w:eastAsia="zh-CN" w:bidi="ar-SA"/>
        </w:rPr>
        <w:t>一般公共服务（类）政府办公厅及相关机构事务（款）事业运行（项）指事业单位正常运行和开展日常工作的基本支出。</w:t>
      </w:r>
    </w:p>
    <w:p>
      <w:pPr>
        <w:pageBreakBefore w:val="0"/>
        <w:numPr>
          <w:ilvl w:val="0"/>
          <w:numId w:val="4"/>
        </w:numPr>
        <w:kinsoku/>
        <w:wordWrap/>
        <w:overflowPunct/>
        <w:topLinePunct w:val="0"/>
        <w:bidi w:val="0"/>
        <w:spacing w:line="576" w:lineRule="exact"/>
        <w:ind w:left="0" w:leftChars="0" w:firstLine="400" w:firstLineChars="0"/>
        <w:rPr>
          <w:rFonts w:hint="eastAsia" w:ascii="仿宋_GB2312" w:hAnsi="仿宋_GB2312" w:eastAsia="仿宋_GB2312" w:cs="仿宋_GB2312"/>
          <w:b w:val="0"/>
          <w:bCs/>
          <w:color w:val="auto"/>
          <w:kern w:val="2"/>
          <w:sz w:val="32"/>
          <w:szCs w:val="32"/>
          <w:highlight w:val="none"/>
          <w:lang w:val="en-US" w:eastAsia="zh-CN" w:bidi="ar-SA"/>
        </w:rPr>
      </w:pPr>
      <w:r>
        <w:rPr>
          <w:rFonts w:hint="eastAsia" w:ascii="仿宋_GB2312" w:hAnsi="仿宋_GB2312" w:eastAsia="仿宋_GB2312" w:cs="仿宋_GB2312"/>
          <w:b w:val="0"/>
          <w:bCs/>
          <w:color w:val="auto"/>
          <w:kern w:val="2"/>
          <w:sz w:val="32"/>
          <w:szCs w:val="32"/>
          <w:highlight w:val="none"/>
          <w:lang w:val="en-US" w:eastAsia="zh-CN" w:bidi="ar-SA"/>
        </w:rPr>
        <w:t>社会保障和就业（类）行政事业单位基本养老（款）机关事业单位基本养老保险支出（项）指机关事业单位实施养老保险制度由单位缴纳的基本养老保险费支出。</w:t>
      </w:r>
    </w:p>
    <w:p>
      <w:pPr>
        <w:keepNext w:val="0"/>
        <w:keepLines w:val="0"/>
        <w:widowControl/>
        <w:numPr>
          <w:ilvl w:val="0"/>
          <w:numId w:val="4"/>
        </w:numPr>
        <w:suppressLineNumbers w:val="0"/>
        <w:ind w:left="0" w:leftChars="0" w:firstLine="400" w:firstLineChars="0"/>
        <w:jc w:val="left"/>
        <w:rPr>
          <w:rFonts w:hint="eastAsia" w:ascii="仿宋_GB2312" w:hAnsi="仿宋_GB2312" w:eastAsia="仿宋_GB2312" w:cs="仿宋_GB2312"/>
          <w:b w:val="0"/>
          <w:bCs/>
          <w:color w:val="auto"/>
          <w:kern w:val="2"/>
          <w:sz w:val="32"/>
          <w:szCs w:val="32"/>
          <w:highlight w:val="none"/>
          <w:lang w:val="en-US" w:eastAsia="zh-CN" w:bidi="ar-SA"/>
        </w:rPr>
      </w:pPr>
      <w:r>
        <w:rPr>
          <w:rFonts w:hint="eastAsia" w:ascii="仿宋_GB2312" w:hAnsi="仿宋_GB2312" w:eastAsia="仿宋_GB2312" w:cs="仿宋_GB2312"/>
          <w:b w:val="0"/>
          <w:bCs/>
          <w:color w:val="auto"/>
          <w:kern w:val="2"/>
          <w:sz w:val="32"/>
          <w:szCs w:val="32"/>
          <w:highlight w:val="none"/>
          <w:lang w:val="en-US" w:eastAsia="zh-CN" w:bidi="ar-SA"/>
        </w:rPr>
        <w:t>社会保障和就业（类）行政事业单位基本养老（款）机关事业单位职业年金缴费支出（项）指机关事业单位为职工实际缴纳的职业年金转移支出。</w:t>
      </w:r>
    </w:p>
    <w:p>
      <w:pPr>
        <w:pageBreakBefore w:val="0"/>
        <w:numPr>
          <w:ilvl w:val="0"/>
          <w:numId w:val="4"/>
        </w:numPr>
        <w:kinsoku/>
        <w:wordWrap/>
        <w:overflowPunct/>
        <w:topLinePunct w:val="0"/>
        <w:bidi w:val="0"/>
        <w:spacing w:line="576" w:lineRule="exact"/>
        <w:ind w:left="0" w:leftChars="0" w:firstLine="400" w:firstLineChars="0"/>
        <w:rPr>
          <w:rFonts w:hint="eastAsia" w:ascii="仿宋_GB2312" w:hAnsi="仿宋_GB2312" w:eastAsia="仿宋_GB2312" w:cs="仿宋_GB2312"/>
          <w:b w:val="0"/>
          <w:bCs/>
          <w:color w:val="auto"/>
          <w:kern w:val="2"/>
          <w:sz w:val="32"/>
          <w:szCs w:val="32"/>
          <w:highlight w:val="none"/>
          <w:lang w:val="en-US" w:eastAsia="zh-CN" w:bidi="ar-SA"/>
        </w:rPr>
      </w:pPr>
      <w:r>
        <w:rPr>
          <w:rFonts w:hint="eastAsia" w:ascii="仿宋_GB2312" w:hAnsi="仿宋_GB2312" w:eastAsia="仿宋_GB2312" w:cs="仿宋_GB2312"/>
          <w:b w:val="0"/>
          <w:bCs/>
          <w:color w:val="auto"/>
          <w:kern w:val="2"/>
          <w:sz w:val="32"/>
          <w:szCs w:val="32"/>
          <w:highlight w:val="none"/>
          <w:lang w:val="en-US" w:eastAsia="zh-CN" w:bidi="ar-SA"/>
        </w:rPr>
        <w:t>卫生健康（类）行政事业单位医疗（款）事业单位医疗（项）指事业</w:t>
      </w:r>
      <w:r>
        <w:rPr>
          <w:rFonts w:hint="eastAsia" w:ascii="仿宋_GB2312" w:hAnsi="仿宋_GB2312" w:eastAsia="仿宋_GB2312" w:cs="仿宋_GB2312"/>
          <w:b w:val="0"/>
          <w:bCs/>
          <w:color w:val="auto"/>
          <w:sz w:val="32"/>
          <w:szCs w:val="32"/>
          <w:highlight w:val="none"/>
          <w:lang w:eastAsia="zh-CN"/>
        </w:rPr>
        <w:t>单位</w:t>
      </w:r>
      <w:r>
        <w:rPr>
          <w:rFonts w:hint="eastAsia" w:ascii="仿宋_GB2312" w:hAnsi="仿宋_GB2312" w:eastAsia="仿宋_GB2312" w:cs="仿宋_GB2312"/>
          <w:b w:val="0"/>
          <w:bCs/>
          <w:color w:val="auto"/>
          <w:sz w:val="32"/>
          <w:szCs w:val="32"/>
          <w:highlight w:val="none"/>
        </w:rPr>
        <w:t>用于缴纳基本医疗保险支出。</w:t>
      </w:r>
    </w:p>
    <w:p>
      <w:pPr>
        <w:numPr>
          <w:ilvl w:val="0"/>
          <w:numId w:val="4"/>
        </w:numPr>
        <w:spacing w:line="600" w:lineRule="exact"/>
        <w:ind w:left="0" w:leftChars="0" w:firstLine="400" w:firstLineChars="0"/>
        <w:rPr>
          <w:rFonts w:hint="eastAsia" w:ascii="仿宋_GB2312" w:hAnsi="仿宋_GB2312" w:eastAsia="仿宋_GB2312" w:cs="仿宋_GB2312"/>
          <w:b w:val="0"/>
          <w:bCs/>
          <w:color w:val="auto"/>
          <w:kern w:val="2"/>
          <w:sz w:val="32"/>
          <w:szCs w:val="32"/>
          <w:highlight w:val="none"/>
          <w:lang w:val="en-US" w:eastAsia="zh-CN" w:bidi="ar-SA"/>
        </w:rPr>
      </w:pPr>
      <w:r>
        <w:rPr>
          <w:rFonts w:hint="eastAsia" w:ascii="仿宋_GB2312" w:hAnsi="仿宋_GB2312" w:eastAsia="仿宋_GB2312" w:cs="仿宋_GB2312"/>
          <w:b w:val="0"/>
          <w:bCs/>
          <w:color w:val="auto"/>
          <w:kern w:val="2"/>
          <w:sz w:val="32"/>
          <w:szCs w:val="32"/>
          <w:highlight w:val="none"/>
          <w:lang w:val="en-US" w:eastAsia="zh-CN" w:bidi="ar-SA"/>
        </w:rPr>
        <w:t>住房保障（类）住房改革支出（款）住房公积金（项）</w:t>
      </w:r>
      <w:r>
        <w:rPr>
          <w:rFonts w:hint="eastAsia" w:ascii="仿宋_GB2312" w:hAnsi="仿宋_GB2312" w:eastAsia="仿宋_GB2312" w:cs="仿宋_GB2312"/>
          <w:b w:val="0"/>
          <w:bCs/>
          <w:color w:val="auto"/>
          <w:sz w:val="32"/>
          <w:szCs w:val="32"/>
          <w:highlight w:val="none"/>
          <w:lang w:eastAsia="zh-CN"/>
        </w:rPr>
        <w:t>指行政事业单位按人力资源和社会保障部、财政部规定的基本工资和津贴补贴以及规定比例为职工缴纳的住房公积金。</w:t>
      </w:r>
    </w:p>
    <w:p>
      <w:pPr>
        <w:pageBreakBefore w:val="0"/>
        <w:numPr>
          <w:ilvl w:val="0"/>
          <w:numId w:val="4"/>
        </w:numPr>
        <w:kinsoku/>
        <w:wordWrap/>
        <w:overflowPunct/>
        <w:topLinePunct w:val="0"/>
        <w:bidi w:val="0"/>
        <w:spacing w:line="576" w:lineRule="exact"/>
        <w:ind w:left="0" w:leftChars="0" w:firstLine="400" w:firstLineChars="0"/>
        <w:jc w:val="left"/>
        <w:textAlignment w:val="auto"/>
        <w:rPr>
          <w:rFonts w:hint="eastAsia" w:ascii="仿宋_GB2312" w:hAnsi="仿宋_GB2312" w:eastAsia="仿宋_GB2312" w:cs="仿宋_GB2312"/>
          <w:b w:val="0"/>
          <w:bCs/>
          <w:color w:val="auto"/>
          <w:sz w:val="32"/>
          <w:szCs w:val="32"/>
          <w:highlight w:val="none"/>
        </w:rPr>
      </w:pPr>
      <w:bookmarkStart w:id="92" w:name="_Toc15396614"/>
      <w:r>
        <w:rPr>
          <w:rFonts w:hint="eastAsia" w:ascii="仿宋_GB2312" w:hAnsi="仿宋_GB2312" w:eastAsia="仿宋_GB2312" w:cs="仿宋_GB2312"/>
          <w:b w:val="0"/>
          <w:bCs/>
          <w:color w:val="auto"/>
          <w:sz w:val="32"/>
          <w:szCs w:val="32"/>
          <w:highlight w:val="none"/>
        </w:rPr>
        <w:t>基本支出：指为保障机构正常运转、完成日常工作任务而发生的人员支出和公用支出。</w:t>
      </w:r>
    </w:p>
    <w:p>
      <w:pPr>
        <w:pageBreakBefore w:val="0"/>
        <w:numPr>
          <w:ilvl w:val="0"/>
          <w:numId w:val="4"/>
        </w:numPr>
        <w:kinsoku/>
        <w:wordWrap/>
        <w:overflowPunct/>
        <w:topLinePunct w:val="0"/>
        <w:bidi w:val="0"/>
        <w:spacing w:line="576" w:lineRule="exact"/>
        <w:ind w:left="0" w:leftChars="0" w:firstLine="400" w:firstLineChars="0"/>
        <w:jc w:val="left"/>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项目支出：指在基本支出之外为完成特定行政任务和事业发展目标所发生的支出。</w:t>
      </w:r>
    </w:p>
    <w:p>
      <w:pPr>
        <w:pageBreakBefore w:val="0"/>
        <w:numPr>
          <w:ilvl w:val="0"/>
          <w:numId w:val="4"/>
        </w:numPr>
        <w:kinsoku/>
        <w:wordWrap/>
        <w:overflowPunct/>
        <w:topLinePunct w:val="0"/>
        <w:bidi w:val="0"/>
        <w:spacing w:line="576" w:lineRule="exact"/>
        <w:ind w:left="0" w:leftChars="0" w:firstLine="400" w:firstLineChars="0"/>
        <w:jc w:val="left"/>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jc w:val="center"/>
        <w:outlineLvl w:val="9"/>
        <w:rPr>
          <w:rFonts w:hint="eastAsia" w:ascii="仿宋_GB2312" w:hAnsi="仿宋_GB2312" w:eastAsia="仿宋_GB2312" w:cs="仿宋_GB2312"/>
          <w:color w:val="auto"/>
          <w:sz w:val="32"/>
          <w:szCs w:val="32"/>
          <w:highlight w:val="none"/>
        </w:rPr>
      </w:pPr>
    </w:p>
    <w:p>
      <w:pPr>
        <w:spacing w:line="600" w:lineRule="exact"/>
        <w:jc w:val="center"/>
        <w:outlineLvl w:val="9"/>
        <w:rPr>
          <w:rFonts w:hint="eastAsia" w:ascii="仿宋_GB2312" w:hAnsi="仿宋_GB2312" w:eastAsia="仿宋_GB2312" w:cs="仿宋_GB2312"/>
          <w:color w:val="auto"/>
          <w:sz w:val="32"/>
          <w:szCs w:val="32"/>
          <w:highlight w:val="none"/>
        </w:rPr>
      </w:pPr>
    </w:p>
    <w:p>
      <w:pPr>
        <w:spacing w:line="600" w:lineRule="exact"/>
        <w:jc w:val="center"/>
        <w:outlineLvl w:val="9"/>
        <w:rPr>
          <w:rFonts w:hint="eastAsia" w:ascii="仿宋_GB2312" w:hAnsi="仿宋_GB2312" w:eastAsia="仿宋_GB2312" w:cs="仿宋_GB2312"/>
          <w:color w:val="auto"/>
          <w:sz w:val="32"/>
          <w:szCs w:val="32"/>
          <w:highlight w:val="none"/>
        </w:rPr>
      </w:pPr>
    </w:p>
    <w:p>
      <w:pPr>
        <w:spacing w:line="600" w:lineRule="exact"/>
        <w:jc w:val="center"/>
        <w:outlineLvl w:val="9"/>
        <w:rPr>
          <w:rFonts w:hint="eastAsia" w:ascii="仿宋_GB2312" w:hAnsi="仿宋_GB2312" w:eastAsia="仿宋_GB2312" w:cs="仿宋_GB2312"/>
          <w:color w:val="auto"/>
          <w:sz w:val="32"/>
          <w:szCs w:val="32"/>
          <w:highlight w:val="none"/>
        </w:rPr>
      </w:pPr>
    </w:p>
    <w:p>
      <w:pPr>
        <w:spacing w:line="600" w:lineRule="exact"/>
        <w:jc w:val="center"/>
        <w:outlineLvl w:val="9"/>
        <w:rPr>
          <w:rFonts w:hint="eastAsia" w:ascii="仿宋_GB2312" w:hAnsi="仿宋_GB2312" w:eastAsia="仿宋_GB2312" w:cs="仿宋_GB2312"/>
          <w:color w:val="auto"/>
          <w:sz w:val="32"/>
          <w:szCs w:val="32"/>
          <w:highlight w:val="none"/>
        </w:rPr>
      </w:pPr>
    </w:p>
    <w:p>
      <w:pPr>
        <w:spacing w:line="600" w:lineRule="exact"/>
        <w:jc w:val="center"/>
        <w:outlineLvl w:val="9"/>
        <w:rPr>
          <w:rFonts w:hint="eastAsia" w:ascii="仿宋_GB2312" w:hAnsi="仿宋_GB2312" w:eastAsia="仿宋_GB2312" w:cs="仿宋_GB2312"/>
          <w:color w:val="auto"/>
          <w:sz w:val="32"/>
          <w:szCs w:val="32"/>
          <w:highlight w:val="none"/>
        </w:rPr>
      </w:pPr>
    </w:p>
    <w:p>
      <w:pPr>
        <w:spacing w:line="600" w:lineRule="exact"/>
        <w:jc w:val="center"/>
        <w:outlineLvl w:val="9"/>
        <w:rPr>
          <w:rFonts w:hint="eastAsia" w:ascii="仿宋_GB2312" w:hAnsi="仿宋_GB2312" w:eastAsia="仿宋_GB2312" w:cs="仿宋_GB2312"/>
          <w:color w:val="auto"/>
          <w:sz w:val="32"/>
          <w:szCs w:val="32"/>
          <w:highlight w:val="none"/>
        </w:rPr>
      </w:pPr>
    </w:p>
    <w:p>
      <w:pPr>
        <w:spacing w:line="600" w:lineRule="exact"/>
        <w:jc w:val="center"/>
        <w:outlineLvl w:val="9"/>
        <w:rPr>
          <w:rFonts w:hint="eastAsia" w:ascii="仿宋_GB2312" w:hAnsi="仿宋_GB2312" w:eastAsia="仿宋_GB2312" w:cs="仿宋_GB2312"/>
          <w:color w:val="auto"/>
          <w:sz w:val="32"/>
          <w:szCs w:val="32"/>
          <w:highlight w:val="none"/>
        </w:rPr>
      </w:pPr>
    </w:p>
    <w:p>
      <w:pPr>
        <w:spacing w:line="600" w:lineRule="exact"/>
        <w:jc w:val="center"/>
        <w:outlineLvl w:val="9"/>
        <w:rPr>
          <w:rFonts w:hint="eastAsia" w:ascii="仿宋_GB2312" w:hAnsi="仿宋_GB2312" w:eastAsia="仿宋_GB2312" w:cs="仿宋_GB2312"/>
          <w:color w:val="auto"/>
          <w:sz w:val="32"/>
          <w:szCs w:val="32"/>
          <w:highlight w:val="none"/>
        </w:rPr>
      </w:pPr>
    </w:p>
    <w:p>
      <w:pPr>
        <w:spacing w:line="600" w:lineRule="exact"/>
        <w:jc w:val="center"/>
        <w:outlineLvl w:val="9"/>
        <w:rPr>
          <w:rFonts w:hint="eastAsia" w:ascii="仿宋_GB2312" w:hAnsi="仿宋_GB2312" w:eastAsia="仿宋_GB2312" w:cs="仿宋_GB2312"/>
          <w:color w:val="auto"/>
          <w:sz w:val="32"/>
          <w:szCs w:val="32"/>
          <w:highlight w:val="none"/>
        </w:rPr>
      </w:pPr>
    </w:p>
    <w:p>
      <w:pPr>
        <w:spacing w:line="600" w:lineRule="exact"/>
        <w:jc w:val="center"/>
        <w:outlineLvl w:val="9"/>
        <w:rPr>
          <w:rFonts w:hint="eastAsia" w:ascii="仿宋_GB2312" w:hAnsi="仿宋_GB2312" w:eastAsia="仿宋_GB2312" w:cs="仿宋_GB2312"/>
          <w:color w:val="auto"/>
          <w:sz w:val="32"/>
          <w:szCs w:val="32"/>
          <w:highlight w:val="none"/>
        </w:rPr>
      </w:pPr>
    </w:p>
    <w:p>
      <w:pPr>
        <w:spacing w:line="600" w:lineRule="exact"/>
        <w:jc w:val="both"/>
        <w:outlineLvl w:val="9"/>
        <w:rPr>
          <w:rFonts w:hint="eastAsia" w:ascii="仿宋_GB2312" w:hAnsi="仿宋_GB2312" w:eastAsia="仿宋_GB2312" w:cs="仿宋_GB2312"/>
          <w:color w:val="auto"/>
          <w:sz w:val="32"/>
          <w:szCs w:val="32"/>
          <w:highlight w:val="none"/>
        </w:rPr>
      </w:pPr>
    </w:p>
    <w:p>
      <w:pPr>
        <w:spacing w:line="600" w:lineRule="exact"/>
        <w:jc w:val="center"/>
        <w:outlineLvl w:val="0"/>
        <w:rPr>
          <w:rStyle w:val="16"/>
          <w:rFonts w:hint="eastAsia" w:ascii="方正小标宋简体" w:hAnsi="方正小标宋简体" w:eastAsia="方正小标宋简体" w:cs="方正小标宋简体"/>
          <w:b w:val="0"/>
          <w:color w:val="auto"/>
          <w:sz w:val="44"/>
          <w:szCs w:val="44"/>
          <w:highlight w:val="none"/>
        </w:rPr>
      </w:pPr>
      <w:bookmarkStart w:id="93" w:name="_Toc28922"/>
      <w:bookmarkStart w:id="94" w:name="_Toc25676"/>
      <w:r>
        <w:rPr>
          <w:rFonts w:hint="eastAsia" w:ascii="方正小标宋简体" w:hAnsi="方正小标宋简体" w:eastAsia="方正小标宋简体" w:cs="方正小标宋简体"/>
          <w:color w:val="auto"/>
          <w:sz w:val="44"/>
          <w:szCs w:val="44"/>
          <w:highlight w:val="none"/>
        </w:rPr>
        <w:t>第</w:t>
      </w:r>
      <w:r>
        <w:rPr>
          <w:rStyle w:val="16"/>
          <w:rFonts w:hint="eastAsia" w:ascii="方正小标宋简体" w:hAnsi="方正小标宋简体" w:eastAsia="方正小标宋简体" w:cs="方正小标宋简体"/>
          <w:b w:val="0"/>
          <w:color w:val="auto"/>
          <w:sz w:val="44"/>
          <w:szCs w:val="44"/>
          <w:highlight w:val="none"/>
        </w:rPr>
        <w:t>四部分 附件</w:t>
      </w:r>
      <w:bookmarkEnd w:id="92"/>
      <w:bookmarkEnd w:id="93"/>
      <w:bookmarkEnd w:id="94"/>
    </w:p>
    <w:p>
      <w:pPr>
        <w:bidi w:val="0"/>
        <w:rPr>
          <w:rFonts w:hint="eastAsia"/>
        </w:rPr>
      </w:pPr>
    </w:p>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方正小标宋简体" w:hAnsi="方正小标宋简体" w:eastAsia="方正小标宋简体" w:cs="方正小标宋简体"/>
          <w:b/>
          <w:i w:val="0"/>
          <w:color w:val="000000"/>
          <w:kern w:val="0"/>
          <w:sz w:val="44"/>
          <w:szCs w:val="44"/>
          <w:u w:val="none"/>
          <w:lang w:val="en-US" w:eastAsia="zh-CN" w:bidi="ar"/>
        </w:rPr>
      </w:pPr>
      <w:r>
        <w:rPr>
          <w:rFonts w:hint="eastAsia" w:ascii="方正小标宋简体" w:hAnsi="方正小标宋简体" w:eastAsia="方正小标宋简体" w:cs="方正小标宋简体"/>
          <w:b/>
          <w:i w:val="0"/>
          <w:color w:val="000000"/>
          <w:kern w:val="0"/>
          <w:sz w:val="44"/>
          <w:szCs w:val="44"/>
          <w:u w:val="none"/>
          <w:lang w:val="en-US" w:eastAsia="zh-CN" w:bidi="ar"/>
        </w:rPr>
        <w:t>2022年部门预算项目支出绩效自评表</w:t>
      </w:r>
    </w:p>
    <w:p>
      <w:pPr>
        <w:bidi w:val="0"/>
        <w:rPr>
          <w:rFonts w:hint="eastAsia"/>
        </w:rPr>
      </w:pPr>
    </w:p>
    <w:tbl>
      <w:tblPr>
        <w:tblStyle w:val="12"/>
        <w:tblW w:w="96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36"/>
        <w:gridCol w:w="1134"/>
        <w:gridCol w:w="1033"/>
        <w:gridCol w:w="1450"/>
        <w:gridCol w:w="426"/>
        <w:gridCol w:w="957"/>
        <w:gridCol w:w="426"/>
        <w:gridCol w:w="969"/>
        <w:gridCol w:w="592"/>
        <w:gridCol w:w="592"/>
        <w:gridCol w:w="14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jc w:val="center"/>
        </w:trPr>
        <w:tc>
          <w:tcPr>
            <w:tcW w:w="17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bookmarkStart w:id="95" w:name="_Toc15396618"/>
            <w:r>
              <w:rPr>
                <w:rFonts w:hint="eastAsia"/>
                <w:lang w:val="en-US" w:eastAsia="zh-CN"/>
              </w:rPr>
              <w:t>项目名称</w:t>
            </w:r>
          </w:p>
        </w:tc>
        <w:tc>
          <w:tcPr>
            <w:tcW w:w="78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7" w:hRule="atLeast"/>
          <w:jc w:val="center"/>
        </w:trPr>
        <w:tc>
          <w:tcPr>
            <w:tcW w:w="17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主管部门</w:t>
            </w:r>
          </w:p>
        </w:tc>
        <w:tc>
          <w:tcPr>
            <w:tcW w:w="429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中共广元市委群众工作局部门</w:t>
            </w:r>
          </w:p>
        </w:tc>
        <w:tc>
          <w:tcPr>
            <w:tcW w:w="969" w:type="dxa"/>
            <w:tcBorders>
              <w:top w:val="nil"/>
              <w:left w:val="nil"/>
              <w:bottom w:val="nil"/>
              <w:right w:val="nil"/>
            </w:tcBorders>
            <w:shd w:val="clear" w:color="auto" w:fill="auto"/>
            <w:vAlign w:val="center"/>
          </w:tcPr>
          <w:p>
            <w:pPr>
              <w:bidi w:val="0"/>
              <w:rPr>
                <w:rFonts w:hint="eastAsia"/>
              </w:rPr>
            </w:pPr>
            <w:r>
              <w:rPr>
                <w:rFonts w:hint="eastAsia"/>
                <w:lang w:val="en-US" w:eastAsia="zh-CN"/>
              </w:rPr>
              <w:t>实施单位 （盖章）</w:t>
            </w:r>
          </w:p>
        </w:tc>
        <w:tc>
          <w:tcPr>
            <w:tcW w:w="26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广元市群众工作中心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jc w:val="center"/>
        </w:trPr>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项目基本情况</w:t>
            </w:r>
          </w:p>
        </w:tc>
        <w:tc>
          <w:tcPr>
            <w:tcW w:w="11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1.项目年度目标完成情况</w:t>
            </w:r>
          </w:p>
        </w:tc>
        <w:tc>
          <w:tcPr>
            <w:tcW w:w="429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项目年度目标</w:t>
            </w:r>
          </w:p>
        </w:tc>
        <w:tc>
          <w:tcPr>
            <w:tcW w:w="35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4"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429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严格执行相关政策，保障工资及时发放、足额发放，预算编制科学合理，减少结余资金</w:t>
            </w:r>
          </w:p>
        </w:tc>
        <w:tc>
          <w:tcPr>
            <w:tcW w:w="35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2022年已完成在职在编人员工资的正常发放。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7"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2.项目实施内容及过程概述</w:t>
            </w:r>
          </w:p>
        </w:tc>
        <w:tc>
          <w:tcPr>
            <w:tcW w:w="78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每月初按时发放干部工资，按核定数支付，并做到无拖欠。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预算执行情况（10分）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年度预算数（万元）</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年初预算</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调整后预算数</w:t>
            </w:r>
          </w:p>
        </w:tc>
        <w:tc>
          <w:tcPr>
            <w:tcW w:w="1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预算执行数</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预算执行率</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权重</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得分</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总额</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53.25</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59.12</w:t>
            </w:r>
          </w:p>
        </w:tc>
        <w:tc>
          <w:tcPr>
            <w:tcW w:w="1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53.25</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90.06%</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w:t>
            </w: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其中：财政资金</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53.25</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59.12</w:t>
            </w:r>
          </w:p>
        </w:tc>
        <w:tc>
          <w:tcPr>
            <w:tcW w:w="1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53.25</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90.06%</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财政专户管理资金</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1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1"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单位资金</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1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其他资金</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6" w:hRule="atLeast"/>
          <w:jc w:val="center"/>
        </w:trPr>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绩效指标（90分）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一级指标</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二级指标</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三级指标</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指标性质</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指标值</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度量单位</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完成值</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权重</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得分</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产出指标</w:t>
            </w:r>
          </w:p>
        </w:tc>
        <w:tc>
          <w:tcPr>
            <w:tcW w:w="10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数量指标</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足额保障率</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100</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22.5</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22.5</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0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科目调整次数</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次</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22.5</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22.5</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时效指标</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按时发放率</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100</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22.5</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22.5</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7"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效益指标</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经济效益指标</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结余率（计算方法为：结余数/预算数）</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5</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9%</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22.5</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18.5</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年末人员调出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jc w:val="center"/>
        </w:trPr>
        <w:tc>
          <w:tcPr>
            <w:tcW w:w="703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合计</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96</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评价结论</w:t>
            </w:r>
          </w:p>
        </w:tc>
        <w:tc>
          <w:tcPr>
            <w:tcW w:w="90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保障工资及时发放、足额发放，预算编制科学合理，减少结余资金，2022年计划发放事业干部共11人工资，未超出预算。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存在问题</w:t>
            </w:r>
          </w:p>
        </w:tc>
        <w:tc>
          <w:tcPr>
            <w:tcW w:w="90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项目细化程度还不够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改进措施</w:t>
            </w:r>
          </w:p>
        </w:tc>
        <w:tc>
          <w:tcPr>
            <w:tcW w:w="90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保证资金使用管理的规范性、安全性和有效性，提高财政资金使用效率。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jc w:val="center"/>
        </w:trPr>
        <w:tc>
          <w:tcPr>
            <w:tcW w:w="467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项目负责人：毛富勇</w:t>
            </w:r>
          </w:p>
        </w:tc>
        <w:tc>
          <w:tcPr>
            <w:tcW w:w="496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财务负责人：王伟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jc w:val="center"/>
        </w:trPr>
        <w:tc>
          <w:tcPr>
            <w:tcW w:w="636" w:type="dxa"/>
            <w:tcBorders>
              <w:top w:val="nil"/>
              <w:left w:val="nil"/>
              <w:bottom w:val="nil"/>
              <w:right w:val="nil"/>
            </w:tcBorders>
            <w:shd w:val="clear" w:color="auto" w:fill="auto"/>
            <w:vAlign w:val="center"/>
          </w:tcPr>
          <w:p>
            <w:pPr>
              <w:bidi w:val="0"/>
              <w:rPr>
                <w:rFonts w:hint="eastAsia"/>
              </w:rPr>
            </w:pPr>
          </w:p>
        </w:tc>
        <w:tc>
          <w:tcPr>
            <w:tcW w:w="1134" w:type="dxa"/>
            <w:tcBorders>
              <w:top w:val="nil"/>
              <w:left w:val="nil"/>
              <w:bottom w:val="nil"/>
              <w:right w:val="nil"/>
            </w:tcBorders>
            <w:shd w:val="clear" w:color="auto" w:fill="auto"/>
            <w:vAlign w:val="center"/>
          </w:tcPr>
          <w:p>
            <w:pPr>
              <w:bidi w:val="0"/>
              <w:rPr>
                <w:rFonts w:hint="eastAsia"/>
              </w:rPr>
            </w:pPr>
          </w:p>
        </w:tc>
        <w:tc>
          <w:tcPr>
            <w:tcW w:w="1033" w:type="dxa"/>
            <w:tcBorders>
              <w:top w:val="nil"/>
              <w:left w:val="nil"/>
              <w:bottom w:val="nil"/>
              <w:right w:val="nil"/>
            </w:tcBorders>
            <w:shd w:val="clear" w:color="auto" w:fill="auto"/>
            <w:vAlign w:val="center"/>
          </w:tcPr>
          <w:p>
            <w:pPr>
              <w:bidi w:val="0"/>
              <w:rPr>
                <w:rFonts w:hint="eastAsia"/>
              </w:rPr>
            </w:pPr>
          </w:p>
        </w:tc>
        <w:tc>
          <w:tcPr>
            <w:tcW w:w="1450" w:type="dxa"/>
            <w:tcBorders>
              <w:top w:val="nil"/>
              <w:left w:val="nil"/>
              <w:bottom w:val="nil"/>
              <w:right w:val="nil"/>
            </w:tcBorders>
            <w:shd w:val="clear" w:color="auto" w:fill="auto"/>
            <w:vAlign w:val="center"/>
          </w:tcPr>
          <w:p>
            <w:pPr>
              <w:bidi w:val="0"/>
              <w:rPr>
                <w:rFonts w:hint="eastAsia"/>
              </w:rPr>
            </w:pPr>
          </w:p>
        </w:tc>
        <w:tc>
          <w:tcPr>
            <w:tcW w:w="426" w:type="dxa"/>
            <w:tcBorders>
              <w:top w:val="nil"/>
              <w:left w:val="nil"/>
              <w:bottom w:val="nil"/>
              <w:right w:val="nil"/>
            </w:tcBorders>
            <w:shd w:val="clear" w:color="auto" w:fill="auto"/>
            <w:vAlign w:val="center"/>
          </w:tcPr>
          <w:p>
            <w:pPr>
              <w:bidi w:val="0"/>
              <w:rPr>
                <w:rFonts w:hint="eastAsia"/>
              </w:rPr>
            </w:pPr>
          </w:p>
        </w:tc>
        <w:tc>
          <w:tcPr>
            <w:tcW w:w="957" w:type="dxa"/>
            <w:tcBorders>
              <w:top w:val="nil"/>
              <w:left w:val="nil"/>
              <w:bottom w:val="nil"/>
              <w:right w:val="nil"/>
            </w:tcBorders>
            <w:shd w:val="clear" w:color="auto" w:fill="auto"/>
            <w:vAlign w:val="center"/>
          </w:tcPr>
          <w:p>
            <w:pPr>
              <w:bidi w:val="0"/>
              <w:rPr>
                <w:rFonts w:hint="eastAsia"/>
              </w:rPr>
            </w:pPr>
          </w:p>
        </w:tc>
        <w:tc>
          <w:tcPr>
            <w:tcW w:w="426" w:type="dxa"/>
            <w:tcBorders>
              <w:top w:val="nil"/>
              <w:left w:val="nil"/>
              <w:bottom w:val="nil"/>
              <w:right w:val="nil"/>
            </w:tcBorders>
            <w:shd w:val="clear" w:color="auto" w:fill="auto"/>
            <w:vAlign w:val="center"/>
          </w:tcPr>
          <w:p>
            <w:pPr>
              <w:bidi w:val="0"/>
              <w:rPr>
                <w:rFonts w:hint="eastAsia"/>
              </w:rPr>
            </w:pPr>
          </w:p>
        </w:tc>
        <w:tc>
          <w:tcPr>
            <w:tcW w:w="969" w:type="dxa"/>
            <w:tcBorders>
              <w:top w:val="nil"/>
              <w:left w:val="nil"/>
              <w:bottom w:val="nil"/>
              <w:right w:val="nil"/>
            </w:tcBorders>
            <w:shd w:val="clear" w:color="auto" w:fill="auto"/>
            <w:vAlign w:val="center"/>
          </w:tcPr>
          <w:p>
            <w:pPr>
              <w:bidi w:val="0"/>
              <w:rPr>
                <w:rFonts w:hint="eastAsia"/>
              </w:rPr>
            </w:pPr>
          </w:p>
        </w:tc>
        <w:tc>
          <w:tcPr>
            <w:tcW w:w="592" w:type="dxa"/>
            <w:tcBorders>
              <w:top w:val="nil"/>
              <w:left w:val="nil"/>
              <w:bottom w:val="nil"/>
              <w:right w:val="nil"/>
            </w:tcBorders>
            <w:shd w:val="clear" w:color="auto" w:fill="auto"/>
            <w:vAlign w:val="center"/>
          </w:tcPr>
          <w:p>
            <w:pPr>
              <w:bidi w:val="0"/>
              <w:rPr>
                <w:rFonts w:hint="eastAsia"/>
              </w:rPr>
            </w:pPr>
          </w:p>
        </w:tc>
        <w:tc>
          <w:tcPr>
            <w:tcW w:w="592" w:type="dxa"/>
            <w:tcBorders>
              <w:top w:val="nil"/>
              <w:left w:val="nil"/>
              <w:bottom w:val="nil"/>
              <w:right w:val="nil"/>
            </w:tcBorders>
            <w:shd w:val="clear" w:color="auto" w:fill="auto"/>
            <w:vAlign w:val="center"/>
          </w:tcPr>
          <w:p>
            <w:pPr>
              <w:bidi w:val="0"/>
              <w:rPr>
                <w:rFonts w:hint="eastAsia"/>
              </w:rPr>
            </w:pPr>
          </w:p>
        </w:tc>
        <w:tc>
          <w:tcPr>
            <w:tcW w:w="1425" w:type="dxa"/>
            <w:tcBorders>
              <w:top w:val="nil"/>
              <w:left w:val="nil"/>
              <w:bottom w:val="nil"/>
              <w:right w:val="nil"/>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jc w:val="center"/>
        </w:trPr>
        <w:tc>
          <w:tcPr>
            <w:tcW w:w="17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项目名称</w:t>
            </w:r>
          </w:p>
        </w:tc>
        <w:tc>
          <w:tcPr>
            <w:tcW w:w="78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7" w:hRule="atLeast"/>
          <w:jc w:val="center"/>
        </w:trPr>
        <w:tc>
          <w:tcPr>
            <w:tcW w:w="17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主管部门</w:t>
            </w:r>
          </w:p>
        </w:tc>
        <w:tc>
          <w:tcPr>
            <w:tcW w:w="429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中共广元市委群众工作局部门</w:t>
            </w:r>
          </w:p>
        </w:tc>
        <w:tc>
          <w:tcPr>
            <w:tcW w:w="969" w:type="dxa"/>
            <w:tcBorders>
              <w:top w:val="nil"/>
              <w:left w:val="nil"/>
              <w:bottom w:val="nil"/>
              <w:right w:val="nil"/>
            </w:tcBorders>
            <w:shd w:val="clear" w:color="auto" w:fill="auto"/>
            <w:vAlign w:val="center"/>
          </w:tcPr>
          <w:p>
            <w:pPr>
              <w:bidi w:val="0"/>
              <w:rPr>
                <w:rFonts w:hint="eastAsia"/>
              </w:rPr>
            </w:pPr>
            <w:r>
              <w:rPr>
                <w:rFonts w:hint="eastAsia"/>
                <w:lang w:val="en-US" w:eastAsia="zh-CN"/>
              </w:rPr>
              <w:t>实施单位 （盖章）</w:t>
            </w:r>
          </w:p>
        </w:tc>
        <w:tc>
          <w:tcPr>
            <w:tcW w:w="26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广元市群众工作中心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jc w:val="center"/>
        </w:trPr>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项目基本情况</w:t>
            </w:r>
          </w:p>
        </w:tc>
        <w:tc>
          <w:tcPr>
            <w:tcW w:w="11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1.项目年度目标完成情况</w:t>
            </w:r>
          </w:p>
        </w:tc>
        <w:tc>
          <w:tcPr>
            <w:tcW w:w="429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项目年度目标</w:t>
            </w:r>
          </w:p>
        </w:tc>
        <w:tc>
          <w:tcPr>
            <w:tcW w:w="35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4"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429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保障单位日常运转，提高预算编制质量，严格执行预算。</w:t>
            </w:r>
          </w:p>
        </w:tc>
        <w:tc>
          <w:tcPr>
            <w:tcW w:w="35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2022年完成福利、工会、党建等经费的支出。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7"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2.项目实施内容及过程概述</w:t>
            </w:r>
          </w:p>
        </w:tc>
        <w:tc>
          <w:tcPr>
            <w:tcW w:w="78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2022年支付了福利、工会、党员教育等费用。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预算执行情况（10分）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年度预算数（万元）</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年初预算</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调整后预算数</w:t>
            </w:r>
          </w:p>
        </w:tc>
        <w:tc>
          <w:tcPr>
            <w:tcW w:w="1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预算执行数</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预算执行率</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权重</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得分</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总额</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3.46</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3.46</w:t>
            </w:r>
          </w:p>
        </w:tc>
        <w:tc>
          <w:tcPr>
            <w:tcW w:w="1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3.46</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100.00%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w:t>
            </w: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其中：财政资金</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3.46</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3.46</w:t>
            </w:r>
          </w:p>
        </w:tc>
        <w:tc>
          <w:tcPr>
            <w:tcW w:w="1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3.46</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100.00%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财政专户管理资金</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1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1"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单位资金</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1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其他资金</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6" w:hRule="atLeast"/>
          <w:jc w:val="center"/>
        </w:trPr>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绩效指标（90分）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一级指标</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二级指标</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三级指标</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指标性质</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指标值</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度量单位</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完成值</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权重</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得分</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产出指标</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数量指标</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科目调整次数</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次</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22.5</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22.5</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5"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质量指标</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预算编制准确率（计算方法为：∣（执行数-预算数）/预算数∣）</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5</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22.5</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22.5</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效益指标</w:t>
            </w:r>
          </w:p>
        </w:tc>
        <w:tc>
          <w:tcPr>
            <w:tcW w:w="10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经济效益指标</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运转保障率</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100</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22.5</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22.5</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5"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0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“三公经费”控制率[计算方法为：（三公经费实际支出数/预算安排数]×100%）</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100</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22.5</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22.5</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jc w:val="center"/>
        </w:trPr>
        <w:tc>
          <w:tcPr>
            <w:tcW w:w="703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合计</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评价结论</w:t>
            </w:r>
          </w:p>
        </w:tc>
        <w:tc>
          <w:tcPr>
            <w:tcW w:w="90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2022年全部完成职工福利、工会慰问，党员教育等绩效目标，按财务要求支付相关费用，执行率100%。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存在问题</w:t>
            </w:r>
          </w:p>
        </w:tc>
        <w:tc>
          <w:tcPr>
            <w:tcW w:w="90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党员教育形式还需要创新提高。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改进措施</w:t>
            </w:r>
          </w:p>
        </w:tc>
        <w:tc>
          <w:tcPr>
            <w:tcW w:w="90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进一步做好预算编制，细化号项目实施的细节。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jc w:val="center"/>
        </w:trPr>
        <w:tc>
          <w:tcPr>
            <w:tcW w:w="467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项目负责人：何宗明</w:t>
            </w:r>
          </w:p>
        </w:tc>
        <w:tc>
          <w:tcPr>
            <w:tcW w:w="496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财务负责人：王伟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jc w:val="center"/>
        </w:trPr>
        <w:tc>
          <w:tcPr>
            <w:tcW w:w="636" w:type="dxa"/>
            <w:tcBorders>
              <w:top w:val="nil"/>
              <w:left w:val="nil"/>
              <w:bottom w:val="nil"/>
              <w:right w:val="nil"/>
            </w:tcBorders>
            <w:shd w:val="clear" w:color="auto" w:fill="auto"/>
            <w:vAlign w:val="center"/>
          </w:tcPr>
          <w:p>
            <w:pPr>
              <w:bidi w:val="0"/>
              <w:rPr>
                <w:rFonts w:hint="eastAsia"/>
              </w:rPr>
            </w:pPr>
          </w:p>
        </w:tc>
        <w:tc>
          <w:tcPr>
            <w:tcW w:w="1134" w:type="dxa"/>
            <w:tcBorders>
              <w:top w:val="nil"/>
              <w:left w:val="nil"/>
              <w:bottom w:val="nil"/>
              <w:right w:val="nil"/>
            </w:tcBorders>
            <w:shd w:val="clear" w:color="auto" w:fill="auto"/>
            <w:vAlign w:val="center"/>
          </w:tcPr>
          <w:p>
            <w:pPr>
              <w:bidi w:val="0"/>
              <w:rPr>
                <w:rFonts w:hint="eastAsia"/>
              </w:rPr>
            </w:pPr>
          </w:p>
        </w:tc>
        <w:tc>
          <w:tcPr>
            <w:tcW w:w="1033" w:type="dxa"/>
            <w:tcBorders>
              <w:top w:val="nil"/>
              <w:left w:val="nil"/>
              <w:bottom w:val="nil"/>
              <w:right w:val="nil"/>
            </w:tcBorders>
            <w:shd w:val="clear" w:color="auto" w:fill="auto"/>
            <w:vAlign w:val="center"/>
          </w:tcPr>
          <w:p>
            <w:pPr>
              <w:bidi w:val="0"/>
              <w:rPr>
                <w:rFonts w:hint="eastAsia"/>
              </w:rPr>
            </w:pPr>
          </w:p>
        </w:tc>
        <w:tc>
          <w:tcPr>
            <w:tcW w:w="1450" w:type="dxa"/>
            <w:tcBorders>
              <w:top w:val="nil"/>
              <w:left w:val="nil"/>
              <w:bottom w:val="nil"/>
              <w:right w:val="nil"/>
            </w:tcBorders>
            <w:shd w:val="clear" w:color="auto" w:fill="auto"/>
            <w:vAlign w:val="center"/>
          </w:tcPr>
          <w:p>
            <w:pPr>
              <w:bidi w:val="0"/>
              <w:rPr>
                <w:rFonts w:hint="eastAsia"/>
              </w:rPr>
            </w:pPr>
          </w:p>
        </w:tc>
        <w:tc>
          <w:tcPr>
            <w:tcW w:w="426" w:type="dxa"/>
            <w:tcBorders>
              <w:top w:val="nil"/>
              <w:left w:val="nil"/>
              <w:bottom w:val="nil"/>
              <w:right w:val="nil"/>
            </w:tcBorders>
            <w:shd w:val="clear" w:color="auto" w:fill="auto"/>
            <w:vAlign w:val="center"/>
          </w:tcPr>
          <w:p>
            <w:pPr>
              <w:bidi w:val="0"/>
              <w:rPr>
                <w:rFonts w:hint="eastAsia"/>
              </w:rPr>
            </w:pPr>
          </w:p>
        </w:tc>
        <w:tc>
          <w:tcPr>
            <w:tcW w:w="957" w:type="dxa"/>
            <w:tcBorders>
              <w:top w:val="nil"/>
              <w:left w:val="nil"/>
              <w:bottom w:val="nil"/>
              <w:right w:val="nil"/>
            </w:tcBorders>
            <w:shd w:val="clear" w:color="auto" w:fill="auto"/>
            <w:vAlign w:val="center"/>
          </w:tcPr>
          <w:p>
            <w:pPr>
              <w:bidi w:val="0"/>
              <w:rPr>
                <w:rFonts w:hint="eastAsia"/>
              </w:rPr>
            </w:pPr>
          </w:p>
        </w:tc>
        <w:tc>
          <w:tcPr>
            <w:tcW w:w="426" w:type="dxa"/>
            <w:tcBorders>
              <w:top w:val="nil"/>
              <w:left w:val="nil"/>
              <w:bottom w:val="nil"/>
              <w:right w:val="nil"/>
            </w:tcBorders>
            <w:shd w:val="clear" w:color="auto" w:fill="auto"/>
            <w:vAlign w:val="center"/>
          </w:tcPr>
          <w:p>
            <w:pPr>
              <w:bidi w:val="0"/>
              <w:rPr>
                <w:rFonts w:hint="eastAsia"/>
              </w:rPr>
            </w:pPr>
          </w:p>
        </w:tc>
        <w:tc>
          <w:tcPr>
            <w:tcW w:w="969" w:type="dxa"/>
            <w:tcBorders>
              <w:top w:val="nil"/>
              <w:left w:val="nil"/>
              <w:bottom w:val="nil"/>
              <w:right w:val="nil"/>
            </w:tcBorders>
            <w:shd w:val="clear" w:color="auto" w:fill="auto"/>
            <w:vAlign w:val="center"/>
          </w:tcPr>
          <w:p>
            <w:pPr>
              <w:bidi w:val="0"/>
              <w:rPr>
                <w:rFonts w:hint="eastAsia"/>
              </w:rPr>
            </w:pPr>
          </w:p>
        </w:tc>
        <w:tc>
          <w:tcPr>
            <w:tcW w:w="592" w:type="dxa"/>
            <w:tcBorders>
              <w:top w:val="nil"/>
              <w:left w:val="nil"/>
              <w:bottom w:val="nil"/>
              <w:right w:val="nil"/>
            </w:tcBorders>
            <w:shd w:val="clear" w:color="auto" w:fill="auto"/>
            <w:vAlign w:val="center"/>
          </w:tcPr>
          <w:p>
            <w:pPr>
              <w:bidi w:val="0"/>
              <w:rPr>
                <w:rFonts w:hint="eastAsia"/>
              </w:rPr>
            </w:pPr>
          </w:p>
        </w:tc>
        <w:tc>
          <w:tcPr>
            <w:tcW w:w="592" w:type="dxa"/>
            <w:tcBorders>
              <w:top w:val="nil"/>
              <w:left w:val="nil"/>
              <w:bottom w:val="nil"/>
              <w:right w:val="nil"/>
            </w:tcBorders>
            <w:shd w:val="clear" w:color="auto" w:fill="auto"/>
            <w:vAlign w:val="center"/>
          </w:tcPr>
          <w:p>
            <w:pPr>
              <w:bidi w:val="0"/>
              <w:rPr>
                <w:rFonts w:hint="eastAsia"/>
              </w:rPr>
            </w:pPr>
          </w:p>
        </w:tc>
        <w:tc>
          <w:tcPr>
            <w:tcW w:w="1425" w:type="dxa"/>
            <w:tcBorders>
              <w:top w:val="nil"/>
              <w:left w:val="nil"/>
              <w:bottom w:val="nil"/>
              <w:right w:val="nil"/>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jc w:val="center"/>
        </w:trPr>
        <w:tc>
          <w:tcPr>
            <w:tcW w:w="17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项目名称</w:t>
            </w:r>
          </w:p>
        </w:tc>
        <w:tc>
          <w:tcPr>
            <w:tcW w:w="78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51080022R000000267546-工资性支出（事业）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7" w:hRule="atLeast"/>
          <w:jc w:val="center"/>
        </w:trPr>
        <w:tc>
          <w:tcPr>
            <w:tcW w:w="17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主管部门</w:t>
            </w:r>
          </w:p>
        </w:tc>
        <w:tc>
          <w:tcPr>
            <w:tcW w:w="429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中共广元市委群众工作局部门</w:t>
            </w:r>
          </w:p>
        </w:tc>
        <w:tc>
          <w:tcPr>
            <w:tcW w:w="969" w:type="dxa"/>
            <w:tcBorders>
              <w:top w:val="nil"/>
              <w:left w:val="nil"/>
              <w:bottom w:val="nil"/>
              <w:right w:val="nil"/>
            </w:tcBorders>
            <w:shd w:val="clear" w:color="auto" w:fill="auto"/>
            <w:vAlign w:val="center"/>
          </w:tcPr>
          <w:p>
            <w:pPr>
              <w:bidi w:val="0"/>
              <w:rPr>
                <w:rFonts w:hint="eastAsia"/>
              </w:rPr>
            </w:pPr>
            <w:r>
              <w:rPr>
                <w:rFonts w:hint="eastAsia"/>
                <w:lang w:val="en-US" w:eastAsia="zh-CN"/>
              </w:rPr>
              <w:t>实施单位 （盖章）</w:t>
            </w:r>
          </w:p>
        </w:tc>
        <w:tc>
          <w:tcPr>
            <w:tcW w:w="26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广元市群众工作中心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jc w:val="center"/>
        </w:trPr>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项目基本情况</w:t>
            </w:r>
          </w:p>
        </w:tc>
        <w:tc>
          <w:tcPr>
            <w:tcW w:w="11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1.项目年度目标完成情况</w:t>
            </w:r>
          </w:p>
        </w:tc>
        <w:tc>
          <w:tcPr>
            <w:tcW w:w="429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项目年度目标</w:t>
            </w:r>
          </w:p>
        </w:tc>
        <w:tc>
          <w:tcPr>
            <w:tcW w:w="35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4"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429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严格执行相关政策，保障工资及时发放、足额发放，预算编制科学合理，减少结余资金</w:t>
            </w:r>
          </w:p>
        </w:tc>
        <w:tc>
          <w:tcPr>
            <w:tcW w:w="35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2022年已完成在职在编人员工资的正常发放。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7"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2.项目实施内容及过程概述</w:t>
            </w:r>
          </w:p>
        </w:tc>
        <w:tc>
          <w:tcPr>
            <w:tcW w:w="78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每月初按时发放干部工资，按核定数支付，并做到无拖欠。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预算执行情况（10分）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年度预算数（万元）</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年初预算</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调整后预算数</w:t>
            </w:r>
          </w:p>
        </w:tc>
        <w:tc>
          <w:tcPr>
            <w:tcW w:w="1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预算执行数</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预算执行率</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权重</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得分</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总额</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73.64</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107.46</w:t>
            </w:r>
          </w:p>
        </w:tc>
        <w:tc>
          <w:tcPr>
            <w:tcW w:w="1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107.46</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100.00%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w:t>
            </w: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其中：财政资金</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73.64</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107.46</w:t>
            </w:r>
          </w:p>
        </w:tc>
        <w:tc>
          <w:tcPr>
            <w:tcW w:w="1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107.46</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100.00%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财政专户管理资金</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1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1"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单位资金</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1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其他资金</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6" w:hRule="atLeast"/>
          <w:jc w:val="center"/>
        </w:trPr>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绩效指标（90分）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一级指标</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二级指标</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三级指标</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指标性质</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指标值</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度量单位</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完成值</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权重</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得分</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产出指标</w:t>
            </w:r>
          </w:p>
        </w:tc>
        <w:tc>
          <w:tcPr>
            <w:tcW w:w="10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数量指标</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科目调整次数</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次</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22.5</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22.5</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0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足额保障率</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100</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22.5</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22.5</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时效指标</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按时发放率</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100</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22.5</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22.5</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效益指标</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经济效益指标</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结余率（计算方法为：结余数/预算数）</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5</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22.5</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22.5</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jc w:val="center"/>
        </w:trPr>
        <w:tc>
          <w:tcPr>
            <w:tcW w:w="703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合计</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评价结论</w:t>
            </w:r>
          </w:p>
        </w:tc>
        <w:tc>
          <w:tcPr>
            <w:tcW w:w="90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保障工资及时发放、足额发放，预算编制科学合理，减少结余资金，2022年计划发放事业干部共11人工资，未超出预算。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存在问题</w:t>
            </w:r>
          </w:p>
        </w:tc>
        <w:tc>
          <w:tcPr>
            <w:tcW w:w="90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项目细化程度还不够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改进措施</w:t>
            </w:r>
          </w:p>
        </w:tc>
        <w:tc>
          <w:tcPr>
            <w:tcW w:w="90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保证资金使用管理的规范性、安全性和有效性，提高财政资金使用效率。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jc w:val="center"/>
        </w:trPr>
        <w:tc>
          <w:tcPr>
            <w:tcW w:w="467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项目负责人：毛富勇</w:t>
            </w:r>
          </w:p>
        </w:tc>
        <w:tc>
          <w:tcPr>
            <w:tcW w:w="496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财务负责人：王伟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jc w:val="center"/>
        </w:trPr>
        <w:tc>
          <w:tcPr>
            <w:tcW w:w="636" w:type="dxa"/>
            <w:tcBorders>
              <w:top w:val="nil"/>
              <w:left w:val="nil"/>
              <w:bottom w:val="nil"/>
              <w:right w:val="nil"/>
            </w:tcBorders>
            <w:shd w:val="clear" w:color="auto" w:fill="auto"/>
            <w:vAlign w:val="center"/>
          </w:tcPr>
          <w:p>
            <w:pPr>
              <w:bidi w:val="0"/>
              <w:rPr>
                <w:rFonts w:hint="eastAsia"/>
              </w:rPr>
            </w:pPr>
          </w:p>
        </w:tc>
        <w:tc>
          <w:tcPr>
            <w:tcW w:w="1134" w:type="dxa"/>
            <w:tcBorders>
              <w:top w:val="nil"/>
              <w:left w:val="nil"/>
              <w:bottom w:val="nil"/>
              <w:right w:val="nil"/>
            </w:tcBorders>
            <w:shd w:val="clear" w:color="auto" w:fill="auto"/>
            <w:vAlign w:val="center"/>
          </w:tcPr>
          <w:p>
            <w:pPr>
              <w:bidi w:val="0"/>
              <w:rPr>
                <w:rFonts w:hint="eastAsia"/>
              </w:rPr>
            </w:pPr>
          </w:p>
        </w:tc>
        <w:tc>
          <w:tcPr>
            <w:tcW w:w="1033" w:type="dxa"/>
            <w:tcBorders>
              <w:top w:val="nil"/>
              <w:left w:val="nil"/>
              <w:bottom w:val="nil"/>
              <w:right w:val="nil"/>
            </w:tcBorders>
            <w:shd w:val="clear" w:color="auto" w:fill="auto"/>
            <w:vAlign w:val="center"/>
          </w:tcPr>
          <w:p>
            <w:pPr>
              <w:bidi w:val="0"/>
              <w:rPr>
                <w:rFonts w:hint="eastAsia"/>
              </w:rPr>
            </w:pPr>
          </w:p>
        </w:tc>
        <w:tc>
          <w:tcPr>
            <w:tcW w:w="1450" w:type="dxa"/>
            <w:tcBorders>
              <w:top w:val="nil"/>
              <w:left w:val="nil"/>
              <w:bottom w:val="nil"/>
              <w:right w:val="nil"/>
            </w:tcBorders>
            <w:shd w:val="clear" w:color="auto" w:fill="auto"/>
            <w:vAlign w:val="center"/>
          </w:tcPr>
          <w:p>
            <w:pPr>
              <w:bidi w:val="0"/>
              <w:rPr>
                <w:rFonts w:hint="eastAsia"/>
              </w:rPr>
            </w:pPr>
          </w:p>
        </w:tc>
        <w:tc>
          <w:tcPr>
            <w:tcW w:w="426" w:type="dxa"/>
            <w:tcBorders>
              <w:top w:val="nil"/>
              <w:left w:val="nil"/>
              <w:bottom w:val="nil"/>
              <w:right w:val="nil"/>
            </w:tcBorders>
            <w:shd w:val="clear" w:color="auto" w:fill="auto"/>
            <w:vAlign w:val="center"/>
          </w:tcPr>
          <w:p>
            <w:pPr>
              <w:bidi w:val="0"/>
              <w:rPr>
                <w:rFonts w:hint="eastAsia"/>
              </w:rPr>
            </w:pPr>
          </w:p>
        </w:tc>
        <w:tc>
          <w:tcPr>
            <w:tcW w:w="957" w:type="dxa"/>
            <w:tcBorders>
              <w:top w:val="nil"/>
              <w:left w:val="nil"/>
              <w:bottom w:val="nil"/>
              <w:right w:val="nil"/>
            </w:tcBorders>
            <w:shd w:val="clear" w:color="auto" w:fill="auto"/>
            <w:vAlign w:val="center"/>
          </w:tcPr>
          <w:p>
            <w:pPr>
              <w:bidi w:val="0"/>
              <w:rPr>
                <w:rFonts w:hint="eastAsia"/>
              </w:rPr>
            </w:pPr>
          </w:p>
        </w:tc>
        <w:tc>
          <w:tcPr>
            <w:tcW w:w="426" w:type="dxa"/>
            <w:tcBorders>
              <w:top w:val="nil"/>
              <w:left w:val="nil"/>
              <w:bottom w:val="nil"/>
              <w:right w:val="nil"/>
            </w:tcBorders>
            <w:shd w:val="clear" w:color="auto" w:fill="auto"/>
            <w:vAlign w:val="center"/>
          </w:tcPr>
          <w:p>
            <w:pPr>
              <w:bidi w:val="0"/>
              <w:rPr>
                <w:rFonts w:hint="eastAsia"/>
              </w:rPr>
            </w:pPr>
          </w:p>
        </w:tc>
        <w:tc>
          <w:tcPr>
            <w:tcW w:w="969" w:type="dxa"/>
            <w:tcBorders>
              <w:top w:val="nil"/>
              <w:left w:val="nil"/>
              <w:bottom w:val="nil"/>
              <w:right w:val="nil"/>
            </w:tcBorders>
            <w:shd w:val="clear" w:color="auto" w:fill="auto"/>
            <w:vAlign w:val="center"/>
          </w:tcPr>
          <w:p>
            <w:pPr>
              <w:bidi w:val="0"/>
              <w:rPr>
                <w:rFonts w:hint="eastAsia"/>
              </w:rPr>
            </w:pPr>
          </w:p>
        </w:tc>
        <w:tc>
          <w:tcPr>
            <w:tcW w:w="592" w:type="dxa"/>
            <w:tcBorders>
              <w:top w:val="nil"/>
              <w:left w:val="nil"/>
              <w:bottom w:val="nil"/>
              <w:right w:val="nil"/>
            </w:tcBorders>
            <w:shd w:val="clear" w:color="auto" w:fill="auto"/>
            <w:vAlign w:val="center"/>
          </w:tcPr>
          <w:p>
            <w:pPr>
              <w:bidi w:val="0"/>
              <w:rPr>
                <w:rFonts w:hint="eastAsia"/>
              </w:rPr>
            </w:pPr>
          </w:p>
        </w:tc>
        <w:tc>
          <w:tcPr>
            <w:tcW w:w="592" w:type="dxa"/>
            <w:tcBorders>
              <w:top w:val="nil"/>
              <w:left w:val="nil"/>
              <w:bottom w:val="nil"/>
              <w:right w:val="nil"/>
            </w:tcBorders>
            <w:shd w:val="clear" w:color="auto" w:fill="auto"/>
            <w:vAlign w:val="center"/>
          </w:tcPr>
          <w:p>
            <w:pPr>
              <w:bidi w:val="0"/>
              <w:rPr>
                <w:rFonts w:hint="eastAsia"/>
              </w:rPr>
            </w:pPr>
          </w:p>
        </w:tc>
        <w:tc>
          <w:tcPr>
            <w:tcW w:w="1425" w:type="dxa"/>
            <w:tcBorders>
              <w:top w:val="nil"/>
              <w:left w:val="nil"/>
              <w:bottom w:val="nil"/>
              <w:right w:val="nil"/>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jc w:val="center"/>
        </w:trPr>
        <w:tc>
          <w:tcPr>
            <w:tcW w:w="17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项目名称</w:t>
            </w:r>
          </w:p>
        </w:tc>
        <w:tc>
          <w:tcPr>
            <w:tcW w:w="78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51080022T000004928076-救助资助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7" w:hRule="atLeast"/>
          <w:jc w:val="center"/>
        </w:trPr>
        <w:tc>
          <w:tcPr>
            <w:tcW w:w="17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主管部门</w:t>
            </w:r>
          </w:p>
        </w:tc>
        <w:tc>
          <w:tcPr>
            <w:tcW w:w="429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中共广元市委群众工作局部门</w:t>
            </w:r>
          </w:p>
        </w:tc>
        <w:tc>
          <w:tcPr>
            <w:tcW w:w="969" w:type="dxa"/>
            <w:tcBorders>
              <w:top w:val="nil"/>
              <w:left w:val="nil"/>
              <w:bottom w:val="nil"/>
              <w:right w:val="nil"/>
            </w:tcBorders>
            <w:shd w:val="clear" w:color="auto" w:fill="auto"/>
            <w:vAlign w:val="center"/>
          </w:tcPr>
          <w:p>
            <w:pPr>
              <w:bidi w:val="0"/>
              <w:rPr>
                <w:rFonts w:hint="eastAsia"/>
              </w:rPr>
            </w:pPr>
            <w:r>
              <w:rPr>
                <w:rFonts w:hint="eastAsia"/>
                <w:lang w:val="en-US" w:eastAsia="zh-CN"/>
              </w:rPr>
              <w:t>实施单位 （盖章）</w:t>
            </w:r>
          </w:p>
        </w:tc>
        <w:tc>
          <w:tcPr>
            <w:tcW w:w="26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广元市群众工作中心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jc w:val="center"/>
        </w:trPr>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项目基本情况</w:t>
            </w:r>
          </w:p>
        </w:tc>
        <w:tc>
          <w:tcPr>
            <w:tcW w:w="11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1.项目年度目标完成情况</w:t>
            </w:r>
          </w:p>
        </w:tc>
        <w:tc>
          <w:tcPr>
            <w:tcW w:w="429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项目年度目标</w:t>
            </w:r>
          </w:p>
        </w:tc>
        <w:tc>
          <w:tcPr>
            <w:tcW w:w="35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4"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429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对全市困难信访群众开展资助救助工作</w:t>
            </w:r>
          </w:p>
        </w:tc>
        <w:tc>
          <w:tcPr>
            <w:tcW w:w="35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2022年完成资助救助工作，预算执行率100%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7"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2.项目实施内容及过程概述</w:t>
            </w:r>
          </w:p>
        </w:tc>
        <w:tc>
          <w:tcPr>
            <w:tcW w:w="78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依据信访人申请，责任科室审核，局务会批准的程序，开展资助救助。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预算执行情况（10分）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年度预算数（万元）</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年初预算</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调整后预算数</w:t>
            </w:r>
          </w:p>
        </w:tc>
        <w:tc>
          <w:tcPr>
            <w:tcW w:w="1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预算执行数</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预算执行率</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权重</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得分</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总额</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20.00</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20.00</w:t>
            </w:r>
          </w:p>
        </w:tc>
        <w:tc>
          <w:tcPr>
            <w:tcW w:w="1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20.00</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100.00%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w:t>
            </w: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其中：财政资金</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20.00</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20.00</w:t>
            </w:r>
          </w:p>
        </w:tc>
        <w:tc>
          <w:tcPr>
            <w:tcW w:w="1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20.00</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100.00%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财政专户管理资金</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1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1"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单位资金</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1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4"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其他资金</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6" w:hRule="atLeast"/>
          <w:jc w:val="center"/>
        </w:trPr>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绩效指标（90分）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一级指标</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二级指标</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三级指标</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指标性质</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指标值</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度量单位</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完成值</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权重</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得分</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产出指标</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数量指标</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涉及单位</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8</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个</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8</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质量指标</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质量良好率</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95</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96%</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时效指标</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完成时限</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年</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成本指标</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资助救助成本</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20</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万元</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效益指标</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社会效益指标</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社保矛盾减少</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12%</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可持续发展指标</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群众弃访安居生活</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20</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28%</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7"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满意度指标</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帮扶对象满意度指标</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群众满意率</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90</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95%</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jc w:val="center"/>
        </w:trPr>
        <w:tc>
          <w:tcPr>
            <w:tcW w:w="703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合计</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评价结论</w:t>
            </w:r>
          </w:p>
        </w:tc>
        <w:tc>
          <w:tcPr>
            <w:tcW w:w="90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通过对困难信访群众实施帮扶救助，化解信访矛盾纠纷，达到息诉息访。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存在问题</w:t>
            </w:r>
          </w:p>
        </w:tc>
        <w:tc>
          <w:tcPr>
            <w:tcW w:w="90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个被信访群众息诉息访后有反弹情况。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改进措施</w:t>
            </w:r>
          </w:p>
        </w:tc>
        <w:tc>
          <w:tcPr>
            <w:tcW w:w="90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持续最好息诉息访后的思想转化工作。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jc w:val="center"/>
        </w:trPr>
        <w:tc>
          <w:tcPr>
            <w:tcW w:w="467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项目负责人：薛萧</w:t>
            </w:r>
          </w:p>
        </w:tc>
        <w:tc>
          <w:tcPr>
            <w:tcW w:w="496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财务负责人：王伟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jc w:val="center"/>
        </w:trPr>
        <w:tc>
          <w:tcPr>
            <w:tcW w:w="636" w:type="dxa"/>
            <w:tcBorders>
              <w:top w:val="nil"/>
              <w:left w:val="nil"/>
              <w:bottom w:val="nil"/>
              <w:right w:val="nil"/>
            </w:tcBorders>
            <w:shd w:val="clear" w:color="auto" w:fill="auto"/>
            <w:vAlign w:val="center"/>
          </w:tcPr>
          <w:p>
            <w:pPr>
              <w:bidi w:val="0"/>
              <w:rPr>
                <w:rFonts w:hint="eastAsia"/>
              </w:rPr>
            </w:pPr>
          </w:p>
        </w:tc>
        <w:tc>
          <w:tcPr>
            <w:tcW w:w="1134" w:type="dxa"/>
            <w:tcBorders>
              <w:top w:val="nil"/>
              <w:left w:val="nil"/>
              <w:bottom w:val="nil"/>
              <w:right w:val="nil"/>
            </w:tcBorders>
            <w:shd w:val="clear" w:color="auto" w:fill="auto"/>
            <w:vAlign w:val="center"/>
          </w:tcPr>
          <w:p>
            <w:pPr>
              <w:bidi w:val="0"/>
              <w:rPr>
                <w:rFonts w:hint="eastAsia"/>
              </w:rPr>
            </w:pPr>
          </w:p>
        </w:tc>
        <w:tc>
          <w:tcPr>
            <w:tcW w:w="1033" w:type="dxa"/>
            <w:tcBorders>
              <w:top w:val="nil"/>
              <w:left w:val="nil"/>
              <w:bottom w:val="nil"/>
              <w:right w:val="nil"/>
            </w:tcBorders>
            <w:shd w:val="clear" w:color="auto" w:fill="auto"/>
            <w:vAlign w:val="center"/>
          </w:tcPr>
          <w:p>
            <w:pPr>
              <w:bidi w:val="0"/>
              <w:rPr>
                <w:rFonts w:hint="eastAsia"/>
              </w:rPr>
            </w:pPr>
          </w:p>
        </w:tc>
        <w:tc>
          <w:tcPr>
            <w:tcW w:w="1450" w:type="dxa"/>
            <w:tcBorders>
              <w:top w:val="nil"/>
              <w:left w:val="nil"/>
              <w:bottom w:val="nil"/>
              <w:right w:val="nil"/>
            </w:tcBorders>
            <w:shd w:val="clear" w:color="auto" w:fill="auto"/>
            <w:vAlign w:val="center"/>
          </w:tcPr>
          <w:p>
            <w:pPr>
              <w:bidi w:val="0"/>
              <w:rPr>
                <w:rFonts w:hint="eastAsia"/>
              </w:rPr>
            </w:pPr>
          </w:p>
        </w:tc>
        <w:tc>
          <w:tcPr>
            <w:tcW w:w="426" w:type="dxa"/>
            <w:tcBorders>
              <w:top w:val="nil"/>
              <w:left w:val="nil"/>
              <w:bottom w:val="nil"/>
              <w:right w:val="nil"/>
            </w:tcBorders>
            <w:shd w:val="clear" w:color="auto" w:fill="auto"/>
            <w:vAlign w:val="center"/>
          </w:tcPr>
          <w:p>
            <w:pPr>
              <w:bidi w:val="0"/>
              <w:rPr>
                <w:rFonts w:hint="eastAsia"/>
              </w:rPr>
            </w:pPr>
          </w:p>
        </w:tc>
        <w:tc>
          <w:tcPr>
            <w:tcW w:w="957" w:type="dxa"/>
            <w:tcBorders>
              <w:top w:val="nil"/>
              <w:left w:val="nil"/>
              <w:bottom w:val="nil"/>
              <w:right w:val="nil"/>
            </w:tcBorders>
            <w:shd w:val="clear" w:color="auto" w:fill="auto"/>
            <w:vAlign w:val="center"/>
          </w:tcPr>
          <w:p>
            <w:pPr>
              <w:bidi w:val="0"/>
              <w:rPr>
                <w:rFonts w:hint="eastAsia"/>
              </w:rPr>
            </w:pPr>
          </w:p>
        </w:tc>
        <w:tc>
          <w:tcPr>
            <w:tcW w:w="426" w:type="dxa"/>
            <w:tcBorders>
              <w:top w:val="nil"/>
              <w:left w:val="nil"/>
              <w:bottom w:val="nil"/>
              <w:right w:val="nil"/>
            </w:tcBorders>
            <w:shd w:val="clear" w:color="auto" w:fill="auto"/>
            <w:vAlign w:val="center"/>
          </w:tcPr>
          <w:p>
            <w:pPr>
              <w:bidi w:val="0"/>
              <w:rPr>
                <w:rFonts w:hint="eastAsia"/>
              </w:rPr>
            </w:pPr>
          </w:p>
        </w:tc>
        <w:tc>
          <w:tcPr>
            <w:tcW w:w="969" w:type="dxa"/>
            <w:tcBorders>
              <w:top w:val="nil"/>
              <w:left w:val="nil"/>
              <w:bottom w:val="nil"/>
              <w:right w:val="nil"/>
            </w:tcBorders>
            <w:shd w:val="clear" w:color="auto" w:fill="auto"/>
            <w:vAlign w:val="center"/>
          </w:tcPr>
          <w:p>
            <w:pPr>
              <w:bidi w:val="0"/>
              <w:rPr>
                <w:rFonts w:hint="eastAsia"/>
              </w:rPr>
            </w:pPr>
          </w:p>
        </w:tc>
        <w:tc>
          <w:tcPr>
            <w:tcW w:w="592" w:type="dxa"/>
            <w:tcBorders>
              <w:top w:val="nil"/>
              <w:left w:val="nil"/>
              <w:bottom w:val="nil"/>
              <w:right w:val="nil"/>
            </w:tcBorders>
            <w:shd w:val="clear" w:color="auto" w:fill="auto"/>
            <w:vAlign w:val="center"/>
          </w:tcPr>
          <w:p>
            <w:pPr>
              <w:bidi w:val="0"/>
              <w:rPr>
                <w:rFonts w:hint="eastAsia"/>
              </w:rPr>
            </w:pPr>
          </w:p>
        </w:tc>
        <w:tc>
          <w:tcPr>
            <w:tcW w:w="592" w:type="dxa"/>
            <w:tcBorders>
              <w:top w:val="nil"/>
              <w:left w:val="nil"/>
              <w:bottom w:val="nil"/>
              <w:right w:val="nil"/>
            </w:tcBorders>
            <w:shd w:val="clear" w:color="auto" w:fill="auto"/>
            <w:vAlign w:val="center"/>
          </w:tcPr>
          <w:p>
            <w:pPr>
              <w:bidi w:val="0"/>
              <w:rPr>
                <w:rFonts w:hint="eastAsia"/>
              </w:rPr>
            </w:pPr>
          </w:p>
        </w:tc>
        <w:tc>
          <w:tcPr>
            <w:tcW w:w="1425" w:type="dxa"/>
            <w:tcBorders>
              <w:top w:val="nil"/>
              <w:left w:val="nil"/>
              <w:bottom w:val="nil"/>
              <w:right w:val="nil"/>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jc w:val="center"/>
        </w:trPr>
        <w:tc>
          <w:tcPr>
            <w:tcW w:w="17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项目名称</w:t>
            </w:r>
          </w:p>
        </w:tc>
        <w:tc>
          <w:tcPr>
            <w:tcW w:w="78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7" w:hRule="atLeast"/>
          <w:jc w:val="center"/>
        </w:trPr>
        <w:tc>
          <w:tcPr>
            <w:tcW w:w="17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主管部门</w:t>
            </w:r>
          </w:p>
        </w:tc>
        <w:tc>
          <w:tcPr>
            <w:tcW w:w="429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中共广元市委群众工作局部门</w:t>
            </w:r>
          </w:p>
        </w:tc>
        <w:tc>
          <w:tcPr>
            <w:tcW w:w="969" w:type="dxa"/>
            <w:tcBorders>
              <w:top w:val="nil"/>
              <w:left w:val="nil"/>
              <w:bottom w:val="nil"/>
              <w:right w:val="nil"/>
            </w:tcBorders>
            <w:shd w:val="clear" w:color="auto" w:fill="auto"/>
            <w:vAlign w:val="center"/>
          </w:tcPr>
          <w:p>
            <w:pPr>
              <w:bidi w:val="0"/>
              <w:rPr>
                <w:rFonts w:hint="eastAsia"/>
              </w:rPr>
            </w:pPr>
            <w:r>
              <w:rPr>
                <w:rFonts w:hint="eastAsia"/>
                <w:lang w:val="en-US" w:eastAsia="zh-CN"/>
              </w:rPr>
              <w:t>实施单位 （盖章）</w:t>
            </w:r>
          </w:p>
        </w:tc>
        <w:tc>
          <w:tcPr>
            <w:tcW w:w="26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广元市群众工作中心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jc w:val="center"/>
        </w:trPr>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项目基本情况</w:t>
            </w:r>
          </w:p>
        </w:tc>
        <w:tc>
          <w:tcPr>
            <w:tcW w:w="11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1.项目年度目标完成情况</w:t>
            </w:r>
          </w:p>
        </w:tc>
        <w:tc>
          <w:tcPr>
            <w:tcW w:w="429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项目年度目标</w:t>
            </w:r>
          </w:p>
        </w:tc>
        <w:tc>
          <w:tcPr>
            <w:tcW w:w="35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7"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429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保障单位日常运转，开展基本工作、维持正常运转所需经费，用于办公费、印刷费、差旅费、邮电费、办公设备购置、接待费等。</w:t>
            </w:r>
          </w:p>
        </w:tc>
        <w:tc>
          <w:tcPr>
            <w:tcW w:w="35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按照财务管理要求支付机关办公和日常运行所需的费用。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7"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2.项目实施内容及过程概述</w:t>
            </w:r>
          </w:p>
        </w:tc>
        <w:tc>
          <w:tcPr>
            <w:tcW w:w="78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2022年度支付办公费、印刷费、差旅费、邮电费、办公设备购置等，对日常办公提供经费保障，保障机关正常运转。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预算执行情况（10分）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年度预算数（万元）</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年初预算</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调整后预算数</w:t>
            </w:r>
          </w:p>
        </w:tc>
        <w:tc>
          <w:tcPr>
            <w:tcW w:w="1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预算执行数</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预算执行率</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权重</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得分</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总额</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16.50</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16.24</w:t>
            </w:r>
          </w:p>
        </w:tc>
        <w:tc>
          <w:tcPr>
            <w:tcW w:w="1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16.24</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100.00%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w:t>
            </w: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其中：财政资金</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16.50</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16.24</w:t>
            </w:r>
          </w:p>
        </w:tc>
        <w:tc>
          <w:tcPr>
            <w:tcW w:w="1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16.24</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100.00%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财政专户管理资金</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1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1"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单位资金</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1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其他资金</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6" w:hRule="atLeast"/>
          <w:jc w:val="center"/>
        </w:trPr>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绩效指标（90分）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一级指标</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二级指标</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三级指标</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指标性质</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指标值</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度量单位</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完成值</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权重</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得分</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产出指标</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数量指标</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科目调整次数</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次</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22.5</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22.5</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5"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质量指标</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预算编制准确率（计算方法为：∣（执行数-预算数）/预算数∣）</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5</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lang w:val="en-US"/>
              </w:rPr>
            </w:pPr>
            <w:r>
              <w:rPr>
                <w:rFonts w:hint="eastAsia"/>
                <w:lang w:val="en-US" w:eastAsia="zh-CN"/>
              </w:rPr>
              <w:t>1%</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22.5</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22.5</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5"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效益指标</w:t>
            </w:r>
          </w:p>
        </w:tc>
        <w:tc>
          <w:tcPr>
            <w:tcW w:w="10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经济效益指标</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“三公经费”控制率[计算方法为：（三公经费实际支出数/预算安排数]×100%）</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100</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86.67%</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22.5</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22.5</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0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运转保障率</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100</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22.5</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22.5</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jc w:val="center"/>
        </w:trPr>
        <w:tc>
          <w:tcPr>
            <w:tcW w:w="703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合计</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评价结论</w:t>
            </w:r>
          </w:p>
        </w:tc>
        <w:tc>
          <w:tcPr>
            <w:tcW w:w="90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对机关日常工作运转的办公费、差旅费、水电费、办公耗材、电话费、网络费等必要支出，为单位工作正常运转提供了保障。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存在问题</w:t>
            </w:r>
          </w:p>
        </w:tc>
        <w:tc>
          <w:tcPr>
            <w:tcW w:w="90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科目预算细化不够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改进措施</w:t>
            </w:r>
          </w:p>
        </w:tc>
        <w:tc>
          <w:tcPr>
            <w:tcW w:w="90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继续完善相关制度，强化项目实施过程的管理和监督。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jc w:val="center"/>
        </w:trPr>
        <w:tc>
          <w:tcPr>
            <w:tcW w:w="467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项目负责人：淳祺雁</w:t>
            </w:r>
          </w:p>
        </w:tc>
        <w:tc>
          <w:tcPr>
            <w:tcW w:w="496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财务负责人：王伟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jc w:val="center"/>
        </w:trPr>
        <w:tc>
          <w:tcPr>
            <w:tcW w:w="636" w:type="dxa"/>
            <w:tcBorders>
              <w:top w:val="nil"/>
              <w:left w:val="nil"/>
              <w:bottom w:val="nil"/>
              <w:right w:val="nil"/>
            </w:tcBorders>
            <w:shd w:val="clear" w:color="auto" w:fill="auto"/>
            <w:vAlign w:val="center"/>
          </w:tcPr>
          <w:p>
            <w:pPr>
              <w:bidi w:val="0"/>
              <w:rPr>
                <w:rFonts w:hint="eastAsia"/>
              </w:rPr>
            </w:pPr>
          </w:p>
        </w:tc>
        <w:tc>
          <w:tcPr>
            <w:tcW w:w="1134" w:type="dxa"/>
            <w:tcBorders>
              <w:top w:val="nil"/>
              <w:left w:val="nil"/>
              <w:bottom w:val="nil"/>
              <w:right w:val="nil"/>
            </w:tcBorders>
            <w:shd w:val="clear" w:color="auto" w:fill="auto"/>
            <w:vAlign w:val="center"/>
          </w:tcPr>
          <w:p>
            <w:pPr>
              <w:bidi w:val="0"/>
              <w:rPr>
                <w:rFonts w:hint="eastAsia"/>
              </w:rPr>
            </w:pPr>
          </w:p>
        </w:tc>
        <w:tc>
          <w:tcPr>
            <w:tcW w:w="1033" w:type="dxa"/>
            <w:tcBorders>
              <w:top w:val="nil"/>
              <w:left w:val="nil"/>
              <w:bottom w:val="nil"/>
              <w:right w:val="nil"/>
            </w:tcBorders>
            <w:shd w:val="clear" w:color="auto" w:fill="auto"/>
            <w:vAlign w:val="center"/>
          </w:tcPr>
          <w:p>
            <w:pPr>
              <w:bidi w:val="0"/>
              <w:rPr>
                <w:rFonts w:hint="eastAsia"/>
              </w:rPr>
            </w:pPr>
          </w:p>
        </w:tc>
        <w:tc>
          <w:tcPr>
            <w:tcW w:w="1450" w:type="dxa"/>
            <w:tcBorders>
              <w:top w:val="nil"/>
              <w:left w:val="nil"/>
              <w:bottom w:val="nil"/>
              <w:right w:val="nil"/>
            </w:tcBorders>
            <w:shd w:val="clear" w:color="auto" w:fill="auto"/>
            <w:vAlign w:val="center"/>
          </w:tcPr>
          <w:p>
            <w:pPr>
              <w:bidi w:val="0"/>
              <w:rPr>
                <w:rFonts w:hint="eastAsia"/>
              </w:rPr>
            </w:pPr>
          </w:p>
        </w:tc>
        <w:tc>
          <w:tcPr>
            <w:tcW w:w="426" w:type="dxa"/>
            <w:tcBorders>
              <w:top w:val="nil"/>
              <w:left w:val="nil"/>
              <w:bottom w:val="nil"/>
              <w:right w:val="nil"/>
            </w:tcBorders>
            <w:shd w:val="clear" w:color="auto" w:fill="auto"/>
            <w:vAlign w:val="center"/>
          </w:tcPr>
          <w:p>
            <w:pPr>
              <w:bidi w:val="0"/>
              <w:rPr>
                <w:rFonts w:hint="eastAsia"/>
              </w:rPr>
            </w:pPr>
          </w:p>
        </w:tc>
        <w:tc>
          <w:tcPr>
            <w:tcW w:w="957" w:type="dxa"/>
            <w:tcBorders>
              <w:top w:val="nil"/>
              <w:left w:val="nil"/>
              <w:bottom w:val="nil"/>
              <w:right w:val="nil"/>
            </w:tcBorders>
            <w:shd w:val="clear" w:color="auto" w:fill="auto"/>
            <w:vAlign w:val="center"/>
          </w:tcPr>
          <w:p>
            <w:pPr>
              <w:bidi w:val="0"/>
              <w:rPr>
                <w:rFonts w:hint="eastAsia"/>
              </w:rPr>
            </w:pPr>
          </w:p>
        </w:tc>
        <w:tc>
          <w:tcPr>
            <w:tcW w:w="426" w:type="dxa"/>
            <w:tcBorders>
              <w:top w:val="nil"/>
              <w:left w:val="nil"/>
              <w:bottom w:val="nil"/>
              <w:right w:val="nil"/>
            </w:tcBorders>
            <w:shd w:val="clear" w:color="auto" w:fill="auto"/>
            <w:vAlign w:val="center"/>
          </w:tcPr>
          <w:p>
            <w:pPr>
              <w:bidi w:val="0"/>
              <w:rPr>
                <w:rFonts w:hint="eastAsia"/>
              </w:rPr>
            </w:pPr>
          </w:p>
        </w:tc>
        <w:tc>
          <w:tcPr>
            <w:tcW w:w="969" w:type="dxa"/>
            <w:tcBorders>
              <w:top w:val="nil"/>
              <w:left w:val="nil"/>
              <w:bottom w:val="nil"/>
              <w:right w:val="nil"/>
            </w:tcBorders>
            <w:shd w:val="clear" w:color="auto" w:fill="auto"/>
            <w:vAlign w:val="center"/>
          </w:tcPr>
          <w:p>
            <w:pPr>
              <w:bidi w:val="0"/>
              <w:rPr>
                <w:rFonts w:hint="eastAsia"/>
              </w:rPr>
            </w:pPr>
          </w:p>
        </w:tc>
        <w:tc>
          <w:tcPr>
            <w:tcW w:w="592" w:type="dxa"/>
            <w:tcBorders>
              <w:top w:val="nil"/>
              <w:left w:val="nil"/>
              <w:bottom w:val="nil"/>
              <w:right w:val="nil"/>
            </w:tcBorders>
            <w:shd w:val="clear" w:color="auto" w:fill="auto"/>
            <w:vAlign w:val="center"/>
          </w:tcPr>
          <w:p>
            <w:pPr>
              <w:bidi w:val="0"/>
              <w:rPr>
                <w:rFonts w:hint="eastAsia"/>
              </w:rPr>
            </w:pPr>
          </w:p>
        </w:tc>
        <w:tc>
          <w:tcPr>
            <w:tcW w:w="592" w:type="dxa"/>
            <w:tcBorders>
              <w:top w:val="nil"/>
              <w:left w:val="nil"/>
              <w:bottom w:val="nil"/>
              <w:right w:val="nil"/>
            </w:tcBorders>
            <w:shd w:val="clear" w:color="auto" w:fill="auto"/>
            <w:vAlign w:val="center"/>
          </w:tcPr>
          <w:p>
            <w:pPr>
              <w:bidi w:val="0"/>
              <w:rPr>
                <w:rFonts w:hint="eastAsia"/>
              </w:rPr>
            </w:pPr>
          </w:p>
        </w:tc>
        <w:tc>
          <w:tcPr>
            <w:tcW w:w="1425" w:type="dxa"/>
            <w:tcBorders>
              <w:top w:val="nil"/>
              <w:left w:val="nil"/>
              <w:bottom w:val="nil"/>
              <w:right w:val="nil"/>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jc w:val="center"/>
        </w:trPr>
        <w:tc>
          <w:tcPr>
            <w:tcW w:w="17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项目名称</w:t>
            </w:r>
          </w:p>
        </w:tc>
        <w:tc>
          <w:tcPr>
            <w:tcW w:w="78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51080023R000007612345-规范后市级基础绩效奖及生活补助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7" w:hRule="atLeast"/>
          <w:jc w:val="center"/>
        </w:trPr>
        <w:tc>
          <w:tcPr>
            <w:tcW w:w="17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主管部门</w:t>
            </w:r>
          </w:p>
        </w:tc>
        <w:tc>
          <w:tcPr>
            <w:tcW w:w="429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中共广元市委群众工作局部门</w:t>
            </w:r>
          </w:p>
        </w:tc>
        <w:tc>
          <w:tcPr>
            <w:tcW w:w="969" w:type="dxa"/>
            <w:tcBorders>
              <w:top w:val="nil"/>
              <w:left w:val="nil"/>
              <w:bottom w:val="nil"/>
              <w:right w:val="nil"/>
            </w:tcBorders>
            <w:shd w:val="clear" w:color="auto" w:fill="auto"/>
            <w:vAlign w:val="center"/>
          </w:tcPr>
          <w:p>
            <w:pPr>
              <w:bidi w:val="0"/>
              <w:rPr>
                <w:rFonts w:hint="eastAsia"/>
              </w:rPr>
            </w:pPr>
            <w:r>
              <w:rPr>
                <w:rFonts w:hint="eastAsia"/>
                <w:lang w:val="en-US" w:eastAsia="zh-CN"/>
              </w:rPr>
              <w:t>实施单位 （盖章）</w:t>
            </w:r>
          </w:p>
        </w:tc>
        <w:tc>
          <w:tcPr>
            <w:tcW w:w="26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广元市群众工作中心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jc w:val="center"/>
        </w:trPr>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项目基本情况</w:t>
            </w:r>
          </w:p>
        </w:tc>
        <w:tc>
          <w:tcPr>
            <w:tcW w:w="11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1.项目年度目标完成情况</w:t>
            </w:r>
          </w:p>
        </w:tc>
        <w:tc>
          <w:tcPr>
            <w:tcW w:w="429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项目年度目标</w:t>
            </w:r>
          </w:p>
        </w:tc>
        <w:tc>
          <w:tcPr>
            <w:tcW w:w="35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4"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429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根据年度考核情况，按标准支付绩效奖金。</w:t>
            </w:r>
          </w:p>
        </w:tc>
        <w:tc>
          <w:tcPr>
            <w:tcW w:w="35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按时核定标准向职工支付绩效奖金。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7"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2.项目实施内容及过程概述</w:t>
            </w:r>
          </w:p>
        </w:tc>
        <w:tc>
          <w:tcPr>
            <w:tcW w:w="78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按照年度考核情况，逐人核实绩效奖励标准，并按时发放。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预算执行情况（10分）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年度预算数（万元）</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年初预算</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调整后预算数</w:t>
            </w:r>
          </w:p>
        </w:tc>
        <w:tc>
          <w:tcPr>
            <w:tcW w:w="1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预算执行数</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预算执行率</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权重</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得分</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总额</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6.83</w:t>
            </w:r>
          </w:p>
        </w:tc>
        <w:tc>
          <w:tcPr>
            <w:tcW w:w="1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3.49</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51.16%</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5</w:t>
            </w: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未能及时缴纳住房公积金，结转到次年支付。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其中：财政资金</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6.83</w:t>
            </w:r>
          </w:p>
        </w:tc>
        <w:tc>
          <w:tcPr>
            <w:tcW w:w="1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3.49</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51.16%</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财政专户管理资金</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1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1"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单位资金</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1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0.00%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其他资金</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6" w:hRule="atLeast"/>
          <w:jc w:val="center"/>
        </w:trPr>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绩效指标（90分）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一级指标</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二级指标</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三级指标</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指标性质</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指标值</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度量单位</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完成值</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权重</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得分</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产出指标</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数量指标</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发放人数</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11</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人</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15</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产出指标</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时效指标</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完成时间</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天</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产出指标</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质量指标</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发放率</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100</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产出指标</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成本指标</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费用金额</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6.83</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万元</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3.49</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未能及时缴纳住房公积金，结转到次年支付。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效益指标</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可持续发展指标</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工作积极性</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90</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95%</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20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满意度指标</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群众满意指标</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满意率</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95</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jc w:val="center"/>
        </w:trPr>
        <w:tc>
          <w:tcPr>
            <w:tcW w:w="703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合计</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100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85</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评价结论</w:t>
            </w:r>
          </w:p>
        </w:tc>
        <w:tc>
          <w:tcPr>
            <w:tcW w:w="90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根据下达资金计划要求，及时核定人员标准，按时发放绩效奖。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存在问题</w:t>
            </w:r>
          </w:p>
        </w:tc>
        <w:tc>
          <w:tcPr>
            <w:tcW w:w="90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未能及时缴纳住房公积金，形成资金结余。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改进措施</w:t>
            </w:r>
          </w:p>
        </w:tc>
        <w:tc>
          <w:tcPr>
            <w:tcW w:w="90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及时支付公积金，确保执行率达标。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467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项目负责人：毛富勇</w:t>
            </w:r>
          </w:p>
        </w:tc>
        <w:tc>
          <w:tcPr>
            <w:tcW w:w="496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bidi w:val="0"/>
              <w:rPr>
                <w:rFonts w:hint="eastAsia"/>
              </w:rPr>
            </w:pPr>
            <w:r>
              <w:rPr>
                <w:rFonts w:hint="eastAsia"/>
                <w:lang w:val="en-US" w:eastAsia="zh-CN"/>
              </w:rPr>
              <w:t>财务负责人：王伟</w:t>
            </w:r>
          </w:p>
        </w:tc>
      </w:tr>
    </w:tbl>
    <w:p>
      <w:pPr>
        <w:numPr>
          <w:ilvl w:val="0"/>
          <w:numId w:val="5"/>
        </w:numPr>
        <w:spacing w:line="600" w:lineRule="exact"/>
        <w:jc w:val="center"/>
        <w:outlineLvl w:val="0"/>
        <w:rPr>
          <w:rStyle w:val="16"/>
          <w:rFonts w:hint="eastAsia" w:ascii="方正小标宋简体" w:hAnsi="方正小标宋简体" w:eastAsia="方正小标宋简体" w:cs="方正小标宋简体"/>
          <w:b w:val="0"/>
          <w:color w:val="auto"/>
          <w:sz w:val="44"/>
          <w:szCs w:val="44"/>
          <w:highlight w:val="none"/>
        </w:rPr>
      </w:pPr>
      <w:bookmarkStart w:id="96" w:name="_Toc17649"/>
      <w:bookmarkStart w:id="97" w:name="_Toc3155"/>
      <w:r>
        <w:rPr>
          <w:rStyle w:val="16"/>
          <w:rFonts w:hint="eastAsia" w:ascii="方正小标宋简体" w:hAnsi="方正小标宋简体" w:eastAsia="方正小标宋简体" w:cs="方正小标宋简体"/>
          <w:b w:val="0"/>
          <w:color w:val="auto"/>
          <w:sz w:val="44"/>
          <w:szCs w:val="44"/>
          <w:highlight w:val="none"/>
        </w:rPr>
        <w:t>附表</w:t>
      </w:r>
      <w:bookmarkEnd w:id="91"/>
      <w:bookmarkEnd w:id="95"/>
      <w:bookmarkEnd w:id="96"/>
      <w:bookmarkEnd w:id="97"/>
      <w:bookmarkStart w:id="98" w:name="_Toc15396619"/>
    </w:p>
    <w:p>
      <w:pPr>
        <w:bidi w:val="0"/>
        <w:rPr>
          <w:rFonts w:hint="eastAsia"/>
        </w:rPr>
      </w:pPr>
    </w:p>
    <w:p>
      <w:pPr>
        <w:pStyle w:val="4"/>
        <w:bidi w:val="0"/>
        <w:rPr>
          <w:rFonts w:hint="eastAsia"/>
        </w:rPr>
      </w:pPr>
      <w:bookmarkStart w:id="99" w:name="_Toc26475"/>
      <w:bookmarkStart w:id="100" w:name="_Toc13421"/>
      <w:r>
        <w:rPr>
          <w:rFonts w:hint="eastAsia"/>
        </w:rPr>
        <w:t>一、收入支出决算总表</w:t>
      </w:r>
      <w:bookmarkEnd w:id="98"/>
      <w:bookmarkEnd w:id="99"/>
      <w:bookmarkEnd w:id="100"/>
    </w:p>
    <w:p>
      <w:pPr>
        <w:pStyle w:val="4"/>
        <w:bidi w:val="0"/>
        <w:rPr>
          <w:rFonts w:hint="eastAsia"/>
        </w:rPr>
      </w:pPr>
      <w:bookmarkStart w:id="101" w:name="_Toc15396620"/>
      <w:bookmarkStart w:id="102" w:name="_Toc25294"/>
      <w:bookmarkStart w:id="103" w:name="_Toc7873"/>
      <w:r>
        <w:rPr>
          <w:rFonts w:hint="eastAsia"/>
        </w:rPr>
        <w:t>二、收入决算表</w:t>
      </w:r>
      <w:bookmarkEnd w:id="101"/>
      <w:bookmarkEnd w:id="102"/>
      <w:bookmarkEnd w:id="103"/>
    </w:p>
    <w:p>
      <w:pPr>
        <w:pStyle w:val="4"/>
        <w:bidi w:val="0"/>
        <w:rPr>
          <w:rFonts w:hint="eastAsia"/>
        </w:rPr>
      </w:pPr>
      <w:bookmarkStart w:id="104" w:name="_Toc15396621"/>
      <w:bookmarkStart w:id="105" w:name="_Toc30736"/>
      <w:bookmarkStart w:id="106" w:name="_Toc1175"/>
      <w:r>
        <w:rPr>
          <w:rFonts w:hint="eastAsia"/>
        </w:rPr>
        <w:t>三、支出决算表</w:t>
      </w:r>
      <w:bookmarkEnd w:id="104"/>
      <w:bookmarkEnd w:id="105"/>
      <w:bookmarkEnd w:id="106"/>
    </w:p>
    <w:p>
      <w:pPr>
        <w:pStyle w:val="4"/>
        <w:bidi w:val="0"/>
        <w:rPr>
          <w:rFonts w:hint="eastAsia"/>
        </w:rPr>
      </w:pPr>
      <w:bookmarkStart w:id="107" w:name="_Toc22971"/>
      <w:bookmarkStart w:id="108" w:name="_Toc14096"/>
      <w:bookmarkStart w:id="109" w:name="_Toc15396622"/>
      <w:r>
        <w:rPr>
          <w:rFonts w:hint="eastAsia"/>
        </w:rPr>
        <w:t>四、财政拨款收入支出决算总表</w:t>
      </w:r>
      <w:bookmarkEnd w:id="107"/>
      <w:bookmarkEnd w:id="108"/>
      <w:bookmarkEnd w:id="109"/>
    </w:p>
    <w:p>
      <w:pPr>
        <w:pStyle w:val="4"/>
        <w:bidi w:val="0"/>
        <w:rPr>
          <w:rFonts w:hint="eastAsia"/>
        </w:rPr>
      </w:pPr>
      <w:bookmarkStart w:id="110" w:name="_Toc26967"/>
      <w:bookmarkStart w:id="111" w:name="_Toc15463"/>
      <w:bookmarkStart w:id="112" w:name="_Toc15396623"/>
      <w:r>
        <w:rPr>
          <w:rFonts w:hint="eastAsia"/>
        </w:rPr>
        <w:t>五、财政拨款支出决算明细表</w:t>
      </w:r>
      <w:bookmarkEnd w:id="110"/>
      <w:bookmarkEnd w:id="111"/>
      <w:bookmarkEnd w:id="112"/>
      <w:bookmarkStart w:id="113" w:name="_Toc15396624"/>
    </w:p>
    <w:p>
      <w:pPr>
        <w:pStyle w:val="4"/>
        <w:bidi w:val="0"/>
        <w:rPr>
          <w:rFonts w:hint="eastAsia"/>
        </w:rPr>
      </w:pPr>
      <w:bookmarkStart w:id="114" w:name="_Toc4576"/>
      <w:bookmarkStart w:id="115" w:name="_Toc15374"/>
      <w:r>
        <w:rPr>
          <w:rFonts w:hint="eastAsia"/>
        </w:rPr>
        <w:t>六、一般公共预算财政拨款支出决算表</w:t>
      </w:r>
      <w:bookmarkEnd w:id="113"/>
      <w:bookmarkEnd w:id="114"/>
      <w:bookmarkEnd w:id="115"/>
    </w:p>
    <w:p>
      <w:pPr>
        <w:pStyle w:val="4"/>
        <w:bidi w:val="0"/>
        <w:rPr>
          <w:rFonts w:hint="eastAsia"/>
        </w:rPr>
      </w:pPr>
      <w:bookmarkStart w:id="116" w:name="_Toc29341"/>
      <w:bookmarkStart w:id="117" w:name="_Toc7232"/>
      <w:bookmarkStart w:id="118" w:name="_Toc15396625"/>
      <w:r>
        <w:rPr>
          <w:rFonts w:hint="eastAsia"/>
        </w:rPr>
        <w:t>七、一般公共预算财政拨款支出决算明细表</w:t>
      </w:r>
      <w:bookmarkEnd w:id="116"/>
      <w:bookmarkEnd w:id="117"/>
      <w:bookmarkEnd w:id="118"/>
    </w:p>
    <w:p>
      <w:pPr>
        <w:pStyle w:val="4"/>
        <w:bidi w:val="0"/>
        <w:rPr>
          <w:rFonts w:hint="eastAsia"/>
        </w:rPr>
      </w:pPr>
      <w:bookmarkStart w:id="119" w:name="_Toc15396626"/>
      <w:bookmarkStart w:id="120" w:name="_Toc29607"/>
      <w:bookmarkStart w:id="121" w:name="_Toc24590"/>
      <w:r>
        <w:rPr>
          <w:rFonts w:hint="eastAsia"/>
        </w:rPr>
        <w:t>八、一般公共预算财政拨款基本支出决算表</w:t>
      </w:r>
      <w:bookmarkEnd w:id="119"/>
      <w:bookmarkEnd w:id="120"/>
      <w:bookmarkEnd w:id="121"/>
    </w:p>
    <w:p>
      <w:pPr>
        <w:pStyle w:val="4"/>
        <w:bidi w:val="0"/>
        <w:rPr>
          <w:rFonts w:hint="eastAsia"/>
        </w:rPr>
      </w:pPr>
      <w:bookmarkStart w:id="122" w:name="_Toc15396627"/>
      <w:bookmarkStart w:id="123" w:name="_Toc1325"/>
      <w:bookmarkStart w:id="124" w:name="_Toc19633"/>
      <w:r>
        <w:rPr>
          <w:rFonts w:hint="eastAsia"/>
        </w:rPr>
        <w:t>九、一般公共预算财政拨款项目支出决算表</w:t>
      </w:r>
      <w:bookmarkEnd w:id="122"/>
      <w:bookmarkEnd w:id="123"/>
      <w:bookmarkEnd w:id="124"/>
    </w:p>
    <w:p>
      <w:pPr>
        <w:pStyle w:val="4"/>
        <w:bidi w:val="0"/>
        <w:rPr>
          <w:rFonts w:hint="eastAsia"/>
        </w:rPr>
      </w:pPr>
      <w:bookmarkStart w:id="125" w:name="_Toc15396628"/>
      <w:bookmarkStart w:id="126" w:name="_Toc19034"/>
      <w:bookmarkStart w:id="127" w:name="_Toc31762"/>
      <w:r>
        <w:rPr>
          <w:rFonts w:hint="eastAsia"/>
        </w:rPr>
        <w:t>十、</w:t>
      </w:r>
      <w:bookmarkEnd w:id="125"/>
      <w:r>
        <w:rPr>
          <w:rFonts w:hint="eastAsia"/>
        </w:rPr>
        <w:t>政府性基金预算财政拨款收入支出决算表</w:t>
      </w:r>
      <w:bookmarkEnd w:id="126"/>
      <w:bookmarkEnd w:id="127"/>
    </w:p>
    <w:p>
      <w:pPr>
        <w:pStyle w:val="4"/>
        <w:bidi w:val="0"/>
        <w:rPr>
          <w:rFonts w:hint="eastAsia"/>
        </w:rPr>
      </w:pPr>
      <w:bookmarkStart w:id="128" w:name="_Toc15396629"/>
      <w:bookmarkStart w:id="129" w:name="_Toc2761"/>
      <w:bookmarkStart w:id="130" w:name="_Toc4482"/>
      <w:r>
        <w:rPr>
          <w:rFonts w:hint="eastAsia"/>
        </w:rPr>
        <w:t>十一、</w:t>
      </w:r>
      <w:bookmarkEnd w:id="128"/>
      <w:r>
        <w:rPr>
          <w:rFonts w:hint="eastAsia"/>
        </w:rPr>
        <w:t>国有资本经营预算</w:t>
      </w:r>
      <w:r>
        <w:rPr>
          <w:rFonts w:hint="eastAsia"/>
          <w:lang w:eastAsia="zh-CN"/>
        </w:rPr>
        <w:t>财政拨款收入</w:t>
      </w:r>
      <w:r>
        <w:rPr>
          <w:rFonts w:hint="eastAsia"/>
        </w:rPr>
        <w:t>支出决算表</w:t>
      </w:r>
      <w:bookmarkEnd w:id="129"/>
      <w:bookmarkEnd w:id="130"/>
    </w:p>
    <w:p>
      <w:pPr>
        <w:pStyle w:val="4"/>
        <w:bidi w:val="0"/>
        <w:rPr>
          <w:rFonts w:hint="eastAsia"/>
        </w:rPr>
      </w:pPr>
      <w:bookmarkStart w:id="131" w:name="_Toc15396630"/>
      <w:bookmarkStart w:id="132" w:name="_Toc25094"/>
      <w:bookmarkStart w:id="133" w:name="_Toc7212"/>
      <w:r>
        <w:rPr>
          <w:rFonts w:hint="eastAsia"/>
        </w:rPr>
        <w:t>十二、</w:t>
      </w:r>
      <w:bookmarkEnd w:id="131"/>
      <w:r>
        <w:rPr>
          <w:rFonts w:hint="eastAsia"/>
          <w:lang w:eastAsia="zh-CN"/>
        </w:rPr>
        <w:t>国有资本经营预算财政拨款支出决算表</w:t>
      </w:r>
      <w:bookmarkEnd w:id="132"/>
      <w:bookmarkEnd w:id="133"/>
    </w:p>
    <w:p>
      <w:pPr>
        <w:pStyle w:val="4"/>
        <w:bidi w:val="0"/>
        <w:rPr>
          <w:rFonts w:hint="eastAsia" w:ascii="仿宋_GB2312" w:hAnsi="仿宋_GB2312" w:eastAsia="仿宋_GB2312" w:cs="仿宋_GB2312"/>
          <w:szCs w:val="32"/>
          <w:lang w:eastAsia="zh-CN"/>
        </w:rPr>
      </w:pPr>
      <w:bookmarkStart w:id="134" w:name="_Toc15396631"/>
      <w:bookmarkStart w:id="135" w:name="_Toc31073"/>
      <w:bookmarkStart w:id="136" w:name="_Toc14892"/>
      <w:r>
        <w:rPr>
          <w:rFonts w:hint="eastAsia"/>
        </w:rPr>
        <w:t>十三、</w:t>
      </w:r>
      <w:bookmarkEnd w:id="134"/>
      <w:r>
        <w:rPr>
          <w:rFonts w:hint="eastAsia"/>
          <w:lang w:eastAsia="zh-CN"/>
        </w:rPr>
        <w:t>财政拨款“三公”经费支出决算表</w:t>
      </w:r>
      <w:bookmarkEnd w:id="135"/>
      <w:bookmarkEnd w:id="136"/>
    </w:p>
    <w:sectPr>
      <w:footerReference r:id="rId5" w:type="first"/>
      <w:footerReference r:id="rId4"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简体">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0145BA"/>
    <w:multiLevelType w:val="singleLevel"/>
    <w:tmpl w:val="840145BA"/>
    <w:lvl w:ilvl="0" w:tentative="0">
      <w:start w:val="2"/>
      <w:numFmt w:val="chineseCounting"/>
      <w:suff w:val="space"/>
      <w:lvlText w:val="第%1部分"/>
      <w:lvlJc w:val="left"/>
      <w:rPr>
        <w:rFonts w:hint="eastAsia"/>
      </w:rPr>
    </w:lvl>
  </w:abstractNum>
  <w:abstractNum w:abstractNumId="1">
    <w:nsid w:val="BBFFFF08"/>
    <w:multiLevelType w:val="singleLevel"/>
    <w:tmpl w:val="BBFFFF08"/>
    <w:lvl w:ilvl="0" w:tentative="0">
      <w:start w:val="1"/>
      <w:numFmt w:val="decimal"/>
      <w:suff w:val="nothing"/>
      <w:lvlText w:val="%1．"/>
      <w:lvlJc w:val="left"/>
      <w:pPr>
        <w:ind w:left="0" w:firstLine="400"/>
      </w:pPr>
      <w:rPr>
        <w:rFonts w:hint="default"/>
      </w:rPr>
    </w:lvl>
  </w:abstractNum>
  <w:abstractNum w:abstractNumId="2">
    <w:nsid w:val="CF652CEC"/>
    <w:multiLevelType w:val="singleLevel"/>
    <w:tmpl w:val="CF652CEC"/>
    <w:lvl w:ilvl="0" w:tentative="0">
      <w:start w:val="9"/>
      <w:numFmt w:val="chineseCounting"/>
      <w:suff w:val="nothing"/>
      <w:lvlText w:val="%1、"/>
      <w:lvlJc w:val="left"/>
      <w:rPr>
        <w:rFonts w:hint="eastAsia"/>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4D703332"/>
    <w:multiLevelType w:val="singleLevel"/>
    <w:tmpl w:val="4D703332"/>
    <w:lvl w:ilvl="0" w:tentative="0">
      <w:start w:val="5"/>
      <w:numFmt w:val="chineseCounting"/>
      <w:suff w:val="space"/>
      <w:lvlText w:val="第%1部分"/>
      <w:lvlJc w:val="left"/>
      <w:rPr>
        <w:rFonts w:hint="eastAsia"/>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lZmU3NzIyNjU0Y2QwMWI1ZjkyZGZiMTcwZDQzNTU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53A62B5"/>
    <w:rsid w:val="0A2032A3"/>
    <w:rsid w:val="0B6ED64C"/>
    <w:rsid w:val="0B8A37D8"/>
    <w:rsid w:val="0E4E2BE0"/>
    <w:rsid w:val="10C055FF"/>
    <w:rsid w:val="118107EC"/>
    <w:rsid w:val="11DD6519"/>
    <w:rsid w:val="16BB723D"/>
    <w:rsid w:val="1737FE2D"/>
    <w:rsid w:val="18015F3F"/>
    <w:rsid w:val="1A8728BA"/>
    <w:rsid w:val="1BE8440E"/>
    <w:rsid w:val="1D155CEE"/>
    <w:rsid w:val="1D7FA51A"/>
    <w:rsid w:val="1E7D3E6A"/>
    <w:rsid w:val="1EDDCF67"/>
    <w:rsid w:val="20F57F95"/>
    <w:rsid w:val="23DEFAD9"/>
    <w:rsid w:val="240371BF"/>
    <w:rsid w:val="25711CC6"/>
    <w:rsid w:val="25C741E6"/>
    <w:rsid w:val="27842671"/>
    <w:rsid w:val="27FEAE46"/>
    <w:rsid w:val="28FD0531"/>
    <w:rsid w:val="29FD04D3"/>
    <w:rsid w:val="2ABE7A3E"/>
    <w:rsid w:val="2CA234A8"/>
    <w:rsid w:val="2EFA178C"/>
    <w:rsid w:val="2F27C719"/>
    <w:rsid w:val="30B46D73"/>
    <w:rsid w:val="319F7F4E"/>
    <w:rsid w:val="370B4C63"/>
    <w:rsid w:val="383D272C"/>
    <w:rsid w:val="39AE70AB"/>
    <w:rsid w:val="3C0C0783"/>
    <w:rsid w:val="3C375581"/>
    <w:rsid w:val="3F9F3A96"/>
    <w:rsid w:val="3FDF7D77"/>
    <w:rsid w:val="41085755"/>
    <w:rsid w:val="448B3E6D"/>
    <w:rsid w:val="48BF60AB"/>
    <w:rsid w:val="493C27E9"/>
    <w:rsid w:val="496F39ED"/>
    <w:rsid w:val="49FF41D3"/>
    <w:rsid w:val="4BE068DB"/>
    <w:rsid w:val="4BF6002B"/>
    <w:rsid w:val="4CF73BB4"/>
    <w:rsid w:val="4ECE2238"/>
    <w:rsid w:val="4FDBFCDC"/>
    <w:rsid w:val="51DB4B86"/>
    <w:rsid w:val="55333C3E"/>
    <w:rsid w:val="577FF7C6"/>
    <w:rsid w:val="57F72FDA"/>
    <w:rsid w:val="58222F61"/>
    <w:rsid w:val="5F5FE34B"/>
    <w:rsid w:val="5FFB6CA0"/>
    <w:rsid w:val="64CA39A1"/>
    <w:rsid w:val="674FEF1F"/>
    <w:rsid w:val="67FEB5E7"/>
    <w:rsid w:val="69630ADE"/>
    <w:rsid w:val="6C4A05C8"/>
    <w:rsid w:val="6D3B1A89"/>
    <w:rsid w:val="6DEFEAEA"/>
    <w:rsid w:val="6FF5D733"/>
    <w:rsid w:val="71BF4EC2"/>
    <w:rsid w:val="72734D90"/>
    <w:rsid w:val="7412278C"/>
    <w:rsid w:val="756A610C"/>
    <w:rsid w:val="77B9E260"/>
    <w:rsid w:val="7904082E"/>
    <w:rsid w:val="79E7B28D"/>
    <w:rsid w:val="7B7BFEBB"/>
    <w:rsid w:val="7BEF44BD"/>
    <w:rsid w:val="7BFF3CC0"/>
    <w:rsid w:val="7C854D2D"/>
    <w:rsid w:val="7DE666A0"/>
    <w:rsid w:val="7F9F20EE"/>
    <w:rsid w:val="7FDE5538"/>
    <w:rsid w:val="7FF36D6F"/>
    <w:rsid w:val="7FF66089"/>
    <w:rsid w:val="7FF7D80A"/>
    <w:rsid w:val="7FFD7A76"/>
    <w:rsid w:val="7FFFA5D3"/>
    <w:rsid w:val="8F5F2123"/>
    <w:rsid w:val="9BFFE789"/>
    <w:rsid w:val="9E3A10E2"/>
    <w:rsid w:val="B9CF52F5"/>
    <w:rsid w:val="BBCF5522"/>
    <w:rsid w:val="BF9546D7"/>
    <w:rsid w:val="DCBE3034"/>
    <w:rsid w:val="DEFF9806"/>
    <w:rsid w:val="DF7B8E2D"/>
    <w:rsid w:val="DFD9E355"/>
    <w:rsid w:val="DFDC81F9"/>
    <w:rsid w:val="E50A0603"/>
    <w:rsid w:val="E6FDC61F"/>
    <w:rsid w:val="E793B062"/>
    <w:rsid w:val="EB5F5899"/>
    <w:rsid w:val="EBF7E9E7"/>
    <w:rsid w:val="EF4FDB5A"/>
    <w:rsid w:val="EFDF302E"/>
    <w:rsid w:val="F2E1F9D4"/>
    <w:rsid w:val="F3FB26C2"/>
    <w:rsid w:val="F77B91B0"/>
    <w:rsid w:val="F7880819"/>
    <w:rsid w:val="FBFF230C"/>
    <w:rsid w:val="FCFF3E6A"/>
    <w:rsid w:val="FDFD6F61"/>
    <w:rsid w:val="FE4F2F39"/>
    <w:rsid w:val="FFC76624"/>
    <w:rsid w:val="FFE44E95"/>
    <w:rsid w:val="FFEABE62"/>
    <w:rsid w:val="FFFB229D"/>
    <w:rsid w:val="FFFE5D8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8"/>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4"/>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28"/>
    <w:semiHidden/>
    <w:unhideWhenUsed/>
    <w:qFormat/>
    <w:uiPriority w:val="99"/>
    <w:rPr>
      <w:sz w:val="18"/>
      <w:szCs w:val="18"/>
    </w:rPr>
  </w:style>
  <w:style w:type="paragraph" w:styleId="8">
    <w:name w:val="footer"/>
    <w:basedOn w:val="1"/>
    <w:link w:val="22"/>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20"/>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character" w:styleId="14">
    <w:name w:val="Strong"/>
    <w:basedOn w:val="13"/>
    <w:qFormat/>
    <w:uiPriority w:val="99"/>
    <w:rPr>
      <w:b/>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customStyle="1" w:styleId="16">
    <w:name w:val="标题 1 Char"/>
    <w:basedOn w:val="13"/>
    <w:link w:val="3"/>
    <w:qFormat/>
    <w:uiPriority w:val="9"/>
    <w:rPr>
      <w:rFonts w:ascii="Times New Roman" w:hAnsi="Times New Roman"/>
      <w:b/>
      <w:bCs/>
      <w:kern w:val="44"/>
      <w:sz w:val="44"/>
      <w:szCs w:val="44"/>
    </w:rPr>
  </w:style>
  <w:style w:type="character" w:customStyle="1" w:styleId="17">
    <w:name w:val="标题 2 Char"/>
    <w:basedOn w:val="13"/>
    <w:link w:val="4"/>
    <w:qFormat/>
    <w:uiPriority w:val="9"/>
    <w:rPr>
      <w:rFonts w:asciiTheme="majorHAnsi" w:hAnsiTheme="majorHAnsi" w:eastAsiaTheme="majorEastAsia" w:cstheme="majorBidi"/>
      <w:b/>
      <w:bCs/>
      <w:kern w:val="2"/>
      <w:sz w:val="32"/>
      <w:szCs w:val="32"/>
    </w:rPr>
  </w:style>
  <w:style w:type="character" w:customStyle="1" w:styleId="18">
    <w:name w:val="标题 3 Char"/>
    <w:basedOn w:val="13"/>
    <w:link w:val="5"/>
    <w:qFormat/>
    <w:uiPriority w:val="9"/>
    <w:rPr>
      <w:rFonts w:ascii="Times New Roman" w:hAnsi="Times New Roman"/>
      <w:b/>
      <w:bCs/>
      <w:kern w:val="2"/>
      <w:sz w:val="32"/>
      <w:szCs w:val="32"/>
    </w:rPr>
  </w:style>
  <w:style w:type="character" w:customStyle="1" w:styleId="19">
    <w:name w:val="Header Char"/>
    <w:basedOn w:val="13"/>
    <w:semiHidden/>
    <w:qFormat/>
    <w:uiPriority w:val="99"/>
    <w:rPr>
      <w:rFonts w:ascii="Times New Roman" w:hAnsi="Times New Roman"/>
      <w:sz w:val="18"/>
      <w:szCs w:val="18"/>
    </w:rPr>
  </w:style>
  <w:style w:type="character" w:customStyle="1" w:styleId="20">
    <w:name w:val="页眉 Char"/>
    <w:link w:val="9"/>
    <w:semiHidden/>
    <w:qFormat/>
    <w:locked/>
    <w:uiPriority w:val="99"/>
    <w:rPr>
      <w:sz w:val="18"/>
    </w:rPr>
  </w:style>
  <w:style w:type="character" w:customStyle="1" w:styleId="21">
    <w:name w:val="Footer Char"/>
    <w:basedOn w:val="13"/>
    <w:semiHidden/>
    <w:qFormat/>
    <w:uiPriority w:val="99"/>
    <w:rPr>
      <w:rFonts w:ascii="Times New Roman" w:hAnsi="Times New Roman"/>
      <w:sz w:val="18"/>
      <w:szCs w:val="18"/>
    </w:rPr>
  </w:style>
  <w:style w:type="character" w:customStyle="1" w:styleId="22">
    <w:name w:val="页脚 Char"/>
    <w:link w:val="8"/>
    <w:qFormat/>
    <w:locked/>
    <w:uiPriority w:val="99"/>
    <w:rPr>
      <w:sz w:val="18"/>
    </w:rPr>
  </w:style>
  <w:style w:type="character" w:customStyle="1" w:styleId="23">
    <w:name w:val="Body Text Char"/>
    <w:basedOn w:val="13"/>
    <w:semiHidden/>
    <w:qFormat/>
    <w:uiPriority w:val="99"/>
    <w:rPr>
      <w:rFonts w:ascii="Times New Roman" w:hAnsi="Times New Roman"/>
      <w:szCs w:val="24"/>
    </w:rPr>
  </w:style>
  <w:style w:type="character" w:customStyle="1" w:styleId="24">
    <w:name w:val="正文文本 Char"/>
    <w:link w:val="2"/>
    <w:qFormat/>
    <w:locked/>
    <w:uiPriority w:val="99"/>
    <w:rPr>
      <w:rFonts w:ascii="仿宋_GB2312" w:hAnsi="Times New Roman" w:eastAsia="仿宋_GB2312"/>
      <w:sz w:val="24"/>
    </w:rPr>
  </w:style>
  <w:style w:type="paragraph" w:customStyle="1" w:styleId="25">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6">
    <w:name w:val="List Paragraph"/>
    <w:basedOn w:val="1"/>
    <w:qFormat/>
    <w:uiPriority w:val="34"/>
    <w:pPr>
      <w:ind w:firstLine="420" w:firstLineChars="200"/>
    </w:pPr>
  </w:style>
  <w:style w:type="paragraph" w:customStyle="1" w:styleId="27">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8">
    <w:name w:val="批注框文本 Char"/>
    <w:basedOn w:val="13"/>
    <w:link w:val="7"/>
    <w:semiHidden/>
    <w:qFormat/>
    <w:uiPriority w:val="99"/>
    <w:rPr>
      <w:rFonts w:ascii="Times New Roman" w:hAnsi="Times New Roman"/>
      <w:kern w:val="2"/>
      <w:sz w:val="18"/>
      <w:szCs w:val="18"/>
    </w:rPr>
  </w:style>
  <w:style w:type="paragraph" w:customStyle="1" w:styleId="29">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0">
    <w:name w:val="WPSOffice手动目录 1"/>
    <w:qFormat/>
    <w:uiPriority w:val="0"/>
    <w:pPr>
      <w:ind w:leftChars="0"/>
    </w:pPr>
    <w:rPr>
      <w:rFonts w:ascii="Times New Roman" w:hAnsi="Times New Roman" w:eastAsia="宋体" w:cs="Times New Roman"/>
      <w:sz w:val="20"/>
      <w:szCs w:val="20"/>
    </w:rPr>
  </w:style>
  <w:style w:type="paragraph" w:customStyle="1" w:styleId="31">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home/user/Desktop/&#26376;&#24230;&#25910;&#25903;&#20998;&#26512;&#26609;&#29366;&#22270;1.xlsx" TargetMode="External"/></Relationships>
</file>

<file path=word/charts/_rels/chart2.xml.rels><?xml version="1.0" encoding="UTF-8" standalone="yes"?>
<Relationships xmlns="http://schemas.openxmlformats.org/package/2006/relationships"><Relationship Id="rId4" Type="http://schemas.microsoft.com/office/2011/relationships/chartColorStyle" Target="colors2.xml"/><Relationship Id="rId3" Type="http://schemas.microsoft.com/office/2011/relationships/chartStyle" Target="style2.xml"/><Relationship Id="rId2" Type="http://schemas.openxmlformats.org/officeDocument/2006/relationships/themeOverride" Target="../theme/themeOverride1.xml"/><Relationship Id="rId1" Type="http://schemas.openxmlformats.org/officeDocument/2006/relationships/oleObject" Target="/home/user/Desktop/&#26376;&#24230;&#25910;&#25903;&#20998;&#26512;&#26609;&#29366;&#22270;1.xlsx" TargetMode="External"/></Relationships>
</file>

<file path=word/charts/_rels/chart3.xml.rels><?xml version="1.0" encoding="UTF-8" standalone="yes"?>
<Relationships xmlns="http://schemas.openxmlformats.org/package/2006/relationships"><Relationship Id="rId4" Type="http://schemas.microsoft.com/office/2011/relationships/chartColorStyle" Target="colors3.xml"/><Relationship Id="rId3" Type="http://schemas.microsoft.com/office/2011/relationships/chartStyle" Target="style3.xml"/><Relationship Id="rId2" Type="http://schemas.openxmlformats.org/officeDocument/2006/relationships/themeOverride" Target="../theme/themeOverride2.xml"/><Relationship Id="rId1" Type="http://schemas.openxmlformats.org/officeDocument/2006/relationships/oleObject" Target="/home/user/Desktop/&#26376;&#24230;&#25910;&#25903;&#20998;&#26512;&#26609;&#29366;&#22270;1.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home/user/Desktop/&#26376;&#24230;&#25910;&#25903;&#20998;&#26512;&#26609;&#29366;&#22270;1.xlsx" TargetMode="External"/></Relationships>
</file>

<file path=word/charts/_rels/chart5.xml.rels><?xml version="1.0" encoding="UTF-8" standalone="yes"?>
<Relationships xmlns="http://schemas.openxmlformats.org/package/2006/relationships"><Relationship Id="rId4" Type="http://schemas.microsoft.com/office/2011/relationships/chartColorStyle" Target="colors5.xml"/><Relationship Id="rId3" Type="http://schemas.microsoft.com/office/2011/relationships/chartStyle" Target="style5.xml"/><Relationship Id="rId2" Type="http://schemas.openxmlformats.org/officeDocument/2006/relationships/themeOverride" Target="../theme/themeOverride3.xml"/><Relationship Id="rId1" Type="http://schemas.openxmlformats.org/officeDocument/2006/relationships/oleObject" Target="/home/user/Desktop/&#26376;&#24230;&#25910;&#25903;&#20998;&#26512;&#26609;&#29366;&#22270;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500" b="0" i="0" u="none" strike="noStrike" kern="1200" spc="0" baseline="0">
                <a:solidFill>
                  <a:schemeClr val="tx1">
                    <a:lumMod val="65000"/>
                    <a:lumOff val="35000"/>
                  </a:schemeClr>
                </a:solidFill>
                <a:latin typeface="+mn-lt"/>
                <a:ea typeface="+mn-ea"/>
                <a:cs typeface="+mn-cs"/>
              </a:defRPr>
            </a:pPr>
            <a:r>
              <a:rPr sz="1500" b="1"/>
              <a:t>收入决算结构图</a:t>
            </a:r>
            <a:endParaRPr sz="1500" b="1"/>
          </a:p>
        </c:rich>
      </c:tx>
      <c:layout>
        <c:manualLayout>
          <c:xMode val="edge"/>
          <c:yMode val="edge"/>
          <c:x val="0.356111111111111"/>
          <c:y val="0.0590277777777778"/>
        </c:manualLayout>
      </c:layout>
      <c:overlay val="0"/>
      <c:spPr>
        <a:noFill/>
        <a:ln>
          <a:noFill/>
        </a:ln>
        <a:effectLst/>
      </c:spPr>
    </c:title>
    <c:autoTitleDeleted val="0"/>
    <c:plotArea>
      <c:layout/>
      <c:pieChart>
        <c:varyColors val="1"/>
        <c:ser>
          <c:idx val="0"/>
          <c:order val="0"/>
          <c:spPr>
            <a:ln w="12700" cmpd="sng">
              <a:noFill/>
              <a:prstDash val="sysDot"/>
            </a:ln>
          </c:spPr>
          <c:explosion val="0"/>
          <c:dPt>
            <c:idx val="0"/>
            <c:bubble3D val="0"/>
            <c:spPr>
              <a:solidFill>
                <a:schemeClr val="accent1"/>
              </a:solidFill>
              <a:ln w="12700" cmpd="sng">
                <a:noFill/>
                <a:prstDash val="sysDot"/>
              </a:ln>
              <a:effectLst/>
            </c:spPr>
          </c:dPt>
          <c:dPt>
            <c:idx val="1"/>
            <c:bubble3D val="0"/>
            <c:spPr>
              <a:solidFill>
                <a:schemeClr val="accent2"/>
              </a:solidFill>
              <a:ln w="12700" cmpd="sng">
                <a:noFill/>
                <a:prstDash val="sysDot"/>
              </a:ln>
              <a:effectLst/>
            </c:spPr>
          </c:dPt>
          <c:dLbls>
            <c:dLbl>
              <c:idx val="0"/>
              <c:layout>
                <c:manualLayout>
                  <c:x val="-0.032919228049826"/>
                  <c:y val="-0.242751092124781"/>
                </c:manualLayout>
              </c:layout>
              <c:tx>
                <c:rich>
                  <a:bodyPr rot="0" spcFirstLastPara="0" vertOverflow="ellipsis" vert="horz" wrap="square" lIns="38100" tIns="19050" rIns="38100" bIns="19050" anchor="ctr" anchorCtr="1"/>
                  <a:lstStyle/>
                  <a:p>
                    <a:pPr defTabSz="914400">
                      <a:defRPr lang="zh-CN" sz="1000" b="1" i="0" u="none" strike="noStrike" kern="1200" baseline="0">
                        <a:solidFill>
                          <a:schemeClr val="tx1">
                            <a:lumMod val="75000"/>
                            <a:lumOff val="25000"/>
                          </a:schemeClr>
                        </a:solidFill>
                        <a:latin typeface="+mn-lt"/>
                        <a:ea typeface="+mn-ea"/>
                        <a:cs typeface="+mn-cs"/>
                      </a:defRPr>
                    </a:pPr>
                    <a:r>
                      <a:rPr lang="en-US" altLang="zh-CN" sz="1000" b="1"/>
                      <a:t>      </a:t>
                    </a:r>
                    <a:r>
                      <a:rPr sz="1000" b="1"/>
                      <a:t>占</a:t>
                    </a:r>
                    <a:r>
                      <a:rPr lang="en-US" altLang="zh-CN" sz="1000" b="1"/>
                      <a:t>100%</a:t>
                    </a:r>
                    <a:endParaRPr lang="en-US" altLang="zh-CN" sz="1000" b="1"/>
                  </a:p>
                </c:rich>
              </c:tx>
              <c:dLblPos val="bestFit"/>
              <c:showLegendKey val="0"/>
              <c:showVal val="1"/>
              <c:showCatName val="0"/>
              <c:showSerName val="0"/>
              <c:showPercent val="0"/>
              <c:showBubbleSize val="0"/>
              <c:extLst>
                <c:ext xmlns:c15="http://schemas.microsoft.com/office/drawing/2012/chart" uri="{CE6537A1-D6FC-4f65-9D91-7224C49458BB}">
                  <c15:layout>
                    <c:manualLayout>
                      <c:w val="0.19954172236013"/>
                      <c:h val="0.152179950013885"/>
                    </c:manualLayout>
                  </c15:layout>
                </c:ext>
              </c:extLst>
            </c:dLbl>
            <c:dLbl>
              <c:idx val="1"/>
              <c:layout>
                <c:manualLayout>
                  <c:x val="0.0547408466938216"/>
                  <c:y val="0.147205818297604"/>
                </c:manualLayout>
              </c:layout>
              <c:tx>
                <c:rich>
                  <a:bodyPr rot="0" spcFirstLastPara="0" vertOverflow="ellipsis" vert="horz" wrap="square" lIns="38100" tIns="19050" rIns="38100" bIns="19050" anchor="ctr" anchorCtr="1"/>
                  <a:lstStyle/>
                  <a:p>
                    <a:pPr defTabSz="914400">
                      <a:defRPr lang="zh-CN" sz="1000" b="1" i="0" u="none" strike="noStrike" kern="1200" baseline="0">
                        <a:solidFill>
                          <a:schemeClr val="tx1">
                            <a:lumMod val="75000"/>
                            <a:lumOff val="25000"/>
                          </a:schemeClr>
                        </a:solidFill>
                        <a:latin typeface="+mn-lt"/>
                        <a:ea typeface="+mn-ea"/>
                        <a:cs typeface="+mn-cs"/>
                      </a:defRPr>
                    </a:pPr>
                    <a:r>
                      <a:rPr sz="1000" b="1"/>
                      <a:t>20.01万元</a:t>
                    </a:r>
                    <a:r>
                      <a:rPr lang="en-US" altLang="zh-CN" sz="1000" b="1"/>
                      <a:t>         </a:t>
                    </a:r>
                    <a:r>
                      <a:rPr sz="1000" b="1"/>
                      <a:t>占</a:t>
                    </a:r>
                    <a:r>
                      <a:rPr lang="en-US" altLang="zh-CN" sz="1000" b="1"/>
                      <a:t>15%</a:t>
                    </a:r>
                    <a:endParaRPr lang="en-US" altLang="zh-CN" sz="1000" b="1"/>
                  </a:p>
                </c:rich>
              </c:tx>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1"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[月度收支分析柱状图1.xlsx]Sheet1!$N$46:$N$47</c:f>
              <c:strCache>
                <c:ptCount val="2"/>
                <c:pt idx="0">
                  <c:v>一般公共预算财政拨款收入</c:v>
                </c:pt>
              </c:strCache>
            </c:strRef>
          </c:cat>
          <c:val>
            <c:numRef>
              <c:f>[月度收支分析柱状图1.xlsx]Sheet1!$O$46:$O$47</c:f>
              <c:numCache>
                <c:formatCode>General</c:formatCode>
                <c:ptCount val="2"/>
                <c:pt idx="0">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egendEntry>
        <c:idx val="1"/>
        <c:delete val="1"/>
      </c:legendEntry>
      <c:layout/>
      <c:overlay val="0"/>
      <c:spPr>
        <a:noFill/>
        <a:ln>
          <a:noFill/>
        </a:ln>
        <a:effectLst/>
      </c:spPr>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1000"/>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500" b="0" i="0" u="none" strike="noStrike" kern="1200" spc="0" baseline="0">
                <a:solidFill>
                  <a:sysClr val="windowText" lastClr="000000">
                    <a:lumMod val="65000"/>
                    <a:lumOff val="35000"/>
                  </a:sysClr>
                </a:solidFill>
                <a:latin typeface="+mn-lt"/>
                <a:ea typeface="+mn-ea"/>
                <a:cs typeface="+mn-cs"/>
              </a:defRPr>
            </a:pPr>
            <a:r>
              <a:rPr sz="1500" b="1"/>
              <a:t>支出决算结构图</a:t>
            </a:r>
            <a:endParaRPr sz="1500" b="1"/>
          </a:p>
        </c:rich>
      </c:tx>
      <c:layout>
        <c:manualLayout>
          <c:xMode val="edge"/>
          <c:yMode val="edge"/>
          <c:x val="0.354259259259259"/>
          <c:y val="0.0556944444444445"/>
        </c:manualLayout>
      </c:layout>
      <c:overlay val="0"/>
      <c:spPr>
        <a:noFill/>
        <a:ln>
          <a:noFill/>
        </a:ln>
        <a:effectLst/>
      </c:spPr>
    </c:title>
    <c:autoTitleDeleted val="0"/>
    <c:plotArea>
      <c:layout/>
      <c:pieChart>
        <c:varyColors val="1"/>
        <c:ser>
          <c:idx val="0"/>
          <c:order val="0"/>
          <c:spPr/>
          <c:explosion val="0"/>
          <c:dPt>
            <c:idx val="0"/>
            <c:bubble3D val="0"/>
            <c:spPr>
              <a:solidFill>
                <a:srgbClr val="4472C4"/>
              </a:solidFill>
              <a:ln w="19050">
                <a:solidFill>
                  <a:sysClr val="window" lastClr="FFFFFF"/>
                </a:solidFill>
              </a:ln>
              <a:effectLst/>
            </c:spPr>
          </c:dPt>
          <c:dPt>
            <c:idx val="1"/>
            <c:bubble3D val="0"/>
            <c:spPr>
              <a:solidFill>
                <a:srgbClr val="ED7D31"/>
              </a:solidFill>
              <a:ln w="19050">
                <a:solidFill>
                  <a:sysClr val="window" lastClr="FFFFFF"/>
                </a:solidFill>
              </a:ln>
              <a:effectLst/>
            </c:spPr>
          </c:dPt>
          <c:dLbls>
            <c:dLbl>
              <c:idx val="0"/>
              <c:layout>
                <c:manualLayout>
                  <c:x val="-0.0683358947164927"/>
                  <c:y val="-0.187734910895008"/>
                </c:manualLayout>
              </c:layout>
              <c:tx>
                <c:rich>
                  <a:bodyPr rot="0" spcFirstLastPara="0" vertOverflow="ellipsis" vert="horz" wrap="square" lIns="38100" tIns="19050" rIns="38100" bIns="19050" anchor="ctr" anchorCtr="1"/>
                  <a:lstStyle/>
                  <a:p>
                    <a:pPr defTabSz="914400">
                      <a:defRPr lang="zh-CN" sz="1000" b="1" i="0" u="none" strike="noStrike" kern="1200" baseline="0">
                        <a:solidFill>
                          <a:sysClr val="windowText" lastClr="000000">
                            <a:lumMod val="75000"/>
                            <a:lumOff val="25000"/>
                          </a:sysClr>
                        </a:solidFill>
                        <a:latin typeface="+mn-lt"/>
                        <a:ea typeface="+mn-ea"/>
                        <a:cs typeface="+mn-cs"/>
                      </a:defRPr>
                    </a:pPr>
                    <a:r>
                      <a:rPr lang="en-US" altLang="zh-CN" sz="1000" b="1"/>
                      <a:t>203.94</a:t>
                    </a:r>
                    <a:r>
                      <a:rPr sz="1000" b="1"/>
                      <a:t>万元</a:t>
                    </a:r>
                    <a:r>
                      <a:rPr lang="en-US" altLang="zh-CN" sz="1000" b="1"/>
                      <a:t>        </a:t>
                    </a:r>
                    <a:r>
                      <a:rPr sz="1000" b="1"/>
                      <a:t>占</a:t>
                    </a:r>
                    <a:r>
                      <a:rPr lang="en-US" altLang="zh-CN" sz="1000" b="1"/>
                      <a:t>90.2%</a:t>
                    </a:r>
                    <a:endParaRPr lang="en-US" altLang="zh-CN" sz="1000" b="1"/>
                  </a:p>
                </c:rich>
              </c:tx>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547408466938216"/>
                  <c:y val="0.147205818297604"/>
                </c:manualLayout>
              </c:layout>
              <c:tx>
                <c:rich>
                  <a:bodyPr rot="0" spcFirstLastPara="0" vertOverflow="ellipsis" vert="horz" wrap="square" lIns="38100" tIns="19050" rIns="38100" bIns="19050" anchor="ctr" anchorCtr="1"/>
                  <a:lstStyle/>
                  <a:p>
                    <a:pPr defTabSz="914400">
                      <a:defRPr lang="zh-CN" sz="1000" b="1" i="0" u="none" strike="noStrike" kern="1200" baseline="0">
                        <a:solidFill>
                          <a:sysClr val="windowText" lastClr="000000">
                            <a:lumMod val="75000"/>
                            <a:lumOff val="25000"/>
                          </a:sysClr>
                        </a:solidFill>
                        <a:latin typeface="+mn-lt"/>
                        <a:ea typeface="+mn-ea"/>
                        <a:cs typeface="+mn-cs"/>
                      </a:defRPr>
                    </a:pPr>
                    <a:r>
                      <a:rPr sz="1000" b="1"/>
                      <a:t>20.0万元</a:t>
                    </a:r>
                    <a:r>
                      <a:rPr lang="en-US" altLang="zh-CN" sz="1000" b="1"/>
                      <a:t>         </a:t>
                    </a:r>
                    <a:r>
                      <a:rPr sz="1000" b="1"/>
                      <a:t>占</a:t>
                    </a:r>
                    <a:r>
                      <a:rPr lang="en-US" altLang="zh-CN" sz="1000" b="1"/>
                      <a:t>9.8%</a:t>
                    </a:r>
                    <a:endParaRPr lang="en-US" altLang="zh-CN" sz="1000" b="1"/>
                  </a:p>
                </c:rich>
              </c:tx>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lumMod val="75000"/>
                        <a:lumOff val="25000"/>
                      </a:sys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[月度收支分析柱状图1.xlsx]Sheet1!$N$46:$N$47</c:f>
              <c:strCache>
                <c:ptCount val="2"/>
                <c:pt idx="0">
                  <c:v>基本支出</c:v>
                </c:pt>
                <c:pt idx="1">
                  <c:v>项目支出</c:v>
                </c:pt>
              </c:strCache>
            </c:strRef>
          </c:cat>
          <c:val>
            <c:numRef>
              <c:f>[月度收支分析柱状图1.xlsx]Sheet1!$O$46:$O$47</c:f>
              <c:numCache>
                <c:formatCode>General</c:formatCode>
                <c:ptCount val="2"/>
                <c:pt idx="0">
                  <c:v>183.94</c:v>
                </c:pt>
                <c:pt idx="1">
                  <c:v>20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1000" b="0" i="0" u="none" strike="noStrike" kern="1200" baseline="0">
                <a:solidFill>
                  <a:sysClr val="windowText" lastClr="000000">
                    <a:lumMod val="65000"/>
                    <a:lumOff val="35000"/>
                  </a:sysClr>
                </a:solidFill>
                <a:latin typeface="+mn-lt"/>
                <a:ea typeface="+mn-ea"/>
                <a:cs typeface="+mn-cs"/>
              </a:defRPr>
            </a:pPr>
          </a:p>
        </c:txPr>
      </c:legendEntry>
      <c:legendEntry>
        <c:idx val="1"/>
        <c:txPr>
          <a:bodyPr rot="0" spcFirstLastPara="0" vertOverflow="ellipsis" vert="horz" wrap="square" anchor="ctr" anchorCtr="1"/>
          <a:lstStyle/>
          <a:p>
            <a:pPr>
              <a:defRPr lang="zh-CN" sz="1000" b="0" i="0" u="none" strike="noStrike" kern="1200" baseline="0">
                <a:solidFill>
                  <a:sysClr val="windowText" lastClr="000000">
                    <a:lumMod val="65000"/>
                    <a:lumOff val="35000"/>
                  </a:sysClr>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10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sz="1000"/>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a:defRPr lang="zh-CN" sz="1500" b="1" i="0" u="none" strike="noStrike" kern="1200" spc="0" baseline="0">
                <a:solidFill>
                  <a:sysClr val="windowText" lastClr="000000">
                    <a:lumMod val="65000"/>
                    <a:lumOff val="35000"/>
                  </a:sysClr>
                </a:solidFill>
                <a:latin typeface="+mn-lt"/>
                <a:ea typeface="+mn-ea"/>
                <a:cs typeface="+mn-cs"/>
              </a:defRPr>
            </a:pPr>
            <a:r>
              <a:rPr sz="1500" b="1"/>
              <a:t>财政拨款收、支决算总计变动情况</a:t>
            </a:r>
            <a:endParaRPr sz="1500" b="1"/>
          </a:p>
        </c:rich>
      </c:tx>
      <c:layout>
        <c:manualLayout>
          <c:xMode val="edge"/>
          <c:yMode val="edge"/>
          <c:x val="0.258180923308778"/>
          <c:y val="0.0332965589740951"/>
        </c:manualLayout>
      </c:layout>
      <c:overlay val="0"/>
      <c:spPr>
        <a:noFill/>
        <a:ln>
          <a:noFill/>
        </a:ln>
        <a:effectLst/>
      </c:spPr>
    </c:title>
    <c:autoTitleDeleted val="0"/>
    <c:plotArea>
      <c:layout/>
      <c:barChart>
        <c:barDir val="col"/>
        <c:grouping val="clustered"/>
        <c:varyColors val="0"/>
        <c:ser>
          <c:idx val="0"/>
          <c:order val="0"/>
          <c:spPr>
            <a:solidFill>
              <a:srgbClr val="4472C4"/>
            </a:solidFill>
            <a:ln>
              <a:noFill/>
            </a:ln>
            <a:effectLst/>
          </c:spPr>
          <c:invertIfNegative val="0"/>
          <c:dPt>
            <c:idx val="0"/>
            <c:invertIfNegative val="0"/>
            <c:bubble3D val="0"/>
          </c:dPt>
          <c:dPt>
            <c:idx val="1"/>
            <c:invertIfNegative val="0"/>
            <c:bubble3D val="0"/>
          </c:dPt>
          <c:dLbls>
            <c:dLbl>
              <c:idx val="0"/>
              <c:layout/>
              <c:dLblPos val="outEnd"/>
              <c:showLegendKey val="0"/>
              <c:showVal val="1"/>
              <c:showCatName val="0"/>
              <c:showSerName val="0"/>
              <c:showPercent val="0"/>
              <c:showBubbleSize val="0"/>
              <c:extLst>
                <c:ext xmlns:c15="http://schemas.microsoft.com/office/drawing/2012/chart" uri="{CE6537A1-D6FC-4f65-9D91-7224C49458BB}"/>
              </c:extLst>
            </c:dLbl>
            <c:dLbl>
              <c:idx val="1"/>
              <c:layout/>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600" b="1" i="0" u="none" strike="noStrike" kern="1200" baseline="0">
                    <a:solidFill>
                      <a:sysClr val="windowText" lastClr="000000">
                        <a:lumMod val="75000"/>
                        <a:lumOff val="25000"/>
                      </a:sysClr>
                    </a:solidFill>
                    <a:latin typeface="+mn-lt"/>
                    <a:ea typeface="+mn-ea"/>
                    <a:cs typeface="+mn-cs"/>
                  </a:defRPr>
                </a:pPr>
              </a:p>
            </c:txPr>
            <c:dLblPos val="outEnd"/>
            <c:showLegendKey val="0"/>
            <c:showVal val="0"/>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[月度收支分析柱状图1.xlsx]Sheet1!$N$21:$N$22</c:f>
              <c:strCache>
                <c:ptCount val="2"/>
                <c:pt idx="0">
                  <c:v>2021年</c:v>
                </c:pt>
                <c:pt idx="1">
                  <c:v>2022年</c:v>
                </c:pt>
              </c:strCache>
            </c:strRef>
          </c:cat>
          <c:val>
            <c:numRef>
              <c:f>[月度收支分析柱状图1.xlsx]Sheet1!$O$21:$O$22</c:f>
              <c:numCache>
                <c:formatCode>0.00_ </c:formatCode>
                <c:ptCount val="2"/>
                <c:pt idx="0">
                  <c:v>135.84</c:v>
                </c:pt>
                <c:pt idx="1">
                  <c:v>203.94</c:v>
                </c:pt>
              </c:numCache>
            </c:numRef>
          </c:val>
        </c:ser>
        <c:dLbls>
          <c:showLegendKey val="0"/>
          <c:showVal val="1"/>
          <c:showCatName val="0"/>
          <c:showSerName val="0"/>
          <c:showPercent val="0"/>
          <c:showBubbleSize val="0"/>
        </c:dLbls>
        <c:gapWidth val="219"/>
        <c:overlap val="-27"/>
        <c:axId val="517324296"/>
        <c:axId val="517324952"/>
      </c:barChart>
      <c:catAx>
        <c:axId val="517324296"/>
        <c:scaling>
          <c:orientation val="minMax"/>
        </c:scaling>
        <c:delete val="0"/>
        <c:axPos val="b"/>
        <c:numFmt formatCode="General" sourceLinked="1"/>
        <c:majorTickMark val="out"/>
        <c:minorTickMark val="none"/>
        <c:tickLblPos val="nextTo"/>
        <c:spPr>
          <a:noFill/>
          <a:ln w="38100" cap="flat" cmpd="sng" algn="ctr">
            <a:solidFill>
              <a:sysClr val="windowText" lastClr="000000"/>
            </a:solidFill>
            <a:round/>
          </a:ln>
          <a:effectLst/>
        </c:spPr>
        <c:txPr>
          <a:bodyPr rot="-60000000" spcFirstLastPara="0" vertOverflow="ellipsis" vert="horz" wrap="square" anchor="ctr" anchorCtr="1"/>
          <a:lstStyle/>
          <a:p>
            <a:pPr>
              <a:defRPr lang="zh-CN" sz="1600" b="1" i="0" u="none" strike="noStrike" kern="1200" baseline="0">
                <a:solidFill>
                  <a:sysClr val="windowText" lastClr="000000">
                    <a:lumMod val="65000"/>
                    <a:lumOff val="35000"/>
                  </a:sysClr>
                </a:solidFill>
                <a:latin typeface="+mn-lt"/>
                <a:ea typeface="+mn-ea"/>
                <a:cs typeface="+mn-cs"/>
              </a:defRPr>
            </a:pPr>
          </a:p>
        </c:txPr>
        <c:crossAx val="517324952"/>
        <c:crosses val="autoZero"/>
        <c:auto val="1"/>
        <c:lblAlgn val="ctr"/>
        <c:lblOffset val="100"/>
        <c:noMultiLvlLbl val="0"/>
      </c:catAx>
      <c:valAx>
        <c:axId val="517324952"/>
        <c:scaling>
          <c:orientation val="minMax"/>
          <c:max val="300"/>
        </c:scaling>
        <c:delete val="0"/>
        <c:axPos val="l"/>
        <c:majorGridlines>
          <c:spPr>
            <a:ln w="9525" cap="flat" cmpd="sng" algn="ctr">
              <a:solidFill>
                <a:sysClr val="windowText" lastClr="000000">
                  <a:lumMod val="15000"/>
                  <a:lumOff val="85000"/>
                </a:sysClr>
              </a:solidFill>
              <a:round/>
            </a:ln>
            <a:effectLst/>
          </c:spPr>
        </c:majorGridlines>
        <c:minorGridlines>
          <c:spPr>
            <a:ln w="9525" cap="flat" cmpd="sng" algn="ctr">
              <a:solidFill>
                <a:sysClr val="windowText" lastClr="000000">
                  <a:lumMod val="5000"/>
                  <a:lumOff val="95000"/>
                </a:sysClr>
              </a:solidFill>
              <a:round/>
            </a:ln>
            <a:effectLst/>
          </c:spPr>
        </c:minorGridlines>
        <c:numFmt formatCode="0.00_ " sourceLinked="1"/>
        <c:majorTickMark val="out"/>
        <c:minorTickMark val="none"/>
        <c:tickLblPos val="nextTo"/>
        <c:spPr>
          <a:noFill/>
          <a:ln>
            <a:noFill/>
          </a:ln>
          <a:effectLst/>
        </c:spPr>
        <c:txPr>
          <a:bodyPr rot="-60000000" spcFirstLastPara="0" vertOverflow="ellipsis" vert="horz" wrap="square" anchor="ctr" anchorCtr="1"/>
          <a:lstStyle/>
          <a:p>
            <a:pPr>
              <a:defRPr lang="zh-CN" sz="1600" b="1" i="0" u="none" strike="noStrike" kern="1200" baseline="0">
                <a:solidFill>
                  <a:sysClr val="windowText" lastClr="000000">
                    <a:lumMod val="65000"/>
                    <a:lumOff val="35000"/>
                  </a:sysClr>
                </a:solidFill>
                <a:latin typeface="+mn-lt"/>
                <a:ea typeface="+mn-ea"/>
                <a:cs typeface="+mn-cs"/>
              </a:defRPr>
            </a:pPr>
          </a:p>
        </c:txPr>
        <c:crossAx val="517324296"/>
        <c:crosses val="autoZero"/>
        <c:crossBetween val="between"/>
        <c:majorUnit val="100"/>
        <c:minorUnit val="100"/>
      </c:valAx>
      <c:spPr>
        <a:noFill/>
        <a:ln>
          <a:noFill/>
        </a:ln>
        <a:effectLst/>
      </c:spPr>
    </c:plotArea>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sz="1600" b="1"/>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920" b="1" i="0" u="none" strike="noStrike" kern="1200" spc="0" baseline="0">
                <a:solidFill>
                  <a:schemeClr val="tx1">
                    <a:lumMod val="65000"/>
                    <a:lumOff val="35000"/>
                  </a:schemeClr>
                </a:solidFill>
                <a:latin typeface="+mn-lt"/>
                <a:ea typeface="+mn-ea"/>
                <a:cs typeface="+mn-cs"/>
              </a:defRPr>
            </a:pPr>
            <a:r>
              <a:rPr sz="1600" b="1"/>
              <a:t>一般公共预算财政拨款支出决算变动情况</a:t>
            </a:r>
            <a:endParaRPr sz="1600" b="1"/>
          </a:p>
        </c:rich>
      </c:tx>
      <c:layout>
        <c:manualLayout>
          <c:xMode val="edge"/>
          <c:yMode val="edge"/>
          <c:x val="0.200335659389761"/>
          <c:y val="0.0364137659566387"/>
        </c:manualLayout>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Pt>
            <c:idx val="0"/>
            <c:invertIfNegative val="0"/>
            <c:bubble3D val="0"/>
          </c:dPt>
          <c:dPt>
            <c:idx val="1"/>
            <c:invertIfNegative val="0"/>
            <c:bubble3D val="0"/>
          </c:dPt>
          <c:dLbls>
            <c:dLbl>
              <c:idx val="0"/>
              <c:layout/>
              <c:tx>
                <c:rich>
                  <a:bodyPr rot="0" spcFirstLastPara="0" vertOverflow="ellipsis" vert="horz" wrap="square" lIns="38100" tIns="19050" rIns="38100" bIns="19050" anchor="ctr" anchorCtr="1"/>
                  <a:lstStyle/>
                  <a:p>
                    <a:pPr defTabSz="914400">
                      <a:defRPr lang="zh-CN" sz="1600" b="1" i="0" u="none" strike="noStrike" kern="1200" baseline="0">
                        <a:solidFill>
                          <a:schemeClr val="tx1">
                            <a:lumMod val="75000"/>
                            <a:lumOff val="25000"/>
                          </a:schemeClr>
                        </a:solidFill>
                        <a:latin typeface="+mn-lt"/>
                        <a:ea typeface="+mn-ea"/>
                        <a:cs typeface="+mn-cs"/>
                      </a:defRPr>
                    </a:pPr>
                    <a:r>
                      <a:t>135.</a:t>
                    </a:r>
                    <a:r>
                      <a:rPr lang="en-US" altLang="zh-CN"/>
                      <a:t>79</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dLbl>
              <c:idx val="1"/>
              <c:layout/>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600" b="1"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[月度收支分析柱状图1.xlsx]Sheet1!$N$21:$N$22</c:f>
              <c:strCache>
                <c:ptCount val="2"/>
                <c:pt idx="0">
                  <c:v>2021年</c:v>
                </c:pt>
                <c:pt idx="1">
                  <c:v>2022年</c:v>
                </c:pt>
              </c:strCache>
            </c:strRef>
          </c:cat>
          <c:val>
            <c:numRef>
              <c:f>[月度收支分析柱状图1.xlsx]Sheet1!$O$21:$O$22</c:f>
              <c:numCache>
                <c:formatCode>0.00_ </c:formatCode>
                <c:ptCount val="2"/>
                <c:pt idx="0">
                  <c:v>135.84</c:v>
                </c:pt>
                <c:pt idx="1">
                  <c:v>203.94</c:v>
                </c:pt>
              </c:numCache>
            </c:numRef>
          </c:val>
        </c:ser>
        <c:dLbls>
          <c:showLegendKey val="0"/>
          <c:showVal val="1"/>
          <c:showCatName val="0"/>
          <c:showSerName val="0"/>
          <c:showPercent val="0"/>
          <c:showBubbleSize val="0"/>
        </c:dLbls>
        <c:gapWidth val="219"/>
        <c:overlap val="-27"/>
        <c:axId val="517324296"/>
        <c:axId val="517324952"/>
      </c:barChart>
      <c:catAx>
        <c:axId val="517324296"/>
        <c:scaling>
          <c:orientation val="minMax"/>
        </c:scaling>
        <c:delete val="0"/>
        <c:axPos val="b"/>
        <c:numFmt formatCode="General" sourceLinked="1"/>
        <c:majorTickMark val="out"/>
        <c:minorTickMark val="none"/>
        <c:tickLblPos val="nextTo"/>
        <c:spPr>
          <a:noFill/>
          <a:ln w="38100" cap="flat" cmpd="sng" algn="ctr">
            <a:solidFill>
              <a:schemeClr val="tx1"/>
            </a:solidFill>
            <a:round/>
          </a:ln>
          <a:effectLst/>
        </c:spPr>
        <c:txPr>
          <a:bodyPr rot="-60000000" spcFirstLastPara="0" vertOverflow="ellipsis" vert="horz" wrap="square" anchor="ctr" anchorCtr="1"/>
          <a:lstStyle/>
          <a:p>
            <a:pPr>
              <a:defRPr lang="zh-CN" sz="1600" b="1" i="0" u="none" strike="noStrike" kern="1200" baseline="0">
                <a:solidFill>
                  <a:schemeClr val="tx1">
                    <a:lumMod val="65000"/>
                    <a:lumOff val="35000"/>
                  </a:schemeClr>
                </a:solidFill>
                <a:latin typeface="+mn-lt"/>
                <a:ea typeface="+mn-ea"/>
                <a:cs typeface="+mn-cs"/>
              </a:defRPr>
            </a:pPr>
          </a:p>
        </c:txPr>
        <c:crossAx val="517324952"/>
        <c:crosses val="autoZero"/>
        <c:auto val="1"/>
        <c:lblAlgn val="ctr"/>
        <c:lblOffset val="100"/>
        <c:noMultiLvlLbl val="0"/>
      </c:catAx>
      <c:valAx>
        <c:axId val="517324952"/>
        <c:scaling>
          <c:orientation val="minMax"/>
          <c:max val="300"/>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0.00_ " sourceLinked="1"/>
        <c:majorTickMark val="out"/>
        <c:minorTickMark val="none"/>
        <c:tickLblPos val="nextTo"/>
        <c:spPr>
          <a:noFill/>
          <a:ln>
            <a:noFill/>
          </a:ln>
          <a:effectLst/>
        </c:spPr>
        <c:txPr>
          <a:bodyPr rot="-60000000" spcFirstLastPara="0" vertOverflow="ellipsis" vert="horz" wrap="square" anchor="ctr" anchorCtr="1"/>
          <a:lstStyle/>
          <a:p>
            <a:pPr>
              <a:defRPr lang="zh-CN" sz="1600" b="1" i="0" u="none" strike="noStrike" kern="1200" baseline="0">
                <a:solidFill>
                  <a:schemeClr val="tx1">
                    <a:lumMod val="65000"/>
                    <a:lumOff val="35000"/>
                  </a:schemeClr>
                </a:solidFill>
                <a:latin typeface="+mn-lt"/>
                <a:ea typeface="+mn-ea"/>
                <a:cs typeface="+mn-cs"/>
              </a:defRPr>
            </a:pPr>
          </a:p>
        </c:txPr>
        <c:crossAx val="517324296"/>
        <c:crosses val="autoZero"/>
        <c:crossBetween val="between"/>
        <c:majorUnit val="100"/>
        <c:minorUnit val="100"/>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1600" b="1"/>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0" b="1" i="0" u="none" strike="noStrike" kern="1200" spc="0" baseline="0">
                <a:solidFill>
                  <a:sysClr val="windowText" lastClr="000000">
                    <a:lumMod val="65000"/>
                    <a:lumOff val="35000"/>
                  </a:sysClr>
                </a:solidFill>
                <a:latin typeface="+mn-lt"/>
                <a:ea typeface="+mn-ea"/>
                <a:cs typeface="+mn-cs"/>
              </a:defRPr>
            </a:pPr>
            <a:r>
              <a:rPr b="1"/>
              <a:t>一般公共预算财政拨款支出决算结构</a:t>
            </a:r>
            <a:endParaRPr b="1"/>
          </a:p>
        </c:rich>
      </c:tx>
      <c:layout/>
      <c:overlay val="0"/>
      <c:spPr>
        <a:noFill/>
        <a:ln>
          <a:noFill/>
        </a:ln>
        <a:effectLst/>
      </c:spPr>
    </c:title>
    <c:autoTitleDeleted val="0"/>
    <c:plotArea>
      <c:layout/>
      <c:pieChart>
        <c:varyColors val="1"/>
        <c:ser>
          <c:idx val="0"/>
          <c:order val="0"/>
          <c:spPr/>
          <c:explosion val="0"/>
          <c:dPt>
            <c:idx val="0"/>
            <c:bubble3D val="0"/>
            <c:spPr>
              <a:solidFill>
                <a:srgbClr val="4472C4"/>
              </a:solidFill>
              <a:ln w="19050">
                <a:solidFill>
                  <a:sysClr val="window" lastClr="FFFFFF"/>
                </a:solidFill>
              </a:ln>
              <a:effectLst/>
            </c:spPr>
          </c:dPt>
          <c:dPt>
            <c:idx val="1"/>
            <c:bubble3D val="0"/>
            <c:spPr>
              <a:solidFill>
                <a:srgbClr val="ED7D31"/>
              </a:solidFill>
              <a:ln w="19050">
                <a:solidFill>
                  <a:sysClr val="window" lastClr="FFFFFF"/>
                </a:solidFill>
              </a:ln>
              <a:effectLst/>
            </c:spPr>
          </c:dPt>
          <c:dPt>
            <c:idx val="2"/>
            <c:bubble3D val="0"/>
            <c:spPr>
              <a:solidFill>
                <a:srgbClr val="A5A5A5"/>
              </a:solidFill>
              <a:ln w="19050">
                <a:solidFill>
                  <a:sysClr val="window" lastClr="FFFFFF"/>
                </a:solidFill>
              </a:ln>
              <a:effectLst/>
            </c:spPr>
          </c:dPt>
          <c:dPt>
            <c:idx val="3"/>
            <c:bubble3D val="0"/>
            <c:spPr>
              <a:solidFill>
                <a:srgbClr val="FFC000"/>
              </a:solidFill>
              <a:ln w="19050">
                <a:solidFill>
                  <a:sysClr val="window" lastClr="FFFFFF"/>
                </a:solidFill>
              </a:ln>
              <a:effectLst/>
            </c:spPr>
          </c:dPt>
          <c:dLbls>
            <c:dLbl>
              <c:idx val="0"/>
              <c:layout>
                <c:manualLayout>
                  <c:x val="-0.102388459105847"/>
                  <c:y val="-0.165699040898394"/>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ysClr val="windowText" lastClr="000000">
                            <a:lumMod val="75000"/>
                            <a:lumOff val="25000"/>
                          </a:sysClr>
                        </a:solidFill>
                        <a:latin typeface="+mn-lt"/>
                        <a:ea typeface="+mn-ea"/>
                        <a:cs typeface="+mn-cs"/>
                      </a:defRPr>
                    </a:pPr>
                    <a:r>
                      <a:rPr lang="en-US" altLang="zh-CN" b="1"/>
                      <a:t>170.28</a:t>
                    </a:r>
                    <a:r>
                      <a:rPr b="1"/>
                      <a:t>万元</a:t>
                    </a:r>
                    <a:r>
                      <a:rPr lang="en-US" altLang="zh-CN" b="1"/>
                      <a:t> </a:t>
                    </a:r>
                    <a:endParaRPr lang="en-US" altLang="zh-CN" b="1"/>
                  </a:p>
                  <a:p>
                    <a:pPr defTabSz="914400">
                      <a:defRPr lang="zh-CN" sz="900" b="0" i="0" u="none" strike="noStrike" kern="1200" baseline="0">
                        <a:solidFill>
                          <a:sysClr val="windowText" lastClr="000000">
                            <a:lumMod val="75000"/>
                            <a:lumOff val="25000"/>
                          </a:sysClr>
                        </a:solidFill>
                        <a:latin typeface="+mn-lt"/>
                        <a:ea typeface="+mn-ea"/>
                        <a:cs typeface="+mn-cs"/>
                      </a:defRPr>
                    </a:pPr>
                    <a:r>
                      <a:rPr b="1"/>
                      <a:t>占</a:t>
                    </a:r>
                    <a:r>
                      <a:rPr lang="en-US" altLang="zh-CN" b="1"/>
                      <a:t>83.49%</a:t>
                    </a:r>
                    <a:endParaRPr lang="en-US" altLang="zh-CN" b="1"/>
                  </a:p>
                </c:rich>
              </c:tx>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194528443943101"/>
                  <c:y val="0.111658516419464"/>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ysClr val="windowText" lastClr="000000">
                            <a:lumMod val="75000"/>
                            <a:lumOff val="25000"/>
                          </a:sysClr>
                        </a:solidFill>
                        <a:latin typeface="+mn-lt"/>
                        <a:ea typeface="+mn-ea"/>
                        <a:cs typeface="+mn-cs"/>
                      </a:defRPr>
                    </a:pPr>
                    <a:r>
                      <a:rPr lang="en-US" altLang="zh-CN"/>
                      <a:t>14.92</a:t>
                    </a:r>
                    <a:r>
                      <a:t>万元</a:t>
                    </a:r>
                  </a:p>
                  <a:p>
                    <a:pPr defTabSz="914400">
                      <a:defRPr lang="zh-CN" sz="900" b="0" i="0" u="none" strike="noStrike" kern="1200" baseline="0">
                        <a:solidFill>
                          <a:sysClr val="windowText" lastClr="000000">
                            <a:lumMod val="75000"/>
                            <a:lumOff val="25000"/>
                          </a:sysClr>
                        </a:solidFill>
                        <a:latin typeface="+mn-lt"/>
                        <a:ea typeface="+mn-ea"/>
                        <a:cs typeface="+mn-cs"/>
                      </a:defRPr>
                    </a:pPr>
                    <a:r>
                      <a:t>占</a:t>
                    </a:r>
                    <a:r>
                      <a:rPr lang="en-US" altLang="zh-CN"/>
                      <a:t>7.32%</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313524748684658"/>
                  <c:y val="0.0464739953831935"/>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ysClr val="windowText" lastClr="000000">
                            <a:lumMod val="75000"/>
                            <a:lumOff val="25000"/>
                          </a:sysClr>
                        </a:solidFill>
                        <a:latin typeface="+mn-lt"/>
                        <a:ea typeface="+mn-ea"/>
                        <a:cs typeface="+mn-cs"/>
                      </a:defRPr>
                    </a:pPr>
                    <a:r>
                      <a:rPr lang="en-US" altLang="zh-CN"/>
                      <a:t>5.64</a:t>
                    </a:r>
                    <a:r>
                      <a:t>万元</a:t>
                    </a:r>
                  </a:p>
                  <a:p>
                    <a:pPr defTabSz="914400">
                      <a:defRPr lang="zh-CN" sz="900" b="0" i="0" u="none" strike="noStrike" kern="1200" baseline="0">
                        <a:solidFill>
                          <a:sysClr val="windowText" lastClr="000000">
                            <a:lumMod val="75000"/>
                            <a:lumOff val="25000"/>
                          </a:sysClr>
                        </a:solidFill>
                        <a:latin typeface="+mn-lt"/>
                        <a:ea typeface="+mn-ea"/>
                        <a:cs typeface="+mn-cs"/>
                      </a:defRPr>
                    </a:pPr>
                    <a:r>
                      <a:t>占</a:t>
                    </a:r>
                    <a:r>
                      <a:rPr lang="en-US" altLang="zh-CN"/>
                      <a:t>2.77%</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178891385899679"/>
                  <c:y val="0.0219731394211271"/>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ysClr val="windowText" lastClr="000000">
                            <a:lumMod val="75000"/>
                            <a:lumOff val="25000"/>
                          </a:sysClr>
                        </a:solidFill>
                        <a:latin typeface="+mn-lt"/>
                        <a:ea typeface="+mn-ea"/>
                        <a:cs typeface="+mn-cs"/>
                      </a:defRPr>
                    </a:pPr>
                    <a:r>
                      <a:rPr lang="en-US" altLang="zh-CN"/>
                      <a:t>13.09</a:t>
                    </a:r>
                    <a:r>
                      <a:t>万元</a:t>
                    </a:r>
                  </a:p>
                  <a:p>
                    <a:pPr defTabSz="914400">
                      <a:defRPr lang="zh-CN" sz="900" b="0" i="0" u="none" strike="noStrike" kern="1200" baseline="0">
                        <a:solidFill>
                          <a:sysClr val="windowText" lastClr="000000">
                            <a:lumMod val="75000"/>
                            <a:lumOff val="25000"/>
                          </a:sysClr>
                        </a:solidFill>
                        <a:latin typeface="+mn-lt"/>
                        <a:ea typeface="+mn-ea"/>
                        <a:cs typeface="+mn-cs"/>
                      </a:defRPr>
                    </a:pPr>
                    <a:r>
                      <a:t>占</a:t>
                    </a:r>
                    <a:r>
                      <a:rPr lang="en-US" altLang="zh-CN"/>
                      <a:t>6.42%</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lumMod val="75000"/>
                        <a:lumOff val="25000"/>
                      </a:sys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[月度收支分析柱状图1.xlsx]Sheet1!$N$40:$N$43</c:f>
              <c:strCache>
                <c:ptCount val="4"/>
                <c:pt idx="0">
                  <c:v>一般公共服务（类）</c:v>
                </c:pt>
                <c:pt idx="1">
                  <c:v>社会保障和就业</c:v>
                </c:pt>
                <c:pt idx="2">
                  <c:v>卫生健康支出</c:v>
                </c:pt>
                <c:pt idx="3">
                  <c:v>住房保障</c:v>
                </c:pt>
              </c:strCache>
            </c:strRef>
          </c:cat>
          <c:val>
            <c:numRef>
              <c:f>[月度收支分析柱状图1.xlsx]Sheet1!$O$40:$O$43</c:f>
              <c:numCache>
                <c:formatCode>General</c:formatCode>
                <c:ptCount val="4"/>
                <c:pt idx="0">
                  <c:v>170.28</c:v>
                </c:pt>
                <c:pt idx="1">
                  <c:v>14.92</c:v>
                </c:pt>
                <c:pt idx="2">
                  <c:v>5.64</c:v>
                </c:pt>
                <c:pt idx="3">
                  <c:v>13.09</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1000" b="0" i="0" u="none" strike="noStrike" kern="1200" baseline="0">
                <a:solidFill>
                  <a:sysClr val="windowText" lastClr="000000">
                    <a:lumMod val="65000"/>
                    <a:lumOff val="35000"/>
                  </a:sysClr>
                </a:solidFill>
                <a:latin typeface="+mn-lt"/>
                <a:ea typeface="+mn-ea"/>
                <a:cs typeface="+mn-cs"/>
              </a:defRPr>
            </a:pPr>
          </a:p>
        </c:txPr>
      </c:legendEntry>
      <c:legendEntry>
        <c:idx val="1"/>
        <c:txPr>
          <a:bodyPr rot="0" spcFirstLastPara="0" vertOverflow="ellipsis" vert="horz" wrap="square" anchor="ctr" anchorCtr="1"/>
          <a:lstStyle/>
          <a:p>
            <a:pPr>
              <a:defRPr lang="zh-CN" sz="1000" b="0" i="0" u="none" strike="noStrike" kern="1200" baseline="0">
                <a:solidFill>
                  <a:sysClr val="windowText" lastClr="000000">
                    <a:lumMod val="65000"/>
                    <a:lumOff val="35000"/>
                  </a:sysClr>
                </a:solidFill>
                <a:latin typeface="+mn-lt"/>
                <a:ea typeface="+mn-ea"/>
                <a:cs typeface="+mn-cs"/>
              </a:defRPr>
            </a:pPr>
          </a:p>
        </c:txPr>
      </c:legendEntry>
      <c:legendEntry>
        <c:idx val="2"/>
        <c:txPr>
          <a:bodyPr rot="0" spcFirstLastPara="0" vertOverflow="ellipsis" vert="horz" wrap="square" anchor="ctr" anchorCtr="1"/>
          <a:lstStyle/>
          <a:p>
            <a:pPr>
              <a:defRPr lang="zh-CN" sz="1000" b="0" i="0" u="none" strike="noStrike" kern="1200" baseline="0">
                <a:solidFill>
                  <a:sysClr val="windowText" lastClr="000000">
                    <a:lumMod val="65000"/>
                    <a:lumOff val="35000"/>
                  </a:sysClr>
                </a:solidFill>
                <a:latin typeface="+mn-lt"/>
                <a:ea typeface="+mn-ea"/>
                <a:cs typeface="+mn-cs"/>
              </a:defRPr>
            </a:pPr>
          </a:p>
        </c:txPr>
      </c:legendEntry>
      <c:legendEntry>
        <c:idx val="3"/>
        <c:txPr>
          <a:bodyPr rot="0" spcFirstLastPara="0" vertOverflow="ellipsis" vert="horz" wrap="square" anchor="ctr" anchorCtr="1"/>
          <a:lstStyle/>
          <a:p>
            <a:pPr>
              <a:defRPr lang="zh-CN" sz="1000" b="0" i="0" u="none" strike="noStrike" kern="1200" baseline="0">
                <a:solidFill>
                  <a:sysClr val="windowText" lastClr="000000">
                    <a:lumMod val="65000"/>
                    <a:lumOff val="35000"/>
                  </a:sysClr>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10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9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spPr>
      <a:ln w="19050">
        <a:solidFill>
          <a:sysClr val="window" lastClr="FFFFFF"/>
        </a:solidFill>
      </a:ln>
    </cs:spPr>
  </cs:dataPoint>
  <cs:dataPoint3D>
    <cs:lnRef idx="0"/>
    <cs:fillRef idx="1">
      <cs:styleClr val="auto"/>
    </cs:fillRef>
    <cs:effectRef idx="0"/>
    <cs:fontRef idx="minor">
      <a:sysClr val="windowText" lastClr="000000"/>
    </cs:fontRef>
    <cs:spPr>
      <a:ln w="25400">
        <a:solidFill>
          <a:sysClr val="window" lastClr="FFFFFF"/>
        </a:solidFill>
      </a:ln>
    </cs:spPr>
  </cs:dataPoint3D>
  <cs:dataPointLine>
    <cs:lnRef idx="0">
      <cs:styleClr val="auto"/>
    </cs:lnRef>
    <cs:fillRef idx="0"/>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9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spPr>
      <a:ln w="19050">
        <a:solidFill>
          <a:sysClr val="window" lastClr="FFFFFF"/>
        </a:solidFill>
      </a:ln>
    </cs:spPr>
  </cs:dataPoint>
  <cs:dataPoint3D>
    <cs:lnRef idx="0"/>
    <cs:fillRef idx="1">
      <cs:styleClr val="auto"/>
    </cs:fillRef>
    <cs:effectRef idx="0"/>
    <cs:fontRef idx="minor">
      <a:sysClr val="windowText" lastClr="000000"/>
    </cs:fontRef>
    <cs:spPr>
      <a:ln w="25400">
        <a:solidFill>
          <a:sysClr val="window" lastClr="FFFFFF"/>
        </a:solidFill>
      </a:ln>
    </cs:spPr>
  </cs:dataPoint3D>
  <cs:dataPointLine>
    <cs:lnRef idx="0">
      <cs:styleClr val="auto"/>
    </cs:lnRef>
    <cs:fillRef idx="0"/>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24</Pages>
  <Words>1299</Words>
  <Characters>7410</Characters>
  <Lines>61</Lines>
  <Paragraphs>17</Paragraphs>
  <TotalTime>7</TotalTime>
  <ScaleCrop>false</ScaleCrop>
  <LinksUpToDate>false</LinksUpToDate>
  <CharactersWithSpaces>8692</CharactersWithSpaces>
  <Application>WPS Office_12.1.0.15398_F1E327BC-269C-435d-A152-05C5408002CA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2020-08-06T17:49:00Z</dcterms:created>
  <dc:creator>曹颖</dc:creator>
  <cp:lastModifiedBy>狮子座</cp:lastModifiedBy>
  <cp:lastPrinted>2023-08-01T18:35:00Z</cp:lastPrinted>
  <dcterms:modified xsi:type="dcterms:W3CDTF">2023-10-16T01:03:25Z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2052-12.1.0.15398</vt:lpwstr>
  </property>
  <property fmtid="{D5CDD505-2E9C-101B-9397-08002B2CF9AE}" pid="3" name="ICV">
    <vt:lpwstr>6B70361D626A4593B4A9C4A901EC4F63</vt:lpwstr>
  </property>
</Properties>
</file>