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9"/>
        <w:rPr>
          <w:rFonts w:hint="eastAsia" w:ascii="方正小标宋简体" w:hAnsi="方正小标宋简体" w:eastAsia="方正小标宋简体" w:cs="方正小标宋简体"/>
          <w:color w:val="auto"/>
          <w:sz w:val="72"/>
          <w:szCs w:val="72"/>
          <w:highlight w:val="none"/>
        </w:rPr>
      </w:pPr>
      <w:bookmarkStart w:id="1" w:name="_Toc15378441"/>
      <w:bookmarkStart w:id="2" w:name="_Toc15377193"/>
      <w:bookmarkStart w:id="3" w:name="_Toc15396597"/>
      <w:bookmarkStart w:id="4" w:name="_Toc15396475"/>
      <w:bookmarkStart w:id="5" w:name="_Toc1537742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p>
    <w:p>
      <w:pPr>
        <w:adjustRightInd w:val="0"/>
        <w:snapToGrid w:val="0"/>
        <w:spacing w:line="360" w:lineRule="auto"/>
        <w:jc w:val="center"/>
        <w:outlineLvl w:val="9"/>
        <w:rPr>
          <w:rFonts w:hint="eastAsia" w:ascii="方正小标宋简体" w:hAnsi="方正小标宋简体" w:eastAsia="方正小标宋简体" w:cs="方正小标宋简体"/>
          <w:color w:val="auto"/>
          <w:w w:val="85"/>
          <w:sz w:val="72"/>
          <w:szCs w:val="72"/>
          <w:highlight w:val="none"/>
          <w:lang w:eastAsia="zh-CN"/>
        </w:rPr>
      </w:pPr>
      <w:bookmarkStart w:id="6" w:name="_Toc15396598"/>
      <w:bookmarkStart w:id="7" w:name="_Toc15378442"/>
      <w:bookmarkStart w:id="8" w:name="_Toc15377194"/>
      <w:bookmarkStart w:id="9" w:name="_Toc15377426"/>
      <w:bookmarkStart w:id="10" w:name="_Toc15396476"/>
      <w:r>
        <w:rPr>
          <w:rFonts w:hint="eastAsia" w:ascii="方正小标宋简体" w:hAnsi="方正小标宋简体" w:eastAsia="方正小标宋简体" w:cs="方正小标宋简体"/>
          <w:color w:val="auto"/>
          <w:w w:val="85"/>
          <w:sz w:val="72"/>
          <w:szCs w:val="72"/>
          <w:highlight w:val="none"/>
          <w:lang w:eastAsia="zh-CN"/>
        </w:rPr>
        <w:t>广元市</w:t>
      </w:r>
      <w:bookmarkEnd w:id="0"/>
      <w:bookmarkStart w:id="11" w:name="_Toc15306268"/>
      <w:r>
        <w:rPr>
          <w:rFonts w:hint="eastAsia" w:ascii="方正小标宋简体" w:hAnsi="方正小标宋简体" w:eastAsia="方正小标宋简体" w:cs="方正小标宋简体"/>
          <w:color w:val="auto"/>
          <w:w w:val="85"/>
          <w:sz w:val="72"/>
          <w:szCs w:val="72"/>
          <w:highlight w:val="none"/>
          <w:lang w:eastAsia="zh-CN"/>
        </w:rPr>
        <w:t>生产安全应急救援支队</w:t>
      </w:r>
    </w:p>
    <w:p>
      <w:pPr>
        <w:adjustRightInd w:val="0"/>
        <w:snapToGrid w:val="0"/>
        <w:spacing w:line="360" w:lineRule="auto"/>
        <w:jc w:val="center"/>
        <w:outlineLvl w:val="9"/>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6"/>
      <w:bookmarkEnd w:id="7"/>
      <w:bookmarkEnd w:id="8"/>
      <w:bookmarkEnd w:id="9"/>
      <w:bookmarkEnd w:id="10"/>
      <w:bookmarkEnd w:id="11"/>
    </w:p>
    <w:p>
      <w:pPr>
        <w:adjustRightInd w:val="0"/>
        <w:snapToGrid w:val="0"/>
        <w:spacing w:line="360" w:lineRule="auto"/>
        <w:jc w:val="center"/>
        <w:outlineLvl w:val="9"/>
        <w:rPr>
          <w:rFonts w:ascii="方正小标宋简体" w:hAnsi="宋体" w:eastAsia="方正小标宋简体"/>
          <w:color w:val="auto"/>
          <w:sz w:val="52"/>
          <w:szCs w:val="52"/>
          <w:highlight w:val="none"/>
        </w:rPr>
      </w:pPr>
    </w:p>
    <w:p>
      <w:pPr>
        <w:pStyle w:val="11"/>
        <w:adjustRightInd w:val="0"/>
        <w:snapToGrid w:val="0"/>
        <w:spacing w:line="440" w:lineRule="exact"/>
        <w:jc w:val="left"/>
        <w:outlineLvl w:val="9"/>
        <w:rPr>
          <w:rFonts w:hint="eastAsia"/>
          <w:color w:val="auto"/>
          <w:sz w:val="24"/>
          <w:highlight w:val="none"/>
        </w:rPr>
      </w:pPr>
      <w:r>
        <w:rPr>
          <w:rFonts w:ascii="方正小标宋简体" w:hAnsi="宋体" w:eastAsia="方正小标宋简体"/>
          <w:color w:val="auto"/>
          <w:sz w:val="36"/>
          <w:szCs w:val="36"/>
          <w:highlight w:val="none"/>
        </w:rPr>
        <w:br w:type="page"/>
      </w:r>
    </w:p>
    <w:p>
      <w:pPr>
        <w:widowControl/>
        <w:jc w:val="center"/>
        <w:outlineLvl w:val="9"/>
        <w:rPr>
          <w:rFonts w:ascii="黑体" w:hAnsi="黑体" w:eastAsia="黑体"/>
          <w:color w:val="auto"/>
          <w:sz w:val="48"/>
          <w:szCs w:val="48"/>
          <w:highlight w:val="none"/>
        </w:rPr>
      </w:pPr>
      <w:bookmarkStart w:id="12" w:name="_Toc15377196"/>
      <w:bookmarkStart w:id="13" w:name="_Toc15396599"/>
      <w:r>
        <w:rPr>
          <w:rFonts w:hint="eastAsia" w:ascii="黑体" w:hAnsi="黑体" w:eastAsia="黑体"/>
          <w:color w:val="auto"/>
          <w:sz w:val="48"/>
          <w:szCs w:val="48"/>
          <w:highlight w:val="none"/>
        </w:rPr>
        <w:t>目录</w:t>
      </w:r>
    </w:p>
    <w:p>
      <w:pPr>
        <w:widowControl/>
        <w:jc w:val="center"/>
        <w:outlineLvl w:val="9"/>
        <w:rPr>
          <w:rFonts w:ascii="黑体" w:hAnsi="黑体" w:eastAsia="黑体" w:cstheme="minorBidi"/>
          <w:color w:val="auto"/>
          <w:sz w:val="28"/>
          <w:szCs w:val="28"/>
          <w:highlight w:val="none"/>
        </w:rPr>
      </w:pPr>
    </w:p>
    <w:p>
      <w:pPr>
        <w:pStyle w:val="10"/>
        <w:outlineLvl w:val="9"/>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 </w:t>
      </w:r>
      <w:bookmarkStart w:id="114" w:name="_GoBack"/>
      <w:bookmarkEnd w:id="114"/>
      <w:r>
        <w:rPr>
          <w:rFonts w:hint="eastAsia"/>
          <w:color w:val="auto"/>
          <w:highlight w:val="none"/>
        </w:rPr>
        <w:t>日</w:t>
      </w:r>
    </w:p>
    <w:sdt>
      <w:sdtPr>
        <w:rPr>
          <w:rFonts w:hint="eastAsia" w:ascii="黑体" w:hAnsi="黑体" w:eastAsia="黑体"/>
          <w:color w:val="auto"/>
          <w:sz w:val="48"/>
          <w:szCs w:val="48"/>
          <w:highlight w:val="none"/>
          <w:lang w:val="en-US" w:eastAsia="zh-CN"/>
        </w:rPr>
        <w:id w:val="147452550"/>
        <w15:color w:val="DBDBDB"/>
        <w:docPartObj>
          <w:docPartGallery w:val="Table of Contents"/>
          <w:docPartUnique/>
        </w:docPartObj>
      </w:sdtPr>
      <w:sdtEndPr>
        <w:rPr>
          <w:rFonts w:hint="eastAsia" w:ascii="仿宋" w:hAnsi="仿宋" w:eastAsia="仿宋" w:cs="Times New Roman"/>
          <w:b/>
          <w:color w:val="auto"/>
          <w:kern w:val="2"/>
          <w:sz w:val="21"/>
          <w:szCs w:val="24"/>
          <w:highlight w:val="none"/>
          <w:lang w:val="en-US" w:eastAsia="zh-CN" w:bidi="ar-SA"/>
        </w:rPr>
      </w:sdtEndPr>
      <w:sdtContent>
        <w:p>
          <w:pPr>
            <w:widowControl/>
            <w:jc w:val="center"/>
            <w:outlineLvl w:val="9"/>
            <w:rPr>
              <w:rFonts w:hint="eastAsia" w:ascii="黑体" w:hAnsi="黑体" w:eastAsia="黑体"/>
              <w:color w:val="auto"/>
              <w:sz w:val="48"/>
              <w:szCs w:val="48"/>
              <w:highlight w:val="none"/>
            </w:rPr>
          </w:pPr>
        </w:p>
        <w:p>
          <w:pPr>
            <w:pStyle w:val="10"/>
            <w:tabs>
              <w:tab w:val="right" w:leader="dot" w:pos="8306"/>
              <w:tab w:val="clear" w:pos="8296"/>
            </w:tabs>
          </w:pPr>
          <w:r>
            <w:rPr>
              <w:rFonts w:ascii="仿宋" w:hAnsi="仿宋" w:eastAsia="仿宋"/>
              <w:b/>
              <w:color w:val="auto"/>
              <w:sz w:val="24"/>
              <w:highlight w:val="none"/>
            </w:rPr>
            <w:fldChar w:fldCharType="begin"/>
          </w:r>
          <w:r>
            <w:rPr>
              <w:rFonts w:ascii="仿宋" w:hAnsi="仿宋" w:eastAsia="仿宋"/>
              <w:b/>
              <w:color w:val="auto"/>
              <w:sz w:val="24"/>
              <w:highlight w:val="none"/>
            </w:rPr>
            <w:instrText xml:space="preserve">TOC \o "1-2" \h \u </w:instrText>
          </w:r>
          <w:r>
            <w:rPr>
              <w:rFonts w:ascii="仿宋" w:hAnsi="仿宋" w:eastAsia="仿宋"/>
              <w:b/>
              <w:color w:val="auto"/>
              <w:sz w:val="24"/>
              <w:highlight w:val="none"/>
            </w:rPr>
            <w:fldChar w:fldCharType="separate"/>
          </w:r>
          <w:r>
            <w:rPr>
              <w:rFonts w:ascii="仿宋" w:hAnsi="仿宋" w:eastAsia="仿宋"/>
              <w:color w:val="auto"/>
              <w:highlight w:val="none"/>
            </w:rPr>
            <w:fldChar w:fldCharType="begin"/>
          </w:r>
          <w:r>
            <w:rPr>
              <w:rFonts w:ascii="仿宋" w:hAnsi="仿宋" w:eastAsia="仿宋"/>
              <w:highlight w:val="none"/>
            </w:rPr>
            <w:instrText xml:space="preserve"> HYPERLINK \l _Toc10090 </w:instrText>
          </w:r>
          <w:r>
            <w:rPr>
              <w:rFonts w:ascii="仿宋" w:hAnsi="仿宋" w:eastAsia="仿宋"/>
              <w:highlight w:val="none"/>
            </w:rP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_Toc10090 \h </w:instrText>
          </w:r>
          <w:r>
            <w:fldChar w:fldCharType="separate"/>
          </w:r>
          <w:r>
            <w:t>1</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_Toc83 </w:instrText>
          </w:r>
          <w:r>
            <w:rPr>
              <w:rFonts w:ascii="仿宋" w:hAnsi="仿宋" w:eastAsia="仿宋"/>
              <w:highlight w:val="none"/>
            </w:rPr>
            <w:fldChar w:fldCharType="separate"/>
          </w:r>
          <w:r>
            <w:rPr>
              <w:rFonts w:hint="eastAsia" w:ascii="黑体" w:hAnsi="黑体" w:eastAsia="黑体"/>
              <w:highlight w:val="none"/>
              <w:lang w:val="en-US" w:eastAsia="zh-CN"/>
            </w:rPr>
            <w:t>一、主要职责</w:t>
          </w:r>
          <w:r>
            <w:tab/>
          </w:r>
          <w:r>
            <w:fldChar w:fldCharType="begin"/>
          </w:r>
          <w:r>
            <w:instrText xml:space="preserve"> PAGEREF _Toc83 \h </w:instrText>
          </w:r>
          <w:r>
            <w:fldChar w:fldCharType="separate"/>
          </w:r>
          <w:r>
            <w:t>1</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_Toc32151 </w:instrText>
          </w:r>
          <w:r>
            <w:rPr>
              <w:rFonts w:ascii="仿宋" w:hAnsi="仿宋" w:eastAsia="仿宋"/>
              <w:highlight w:val="none"/>
            </w:rPr>
            <w:fldChar w:fldCharType="separate"/>
          </w:r>
          <w:r>
            <w:rPr>
              <w:rFonts w:hint="eastAsia" w:ascii="黑体" w:hAnsi="黑体" w:eastAsia="黑体"/>
              <w:highlight w:val="none"/>
              <w:lang w:val="en-US" w:eastAsia="zh-CN"/>
            </w:rPr>
            <w:t>二、机构设置</w:t>
          </w:r>
          <w:r>
            <w:tab/>
          </w:r>
          <w:r>
            <w:fldChar w:fldCharType="begin"/>
          </w:r>
          <w:r>
            <w:instrText xml:space="preserve"> PAGEREF _Toc32151 \h </w:instrText>
          </w:r>
          <w:r>
            <w:fldChar w:fldCharType="separate"/>
          </w:r>
          <w:r>
            <w:t>1</w:t>
          </w:r>
          <w:r>
            <w:fldChar w:fldCharType="end"/>
          </w:r>
          <w:r>
            <w:rPr>
              <w:rFonts w:ascii="仿宋" w:hAnsi="仿宋" w:eastAsia="仿宋"/>
              <w:color w:val="auto"/>
              <w:highlight w:val="none"/>
            </w:rPr>
            <w:fldChar w:fldCharType="end"/>
          </w:r>
        </w:p>
        <w:p>
          <w:pPr>
            <w:pStyle w:val="10"/>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_Toc5596 </w:instrText>
          </w:r>
          <w:r>
            <w:rPr>
              <w:rFonts w:ascii="仿宋" w:hAnsi="仿宋" w:eastAsia="仿宋"/>
              <w:highlight w:val="none"/>
            </w:rP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_Toc5596 \h </w:instrText>
          </w:r>
          <w:r>
            <w:fldChar w:fldCharType="separate"/>
          </w:r>
          <w:r>
            <w:t>2</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_Toc25757 </w:instrText>
          </w:r>
          <w:r>
            <w:rPr>
              <w:rFonts w:ascii="仿宋" w:hAnsi="仿宋" w:eastAsia="仿宋"/>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_Toc25757 \h </w:instrText>
          </w:r>
          <w:r>
            <w:fldChar w:fldCharType="separate"/>
          </w:r>
          <w:r>
            <w:t>2</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_Toc20623 </w:instrText>
          </w:r>
          <w:r>
            <w:rPr>
              <w:rFonts w:ascii="仿宋" w:hAnsi="仿宋" w:eastAsia="仿宋"/>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_Toc20623 \h </w:instrText>
          </w:r>
          <w:r>
            <w:fldChar w:fldCharType="separate"/>
          </w:r>
          <w:r>
            <w:t>2</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_Toc26249 </w:instrText>
          </w:r>
          <w:r>
            <w:rPr>
              <w:rFonts w:ascii="仿宋" w:hAnsi="仿宋" w:eastAsia="仿宋"/>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_Toc26249 \h </w:instrText>
          </w:r>
          <w:r>
            <w:fldChar w:fldCharType="separate"/>
          </w:r>
          <w:r>
            <w:t>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_Toc12255 </w:instrText>
          </w:r>
          <w:r>
            <w:rPr>
              <w:rFonts w:ascii="仿宋" w:hAnsi="仿宋" w:eastAsia="仿宋"/>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_Toc12255 \h </w:instrText>
          </w:r>
          <w:r>
            <w:fldChar w:fldCharType="separate"/>
          </w:r>
          <w:r>
            <w:t>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_Toc10238 </w:instrText>
          </w:r>
          <w:r>
            <w:rPr>
              <w:rFonts w:ascii="仿宋" w:hAnsi="仿宋" w:eastAsia="仿宋"/>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_Toc10238 \h </w:instrText>
          </w:r>
          <w:r>
            <w:fldChar w:fldCharType="separate"/>
          </w:r>
          <w:r>
            <w:t>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_Toc8555 </w:instrText>
          </w:r>
          <w:r>
            <w:rPr>
              <w:rFonts w:ascii="仿宋" w:hAnsi="仿宋" w:eastAsia="仿宋"/>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_Toc8555 \h </w:instrText>
          </w:r>
          <w:r>
            <w:fldChar w:fldCharType="separate"/>
          </w:r>
          <w:r>
            <w:t>7</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_Toc13621 </w:instrText>
          </w:r>
          <w:r>
            <w:rPr>
              <w:rFonts w:ascii="仿宋" w:hAnsi="仿宋" w:eastAsia="仿宋"/>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_Toc13621 \h </w:instrText>
          </w:r>
          <w:r>
            <w:fldChar w:fldCharType="separate"/>
          </w:r>
          <w:r>
            <w:t>7</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_Toc18773 </w:instrText>
          </w:r>
          <w:r>
            <w:rPr>
              <w:rFonts w:ascii="仿宋" w:hAnsi="仿宋" w:eastAsia="仿宋"/>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_Toc18773 \h </w:instrText>
          </w:r>
          <w:r>
            <w:fldChar w:fldCharType="separate"/>
          </w:r>
          <w:r>
            <w:t>9</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_Toc28519 </w:instrText>
          </w:r>
          <w:r>
            <w:rPr>
              <w:rFonts w:ascii="仿宋" w:hAnsi="仿宋" w:eastAsia="仿宋"/>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_Toc28519 \h </w:instrText>
          </w:r>
          <w:r>
            <w:fldChar w:fldCharType="separate"/>
          </w:r>
          <w:r>
            <w:t>9</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_Toc8973 </w:instrText>
          </w:r>
          <w:r>
            <w:rPr>
              <w:rFonts w:ascii="仿宋" w:hAnsi="仿宋" w:eastAsia="仿宋"/>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_Toc8973 \h </w:instrText>
          </w:r>
          <w:r>
            <w:fldChar w:fldCharType="separate"/>
          </w:r>
          <w:r>
            <w:t>9</w:t>
          </w:r>
          <w:r>
            <w:fldChar w:fldCharType="end"/>
          </w:r>
          <w:r>
            <w:rPr>
              <w:rFonts w:ascii="仿宋" w:hAnsi="仿宋" w:eastAsia="仿宋"/>
              <w:color w:val="auto"/>
              <w:highlight w:val="none"/>
            </w:rPr>
            <w:fldChar w:fldCharType="end"/>
          </w:r>
        </w:p>
        <w:p>
          <w:pPr>
            <w:pStyle w:val="10"/>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_Toc28408 </w:instrText>
          </w:r>
          <w:r>
            <w:rPr>
              <w:rFonts w:ascii="仿宋" w:hAnsi="仿宋" w:eastAsia="仿宋"/>
              <w:highlight w:val="none"/>
            </w:rP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_Toc28408 \h </w:instrText>
          </w:r>
          <w:r>
            <w:fldChar w:fldCharType="separate"/>
          </w:r>
          <w:r>
            <w:t>11</w:t>
          </w:r>
          <w:r>
            <w:fldChar w:fldCharType="end"/>
          </w:r>
          <w:r>
            <w:rPr>
              <w:rFonts w:ascii="仿宋" w:hAnsi="仿宋" w:eastAsia="仿宋"/>
              <w:color w:val="auto"/>
              <w:highlight w:val="none"/>
            </w:rPr>
            <w:fldChar w:fldCharType="end"/>
          </w:r>
        </w:p>
        <w:p>
          <w:pPr>
            <w:pStyle w:val="10"/>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_Toc3406 </w:instrText>
          </w:r>
          <w:r>
            <w:rPr>
              <w:rFonts w:ascii="仿宋" w:hAnsi="仿宋" w:eastAsia="仿宋"/>
              <w:highlight w:val="none"/>
            </w:rP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_Toc3406 \h </w:instrText>
          </w:r>
          <w:r>
            <w:fldChar w:fldCharType="separate"/>
          </w:r>
          <w:r>
            <w:t>14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_Toc18425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附件1</w:t>
          </w:r>
          <w:r>
            <w:tab/>
          </w:r>
          <w:r>
            <w:fldChar w:fldCharType="begin"/>
          </w:r>
          <w:r>
            <w:instrText xml:space="preserve"> PAGEREF _Toc18425 \h </w:instrText>
          </w:r>
          <w:r>
            <w:fldChar w:fldCharType="separate"/>
          </w:r>
          <w:r>
            <w:t>14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_Toc17184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附件2</w:t>
          </w:r>
          <w:r>
            <w:tab/>
          </w:r>
          <w:r>
            <w:fldChar w:fldCharType="begin"/>
          </w:r>
          <w:r>
            <w:instrText xml:space="preserve"> PAGEREF _Toc17184 \h </w:instrText>
          </w:r>
          <w:r>
            <w:fldChar w:fldCharType="separate"/>
          </w:r>
          <w:r>
            <w:t>19</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_Toc19363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附件3</w:t>
          </w:r>
          <w:r>
            <w:tab/>
          </w:r>
          <w:r>
            <w:fldChar w:fldCharType="begin"/>
          </w:r>
          <w:r>
            <w:instrText xml:space="preserve"> PAGEREF _Toc19363 \h </w:instrText>
          </w:r>
          <w:r>
            <w:fldChar w:fldCharType="separate"/>
          </w:r>
          <w:r>
            <w:t>24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_Toc4579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附件4</w:t>
          </w:r>
          <w:r>
            <w:tab/>
          </w:r>
          <w:r>
            <w:fldChar w:fldCharType="begin"/>
          </w:r>
          <w:r>
            <w:instrText xml:space="preserve"> PAGEREF _Toc4579 \h </w:instrText>
          </w:r>
          <w:r>
            <w:fldChar w:fldCharType="separate"/>
          </w:r>
          <w:r>
            <w:t>29</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_Toc30392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附件5</w:t>
          </w:r>
          <w:r>
            <w:tab/>
          </w:r>
          <w:r>
            <w:fldChar w:fldCharType="begin"/>
          </w:r>
          <w:r>
            <w:instrText xml:space="preserve"> PAGEREF _Toc30392 \h </w:instrText>
          </w:r>
          <w:r>
            <w:fldChar w:fldCharType="separate"/>
          </w:r>
          <w:r>
            <w:t>34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_Toc23721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附件6</w:t>
          </w:r>
          <w:r>
            <w:tab/>
          </w:r>
          <w:r>
            <w:fldChar w:fldCharType="begin"/>
          </w:r>
          <w:r>
            <w:instrText xml:space="preserve"> PAGEREF _Toc23721 \h </w:instrText>
          </w:r>
          <w:r>
            <w:fldChar w:fldCharType="separate"/>
          </w:r>
          <w:r>
            <w:t>39</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_Toc31732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附件7</w:t>
          </w:r>
          <w:r>
            <w:tab/>
          </w:r>
          <w:r>
            <w:fldChar w:fldCharType="begin"/>
          </w:r>
          <w:r>
            <w:instrText xml:space="preserve"> PAGEREF _Toc31732 \h </w:instrText>
          </w:r>
          <w:r>
            <w:fldChar w:fldCharType="separate"/>
          </w:r>
          <w:r>
            <w:t>44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_Toc16236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附件8</w:t>
          </w:r>
          <w:r>
            <w:tab/>
          </w:r>
          <w:r>
            <w:fldChar w:fldCharType="begin"/>
          </w:r>
          <w:r>
            <w:instrText xml:space="preserve"> PAGEREF _Toc16236 \h </w:instrText>
          </w:r>
          <w:r>
            <w:fldChar w:fldCharType="separate"/>
          </w:r>
          <w:r>
            <w:t>49</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_Toc4845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附件9</w:t>
          </w:r>
          <w:r>
            <w:tab/>
          </w:r>
          <w:r>
            <w:fldChar w:fldCharType="begin"/>
          </w:r>
          <w:r>
            <w:instrText xml:space="preserve"> PAGEREF _Toc4845 \h </w:instrText>
          </w:r>
          <w:r>
            <w:fldChar w:fldCharType="separate"/>
          </w:r>
          <w:r>
            <w:t>54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_Toc30943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附件10</w:t>
          </w:r>
          <w:r>
            <w:tab/>
          </w:r>
          <w:r>
            <w:fldChar w:fldCharType="begin"/>
          </w:r>
          <w:r>
            <w:instrText xml:space="preserve"> PAGEREF _Toc30943 \h </w:instrText>
          </w:r>
          <w:r>
            <w:fldChar w:fldCharType="separate"/>
          </w:r>
          <w:r>
            <w:t>59</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_Toc14103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附件11</w:t>
          </w:r>
          <w:r>
            <w:tab/>
          </w:r>
          <w:r>
            <w:fldChar w:fldCharType="begin"/>
          </w:r>
          <w:r>
            <w:instrText xml:space="preserve"> PAGEREF _Toc14103 \h </w:instrText>
          </w:r>
          <w:r>
            <w:fldChar w:fldCharType="separate"/>
          </w:r>
          <w:r>
            <w:t>64</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_Toc14323 </w:instrText>
          </w:r>
          <w:r>
            <w:rPr>
              <w:rFonts w:ascii="仿宋" w:hAnsi="仿宋" w:eastAsia="仿宋"/>
              <w:highlight w:val="none"/>
            </w:rPr>
            <w:fldChar w:fldCharType="separate"/>
          </w:r>
          <w:r>
            <w:rPr>
              <w:rFonts w:hint="eastAsia" w:ascii="黑体" w:hAnsi="黑体" w:eastAsia="黑体" w:cs="黑体"/>
              <w:kern w:val="0"/>
              <w:szCs w:val="32"/>
              <w:highlight w:val="none"/>
              <w:lang w:val="en-US" w:eastAsia="zh-CN" w:bidi="ar-SA"/>
            </w:rPr>
            <w:t>附件12</w:t>
          </w:r>
          <w:r>
            <w:tab/>
          </w:r>
          <w:r>
            <w:fldChar w:fldCharType="begin"/>
          </w:r>
          <w:r>
            <w:instrText xml:space="preserve"> PAGEREF _Toc14323 \h </w:instrText>
          </w:r>
          <w:r>
            <w:fldChar w:fldCharType="separate"/>
          </w:r>
          <w:r>
            <w:t>68</w:t>
          </w:r>
          <w:r>
            <w:fldChar w:fldCharType="end"/>
          </w:r>
          <w:r>
            <w:rPr>
              <w:rFonts w:ascii="仿宋" w:hAnsi="仿宋" w:eastAsia="仿宋"/>
              <w:color w:val="auto"/>
              <w:highlight w:val="none"/>
            </w:rPr>
            <w:fldChar w:fldCharType="end"/>
          </w:r>
        </w:p>
        <w:p>
          <w:pPr>
            <w:pStyle w:val="10"/>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_Toc8137 </w:instrText>
          </w:r>
          <w:r>
            <w:rPr>
              <w:rFonts w:ascii="仿宋" w:hAnsi="仿宋" w:eastAsia="仿宋"/>
              <w:highlight w:val="none"/>
            </w:rP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_Toc8137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_Toc4669 </w:instrText>
          </w:r>
          <w:r>
            <w:rPr>
              <w:rFonts w:ascii="仿宋" w:hAnsi="仿宋" w:eastAsia="仿宋"/>
              <w:highlight w:val="none"/>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_Toc4669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_Toc16748 </w:instrText>
          </w:r>
          <w:r>
            <w:rPr>
              <w:rFonts w:ascii="仿宋" w:hAnsi="仿宋" w:eastAsia="仿宋"/>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_Toc16748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_Toc21224 </w:instrText>
          </w:r>
          <w:r>
            <w:rPr>
              <w:rFonts w:ascii="仿宋" w:hAnsi="仿宋" w:eastAsia="仿宋"/>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_Toc21224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_Toc26954 </w:instrText>
          </w:r>
          <w:r>
            <w:rPr>
              <w:rFonts w:ascii="仿宋" w:hAnsi="仿宋" w:eastAsia="仿宋"/>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_Toc26954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_Toc3541 </w:instrText>
          </w:r>
          <w:r>
            <w:rPr>
              <w:rFonts w:ascii="仿宋" w:hAnsi="仿宋" w:eastAsia="仿宋"/>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_Toc3541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_Toc20619 </w:instrText>
          </w:r>
          <w:r>
            <w:rPr>
              <w:rFonts w:ascii="仿宋" w:hAnsi="仿宋" w:eastAsia="仿宋"/>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_Toc20619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_Toc277 </w:instrText>
          </w:r>
          <w:r>
            <w:rPr>
              <w:rFonts w:ascii="仿宋" w:hAnsi="仿宋" w:eastAsia="仿宋"/>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_Toc277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_Toc10339 </w:instrText>
          </w:r>
          <w:r>
            <w:rPr>
              <w:rFonts w:ascii="仿宋" w:hAnsi="仿宋" w:eastAsia="仿宋"/>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_Toc10339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_Toc24295 </w:instrText>
          </w:r>
          <w:r>
            <w:rPr>
              <w:rFonts w:ascii="仿宋" w:hAnsi="仿宋" w:eastAsia="仿宋"/>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_Toc24295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_Toc28806 </w:instrText>
          </w:r>
          <w:r>
            <w:rPr>
              <w:rFonts w:ascii="仿宋" w:hAnsi="仿宋" w:eastAsia="仿宋"/>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_Toc28806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_Toc11477 </w:instrText>
          </w:r>
          <w:r>
            <w:rPr>
              <w:rFonts w:ascii="仿宋" w:hAnsi="仿宋" w:eastAsia="仿宋"/>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_Toc11477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_Toc12887 </w:instrText>
          </w:r>
          <w:r>
            <w:rPr>
              <w:rFonts w:ascii="仿宋" w:hAnsi="仿宋" w:eastAsia="仿宋"/>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_Toc12887 \h </w:instrText>
          </w:r>
          <w:r>
            <w:fldChar w:fldCharType="separate"/>
          </w:r>
          <w:r>
            <w:t>73</w:t>
          </w:r>
          <w:r>
            <w:fldChar w:fldCharType="end"/>
          </w:r>
          <w:r>
            <w:rPr>
              <w:rFonts w:ascii="仿宋" w:hAnsi="仿宋" w:eastAsia="仿宋"/>
              <w:color w:val="auto"/>
              <w:highlight w:val="none"/>
            </w:rPr>
            <w:fldChar w:fldCharType="end"/>
          </w:r>
        </w:p>
        <w:p>
          <w:pPr>
            <w:pStyle w:val="11"/>
            <w:tabs>
              <w:tab w:val="right" w:leader="dot" w:pos="8306"/>
              <w:tab w:val="clear" w:pos="8296"/>
            </w:tabs>
          </w:pPr>
          <w:r>
            <w:rPr>
              <w:rFonts w:ascii="仿宋" w:hAnsi="仿宋" w:eastAsia="仿宋"/>
              <w:color w:val="auto"/>
              <w:highlight w:val="none"/>
            </w:rPr>
            <w:fldChar w:fldCharType="begin"/>
          </w:r>
          <w:r>
            <w:rPr>
              <w:rFonts w:ascii="仿宋" w:hAnsi="仿宋" w:eastAsia="仿宋"/>
              <w:highlight w:val="none"/>
            </w:rPr>
            <w:instrText xml:space="preserve"> HYPERLINK \l _Toc2226 </w:instrText>
          </w:r>
          <w:r>
            <w:rPr>
              <w:rFonts w:ascii="仿宋" w:hAnsi="仿宋" w:eastAsia="仿宋"/>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_Toc2226 \h </w:instrText>
          </w:r>
          <w:r>
            <w:fldChar w:fldCharType="separate"/>
          </w:r>
          <w:r>
            <w:t>73</w:t>
          </w:r>
          <w:r>
            <w:fldChar w:fldCharType="end"/>
          </w:r>
          <w:r>
            <w:rPr>
              <w:rFonts w:ascii="仿宋" w:hAnsi="仿宋" w:eastAsia="仿宋"/>
              <w:color w:val="auto"/>
              <w:highlight w:val="none"/>
            </w:rPr>
            <w:fldChar w:fldCharType="end"/>
          </w:r>
        </w:p>
        <w:p>
          <w:pPr>
            <w:widowControl/>
            <w:spacing w:line="440" w:lineRule="exact"/>
            <w:jc w:val="left"/>
            <w:outlineLvl w:val="9"/>
            <w:rPr>
              <w:rFonts w:ascii="仿宋" w:hAnsi="仿宋" w:eastAsia="仿宋"/>
              <w:b/>
              <w:color w:val="auto"/>
              <w:sz w:val="24"/>
              <w:highlight w:val="none"/>
            </w:rPr>
            <w:sectPr>
              <w:headerReference r:id="rId3" w:type="default"/>
              <w:pgSz w:w="11906" w:h="16838"/>
              <w:pgMar w:top="1440" w:right="1800" w:bottom="1440" w:left="1800" w:header="851" w:footer="992" w:gutter="0"/>
              <w:pgNumType w:fmt="decimal" w:start="1"/>
              <w:cols w:space="425" w:num="1"/>
              <w:titlePg/>
              <w:docGrid w:type="lines" w:linePitch="312" w:charSpace="0"/>
            </w:sectPr>
          </w:pPr>
          <w:r>
            <w:rPr>
              <w:rFonts w:ascii="仿宋" w:hAnsi="仿宋" w:eastAsia="仿宋"/>
              <w:color w:val="auto"/>
              <w:highlight w:val="none"/>
            </w:rPr>
            <w:fldChar w:fldCharType="end"/>
          </w:r>
        </w:p>
      </w:sdtContent>
    </w:sdt>
    <w:p>
      <w:pPr>
        <w:pStyle w:val="3"/>
        <w:jc w:val="center"/>
        <w:rPr>
          <w:rStyle w:val="25"/>
          <w:rFonts w:ascii="黑体" w:hAnsi="黑体" w:eastAsia="黑体"/>
          <w:b/>
          <w:bCs w:val="0"/>
          <w:color w:val="auto"/>
          <w:highlight w:val="none"/>
        </w:rPr>
      </w:pPr>
      <w:bookmarkStart w:id="14" w:name="_Toc10090"/>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5"/>
          <w:rFonts w:hint="eastAsia" w:ascii="黑体" w:hAnsi="黑体" w:eastAsia="黑体"/>
          <w:b w:val="0"/>
          <w:bCs w:val="0"/>
          <w:color w:val="auto"/>
          <w:highlight w:val="none"/>
        </w:rPr>
        <w:t>概况</w:t>
      </w:r>
      <w:bookmarkEnd w:id="12"/>
      <w:bookmarkEnd w:id="13"/>
      <w:bookmarkEnd w:id="14"/>
    </w:p>
    <w:p>
      <w:pPr>
        <w:widowControl/>
        <w:jc w:val="left"/>
        <w:rPr>
          <w:rFonts w:ascii="黑体" w:eastAsia="黑体"/>
          <w:color w:val="auto"/>
          <w:sz w:val="32"/>
          <w:szCs w:val="32"/>
          <w:highlight w:val="none"/>
        </w:rPr>
      </w:pPr>
    </w:p>
    <w:p>
      <w:pPr>
        <w:pStyle w:val="4"/>
        <w:keepNext/>
        <w:keepLines/>
        <w:pageBreakBefore w:val="0"/>
        <w:widowControl w:val="0"/>
        <w:numPr>
          <w:ilvl w:val="0"/>
          <w:numId w:val="0"/>
        </w:numPr>
        <w:kinsoku/>
        <w:wordWrap/>
        <w:overflowPunct/>
        <w:topLinePunct w:val="0"/>
        <w:autoSpaceDE/>
        <w:autoSpaceDN/>
        <w:bidi w:val="0"/>
        <w:adjustRightInd/>
        <w:snapToGrid/>
        <w:spacing w:line="416" w:lineRule="auto"/>
        <w:ind w:firstLine="640" w:firstLineChars="200"/>
        <w:textAlignment w:val="auto"/>
        <w:rPr>
          <w:rFonts w:hint="eastAsia" w:ascii="黑体" w:hAnsi="黑体" w:eastAsia="黑体"/>
          <w:b w:val="0"/>
          <w:color w:val="auto"/>
          <w:highlight w:val="none"/>
          <w:lang w:val="en-US" w:eastAsia="zh-CN"/>
        </w:rPr>
      </w:pPr>
      <w:bookmarkStart w:id="15" w:name="_Toc83"/>
      <w:bookmarkStart w:id="16" w:name="_Toc15396600"/>
      <w:bookmarkStart w:id="17" w:name="_Toc15377197"/>
      <w:r>
        <w:rPr>
          <w:rFonts w:hint="eastAsia" w:ascii="黑体" w:hAnsi="黑体" w:eastAsia="黑体"/>
          <w:b w:val="0"/>
          <w:color w:val="auto"/>
          <w:highlight w:val="none"/>
          <w:lang w:val="en-US" w:eastAsia="zh-CN"/>
        </w:rPr>
        <w:t>一、主要职责</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lang w:eastAsia="zh-CN"/>
        </w:rPr>
      </w:pPr>
      <w:bookmarkStart w:id="18" w:name="_Toc12511"/>
      <w:bookmarkStart w:id="19" w:name="_Toc14927"/>
      <w:r>
        <w:rPr>
          <w:rStyle w:val="26"/>
          <w:rFonts w:hint="eastAsia" w:ascii="仿宋_GB2312" w:hAnsi="仿宋_GB2312" w:eastAsia="仿宋_GB2312" w:cs="仿宋_GB2312"/>
          <w:b w:val="0"/>
          <w:bCs w:val="0"/>
          <w:color w:val="auto"/>
          <w:highlight w:val="none"/>
          <w:lang w:eastAsia="zh-CN"/>
        </w:rPr>
        <w:t>主要负责全市煤矿、非煤矿山、危险化学品及其它生产安全事故的抢险应急救援工作；承担全市人民防空、水上安全事故、森林消防应急救援职能；负责川北片区（广元、达州、巴中）等地水上安全应急救助任务等。</w:t>
      </w:r>
      <w:bookmarkEnd w:id="18"/>
      <w:bookmarkEnd w:id="19"/>
    </w:p>
    <w:p>
      <w:pPr>
        <w:pStyle w:val="4"/>
        <w:keepNext/>
        <w:keepLines/>
        <w:pageBreakBefore w:val="0"/>
        <w:widowControl w:val="0"/>
        <w:numPr>
          <w:ilvl w:val="0"/>
          <w:numId w:val="0"/>
        </w:numPr>
        <w:kinsoku/>
        <w:wordWrap/>
        <w:overflowPunct/>
        <w:topLinePunct w:val="0"/>
        <w:autoSpaceDE/>
        <w:autoSpaceDN/>
        <w:bidi w:val="0"/>
        <w:adjustRightInd/>
        <w:snapToGrid/>
        <w:spacing w:line="416" w:lineRule="auto"/>
        <w:ind w:firstLine="640" w:firstLineChars="200"/>
        <w:textAlignment w:val="auto"/>
        <w:rPr>
          <w:rFonts w:hint="eastAsia" w:ascii="黑体" w:hAnsi="黑体" w:eastAsia="黑体"/>
          <w:b w:val="0"/>
          <w:color w:val="auto"/>
          <w:highlight w:val="none"/>
          <w:lang w:val="en-US" w:eastAsia="zh-CN"/>
        </w:rPr>
      </w:pPr>
      <w:bookmarkStart w:id="20" w:name="_Toc32151"/>
      <w:r>
        <w:rPr>
          <w:rFonts w:hint="eastAsia" w:ascii="黑体" w:hAnsi="黑体" w:eastAsia="黑体"/>
          <w:b w:val="0"/>
          <w:color w:val="auto"/>
          <w:highlight w:val="none"/>
          <w:lang w:val="en-US" w:eastAsia="zh-CN"/>
        </w:rPr>
        <w:t>二、机构设置</w:t>
      </w:r>
      <w:bookmarkEnd w:id="20"/>
    </w:p>
    <w:bookmarkEnd w:id="16"/>
    <w:bookmarkEnd w:id="17"/>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Style w:val="26"/>
          <w:rFonts w:hint="eastAsia" w:ascii="仿宋_GB2312" w:hAnsi="仿宋_GB2312" w:eastAsia="仿宋_GB2312" w:cs="仿宋_GB2312"/>
          <w:b w:val="0"/>
          <w:bCs w:val="0"/>
          <w:color w:val="auto"/>
          <w:highlight w:val="none"/>
          <w:lang w:eastAsia="zh-CN"/>
        </w:rPr>
      </w:pPr>
      <w:bookmarkStart w:id="21" w:name="_Toc3115"/>
      <w:bookmarkStart w:id="22" w:name="_Toc3016"/>
      <w:r>
        <w:rPr>
          <w:rStyle w:val="26"/>
          <w:rFonts w:hint="eastAsia" w:ascii="仿宋_GB2312" w:hAnsi="仿宋_GB2312" w:eastAsia="仿宋_GB2312" w:cs="仿宋_GB2312"/>
          <w:b w:val="0"/>
          <w:bCs w:val="0"/>
          <w:color w:val="auto"/>
          <w:highlight w:val="none"/>
          <w:lang w:eastAsia="zh-CN"/>
        </w:rPr>
        <w:t>广元市生产安全应急救援支队隶属于市应急管理局管理的公益一类失业单位，挂川北水上应急救援队、市人民防空应急救援队、市森林消防应急救援队牌子。</w:t>
      </w:r>
    </w:p>
    <w:bookmarkEnd w:id="21"/>
    <w:bookmarkEnd w:id="22"/>
    <w:p>
      <w:pPr>
        <w:pStyle w:val="2"/>
        <w:rPr>
          <w:rStyle w:val="26"/>
          <w:rFonts w:hint="eastAsia" w:ascii="仿宋_GB2312" w:hAnsi="仿宋_GB2312" w:eastAsia="仿宋_GB2312" w:cs="仿宋_GB2312"/>
          <w:b w:val="0"/>
          <w:bCs w:val="0"/>
          <w:color w:val="auto"/>
          <w:highlight w:val="none"/>
          <w:lang w:eastAsia="zh-CN"/>
        </w:rPr>
      </w:pPr>
    </w:p>
    <w:p>
      <w:pPr>
        <w:pStyle w:val="2"/>
        <w:rPr>
          <w:rStyle w:val="26"/>
          <w:rFonts w:hint="eastAsia" w:ascii="仿宋_GB2312" w:hAnsi="仿宋_GB2312" w:eastAsia="仿宋_GB2312" w:cs="仿宋_GB2312"/>
          <w:b w:val="0"/>
          <w:bCs w:val="0"/>
          <w:color w:val="auto"/>
          <w:highlight w:val="none"/>
          <w:lang w:eastAsia="zh-CN"/>
        </w:rPr>
      </w:pPr>
    </w:p>
    <w:p>
      <w:pPr>
        <w:pStyle w:val="2"/>
        <w:rPr>
          <w:rStyle w:val="26"/>
          <w:rFonts w:hint="eastAsia" w:ascii="仿宋_GB2312" w:hAnsi="仿宋_GB2312" w:eastAsia="仿宋_GB2312" w:cs="仿宋_GB2312"/>
          <w:b w:val="0"/>
          <w:bCs w:val="0"/>
          <w:color w:val="auto"/>
          <w:highlight w:val="none"/>
          <w:lang w:eastAsia="zh-CN"/>
        </w:rPr>
      </w:pPr>
    </w:p>
    <w:p>
      <w:pPr>
        <w:pStyle w:val="2"/>
        <w:rPr>
          <w:rStyle w:val="26"/>
          <w:rFonts w:hint="eastAsia" w:ascii="仿宋_GB2312" w:hAnsi="仿宋_GB2312" w:eastAsia="仿宋_GB2312" w:cs="仿宋_GB2312"/>
          <w:b w:val="0"/>
          <w:bCs w:val="0"/>
          <w:color w:val="auto"/>
          <w:highlight w:val="none"/>
          <w:lang w:eastAsia="zh-CN"/>
        </w:rPr>
      </w:pPr>
    </w:p>
    <w:p>
      <w:pPr>
        <w:pStyle w:val="2"/>
        <w:rPr>
          <w:rStyle w:val="26"/>
          <w:rFonts w:hint="eastAsia" w:ascii="仿宋_GB2312" w:hAnsi="仿宋_GB2312" w:eastAsia="仿宋_GB2312" w:cs="仿宋_GB2312"/>
          <w:b w:val="0"/>
          <w:bCs w:val="0"/>
          <w:color w:val="auto"/>
          <w:highlight w:val="none"/>
          <w:lang w:eastAsia="zh-CN"/>
        </w:rPr>
      </w:pPr>
    </w:p>
    <w:p>
      <w:pPr>
        <w:pStyle w:val="2"/>
      </w:pPr>
    </w:p>
    <w:p>
      <w:pPr>
        <w:pStyle w:val="3"/>
        <w:ind w:right="440"/>
        <w:jc w:val="center"/>
        <w:rPr>
          <w:rStyle w:val="25"/>
          <w:rFonts w:ascii="黑体" w:hAnsi="黑体" w:eastAsia="黑体"/>
          <w:b w:val="0"/>
          <w:bCs/>
          <w:color w:val="auto"/>
          <w:highlight w:val="none"/>
        </w:rPr>
      </w:pPr>
      <w:bookmarkStart w:id="23" w:name="_Toc15377204"/>
      <w:bookmarkStart w:id="24" w:name="_Toc5596"/>
      <w:bookmarkStart w:id="25"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5"/>
          <w:rFonts w:hint="eastAsia" w:ascii="黑体" w:hAnsi="黑体" w:eastAsia="黑体"/>
          <w:b w:val="0"/>
          <w:bCs/>
          <w:color w:val="auto"/>
          <w:highlight w:val="none"/>
          <w:lang w:eastAsia="zh-CN"/>
        </w:rPr>
        <w:t>单位</w:t>
      </w:r>
      <w:r>
        <w:rPr>
          <w:rStyle w:val="25"/>
          <w:rFonts w:hint="eastAsia" w:ascii="黑体" w:hAnsi="黑体" w:eastAsia="黑体"/>
          <w:b w:val="0"/>
          <w:bCs/>
          <w:color w:val="auto"/>
          <w:highlight w:val="none"/>
        </w:rPr>
        <w:t>决算情况说明</w:t>
      </w:r>
      <w:bookmarkEnd w:id="23"/>
      <w:bookmarkEnd w:id="24"/>
      <w:bookmarkEnd w:id="25"/>
    </w:p>
    <w:p>
      <w:pPr>
        <w:rPr>
          <w:color w:val="auto"/>
          <w:highlight w:val="none"/>
        </w:rPr>
      </w:pPr>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26" w:name="_Toc15396603"/>
      <w:bookmarkStart w:id="27" w:name="_Toc15377205"/>
      <w:bookmarkStart w:id="28" w:name="_Toc25757"/>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入支出决算总体情况说明</w:t>
      </w:r>
      <w:bookmarkEnd w:id="26"/>
      <w:bookmarkEnd w:id="27"/>
      <w:bookmarkEnd w:id="28"/>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1229.18</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45.8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人员增减变动、工资调整等。</w:t>
      </w:r>
    </w:p>
    <w:p>
      <w:pPr>
        <w:pStyle w:val="2"/>
        <w:jc w:val="center"/>
        <w:rPr>
          <w:rFonts w:hint="eastAsia"/>
          <w:lang w:eastAsia="zh-CN"/>
        </w:rPr>
      </w:pPr>
      <w:r>
        <w:rPr>
          <w:rFonts w:hint="eastAsia"/>
          <w:lang w:eastAsia="zh-CN"/>
        </w:rPr>
        <w:drawing>
          <wp:inline distT="0" distB="0" distL="114300" distR="114300">
            <wp:extent cx="4584065" cy="2755265"/>
            <wp:effectExtent l="0" t="0" r="6985" b="698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7"/>
                    <a:stretch>
                      <a:fillRect/>
                    </a:stretch>
                  </pic:blipFill>
                  <pic:spPr>
                    <a:xfrm>
                      <a:off x="0" y="0"/>
                      <a:ext cx="4584065" cy="2755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r>
        <w:rPr>
          <w:rFonts w:hint="eastAsia" w:ascii="仿宋" w:hAnsi="仿宋" w:eastAsia="仿宋"/>
          <w:color w:val="auto"/>
          <w:sz w:val="32"/>
          <w:szCs w:val="32"/>
          <w:highlight w:val="none"/>
          <w:lang w:eastAsia="zh-CN"/>
        </w:rPr>
        <w:t>（单位：万元）</w:t>
      </w:r>
    </w:p>
    <w:p>
      <w:pPr>
        <w:spacing w:line="600" w:lineRule="exact"/>
        <w:ind w:firstLine="640" w:firstLineChars="200"/>
        <w:jc w:val="left"/>
        <w:rPr>
          <w:rFonts w:ascii="仿宋_GB2312" w:eastAsia="仿宋_GB2312"/>
          <w:color w:val="auto"/>
          <w:sz w:val="32"/>
          <w:szCs w:val="32"/>
          <w:highlight w:val="none"/>
        </w:rPr>
      </w:pPr>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29" w:name="_Toc15396604"/>
      <w:bookmarkStart w:id="30" w:name="_Toc15377206"/>
      <w:bookmarkStart w:id="31" w:name="_Toc20623"/>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入决算情况说明</w:t>
      </w:r>
      <w:bookmarkEnd w:id="29"/>
      <w:bookmarkEnd w:id="30"/>
      <w:bookmarkEnd w:id="31"/>
    </w:p>
    <w:p>
      <w:pPr>
        <w:spacing w:line="600" w:lineRule="exact"/>
        <w:ind w:firstLine="640" w:firstLineChars="200"/>
        <w:outlineLvl w:val="9"/>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1054.65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1054.65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jc w:val="center"/>
        <w:outlineLvl w:val="9"/>
        <w:rPr>
          <w:rFonts w:hint="eastAsia" w:eastAsia="仿宋"/>
          <w:lang w:eastAsia="zh-CN"/>
        </w:rPr>
      </w:pPr>
      <w:r>
        <w:rPr>
          <w:rFonts w:hint="eastAsia" w:eastAsia="仿宋"/>
          <w:lang w:eastAsia="zh-CN"/>
        </w:rPr>
        <w:drawing>
          <wp:inline distT="0" distB="0" distL="114300" distR="114300">
            <wp:extent cx="4584065" cy="2755265"/>
            <wp:effectExtent l="0" t="0" r="6985" b="6985"/>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8"/>
                    <a:stretch>
                      <a:fillRect/>
                    </a:stretch>
                  </pic:blipFill>
                  <pic:spPr>
                    <a:xfrm>
                      <a:off x="0" y="0"/>
                      <a:ext cx="4584065" cy="2755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9"/>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spacing w:line="600" w:lineRule="exact"/>
        <w:ind w:firstLine="640" w:firstLineChars="200"/>
        <w:outlineLvl w:val="9"/>
        <w:rPr>
          <w:rFonts w:ascii="仿宋_GB2312" w:eastAsia="仿宋_GB2312"/>
          <w:color w:val="auto"/>
          <w:sz w:val="32"/>
          <w:szCs w:val="32"/>
          <w:highlight w:val="none"/>
        </w:rPr>
      </w:pPr>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32" w:name="_Toc15396605"/>
      <w:bookmarkStart w:id="33" w:name="_Toc15377207"/>
      <w:bookmarkStart w:id="34" w:name="_Toc26249"/>
      <w:r>
        <w:rPr>
          <w:rFonts w:hint="eastAsia" w:ascii="黑体" w:hAnsi="黑体" w:eastAsia="黑体"/>
          <w:color w:val="auto"/>
          <w:sz w:val="32"/>
          <w:szCs w:val="32"/>
          <w:highlight w:val="none"/>
        </w:rPr>
        <w:t>支</w:t>
      </w:r>
      <w:r>
        <w:rPr>
          <w:rStyle w:val="26"/>
          <w:rFonts w:hint="eastAsia" w:ascii="黑体" w:hAnsi="黑体" w:eastAsia="黑体"/>
          <w:b w:val="0"/>
          <w:color w:val="auto"/>
          <w:highlight w:val="none"/>
        </w:rPr>
        <w:t>出决算情况说明</w:t>
      </w:r>
      <w:bookmarkEnd w:id="32"/>
      <w:bookmarkEnd w:id="33"/>
      <w:bookmarkEnd w:id="34"/>
    </w:p>
    <w:p>
      <w:pPr>
        <w:spacing w:line="600" w:lineRule="exact"/>
        <w:ind w:firstLine="640" w:firstLineChars="200"/>
        <w:outlineLvl w:val="9"/>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1229.18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556.6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672.58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54.7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jc w:val="center"/>
        <w:outlineLvl w:val="9"/>
        <w:rPr>
          <w:rFonts w:hint="eastAsia" w:eastAsia="仿宋"/>
          <w:lang w:eastAsia="zh-CN"/>
        </w:rPr>
      </w:pPr>
      <w:r>
        <w:rPr>
          <w:rFonts w:hint="eastAsia" w:eastAsia="仿宋"/>
          <w:lang w:eastAsia="zh-CN"/>
        </w:rPr>
        <w:drawing>
          <wp:inline distT="0" distB="0" distL="114300" distR="114300">
            <wp:extent cx="4584065" cy="2755265"/>
            <wp:effectExtent l="0" t="0" r="6985" b="6985"/>
            <wp:docPr id="4" name="图片 4"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3"/>
                    <pic:cNvPicPr>
                      <a:picLocks noChangeAspect="1"/>
                    </pic:cNvPicPr>
                  </pic:nvPicPr>
                  <pic:blipFill>
                    <a:blip r:embed="rId9"/>
                    <a:stretch>
                      <a:fillRect/>
                    </a:stretch>
                  </pic:blipFill>
                  <pic:spPr>
                    <a:xfrm>
                      <a:off x="0" y="0"/>
                      <a:ext cx="4584065" cy="2755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9"/>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9"/>
        <w:rPr>
          <w:rFonts w:ascii="仿宋_GB2312" w:eastAsia="仿宋_GB2312"/>
          <w:color w:val="auto"/>
          <w:sz w:val="32"/>
          <w:szCs w:val="32"/>
          <w:highlight w:val="none"/>
        </w:rPr>
      </w:pPr>
    </w:p>
    <w:p>
      <w:pPr>
        <w:spacing w:line="600" w:lineRule="exact"/>
        <w:ind w:firstLine="640" w:firstLineChars="200"/>
        <w:outlineLvl w:val="1"/>
        <w:rPr>
          <w:rStyle w:val="26"/>
          <w:rFonts w:ascii="黑体" w:hAnsi="黑体" w:eastAsia="黑体"/>
          <w:b w:val="0"/>
          <w:color w:val="auto"/>
          <w:highlight w:val="none"/>
        </w:rPr>
      </w:pPr>
      <w:bookmarkStart w:id="35" w:name="_Toc15377208"/>
      <w:bookmarkStart w:id="36" w:name="_Toc15396606"/>
      <w:bookmarkStart w:id="37" w:name="_Toc12255"/>
      <w:r>
        <w:rPr>
          <w:rFonts w:hint="eastAsia" w:ascii="黑体" w:hAnsi="黑体" w:eastAsia="黑体"/>
          <w:color w:val="auto"/>
          <w:sz w:val="32"/>
          <w:szCs w:val="32"/>
          <w:highlight w:val="none"/>
        </w:rPr>
        <w:t>四、财</w:t>
      </w:r>
      <w:r>
        <w:rPr>
          <w:rStyle w:val="26"/>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1229.18</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46.09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人员增减变动、工资调整等。</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584065" cy="2755265"/>
            <wp:effectExtent l="0" t="0" r="6985" b="6985"/>
            <wp:docPr id="9" name="图片 9"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4"/>
                    <pic:cNvPicPr>
                      <a:picLocks noChangeAspect="1"/>
                    </pic:cNvPicPr>
                  </pic:nvPicPr>
                  <pic:blipFill>
                    <a:blip r:embed="rId10"/>
                    <a:stretch>
                      <a:fillRect/>
                    </a:stretch>
                  </pic:blipFill>
                  <pic:spPr>
                    <a:xfrm>
                      <a:off x="0" y="0"/>
                      <a:ext cx="4584065" cy="2755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r>
        <w:rPr>
          <w:rFonts w:hint="eastAsia" w:ascii="仿宋" w:hAnsi="仿宋" w:eastAsia="仿宋"/>
          <w:color w:val="auto"/>
          <w:sz w:val="32"/>
          <w:szCs w:val="32"/>
          <w:highlight w:val="none"/>
          <w:lang w:eastAsia="zh-CN"/>
        </w:rPr>
        <w:t>（单位：万元）</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6"/>
          <w:rFonts w:ascii="黑体" w:hAnsi="黑体" w:eastAsia="黑体"/>
          <w:b w:val="0"/>
          <w:color w:val="auto"/>
          <w:highlight w:val="none"/>
        </w:rPr>
      </w:pPr>
      <w:bookmarkStart w:id="38" w:name="_Toc15396607"/>
      <w:bookmarkStart w:id="39" w:name="_Toc15377209"/>
      <w:bookmarkStart w:id="40" w:name="_Toc10238"/>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auto"/>
          <w:sz w:val="32"/>
          <w:szCs w:val="32"/>
          <w:highlight w:val="none"/>
        </w:rPr>
      </w:pPr>
      <w:bookmarkStart w:id="41" w:name="_Toc15377210"/>
      <w:r>
        <w:rPr>
          <w:rFonts w:hint="eastAsia" w:ascii="仿宋" w:hAnsi="仿宋" w:eastAsia="仿宋"/>
          <w:b/>
          <w:color w:val="auto"/>
          <w:sz w:val="32"/>
          <w:szCs w:val="32"/>
          <w:highlight w:val="none"/>
        </w:rPr>
        <w:t>（一）一般公共预算财政拨款支出决算总体情况</w:t>
      </w:r>
      <w:bookmarkEnd w:id="41"/>
    </w:p>
    <w:p>
      <w:pPr>
        <w:spacing w:line="600" w:lineRule="exact"/>
        <w:ind w:firstLine="640" w:firstLineChars="200"/>
        <w:rPr>
          <w:rFonts w:hint="default"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1229.18</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167.62</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15.8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2021年下达的四川省人民防空建设补助资金及应急救援特种车辆税费等项目资金在2022年实现支出。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584065" cy="2755265"/>
            <wp:effectExtent l="0" t="0" r="6985" b="6985"/>
            <wp:docPr id="10" name="图片 10"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5"/>
                    <pic:cNvPicPr>
                      <a:picLocks noChangeAspect="1"/>
                    </pic:cNvPicPr>
                  </pic:nvPicPr>
                  <pic:blipFill>
                    <a:blip r:embed="rId11"/>
                    <a:stretch>
                      <a:fillRect/>
                    </a:stretch>
                  </pic:blipFill>
                  <pic:spPr>
                    <a:xfrm>
                      <a:off x="0" y="0"/>
                      <a:ext cx="4584065" cy="2755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仿宋" w:hAnsi="仿宋" w:eastAsia="仿宋"/>
          <w:color w:val="auto"/>
          <w:w w:val="90"/>
          <w:sz w:val="32"/>
          <w:szCs w:val="32"/>
          <w:highlight w:val="none"/>
        </w:rPr>
      </w:pPr>
      <w:r>
        <w:rPr>
          <w:rFonts w:hint="eastAsia" w:ascii="仿宋" w:hAnsi="仿宋" w:eastAsia="仿宋"/>
          <w:color w:val="auto"/>
          <w:sz w:val="32"/>
          <w:szCs w:val="32"/>
          <w:highlight w:val="none"/>
        </w:rPr>
        <w:t>图5：一般公共预算财政拨款支出决算变动情况</w:t>
      </w:r>
      <w:r>
        <w:rPr>
          <w:rFonts w:hint="eastAsia" w:ascii="仿宋" w:hAnsi="仿宋" w:eastAsia="仿宋"/>
          <w:color w:val="auto"/>
          <w:w w:val="90"/>
          <w:sz w:val="32"/>
          <w:szCs w:val="32"/>
          <w:highlight w:val="none"/>
          <w:lang w:eastAsia="zh-CN"/>
        </w:rPr>
        <w:t>（单位：万元）</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42" w:name="_Toc15377211"/>
      <w:r>
        <w:rPr>
          <w:rFonts w:hint="eastAsia" w:ascii="仿宋" w:hAnsi="仿宋" w:eastAsia="仿宋"/>
          <w:b/>
          <w:color w:val="auto"/>
          <w:sz w:val="32"/>
          <w:szCs w:val="32"/>
          <w:highlight w:val="none"/>
        </w:rPr>
        <w:t>（二）一般公共预算财政拨款支出决算结构情况</w:t>
      </w:r>
      <w:bookmarkEnd w:id="42"/>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1229.18</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bookmarkStart w:id="43" w:name="OLE_LINK1"/>
      <w:r>
        <w:rPr>
          <w:rFonts w:hint="eastAsia" w:ascii="仿宋" w:hAnsi="仿宋" w:eastAsia="仿宋"/>
          <w:b/>
          <w:color w:val="auto"/>
          <w:sz w:val="32"/>
          <w:szCs w:val="32"/>
          <w:highlight w:val="none"/>
          <w:lang w:eastAsia="zh-CN"/>
        </w:rPr>
        <w:t>国防</w:t>
      </w:r>
      <w:r>
        <w:rPr>
          <w:rFonts w:hint="eastAsia" w:ascii="仿宋" w:hAnsi="仿宋" w:eastAsia="仿宋"/>
          <w:color w:val="auto"/>
          <w:sz w:val="32"/>
          <w:szCs w:val="32"/>
          <w:highlight w:val="none"/>
          <w:lang w:val="en-US" w:eastAsia="zh-CN"/>
        </w:rPr>
        <w:t>116.65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color w:val="auto"/>
          <w:sz w:val="32"/>
          <w:szCs w:val="32"/>
          <w:highlight w:val="none"/>
          <w:lang w:val="en-US" w:eastAsia="zh-CN"/>
        </w:rPr>
        <w:t>39.37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w:t>
      </w:r>
      <w:r>
        <w:rPr>
          <w:rFonts w:hint="eastAsia" w:ascii="仿宋" w:hAnsi="仿宋" w:eastAsia="仿宋"/>
          <w:color w:val="auto"/>
          <w:sz w:val="32"/>
          <w:szCs w:val="32"/>
          <w:highlight w:val="none"/>
          <w:lang w:val="en-US" w:eastAsia="zh-CN"/>
        </w:rPr>
        <w:t>16.41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w:t>
      </w:r>
      <w:r>
        <w:rPr>
          <w:rFonts w:hint="eastAsia" w:ascii="仿宋" w:hAnsi="仿宋" w:eastAsia="仿宋"/>
          <w:color w:val="auto"/>
          <w:sz w:val="32"/>
          <w:szCs w:val="32"/>
          <w:highlight w:val="none"/>
          <w:lang w:val="en-US" w:eastAsia="zh-CN"/>
        </w:rPr>
        <w:t>37.82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灾</w:t>
      </w:r>
      <w:r>
        <w:rPr>
          <w:rFonts w:hint="eastAsia" w:ascii="仿宋" w:hAnsi="仿宋" w:eastAsia="仿宋"/>
          <w:b/>
          <w:bCs/>
          <w:color w:val="auto"/>
          <w:sz w:val="32"/>
          <w:szCs w:val="32"/>
          <w:highlight w:val="none"/>
          <w:lang w:eastAsia="zh-CN"/>
        </w:rPr>
        <w:t>害防治及应急管理</w:t>
      </w:r>
      <w:r>
        <w:rPr>
          <w:rFonts w:hint="eastAsia" w:ascii="仿宋" w:hAnsi="仿宋" w:eastAsia="仿宋"/>
          <w:color w:val="auto"/>
          <w:sz w:val="32"/>
          <w:szCs w:val="32"/>
          <w:highlight w:val="none"/>
          <w:lang w:val="en-US" w:eastAsia="zh-CN"/>
        </w:rPr>
        <w:t>1018.93万元，占82.9%</w:t>
      </w:r>
      <w:bookmarkEnd w:id="43"/>
      <w:r>
        <w:rPr>
          <w:rFonts w:hint="eastAsia" w:ascii="仿宋" w:hAnsi="仿宋" w:eastAsia="仿宋"/>
          <w:color w:val="auto"/>
          <w:sz w:val="32"/>
          <w:szCs w:val="32"/>
          <w:highlight w:val="none"/>
        </w:rPr>
        <w:t>。</w:t>
      </w:r>
    </w:p>
    <w:p>
      <w:pPr>
        <w:pStyle w:val="2"/>
        <w:jc w:val="center"/>
        <w:rPr>
          <w:rFonts w:hint="eastAsia" w:eastAsia="仿宋"/>
          <w:lang w:eastAsia="zh-CN"/>
        </w:rPr>
      </w:pPr>
      <w:r>
        <w:rPr>
          <w:rFonts w:hint="eastAsia" w:eastAsia="仿宋"/>
          <w:lang w:eastAsia="zh-CN"/>
        </w:rPr>
        <w:drawing>
          <wp:inline distT="0" distB="0" distL="114300" distR="114300">
            <wp:extent cx="4584065" cy="2755265"/>
            <wp:effectExtent l="0" t="0" r="6985" b="6985"/>
            <wp:docPr id="11" name="图片 11"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6"/>
                    <pic:cNvPicPr>
                      <a:picLocks noChangeAspect="1"/>
                    </pic:cNvPicPr>
                  </pic:nvPicPr>
                  <pic:blipFill>
                    <a:blip r:embed="rId12"/>
                    <a:stretch>
                      <a:fillRect/>
                    </a:stretch>
                  </pic:blipFill>
                  <pic:spPr>
                    <a:xfrm>
                      <a:off x="0" y="0"/>
                      <a:ext cx="4584065" cy="2755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3" w:firstLineChars="200"/>
        <w:outlineLvl w:val="9"/>
        <w:rPr>
          <w:rFonts w:ascii="仿宋" w:hAnsi="仿宋" w:eastAsia="仿宋"/>
          <w:color w:val="auto"/>
          <w:sz w:val="32"/>
          <w:szCs w:val="32"/>
          <w:highlight w:val="none"/>
        </w:rPr>
      </w:pPr>
      <w:bookmarkStart w:id="45" w:name="_Toc15378460"/>
      <w:bookmarkStart w:id="46" w:name="_Toc15377444"/>
      <w:bookmarkStart w:id="47"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1229.18万元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5"/>
      <w:bookmarkEnd w:id="46"/>
      <w:bookmarkEnd w:id="47"/>
    </w:p>
    <w:p>
      <w:pPr>
        <w:spacing w:line="600" w:lineRule="exact"/>
        <w:ind w:firstLine="643" w:firstLineChars="200"/>
        <w:outlineLvl w:val="9"/>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lang w:eastAsia="zh-CN"/>
        </w:rPr>
        <w:t>．国防</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国防动员</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人民防空</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116.65</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Fonts w:ascii="仿宋" w:hAnsi="仿宋" w:eastAsia="仿宋"/>
          <w:b/>
          <w:color w:val="auto"/>
          <w:sz w:val="32"/>
          <w:szCs w:val="32"/>
          <w:highlight w:val="none"/>
        </w:rPr>
      </w:pPr>
      <w:r>
        <w:rPr>
          <w:rStyle w:val="15"/>
          <w:rFonts w:ascii="仿宋" w:hAnsi="仿宋" w:eastAsia="仿宋"/>
          <w:bCs/>
          <w:color w:val="auto"/>
          <w:sz w:val="32"/>
          <w:szCs w:val="32"/>
          <w:highlight w:val="none"/>
        </w:rPr>
        <w:t>2</w:t>
      </w:r>
      <w:r>
        <w:rPr>
          <w:rStyle w:val="15"/>
          <w:rFonts w:hint="eastAsia" w:ascii="仿宋" w:hAnsi="仿宋" w:eastAsia="仿宋"/>
          <w:bCs/>
          <w:color w:val="auto"/>
          <w:sz w:val="32"/>
          <w:szCs w:val="32"/>
          <w:highlight w:val="none"/>
          <w:lang w:eastAsia="zh-CN"/>
        </w:rPr>
        <w:t>．社会保障和就业</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行政事业单位养老</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机关事业单位基本养老保险缴费</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37.11</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Fonts w:ascii="仿宋" w:hAnsi="仿宋" w:eastAsia="仿宋"/>
          <w:b/>
          <w:color w:val="auto"/>
          <w:sz w:val="32"/>
          <w:szCs w:val="32"/>
          <w:highlight w:val="none"/>
        </w:rPr>
      </w:pPr>
      <w:r>
        <w:rPr>
          <w:rStyle w:val="15"/>
          <w:rFonts w:ascii="仿宋" w:hAnsi="仿宋" w:eastAsia="仿宋"/>
          <w:bCs/>
          <w:color w:val="auto"/>
          <w:sz w:val="32"/>
          <w:szCs w:val="32"/>
          <w:highlight w:val="none"/>
        </w:rPr>
        <w:t>3</w:t>
      </w:r>
      <w:r>
        <w:rPr>
          <w:rStyle w:val="15"/>
          <w:rFonts w:hint="eastAsia" w:ascii="仿宋" w:hAnsi="仿宋" w:eastAsia="仿宋"/>
          <w:bCs/>
          <w:color w:val="auto"/>
          <w:sz w:val="32"/>
          <w:szCs w:val="32"/>
          <w:highlight w:val="none"/>
          <w:lang w:eastAsia="zh-CN"/>
        </w:rPr>
        <w:t>．社会保障和就业</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其他社会保障和就业</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其他社会保障和就业</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2.26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Fonts w:ascii="仿宋" w:hAnsi="仿宋" w:eastAsia="仿宋"/>
          <w:b/>
          <w:color w:val="auto"/>
          <w:sz w:val="32"/>
          <w:szCs w:val="32"/>
          <w:highlight w:val="none"/>
        </w:rPr>
      </w:pPr>
      <w:r>
        <w:rPr>
          <w:rStyle w:val="15"/>
          <w:rFonts w:ascii="仿宋" w:hAnsi="仿宋" w:eastAsia="仿宋"/>
          <w:bCs/>
          <w:color w:val="auto"/>
          <w:sz w:val="32"/>
          <w:szCs w:val="32"/>
          <w:highlight w:val="none"/>
        </w:rPr>
        <w:t>4</w:t>
      </w:r>
      <w:r>
        <w:rPr>
          <w:rStyle w:val="15"/>
          <w:rFonts w:hint="eastAsia" w:ascii="仿宋" w:hAnsi="仿宋" w:eastAsia="仿宋"/>
          <w:bCs/>
          <w:color w:val="auto"/>
          <w:sz w:val="32"/>
          <w:szCs w:val="32"/>
          <w:highlight w:val="none"/>
          <w:lang w:eastAsia="zh-CN"/>
        </w:rPr>
        <w:t>．卫生健康</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行政事业单位医疗</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事业单位医疗</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16.41</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Fonts w:ascii="仿宋" w:hAnsi="仿宋" w:eastAsia="仿宋"/>
          <w:b/>
          <w:color w:val="auto"/>
          <w:sz w:val="32"/>
          <w:szCs w:val="32"/>
          <w:highlight w:val="none"/>
        </w:rPr>
      </w:pPr>
      <w:r>
        <w:rPr>
          <w:rStyle w:val="15"/>
          <w:rFonts w:ascii="仿宋" w:hAnsi="仿宋" w:eastAsia="仿宋"/>
          <w:bCs/>
          <w:color w:val="auto"/>
          <w:sz w:val="32"/>
          <w:szCs w:val="32"/>
          <w:highlight w:val="none"/>
        </w:rPr>
        <w:t>5</w:t>
      </w:r>
      <w:r>
        <w:rPr>
          <w:rStyle w:val="15"/>
          <w:rFonts w:hint="eastAsia" w:ascii="仿宋" w:hAnsi="仿宋" w:eastAsia="仿宋"/>
          <w:bCs/>
          <w:color w:val="auto"/>
          <w:sz w:val="32"/>
          <w:szCs w:val="32"/>
          <w:highlight w:val="none"/>
          <w:lang w:eastAsia="zh-CN"/>
        </w:rPr>
        <w:t>．住房保障</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住房改革</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住房公积金</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37.82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Fonts w:ascii="仿宋" w:hAnsi="仿宋" w:eastAsia="仿宋"/>
          <w:b/>
          <w:color w:val="auto"/>
          <w:sz w:val="32"/>
          <w:szCs w:val="32"/>
          <w:highlight w:val="none"/>
        </w:rPr>
      </w:pPr>
      <w:r>
        <w:rPr>
          <w:rStyle w:val="15"/>
          <w:rFonts w:ascii="仿宋" w:hAnsi="仿宋" w:eastAsia="仿宋"/>
          <w:bCs/>
          <w:color w:val="auto"/>
          <w:sz w:val="32"/>
          <w:szCs w:val="32"/>
          <w:highlight w:val="none"/>
        </w:rPr>
        <w:t>6</w:t>
      </w:r>
      <w:r>
        <w:rPr>
          <w:rStyle w:val="15"/>
          <w:rFonts w:hint="eastAsia" w:ascii="仿宋" w:hAnsi="仿宋" w:eastAsia="仿宋"/>
          <w:bCs/>
          <w:color w:val="auto"/>
          <w:sz w:val="32"/>
          <w:szCs w:val="32"/>
          <w:highlight w:val="none"/>
          <w:lang w:eastAsia="zh-CN"/>
        </w:rPr>
        <w:t>．</w:t>
      </w:r>
      <w:r>
        <w:rPr>
          <w:rFonts w:hint="eastAsia" w:ascii="仿宋" w:hAnsi="仿宋" w:eastAsia="仿宋"/>
          <w:b/>
          <w:bCs/>
          <w:color w:val="auto"/>
          <w:sz w:val="32"/>
          <w:szCs w:val="32"/>
          <w:highlight w:val="none"/>
          <w:lang w:eastAsia="zh-CN"/>
        </w:rPr>
        <w:t>灾害防治及应急管理</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应急管理事务</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应急救援</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886.48</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Style w:val="15"/>
          <w:rFonts w:hint="eastAsia" w:ascii="仿宋" w:hAnsi="仿宋" w:eastAsia="仿宋"/>
          <w:b w:val="0"/>
          <w:bCs/>
          <w:color w:val="auto"/>
          <w:sz w:val="32"/>
          <w:szCs w:val="32"/>
          <w:highlight w:val="none"/>
        </w:rPr>
      </w:pPr>
      <w:r>
        <w:rPr>
          <w:rStyle w:val="15"/>
          <w:rFonts w:hint="eastAsia" w:ascii="仿宋" w:hAnsi="仿宋" w:eastAsia="仿宋" w:cstheme="minorBidi"/>
          <w:bCs/>
          <w:color w:val="auto"/>
          <w:sz w:val="32"/>
          <w:szCs w:val="32"/>
          <w:highlight w:val="none"/>
          <w:lang w:val="en-US" w:eastAsia="zh-CN"/>
        </w:rPr>
        <w:t>7</w:t>
      </w:r>
      <w:r>
        <w:rPr>
          <w:rStyle w:val="15"/>
          <w:rFonts w:hint="eastAsia" w:ascii="仿宋" w:hAnsi="仿宋" w:eastAsia="仿宋" w:cstheme="minorBidi"/>
          <w:bCs/>
          <w:color w:val="auto"/>
          <w:sz w:val="32"/>
          <w:szCs w:val="32"/>
          <w:highlight w:val="none"/>
          <w:lang w:eastAsia="zh-CN"/>
        </w:rPr>
        <w:t>．</w:t>
      </w:r>
      <w:r>
        <w:rPr>
          <w:rFonts w:hint="eastAsia" w:ascii="仿宋" w:hAnsi="仿宋" w:eastAsia="仿宋"/>
          <w:b/>
          <w:bCs/>
          <w:color w:val="auto"/>
          <w:sz w:val="32"/>
          <w:szCs w:val="32"/>
          <w:highlight w:val="none"/>
          <w:lang w:eastAsia="zh-CN"/>
        </w:rPr>
        <w:t>灾害防治及应急管理</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应急管理事务</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其他应急管理</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76.87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Style w:val="15"/>
          <w:rFonts w:hint="eastAsia" w:ascii="仿宋" w:hAnsi="仿宋" w:eastAsia="仿宋"/>
          <w:b w:val="0"/>
          <w:bCs/>
          <w:color w:val="auto"/>
          <w:sz w:val="32"/>
          <w:szCs w:val="32"/>
          <w:highlight w:val="none"/>
        </w:rPr>
      </w:pPr>
      <w:r>
        <w:rPr>
          <w:rStyle w:val="15"/>
          <w:rFonts w:hint="eastAsia" w:ascii="仿宋" w:hAnsi="仿宋" w:eastAsia="仿宋" w:cstheme="minorBidi"/>
          <w:bCs/>
          <w:color w:val="auto"/>
          <w:sz w:val="32"/>
          <w:szCs w:val="32"/>
          <w:highlight w:val="none"/>
          <w:lang w:val="en-US" w:eastAsia="zh-CN"/>
        </w:rPr>
        <w:t>8</w:t>
      </w:r>
      <w:r>
        <w:rPr>
          <w:rStyle w:val="15"/>
          <w:rFonts w:hint="eastAsia" w:ascii="仿宋" w:hAnsi="仿宋" w:eastAsia="仿宋" w:cstheme="minorBidi"/>
          <w:bCs/>
          <w:color w:val="auto"/>
          <w:sz w:val="32"/>
          <w:szCs w:val="32"/>
          <w:highlight w:val="none"/>
          <w:lang w:eastAsia="zh-CN"/>
        </w:rPr>
        <w:t>．</w:t>
      </w:r>
      <w:r>
        <w:rPr>
          <w:rFonts w:hint="eastAsia" w:ascii="仿宋" w:hAnsi="仿宋" w:eastAsia="仿宋"/>
          <w:b/>
          <w:bCs/>
          <w:color w:val="auto"/>
          <w:sz w:val="32"/>
          <w:szCs w:val="32"/>
          <w:highlight w:val="none"/>
          <w:lang w:eastAsia="zh-CN"/>
        </w:rPr>
        <w:t>灾害防治及应急管理</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自然灾害救灾及恢复重建</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自然灾害救灾补助</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outlineLvl w:val="9"/>
        <w:rPr>
          <w:rStyle w:val="15"/>
          <w:rFonts w:hint="eastAsia" w:ascii="仿宋" w:hAnsi="仿宋" w:eastAsia="仿宋"/>
          <w:b w:val="0"/>
          <w:bCs/>
          <w:color w:val="auto"/>
          <w:sz w:val="32"/>
          <w:szCs w:val="32"/>
          <w:highlight w:val="none"/>
        </w:rPr>
      </w:pPr>
      <w:r>
        <w:rPr>
          <w:rStyle w:val="15"/>
          <w:rFonts w:hint="eastAsia" w:ascii="仿宋" w:hAnsi="仿宋" w:eastAsia="仿宋" w:cstheme="minorBidi"/>
          <w:bCs/>
          <w:color w:val="auto"/>
          <w:sz w:val="32"/>
          <w:szCs w:val="32"/>
          <w:highlight w:val="none"/>
          <w:lang w:val="en-US" w:eastAsia="zh-CN"/>
        </w:rPr>
        <w:t>9</w:t>
      </w:r>
      <w:r>
        <w:rPr>
          <w:rStyle w:val="15"/>
          <w:rFonts w:hint="eastAsia" w:ascii="仿宋" w:hAnsi="仿宋" w:eastAsia="仿宋" w:cstheme="minorBidi"/>
          <w:bCs/>
          <w:color w:val="auto"/>
          <w:sz w:val="32"/>
          <w:szCs w:val="32"/>
          <w:highlight w:val="none"/>
          <w:lang w:eastAsia="zh-CN"/>
        </w:rPr>
        <w:t>．</w:t>
      </w:r>
      <w:r>
        <w:rPr>
          <w:rFonts w:hint="eastAsia" w:ascii="仿宋" w:hAnsi="仿宋" w:eastAsia="仿宋"/>
          <w:b/>
          <w:bCs/>
          <w:color w:val="auto"/>
          <w:sz w:val="32"/>
          <w:szCs w:val="32"/>
          <w:highlight w:val="none"/>
          <w:lang w:eastAsia="zh-CN"/>
        </w:rPr>
        <w:t>灾害防治及应急管理</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其他灾害防治及应急管理</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其他灾害防治及应急管理</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35.58</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0"/>
        <w:outlineLvl w:val="9"/>
        <w:rPr>
          <w:rFonts w:ascii="仿宋" w:hAnsi="仿宋" w:eastAsia="仿宋"/>
          <w:b/>
          <w:color w:val="auto"/>
          <w:sz w:val="32"/>
          <w:szCs w:val="32"/>
          <w:highlight w:val="none"/>
        </w:rPr>
      </w:pPr>
    </w:p>
    <w:p>
      <w:pPr>
        <w:tabs>
          <w:tab w:val="right" w:pos="8306"/>
        </w:tabs>
        <w:spacing w:line="600" w:lineRule="exact"/>
        <w:ind w:firstLine="640"/>
        <w:outlineLvl w:val="1"/>
        <w:rPr>
          <w:rStyle w:val="26"/>
          <w:color w:val="auto"/>
          <w:highlight w:val="none"/>
        </w:rPr>
      </w:pPr>
      <w:bookmarkStart w:id="48" w:name="_Toc15396608"/>
      <w:bookmarkStart w:id="49" w:name="_Toc15377214"/>
      <w:bookmarkStart w:id="50" w:name="_Toc855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般公共预算财政拨款基本支出决算情况说明</w:t>
      </w:r>
      <w:bookmarkEnd w:id="48"/>
      <w:bookmarkEnd w:id="49"/>
      <w:bookmarkEnd w:id="50"/>
      <w:r>
        <w:rPr>
          <w:rStyle w:val="26"/>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556.6</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519.44</w:t>
      </w:r>
      <w:r>
        <w:rPr>
          <w:rFonts w:hint="eastAsia" w:ascii="仿宋" w:hAnsi="仿宋" w:eastAsia="仿宋"/>
          <w:color w:val="auto"/>
          <w:sz w:val="32"/>
          <w:szCs w:val="32"/>
          <w:highlight w:val="none"/>
        </w:rPr>
        <w:t>万元，主要包括：基本工资、津贴补贴、奖金、、绩效工资、机关事业单位基本养老保险缴费、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eastAsia="zh-CN"/>
        </w:rPr>
        <w:t>住房公积金、</w:t>
      </w:r>
      <w:r>
        <w:rPr>
          <w:rFonts w:hint="eastAsia" w:ascii="仿宋" w:hAnsi="仿宋" w:eastAsia="仿宋"/>
          <w:color w:val="auto"/>
          <w:sz w:val="32"/>
          <w:szCs w:val="32"/>
          <w:highlight w:val="none"/>
        </w:rPr>
        <w:t>其他工资福利支出、</w:t>
      </w:r>
      <w:r>
        <w:rPr>
          <w:rFonts w:hint="eastAsia" w:ascii="仿宋" w:hAnsi="仿宋" w:eastAsia="仿宋"/>
          <w:color w:val="auto"/>
          <w:sz w:val="32"/>
          <w:szCs w:val="32"/>
          <w:highlight w:val="none"/>
          <w:lang w:eastAsia="zh-CN"/>
        </w:rPr>
        <w:t>奖励金、</w:t>
      </w:r>
      <w:r>
        <w:rPr>
          <w:rFonts w:hint="eastAsia" w:ascii="仿宋" w:hAnsi="仿宋" w:eastAsia="仿宋"/>
          <w:color w:val="auto"/>
          <w:sz w:val="32"/>
          <w:szCs w:val="32"/>
          <w:highlight w:val="none"/>
        </w:rPr>
        <w:t>其他对个人和家庭的补助支出等。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37.16</w:t>
      </w:r>
      <w:r>
        <w:rPr>
          <w:rFonts w:hint="eastAsia" w:ascii="仿宋" w:hAnsi="仿宋" w:eastAsia="仿宋"/>
          <w:color w:val="auto"/>
          <w:sz w:val="32"/>
          <w:szCs w:val="32"/>
          <w:highlight w:val="none"/>
        </w:rPr>
        <w:t>万元，主要包括：办公费、水费、电费、差旅费、公务接待费、工会经费、其他交通费</w:t>
      </w:r>
      <w:r>
        <w:rPr>
          <w:rFonts w:hint="eastAsia" w:ascii="仿宋" w:hAnsi="仿宋" w:eastAsia="仿宋"/>
          <w:color w:val="auto"/>
          <w:sz w:val="32"/>
          <w:szCs w:val="32"/>
          <w:highlight w:val="none"/>
          <w:lang w:eastAsia="zh-CN"/>
        </w:rPr>
        <w:t>用</w:t>
      </w:r>
      <w:r>
        <w:rPr>
          <w:rFonts w:hint="eastAsia" w:ascii="仿宋" w:hAnsi="仿宋" w:eastAsia="仿宋"/>
          <w:color w:val="auto"/>
          <w:sz w:val="32"/>
          <w:szCs w:val="32"/>
          <w:highlight w:val="none"/>
        </w:rPr>
        <w:t>、其他商品和服务支出等。</w:t>
      </w:r>
    </w:p>
    <w:p>
      <w:pPr>
        <w:spacing w:line="600" w:lineRule="exact"/>
        <w:ind w:firstLine="640"/>
        <w:rPr>
          <w:rFonts w:ascii="仿宋" w:hAnsi="仿宋" w:eastAsia="仿宋"/>
          <w:b/>
          <w:color w:val="auto"/>
          <w:sz w:val="32"/>
          <w:szCs w:val="32"/>
          <w:highlight w:val="none"/>
        </w:rPr>
      </w:pPr>
    </w:p>
    <w:p>
      <w:pPr>
        <w:spacing w:line="600" w:lineRule="exact"/>
        <w:ind w:firstLine="640"/>
        <w:outlineLvl w:val="1"/>
        <w:rPr>
          <w:rStyle w:val="26"/>
          <w:rFonts w:ascii="黑体" w:hAnsi="黑体" w:eastAsia="黑体"/>
          <w:b w:val="0"/>
          <w:color w:val="auto"/>
          <w:highlight w:val="none"/>
        </w:rPr>
      </w:pPr>
      <w:bookmarkStart w:id="51" w:name="_Toc15396609"/>
      <w:bookmarkStart w:id="52" w:name="_Toc15377215"/>
      <w:bookmarkStart w:id="53" w:name="_Toc13621"/>
      <w:r>
        <w:rPr>
          <w:rFonts w:hint="eastAsia" w:ascii="黑体" w:eastAsia="黑体"/>
          <w:color w:val="auto"/>
          <w:sz w:val="32"/>
          <w:szCs w:val="32"/>
          <w:highlight w:val="none"/>
        </w:rPr>
        <w:t>七、</w:t>
      </w:r>
      <w:r>
        <w:rPr>
          <w:rStyle w:val="26"/>
          <w:rFonts w:hint="eastAsia" w:ascii="黑体" w:hAnsi="黑体" w:eastAsia="黑体"/>
          <w:b w:val="0"/>
          <w:color w:val="auto"/>
          <w:highlight w:val="none"/>
        </w:rPr>
        <w:t>财政拨款</w:t>
      </w:r>
      <w:r>
        <w:rPr>
          <w:rStyle w:val="26"/>
          <w:rFonts w:hint="eastAsia" w:ascii="黑体" w:hAnsi="黑体" w:eastAsia="黑体"/>
          <w:color w:val="auto"/>
          <w:highlight w:val="none"/>
        </w:rPr>
        <w:t>“</w:t>
      </w:r>
      <w:r>
        <w:rPr>
          <w:rStyle w:val="26"/>
          <w:rFonts w:hint="eastAsia" w:ascii="黑体" w:hAnsi="黑体" w:eastAsia="黑体"/>
          <w:b w:val="0"/>
          <w:color w:val="auto"/>
          <w:highlight w:val="none"/>
        </w:rPr>
        <w:t>三公”经费支出决算情况说明</w:t>
      </w:r>
      <w:bookmarkEnd w:id="51"/>
      <w:bookmarkEnd w:id="52"/>
      <w:bookmarkEnd w:id="53"/>
    </w:p>
    <w:p>
      <w:pPr>
        <w:spacing w:line="600" w:lineRule="exact"/>
        <w:ind w:firstLine="640"/>
        <w:outlineLvl w:val="2"/>
        <w:rPr>
          <w:rFonts w:ascii="仿宋" w:hAnsi="仿宋" w:eastAsia="仿宋"/>
          <w:b/>
          <w:color w:val="auto"/>
          <w:sz w:val="32"/>
          <w:szCs w:val="32"/>
          <w:highlight w:val="none"/>
        </w:rPr>
      </w:pPr>
      <w:bookmarkStart w:id="54" w:name="_Toc15377216"/>
      <w:r>
        <w:rPr>
          <w:rFonts w:hint="eastAsia" w:ascii="仿宋" w:hAnsi="仿宋" w:eastAsia="仿宋"/>
          <w:b/>
          <w:color w:val="auto"/>
          <w:sz w:val="32"/>
          <w:szCs w:val="32"/>
          <w:highlight w:val="none"/>
        </w:rPr>
        <w:t>（一）“三公”经费财政拨款支出决算总体情况说明</w:t>
      </w:r>
      <w:bookmarkEnd w:id="54"/>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125.24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67.7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较上年增加</w:t>
      </w:r>
      <w:r>
        <w:rPr>
          <w:rFonts w:hint="eastAsia" w:ascii="仿宋" w:hAnsi="仿宋" w:eastAsia="仿宋"/>
          <w:color w:val="auto"/>
          <w:sz w:val="32"/>
          <w:szCs w:val="32"/>
          <w:highlight w:val="none"/>
          <w:lang w:val="en-US" w:eastAsia="zh-CN"/>
        </w:rPr>
        <w:t>116.43万元，增长1321.6%。</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认真落实贯彻中央“八项规定”精神，厉行节约、严格控制和压缩“三公”经费支出，减少用车成本，控制公务接待陪同人数</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5" w:name="_Toc15377217"/>
      <w:r>
        <w:rPr>
          <w:rFonts w:hint="eastAsia" w:ascii="仿宋" w:hAnsi="仿宋" w:eastAsia="仿宋"/>
          <w:b/>
          <w:color w:val="auto"/>
          <w:sz w:val="32"/>
          <w:szCs w:val="32"/>
          <w:highlight w:val="none"/>
        </w:rPr>
        <w:t>（二）“三公”经费财政拨款支出决算具体情况说明</w:t>
      </w:r>
      <w:bookmarkEnd w:id="5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124.68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99.6</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0.56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0.4</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jc w:val="center"/>
        <w:rPr>
          <w:rFonts w:hint="eastAsia" w:eastAsia="仿宋"/>
          <w:lang w:eastAsia="zh-CN"/>
        </w:rPr>
      </w:pPr>
      <w:r>
        <w:rPr>
          <w:rFonts w:hint="eastAsia" w:eastAsia="仿宋"/>
          <w:lang w:eastAsia="zh-CN"/>
        </w:rPr>
        <w:drawing>
          <wp:inline distT="0" distB="0" distL="114300" distR="114300">
            <wp:extent cx="4584065" cy="2755265"/>
            <wp:effectExtent l="0" t="0" r="6985" b="6985"/>
            <wp:docPr id="12" name="图片 12"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7"/>
                    <pic:cNvPicPr>
                      <a:picLocks noChangeAspect="1"/>
                    </pic:cNvPicPr>
                  </pic:nvPicPr>
                  <pic:blipFill>
                    <a:blip r:embed="rId13"/>
                    <a:stretch>
                      <a:fillRect/>
                    </a:stretch>
                  </pic:blipFill>
                  <pic:spPr>
                    <a:xfrm>
                      <a:off x="0" y="0"/>
                      <a:ext cx="4584065" cy="27552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124.68</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67.6</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116.24</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1377.3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2022年公务用车大型修理费较高及新增车辆购置税等支出</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42.91</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公务用车购置支出</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eastAsia="zh-CN"/>
        </w:rPr>
        <w:t>支付车辆购置税</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辆，其中：</w:t>
      </w:r>
      <w:r>
        <w:rPr>
          <w:rFonts w:hint="eastAsia" w:ascii="仿宋_GB2312" w:eastAsia="仿宋_GB2312"/>
          <w:color w:val="auto"/>
          <w:sz w:val="32"/>
          <w:szCs w:val="32"/>
          <w:highlight w:val="none"/>
          <w:lang w:eastAsia="zh-CN"/>
        </w:rPr>
        <w:t>特种专业技术用车</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81.77</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开展应急救援业务训练、事故救援、日常工作</w:t>
      </w:r>
      <w:r>
        <w:rPr>
          <w:rFonts w:hint="eastAsia" w:ascii="仿宋_GB2312" w:eastAsia="仿宋_GB2312"/>
          <w:color w:val="auto"/>
          <w:sz w:val="32"/>
          <w:szCs w:val="32"/>
          <w:highlight w:val="none"/>
        </w:rPr>
        <w:t>等所需的公务用车燃料费、维修费、过路过桥费、保险费等支出。</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0.56</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70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0.19</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51.4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新基地建设接待次数较多</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0.56</w:t>
      </w:r>
      <w:r>
        <w:rPr>
          <w:rFonts w:hint="eastAsia" w:ascii="仿宋_GB2312" w:eastAsia="仿宋_GB2312"/>
          <w:color w:val="auto"/>
          <w:sz w:val="32"/>
          <w:szCs w:val="32"/>
          <w:highlight w:val="none"/>
        </w:rPr>
        <w:t>万元，主要用于执行公务、开展业务活动开支的住宿费、用餐费等。国内公务接待</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78</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0.56</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迎接省内各市考察学习</w:t>
      </w:r>
      <w:r>
        <w:rPr>
          <w:rFonts w:hint="eastAsia" w:ascii="仿宋_GB2312" w:eastAsia="仿宋_GB2312"/>
          <w:color w:val="auto"/>
          <w:sz w:val="32"/>
          <w:szCs w:val="32"/>
          <w:highlight w:val="none"/>
          <w:lang w:val="en-US" w:eastAsia="zh-CN"/>
        </w:rPr>
        <w:t>6批次、50人次，支出0.35万元；迎接省领导各项检查4批次、28人次，支出0.21万元。</w:t>
      </w:r>
    </w:p>
    <w:p>
      <w:pPr>
        <w:spacing w:line="600" w:lineRule="exact"/>
        <w:ind w:firstLine="643"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outlineLvl w:val="9"/>
        <w:rPr>
          <w:rFonts w:hint="eastAsia" w:ascii="黑体" w:eastAsia="黑体"/>
          <w:color w:val="auto"/>
          <w:sz w:val="32"/>
          <w:szCs w:val="32"/>
          <w:highlight w:val="none"/>
        </w:rPr>
      </w:pPr>
      <w:bookmarkStart w:id="56" w:name="_Toc15377218"/>
      <w:bookmarkStart w:id="57" w:name="_Toc15396610"/>
    </w:p>
    <w:p>
      <w:pPr>
        <w:spacing w:line="600" w:lineRule="exact"/>
        <w:ind w:firstLine="640"/>
        <w:outlineLvl w:val="1"/>
        <w:rPr>
          <w:rStyle w:val="26"/>
          <w:rFonts w:ascii="黑体" w:hAnsi="黑体" w:eastAsia="黑体"/>
          <w:color w:val="auto"/>
          <w:highlight w:val="none"/>
        </w:rPr>
      </w:pPr>
      <w:bookmarkStart w:id="58" w:name="_Toc18773"/>
      <w:r>
        <w:rPr>
          <w:rFonts w:hint="eastAsia" w:ascii="黑体" w:eastAsia="黑体"/>
          <w:color w:val="auto"/>
          <w:sz w:val="32"/>
          <w:szCs w:val="32"/>
          <w:highlight w:val="none"/>
        </w:rPr>
        <w:t>八、</w:t>
      </w:r>
      <w:r>
        <w:rPr>
          <w:rStyle w:val="26"/>
          <w:rFonts w:hint="eastAsia" w:ascii="黑体" w:hAnsi="黑体" w:eastAsia="黑体"/>
          <w:b w:val="0"/>
          <w:color w:val="auto"/>
          <w:highlight w:val="none"/>
        </w:rPr>
        <w:t>政府性基金预算支出决算情况说明</w:t>
      </w:r>
      <w:bookmarkEnd w:id="56"/>
      <w:bookmarkEnd w:id="57"/>
      <w:bookmarkEnd w:id="5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numPr>
          <w:ilvl w:val="0"/>
          <w:numId w:val="2"/>
        </w:numPr>
        <w:spacing w:line="600" w:lineRule="exact"/>
        <w:ind w:firstLine="640"/>
        <w:outlineLvl w:val="1"/>
        <w:rPr>
          <w:rStyle w:val="26"/>
          <w:rFonts w:ascii="黑体" w:hAnsi="黑体" w:eastAsia="黑体"/>
          <w:b w:val="0"/>
          <w:color w:val="auto"/>
          <w:highlight w:val="none"/>
        </w:rPr>
      </w:pPr>
      <w:bookmarkStart w:id="59" w:name="_Toc15396611"/>
      <w:bookmarkStart w:id="60" w:name="_Toc15377219"/>
      <w:bookmarkStart w:id="61" w:name="_Toc28519"/>
      <w:r>
        <w:rPr>
          <w:rStyle w:val="26"/>
          <w:rFonts w:hint="eastAsia" w:ascii="黑体" w:hAnsi="黑体" w:eastAsia="黑体"/>
          <w:b w:val="0"/>
          <w:color w:val="auto"/>
          <w:highlight w:val="none"/>
        </w:rPr>
        <w:t>国有资本经营预算支出决算情况说明</w:t>
      </w:r>
      <w:bookmarkEnd w:id="59"/>
      <w:bookmarkEnd w:id="60"/>
      <w:bookmarkEnd w:id="6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center"/>
        <w:rPr>
          <w:rFonts w:ascii="方正小标宋简体" w:hAnsi="方正小标宋简体" w:eastAsia="方正小标宋简体" w:cs="方正小标宋简体"/>
          <w:color w:val="auto"/>
          <w:sz w:val="44"/>
          <w:szCs w:val="44"/>
          <w:highlight w:val="none"/>
        </w:rPr>
      </w:pPr>
    </w:p>
    <w:p>
      <w:pPr>
        <w:numPr>
          <w:ilvl w:val="0"/>
          <w:numId w:val="2"/>
        </w:numPr>
        <w:spacing w:line="600" w:lineRule="exact"/>
        <w:ind w:firstLine="640"/>
        <w:outlineLvl w:val="1"/>
        <w:rPr>
          <w:rStyle w:val="26"/>
          <w:rFonts w:hint="eastAsia" w:ascii="黑体" w:hAnsi="黑体" w:eastAsia="黑体"/>
          <w:b w:val="0"/>
          <w:color w:val="auto"/>
          <w:highlight w:val="none"/>
        </w:rPr>
      </w:pPr>
      <w:bookmarkStart w:id="62" w:name="_Toc15396612"/>
      <w:bookmarkStart w:id="63" w:name="_Toc15377221"/>
      <w:bookmarkStart w:id="64" w:name="_Toc8973"/>
      <w:r>
        <w:rPr>
          <w:rStyle w:val="26"/>
          <w:rFonts w:hint="eastAsia" w:ascii="黑体" w:hAnsi="黑体" w:eastAsia="黑体"/>
          <w:b w:val="0"/>
          <w:color w:val="auto"/>
          <w:highlight w:val="none"/>
        </w:rPr>
        <w:t>其他重要事项的情况说明</w:t>
      </w:r>
      <w:bookmarkEnd w:id="62"/>
      <w:bookmarkEnd w:id="63"/>
      <w:bookmarkEnd w:id="64"/>
    </w:p>
    <w:p>
      <w:pPr>
        <w:spacing w:line="600" w:lineRule="exact"/>
        <w:ind w:firstLine="643" w:firstLineChars="200"/>
        <w:outlineLvl w:val="2"/>
        <w:rPr>
          <w:rFonts w:ascii="仿宋" w:hAnsi="仿宋" w:eastAsia="仿宋"/>
          <w:color w:val="auto"/>
          <w:sz w:val="32"/>
          <w:szCs w:val="32"/>
          <w:highlight w:val="none"/>
        </w:rPr>
      </w:pPr>
      <w:bookmarkStart w:id="65" w:name="_Toc15377222"/>
      <w:r>
        <w:rPr>
          <w:rFonts w:hint="eastAsia" w:ascii="仿宋" w:hAnsi="仿宋" w:eastAsia="仿宋"/>
          <w:b/>
          <w:color w:val="auto"/>
          <w:sz w:val="32"/>
          <w:szCs w:val="32"/>
          <w:highlight w:val="none"/>
        </w:rPr>
        <w:t>（一）机关运行经费支出情况</w:t>
      </w:r>
      <w:bookmarkEnd w:id="65"/>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广元市生产安全应急救援支队未发生</w:t>
      </w:r>
      <w:r>
        <w:rPr>
          <w:rFonts w:hint="eastAsia" w:ascii="仿宋_GB2312" w:eastAsia="仿宋_GB2312"/>
          <w:color w:val="auto"/>
          <w:sz w:val="32"/>
          <w:szCs w:val="32"/>
          <w:highlight w:val="none"/>
        </w:rPr>
        <w:t>机关运行经费，</w:t>
      </w:r>
      <w:r>
        <w:rPr>
          <w:rFonts w:hint="eastAsia" w:ascii="仿宋_GB2312" w:eastAsia="仿宋_GB2312"/>
          <w:color w:val="auto"/>
          <w:sz w:val="32"/>
          <w:szCs w:val="32"/>
          <w:highlight w:val="none"/>
          <w:lang w:eastAsia="zh-CN"/>
        </w:rPr>
        <w:t>与</w:t>
      </w:r>
      <w:r>
        <w:rPr>
          <w:rFonts w:hint="eastAsia" w:ascii="仿宋_GB2312" w:eastAsia="仿宋_GB2312"/>
          <w:color w:val="auto"/>
          <w:sz w:val="32"/>
          <w:szCs w:val="32"/>
          <w:highlight w:val="none"/>
          <w:lang w:val="en-US" w:eastAsia="zh-CN"/>
        </w:rPr>
        <w:t>2021年决算数持平</w:t>
      </w:r>
      <w:r>
        <w:rPr>
          <w:rFonts w:hint="eastAsia" w:ascii="仿宋_GB2312" w:eastAsia="仿宋_GB2312"/>
          <w:color w:val="auto"/>
          <w:sz w:val="32"/>
          <w:szCs w:val="32"/>
          <w:highlight w:val="none"/>
        </w:rPr>
        <w:t>。</w:t>
      </w:r>
      <w:bookmarkStart w:id="66" w:name="_Toc15377223"/>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6"/>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广元市生产安全应急救援支队</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436.88</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258.14</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44.89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基地营房家具购置、战训食堂设备购置、应急救援装备购置等</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133.85</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30.6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133.85</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30.6</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7" w:name="_Toc15377224"/>
      <w:r>
        <w:rPr>
          <w:rFonts w:hint="eastAsia" w:ascii="仿宋" w:hAnsi="仿宋" w:eastAsia="仿宋"/>
          <w:b/>
          <w:color w:val="auto"/>
          <w:sz w:val="32"/>
          <w:szCs w:val="32"/>
          <w:highlight w:val="none"/>
        </w:rPr>
        <w:t>（三）国有资产占有使用情况</w:t>
      </w:r>
      <w:bookmarkEnd w:id="67"/>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广元市生产安全应急救援支队</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辆，其中：</w:t>
      </w:r>
      <w:r>
        <w:rPr>
          <w:rFonts w:hint="eastAsia" w:ascii="仿宋_GB2312" w:eastAsia="仿宋_GB2312"/>
          <w:color w:val="auto"/>
          <w:sz w:val="32"/>
          <w:szCs w:val="32"/>
          <w:highlight w:val="none"/>
          <w:lang w:eastAsia="zh-CN"/>
        </w:rPr>
        <w:t>特种专业技术</w:t>
      </w:r>
      <w:r>
        <w:rPr>
          <w:rFonts w:hint="eastAsia" w:ascii="仿宋_GB2312" w:eastAsia="仿宋_GB2312"/>
          <w:color w:val="auto"/>
          <w:sz w:val="32"/>
          <w:szCs w:val="32"/>
          <w:highlight w:val="none"/>
        </w:rPr>
        <w:t>用车</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“应急救援业务能力提升经费”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pacing w:line="600" w:lineRule="exact"/>
        <w:ind w:firstLine="660" w:firstLineChars="150"/>
        <w:jc w:val="center"/>
        <w:outlineLvl w:val="0"/>
        <w:rPr>
          <w:rStyle w:val="25"/>
          <w:rFonts w:ascii="黑体" w:hAnsi="黑体" w:eastAsia="黑体"/>
          <w:b w:val="0"/>
          <w:color w:val="auto"/>
          <w:highlight w:val="none"/>
        </w:rPr>
      </w:pPr>
      <w:bookmarkStart w:id="68" w:name="_Toc15377225"/>
      <w:bookmarkStart w:id="69" w:name="_Toc15396613"/>
      <w:r>
        <w:rPr>
          <w:rFonts w:hint="eastAsia" w:ascii="黑体" w:hAnsi="黑体" w:eastAsia="黑体"/>
          <w:color w:val="auto"/>
          <w:sz w:val="44"/>
          <w:szCs w:val="44"/>
          <w:highlight w:val="none"/>
          <w:lang w:val="en-US" w:eastAsia="zh-CN"/>
        </w:rPr>
        <w:t xml:space="preserve"> </w:t>
      </w:r>
      <w:bookmarkStart w:id="70" w:name="_Toc28408"/>
      <w:r>
        <w:rPr>
          <w:rFonts w:hint="eastAsia" w:ascii="黑体" w:hAnsi="黑体" w:eastAsia="黑体"/>
          <w:color w:val="auto"/>
          <w:sz w:val="44"/>
          <w:szCs w:val="44"/>
          <w:highlight w:val="none"/>
        </w:rPr>
        <w:t>名</w:t>
      </w:r>
      <w:r>
        <w:rPr>
          <w:rStyle w:val="25"/>
          <w:rFonts w:hint="eastAsia" w:ascii="黑体" w:hAnsi="黑体" w:eastAsia="黑体"/>
          <w:b w:val="0"/>
          <w:color w:val="auto"/>
          <w:highlight w:val="none"/>
        </w:rPr>
        <w:t>词解释</w:t>
      </w:r>
      <w:bookmarkEnd w:id="68"/>
      <w:bookmarkEnd w:id="69"/>
      <w:bookmarkEnd w:id="70"/>
    </w:p>
    <w:p>
      <w:pPr>
        <w:spacing w:line="600" w:lineRule="exact"/>
        <w:jc w:val="left"/>
        <w:rPr>
          <w:rFonts w:ascii="宋体"/>
          <w:b/>
          <w:color w:val="auto"/>
          <w:sz w:val="44"/>
          <w:szCs w:val="44"/>
          <w:highlight w:val="none"/>
        </w:rPr>
      </w:pPr>
    </w:p>
    <w:p>
      <w:pPr>
        <w:pStyle w:val="23"/>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财政拨款收入：指单位从同级财政部门取得的财政预算资金。</w:t>
      </w:r>
    </w:p>
    <w:p>
      <w:pPr>
        <w:pStyle w:val="23"/>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3"/>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国防（类）国防动员（款）人民防空（项）：指</w:t>
      </w:r>
      <w:r>
        <w:rPr>
          <w:rFonts w:hint="eastAsia" w:ascii="仿宋_GB2312" w:eastAsia="仿宋_GB2312"/>
          <w:color w:val="auto"/>
          <w:sz w:val="32"/>
          <w:szCs w:val="32"/>
          <w:highlight w:val="none"/>
          <w:lang w:eastAsia="zh-CN"/>
        </w:rPr>
        <w:t>用于人民防空工程建设、宣传等方面的支出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社会保障和就业（类）行政事业单位养老（款）机关事业单位基本养老保险缴费（项）：指</w:t>
      </w:r>
      <w:r>
        <w:rPr>
          <w:rFonts w:hint="eastAsia" w:ascii="仿宋_GB2312" w:eastAsia="仿宋_GB2312"/>
          <w:color w:val="auto"/>
          <w:sz w:val="32"/>
          <w:szCs w:val="32"/>
          <w:highlight w:val="none"/>
          <w:lang w:eastAsia="zh-CN"/>
        </w:rPr>
        <w:t>机关事业单位实施养老保险制度由单位缴纳的基本养老保险费支出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社会保障和就业（类）其他社会保障和就业（款）其他社会保障和就业（项）：指</w:t>
      </w:r>
      <w:r>
        <w:rPr>
          <w:rFonts w:hint="eastAsia" w:ascii="仿宋_GB2312" w:eastAsia="仿宋_GB2312"/>
          <w:color w:val="auto"/>
          <w:sz w:val="32"/>
          <w:szCs w:val="32"/>
          <w:highlight w:val="none"/>
          <w:lang w:eastAsia="zh-CN"/>
        </w:rPr>
        <w:t>由单位缴纳的其他社会保障缴费支出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卫生健康（类）行政事业单位医疗（款）事业单位医疗（项）：指</w:t>
      </w:r>
      <w:r>
        <w:rPr>
          <w:rFonts w:hint="eastAsia" w:ascii="仿宋_GB2312" w:eastAsia="仿宋_GB2312"/>
          <w:color w:val="auto"/>
          <w:sz w:val="32"/>
          <w:szCs w:val="32"/>
          <w:highlight w:val="none"/>
          <w:lang w:eastAsia="zh-CN"/>
        </w:rPr>
        <w:t>由单位缴纳的职工基本医疗保险缴费支出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住房保障（类）住房改革（款）住房公积金（项）：指</w:t>
      </w:r>
      <w:r>
        <w:rPr>
          <w:rFonts w:hint="eastAsia" w:ascii="仿宋_GB2312" w:eastAsia="仿宋_GB2312"/>
          <w:color w:val="auto"/>
          <w:sz w:val="32"/>
          <w:szCs w:val="32"/>
          <w:highlight w:val="none"/>
          <w:lang w:eastAsia="zh-CN"/>
        </w:rPr>
        <w:t>单位按人力资源和社会保障部、财政部规定的基本工资和津补贴以及规定比例为职工缴纳的住房公积金</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灾害防治及应急管理（类）应急管理事务（款）应急救援（项）：指</w:t>
      </w:r>
      <w:r>
        <w:rPr>
          <w:rFonts w:hint="eastAsia" w:ascii="仿宋_GB2312" w:eastAsia="仿宋_GB2312"/>
          <w:color w:val="auto"/>
          <w:sz w:val="32"/>
          <w:szCs w:val="32"/>
          <w:highlight w:val="none"/>
          <w:lang w:eastAsia="zh-CN"/>
        </w:rPr>
        <w:t>用于安全生产、自然灾害应急救援方面的支出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灾害防治及应急管理（类）应急管理事务（款）其他应急管理（项）：指</w:t>
      </w:r>
      <w:r>
        <w:rPr>
          <w:rFonts w:hint="eastAsia" w:ascii="仿宋_GB2312" w:eastAsia="仿宋_GB2312"/>
          <w:color w:val="auto"/>
          <w:sz w:val="32"/>
          <w:szCs w:val="32"/>
          <w:highlight w:val="none"/>
          <w:lang w:eastAsia="zh-CN"/>
        </w:rPr>
        <w:t>用于应急救援特种车辆税费的支出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．灾害防治及应急管理（类）自然灾害救灾及恢复重建（款）自然灾害救灾补助（项）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用于应对重大自然灾害应急救援和受灾群众救助的支出</w:t>
      </w:r>
      <w:r>
        <w:rPr>
          <w:rFonts w:hint="eastAsia" w:ascii="仿宋_GB2312" w:eastAsia="仿宋_GB2312"/>
          <w:color w:val="auto"/>
          <w:sz w:val="32"/>
          <w:szCs w:val="32"/>
          <w:highlight w:val="none"/>
        </w:rPr>
        <w:t>。</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灾害防治及应急管理（类）其他灾害防治及应急管理（款）其他灾害防治及应急管理（项）：指</w:t>
      </w:r>
      <w:r>
        <w:rPr>
          <w:rFonts w:hint="eastAsia" w:ascii="仿宋_GB2312" w:eastAsia="仿宋_GB2312"/>
          <w:color w:val="auto"/>
          <w:sz w:val="32"/>
          <w:szCs w:val="32"/>
          <w:highlight w:val="none"/>
          <w:lang w:eastAsia="zh-CN"/>
        </w:rPr>
        <w:t>用于提升应急救援能力方面的支出</w:t>
      </w:r>
      <w:r>
        <w:rPr>
          <w:rFonts w:hint="eastAsia" w:ascii="仿宋_GB2312" w:eastAsia="仿宋_GB2312"/>
          <w:color w:val="auto"/>
          <w:sz w:val="32"/>
          <w:szCs w:val="32"/>
          <w:highlight w:val="none"/>
        </w:rPr>
        <w:t>。</w:t>
      </w:r>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3"/>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5"/>
          <w:rFonts w:ascii="黑体" w:hAnsi="黑体" w:eastAsia="黑体"/>
          <w:b w:val="0"/>
          <w:color w:val="auto"/>
          <w:highlight w:val="none"/>
        </w:rPr>
      </w:pPr>
      <w:bookmarkStart w:id="71" w:name="_Toc15377226"/>
      <w:r>
        <w:rPr>
          <w:rFonts w:ascii="宋体"/>
          <w:b/>
          <w:color w:val="auto"/>
          <w:sz w:val="44"/>
          <w:szCs w:val="44"/>
          <w:highlight w:val="none"/>
        </w:rPr>
        <w:br w:type="page"/>
      </w:r>
      <w:bookmarkStart w:id="72" w:name="_Toc15396614"/>
      <w:bookmarkStart w:id="73" w:name="_Toc3406"/>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四部分 附件</w:t>
      </w:r>
      <w:bookmarkEnd w:id="72"/>
      <w:bookmarkEnd w:id="73"/>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74" w:name="_Toc18425"/>
      <w:bookmarkStart w:id="75" w:name="_Toc15396618"/>
      <w:r>
        <w:rPr>
          <w:rFonts w:hint="eastAsia" w:ascii="黑体" w:hAnsi="黑体" w:eastAsia="黑体" w:cs="黑体"/>
          <w:color w:val="auto"/>
          <w:kern w:val="0"/>
          <w:sz w:val="32"/>
          <w:szCs w:val="32"/>
          <w:highlight w:val="none"/>
          <w:lang w:val="en-US" w:eastAsia="zh-CN" w:bidi="ar-SA"/>
        </w:rPr>
        <w:t>附件1</w:t>
      </w:r>
      <w:bookmarkEnd w:id="74"/>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2022年“应急救援业务能力提升经费”</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按照《矿山救护规程》规定，支队救援指战员每年需到指定地点进行救护理论、技术技能培训，培训合格后，才能从事救援工作；其次要定期开展高温浓烟训练佩机吃氧，每年按照质量标准化考核验收，训练演练时使用的木材、氢氧化钙、高泡药剂等材料较多；第三每年开展多次演练演习耗费的物资耗材。</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“应急救援业务能力提升经费”</w:t>
      </w:r>
      <w:r>
        <w:rPr>
          <w:rFonts w:hint="eastAsia" w:hAnsi="仿宋_GB2312" w:cs="仿宋_GB2312"/>
          <w:color w:val="auto"/>
          <w:kern w:val="0"/>
          <w:sz w:val="32"/>
          <w:szCs w:val="32"/>
          <w:highlight w:val="none"/>
          <w:lang w:val="en-US" w:eastAsia="zh-CN" w:bidi="ar-SA"/>
        </w:rPr>
        <w:t>项目经费来源为财政拨款，该项目投资6.2万元，主要用于指战员培训，共产党员突击队训练及日常业务训练演练，有效提升应急救援业务能力。</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“应急救援业务能力提升经费”</w:t>
      </w:r>
      <w:r>
        <w:rPr>
          <w:rFonts w:hint="eastAsia" w:hAnsi="仿宋_GB2312" w:cs="仿宋_GB2312"/>
          <w:color w:val="auto"/>
          <w:kern w:val="0"/>
          <w:sz w:val="32"/>
          <w:szCs w:val="32"/>
          <w:highlight w:val="none"/>
          <w:lang w:val="en-US" w:eastAsia="zh-CN" w:bidi="ar-SA"/>
        </w:rPr>
        <w:t>专项资金6.2万元，市财政局批复6.2万元。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该项目资金计划6.2万元，截至2022年12月31日，实际计划情况6.2万元。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该项目资金到位6.2万元，截至2022年12月31日，实际到位情况6.2万元。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截至2022年12月31日，该项目资金实际支出6.2万元，支付依据合规合法，资金支付与预算相符。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经费实施专账核算，无截留、挤占、挪用专项资金现象。全部支出使用合法票据，无虚列项目成本，无进行大额现金支付现象，对超过1000元以上支出均通过公务卡或银行专账等结算方式，均按规定标准执行。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中培训费由培训科制定培训方案，经主要领导审批，办公室审核，分管财务领导签字，财务室支付；训练耗材由战训科、各大队填写申购单，分管领导签字，财务室按实际支付金额（不超过申购计划金额）支出；演练演习费用，由办公室审核，分管财务领导签字，财务室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该项目计划批复资金6.2万元，实际到位资金6.2万元，合计支出资金6.2万元，完成预算的100%，支出合理合规，设立依据充分。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w:t>
      </w:r>
      <w:r>
        <w:rPr>
          <w:rFonts w:hint="eastAsia" w:ascii="仿宋_GB2312" w:hAnsi="仿宋_GB2312" w:eastAsia="仿宋_GB2312" w:cs="仿宋_GB2312"/>
          <w:color w:val="auto"/>
          <w:kern w:val="0"/>
          <w:sz w:val="32"/>
          <w:szCs w:val="32"/>
          <w:highlight w:val="none"/>
          <w:lang w:val="en-US" w:eastAsia="zh-CN" w:bidi="ar-SA"/>
        </w:rPr>
        <w:t>应急救援业务能力提升经费”</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截至2022年12月31日，该项目资金支出为6.2万元，项目完成率达100%。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通过该项目的实施，有效提升我市应急救援能力，人民生命财产安全得以保障。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“应急救援业务能力提升经费”</w:t>
      </w:r>
      <w:r>
        <w:rPr>
          <w:rFonts w:hint="eastAsia" w:hAnsi="仿宋_GB2312" w:cs="仿宋_GB2312"/>
          <w:color w:val="auto"/>
          <w:kern w:val="0"/>
          <w:sz w:val="32"/>
          <w:szCs w:val="32"/>
          <w:highlight w:val="none"/>
          <w:lang w:val="en-US" w:eastAsia="zh-CN" w:bidi="ar-SA"/>
        </w:rPr>
        <w:t>专项经费年初预算6.2万元，实际资金到位6.2万元，实际资金支出6.2万元，项目完成率100%。该项目资金到位及时，支出合理合规，设立依据充分。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项目绩效目标评价有待进一步完善。</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2022年“应急救援业务能力提升经费”</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6.2</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6.2</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1.培训费。开展水上救援、人民防空救援、森林消防救援技战术集中培训；新进队指战员到指定地点进行救护理论及技术、技能培训；大队长以上指挥员、战训科等管理人员到应急管理部（原国家安监总局）指定培训地点参加复训；副大队长、正副小队长到省救援指挥中心指定培训地点参加复训。</w:t>
            </w:r>
          </w:p>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2.共产党员应急抢险突击队集中训练经费。聘请专家，购买急救木夹板、棉布等材料对共产党员突击队进行集中训练。</w:t>
            </w:r>
          </w:p>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3.训练演练经费：支队实行军事化管理，五个大队按照各自职能开展日常救援业务训练及演练。</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有效提升我市应急救援能力，人民生命财产安全得以保障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完成培训</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≥100人次</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108人次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参加竞赛</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≥2次</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开展演练</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≥8次</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9次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能力提升，指战员合格率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按要求时限开展演练竞赛</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定期送培</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培训训练耗材购置</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≤6.2万元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6.2万元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维持社会稳定，贡献值</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有效维持社会稳定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社会和人民群众满意度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76" w:name="_Toc17184"/>
      <w:r>
        <w:rPr>
          <w:rFonts w:hint="eastAsia" w:ascii="黑体" w:hAnsi="黑体" w:eastAsia="黑体" w:cs="黑体"/>
          <w:color w:val="auto"/>
          <w:kern w:val="0"/>
          <w:sz w:val="32"/>
          <w:szCs w:val="32"/>
          <w:highlight w:val="none"/>
          <w:lang w:val="en-US" w:eastAsia="zh-CN" w:bidi="ar-SA"/>
        </w:rPr>
        <w:t>附件2</w:t>
      </w:r>
      <w:bookmarkEnd w:id="76"/>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2022年“控编人员基本保障经费”</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根据2015年《中共广元市委编委第19次全体会议纪要》审定标准，支队现控制性编制人员44人（2020年9月批准增加5名政府购买限额），所需经费由市财政纳入年度预算。该项目资金主要用于控制性编制人员的基本工资、五险一金及工作经费等。</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控编人员基本保障经费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项目经费来源为财政拨款，该项目投资265.98万元，主要用于控制性编制人员的基本工资、五险一金及工作经费等。</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控编人员基本保障经费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专项资金265.98万元，市财政局批复265.98万元。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该项目资金计划265.98万元，截至2022年12月31日，实际计划情况265.98万元。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该项目资金到位265.98万元，截至2022年12月31日，实际到位情况265.98万元。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截至2022年12月31日，该项目资金实际支出265.98万元，支付依据合规合法，资金支付与预算相符。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经费实施专账核算，无截留、挤占、挪用专项资金现象。全部支出使用合法票据，无虚列项目成本，无进行大额现金支付现象，对超过1000元以上支出均通过公务卡或银行专账等结算方式，均按规定标准执行。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由办公室每月核算人员工资及五险一金，财务负责人，分管财务领导审签，财务室每月按时发放工资及缴纳五险一金。</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该项目计划批复资金265.98万元，实际到位资金265.98万元，合计支出资金265.98万元，完成预算的100%，支出合理合规，设立依据充分。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控编人员基本保障经费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截至2022年12月31日，该项目资金支出为265.98万元，项目完成率达100%。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通过该项目的实施，保证了队伍稳定和救援能力。</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控编人员基本保障经费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专项经费年初预算265.98万元，实际资金到位265.98万元，实际资金支出265.98万元，项目完成率100%。该项目资金到位及时，支出合理合规，设立依据充分。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控制性编制人员工资标准较低，扣除五险一金后每人每月实际发放工资不足3000元，资金较为紧张。</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控编人员基本保障经费</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265.98</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265.98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265.98</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265.98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保障控编人员基本工资和五险一金缴纳，打造“一队多用、一专多能”和拳头尖刀一流救援队伍。</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按时按标准发放控编人员基本工资和缴纳五险一金，保证队伍稳定性。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发放控编人员工资</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≤44</w:t>
            </w:r>
            <w:r>
              <w:rPr>
                <w:rFonts w:hint="eastAsia" w:ascii="宋体" w:hAnsi="宋体" w:eastAsia="宋体" w:cs="宋体"/>
                <w:i w:val="0"/>
                <w:iCs w:val="0"/>
                <w:color w:val="000000"/>
                <w:kern w:val="0"/>
                <w:sz w:val="21"/>
                <w:szCs w:val="21"/>
                <w:u w:val="none"/>
                <w:lang w:val="en-US" w:eastAsia="zh-CN" w:bidi="ar"/>
              </w:rPr>
              <w:t>人</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44人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缴纳控编人员五险一金</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≤44</w:t>
            </w:r>
            <w:r>
              <w:rPr>
                <w:rFonts w:hint="eastAsia" w:ascii="宋体" w:hAnsi="宋体" w:eastAsia="宋体" w:cs="宋体"/>
                <w:i w:val="0"/>
                <w:iCs w:val="0"/>
                <w:color w:val="000000"/>
                <w:kern w:val="0"/>
                <w:sz w:val="21"/>
                <w:szCs w:val="21"/>
                <w:u w:val="none"/>
                <w:lang w:val="en-US" w:eastAsia="zh-CN" w:bidi="ar"/>
              </w:rPr>
              <w:t>人</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44人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44人控编人员经费保障发放到位</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按时发放</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按标准发放</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265.98</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265.98</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队伍稳定，辞职率低</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＜3人</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救援指战员</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77" w:name="_Toc19363"/>
      <w:r>
        <w:rPr>
          <w:rFonts w:hint="eastAsia" w:ascii="黑体" w:hAnsi="黑体" w:eastAsia="黑体" w:cs="黑体"/>
          <w:color w:val="auto"/>
          <w:kern w:val="0"/>
          <w:sz w:val="32"/>
          <w:szCs w:val="32"/>
          <w:highlight w:val="none"/>
          <w:lang w:val="en-US" w:eastAsia="zh-CN" w:bidi="ar-SA"/>
        </w:rPr>
        <w:t>附件3</w:t>
      </w:r>
      <w:bookmarkEnd w:id="77"/>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2022年“特种车辆运行维护费”</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我市安全生产形势严峻，定期对全市煤矿、非煤矿山等行业进行安全预防性检查，开展瓦斯等级鉴定、自救器和呼吸器配装使用培训等技术服务工作，到各县（区）指导培训水上救援、森林消防火灾处置等业务工作。每年平均参加抢险救灾、处理各类事故达20余次。支队应急救援特种装备及车辆的车辆维修维护费、燃料费、保险费、过桥过路费等耗费极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特种车辆运行维护费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项目经费来源为财政拨款，该项目投资65.5万元，主要用于保障支队应急救援特种装备及车辆的车辆维修维护费、燃料费、保险费、过桥过路费等。</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特种车辆运行维护费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专项资金65.5万元，市财政局批复65.5万元。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该项目资金计划65.5万元，截至2022年12月31日，实际计划情况65.5万元。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该项目资金到位65.5万元，截至2022年12月31日，实际到位情况65.5万元。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截至2022年12月31日，该项目资金实际支出65.5万元，支付依据合规合法，资金支付与预算相符。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经费实施专账核算，无截留、挤占、挪用专项资金现象。全部支出使用合法票据，无虚列项目成本，无进行大额现金支付现象，对超过1000元以上支出均通过公务卡或银行专账等结算方式，均按规定标准执行。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车辆维修维护费由各业务科室驾驶员填写审批单，分管领导签字，办公室审核，经主要领导审理，按实际支付；车辆保险费每年定期缴纳，票据由办公室审核，分管财务领导审签，财务室支付；车辆燃油费等由办公室审核，分管财务领导审签。</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该项目计划批复资金65.5万元，实际到位资金65.5万元，合计支出资金65.5万元，完成预算的100%，支出合理合规，设立依据充分。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坚持项目账务达到账证相符、账账相符、账实相符，为提高工作质量和效率，明确规范管理、强化责任、稳中求进的指导思想，为了更好地使用“特种车辆运行维护费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截至2022年12月31日，该项目资金支出为65.5万元，项目完成率达100%。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通过该项目的实施，持续提升装备运行保障能力，为人民生命财产安全提供有力保障。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特种车辆运行维护费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专项经费年初预算65.5万元，实际资金到位65.5万元，实际资金支出65.5万元，项目完成率100%。该项目资金到位及时，支出合理合规，设立依据充分。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项目绩效目标评价有待进一步完善。</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特种车辆运行维护费</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65.5</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65.5</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保障应急救援特种装备及车辆的车辆维修维护费、燃料费、保险费、过桥过路费。提升装备运行保障能力。</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应急救援装备及特种车辆运行状态良好，应急救援任务的执行得到高效保障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特种车辆数量</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11辆</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时刻保持战备状态</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车辆保险缴纳是否及时</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成本控制</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65.5</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65.5</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救援能力保障</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0"/>
                <w:szCs w:val="20"/>
                <w:u w:val="none"/>
                <w:lang w:val="en-US" w:eastAsia="zh-CN" w:bidi="ar"/>
              </w:rPr>
              <w:t>救援装备（车辆）性能良好，运行正常</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社会、人民和服务对象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78" w:name="_Toc4579"/>
      <w:r>
        <w:rPr>
          <w:rFonts w:hint="eastAsia" w:ascii="黑体" w:hAnsi="黑体" w:eastAsia="黑体" w:cs="黑体"/>
          <w:color w:val="auto"/>
          <w:kern w:val="0"/>
          <w:sz w:val="32"/>
          <w:szCs w:val="32"/>
          <w:highlight w:val="none"/>
          <w:lang w:val="en-US" w:eastAsia="zh-CN" w:bidi="ar-SA"/>
        </w:rPr>
        <w:t>附件4</w:t>
      </w:r>
      <w:bookmarkEnd w:id="78"/>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2022年“战备值班费”</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按照《矿山救护规程》“救护队必须建立昼夜值班制度”要求，支队全年均有1名带班指挥员带领1个小队（10人）24小时值班，时刻保持枕戈待旦、快速出击的应急状态。根据《关于调整煤矿井下艰苦岗位津贴工作的通知》（劳社部发﹝2006﹞24号）、《关于进一步规范市级机关事业单位加班补助值班补助有关问题的通知》（广组通﹝2020﹞30号）等相关政策规定应发战备值班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战备值班费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项目经费来源为财政拨款，该项目投资65.34万元，主要用于应急救援战备值班费，确保值班在位率，时刻保持枕戈待旦、快速出击的应急状态。</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战备值班费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专项资金65.34万元，市财政局批复65.34万元。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该项目资金计划65.34万元，截至2022年12月31日，实际计划情况65.34万元。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该项目资金到位65.34万元，截至2022年12月31日，实际到位情况65.34万元。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截至2022年12月31日，该项目资金实际支出65.34万元，支付依据合规合法，资金支付与预算相符。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应急救援战备值班由战训科、办公室严格考勤，分管领导签字，办公室审核，经主要领导审批，按照实际支付。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该项目计划批复资金65.34万元，实际到位资金65.34万元，合计支出资金65.34万元，完成预算的100%，支出合理合规，设立依据充分。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坚持项目账务达到账证相符、账账相符、账实相符，为提高工作质量和效率，明确规范管理、强化责任、稳中求进的指导思想，为了更好地使用“战备值班费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截至2022年12月31日，该项目资金支出为65.34万元，项目完成率达100%。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通过该项目的实施，持续提升我市应急救援能力，有效保障人民生命财产安全。</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战备值班费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专项经费年初预算65.34万元，实际资金到位65.34万元，实际资金支出65.34万元，项目完成率100%。该项目资金到位及时，支出合理合规，设立依据充分。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当前目标设定上不能实现多元化目标，项目绩效目标评价有待进一步完善。</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战备值班费</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65.34</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65.34</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65.34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按照《矿山救护规程》救护队必须建立昼夜值班制度，支队全年均有1名带班指挥员带领1个小队12人，24小时值班，时刻保持枕戈待旦、快速出击的应急状态。</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严格考勤，在位率100%，按标准发放率100%。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每天24小时值班人数</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11人</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值班人员在位率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严格考勤，值班费发放率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按照财政规定标准发放</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65.34</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65.34</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强化值班值守，快速反应，出动率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0"/>
                <w:szCs w:val="20"/>
                <w:u w:val="none"/>
                <w:lang w:val="en-US" w:eastAsia="zh-CN" w:bidi="ar"/>
              </w:rPr>
              <w:t>人员在位率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社会、人民和服务对象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79" w:name="_Toc30392"/>
      <w:r>
        <w:rPr>
          <w:rFonts w:hint="eastAsia" w:ascii="黑体" w:hAnsi="黑体" w:eastAsia="黑体" w:cs="黑体"/>
          <w:color w:val="auto"/>
          <w:kern w:val="0"/>
          <w:sz w:val="32"/>
          <w:szCs w:val="32"/>
          <w:highlight w:val="none"/>
          <w:lang w:val="en-US" w:eastAsia="zh-CN" w:bidi="ar-SA"/>
        </w:rPr>
        <w:t>附件5</w:t>
      </w:r>
      <w:bookmarkEnd w:id="79"/>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2022年“应急救援信息指挥平台建设费”</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2020年支队被纳入省级应急救援三年能力提升行动计划，将建设省区域应急救援广元基地和应急救援骨干队伍，启动了应急救援调度指挥平台、应急救援作战室，依托省应急救援信息中心网络数据平台，达到与省应急救援信息中心、市应急管理局、市交通局、市人防办、市林业局等业务部门联得通、看得见、喊得应，作战室与救援现场、救援单兵互联互通，达到远程指挥、远程会商、远程会诊，实现应急救援快速反应、资源整合、协调指挥和信息共享。</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应急救援信息指挥平台建设费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项目经费来源为财政拨款，该项目投资15万元，主要用于支队建立的2条网络专线、1条视频专线，应急救援网络平台、信息指挥系统、4G图传设备、无人机等维护费。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应急救援信息指挥平台建设费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专项资金15万元，市财政局批复15万元。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该项目资金计划15万元，截至2022年12月31日，实际计划情况15万元。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该项目资金到位15万元，截至2022年12月31日，实际到位情况15万元。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截至2022年12月31日，该项目资金实际支出15万元，支付依据合规合法，资金支付与预算相符。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签订应急救援信息平台建设保障合同，由办公室负责。</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该项目计划批复资金15万元，实际到位资金15万元，合计支出资金15万元，完成预算的100%，支出合理合规，设立依据充分。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坚持项目账务达到账证相符、账账相符、账实相符，为提高工作质量和效率，明确规范管理、强化责任、稳中求进的指导思想，为了更好地使用“应急救援信息指挥平台建设费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截至2022年12月31日，该项目资金支出为15万元，项目完成率达100%。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通过该项目的实施，持续提升我市应急救援能力，有效保障人民生命财产安全。</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应急救援信息指挥平台建设费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专项经费年初预算15万元，实际资金到位15万元，实际资金支出15万元，项目完成率100%。该项目资金到位及时，支出合理合规，设立依据充分。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项目资金较为紧张，用于应急救援信息平台建设的设备未充分利用。</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应急救援信息指挥平台建设费</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15</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15</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加强应急救援指挥能力，达到与省救援信息中心、市应急管理局、市交通局、市人防办、市林业局等业务部门联得通、看得见、喊得应，作战室与救援现场、救援单兵互联互通，达到远程指挥、远程会商、远程会诊，实现应急救援快速反应、资源整合、协调指挥和信息共享。应急救援信息指挥系统、4G图传设备、无人机等运行维护费。</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实现与省、市各级部门的互联互通，信息共享，应急救援快速反应、资源整合能力得到充分发挥。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网络专线、视频专线</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3条</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信息畅通率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color w:val="auto"/>
                <w:kern w:val="0"/>
                <w:sz w:val="18"/>
                <w:szCs w:val="18"/>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遇突发事件，值班小队1分钟集结率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18"/>
                <w:szCs w:val="18"/>
                <w:highlight w:val="none"/>
                <w:vertAlign w:val="baseline"/>
                <w:lang w:val="en-US" w:eastAsia="zh-CN" w:bidi="ar-SA"/>
              </w:rPr>
              <w:t>遇突发事件，其余人员30分钟回基地集结率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经费金额</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15</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15</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有效维持社会稳定</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人民群众和服务对象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spacing w:line="600" w:lineRule="exact"/>
        <w:ind w:firstLine="640" w:firstLineChars="200"/>
        <w:jc w:val="left"/>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80" w:name="_Toc23721"/>
      <w:r>
        <w:rPr>
          <w:rFonts w:hint="eastAsia" w:ascii="黑体" w:hAnsi="黑体" w:eastAsia="黑体" w:cs="黑体"/>
          <w:color w:val="auto"/>
          <w:kern w:val="0"/>
          <w:sz w:val="32"/>
          <w:szCs w:val="32"/>
          <w:highlight w:val="none"/>
          <w:lang w:val="en-US" w:eastAsia="zh-CN" w:bidi="ar-SA"/>
        </w:rPr>
        <w:t>附件6</w:t>
      </w:r>
      <w:bookmarkEnd w:id="8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2022年“应急救援能力提升”</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根据《四川省应急救援能力提升行动计划（2019-2021年）》布局，统筹整合多方资源，高起点规划、高标准建设省区域应急救援广元基地。基地建成后，将辐射绵阳、巴中、阿坝等市州，重点承担地震地质灾害、森林火灾、安全生产（矿山、危险化学品）事故救援和水上安全救助等任务。</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“应急救援能力提升”</w:t>
      </w:r>
      <w:r>
        <w:rPr>
          <w:rFonts w:hint="eastAsia" w:hAnsi="仿宋_GB2312" w:cs="仿宋_GB2312"/>
          <w:color w:val="auto"/>
          <w:kern w:val="0"/>
          <w:sz w:val="32"/>
          <w:szCs w:val="32"/>
          <w:highlight w:val="none"/>
          <w:lang w:val="en-US" w:eastAsia="zh-CN" w:bidi="ar-SA"/>
        </w:rPr>
        <w:t>项目经费来源为财政拨款，该项目投资35.58万元，主要用于四川省区域应急救援广元基地战训食堂设备及营房家具购置等。</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“应急救援能力提升”</w:t>
      </w:r>
      <w:r>
        <w:rPr>
          <w:rFonts w:hint="eastAsia" w:hAnsi="仿宋_GB2312" w:cs="仿宋_GB2312"/>
          <w:color w:val="auto"/>
          <w:kern w:val="0"/>
          <w:sz w:val="32"/>
          <w:szCs w:val="32"/>
          <w:highlight w:val="none"/>
          <w:lang w:val="en-US" w:eastAsia="zh-CN" w:bidi="ar-SA"/>
        </w:rPr>
        <w:t>专项资金35.58万元，市财政局批复35.58万元。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该项目资金计划35.58万元，截至2022年12月31日，实际计划情况35.58万元。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该项目资金到位35.58万元，截至2022年12月31日，实际到位情况35.58万元。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截至2022年12月31日，该项目资金实际支出35.58万元，支付依据合规合法，资金支付与预算相符。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由办公室负责该项目的具体实施。严格执行《招投标法》，明确招标程序，确保公开、公平、公正，同时主动接受相关管理部门监督。由领导审批，按程序、批次支付采购款。</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该项目计划批复资金35.58万元，实际到位资金35.58万元，合计支出资金35.58万元，完成预算的100%，支出合理合规，设立依据充分。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w:t>
      </w:r>
      <w:r>
        <w:rPr>
          <w:rFonts w:hint="eastAsia" w:ascii="仿宋_GB2312" w:hAnsi="仿宋_GB2312" w:eastAsia="仿宋_GB2312" w:cs="仿宋_GB2312"/>
          <w:color w:val="auto"/>
          <w:kern w:val="0"/>
          <w:sz w:val="32"/>
          <w:szCs w:val="32"/>
          <w:highlight w:val="none"/>
          <w:lang w:val="en-US" w:eastAsia="zh-CN" w:bidi="ar-SA"/>
        </w:rPr>
        <w:t>应急救援能力提升”</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截至2022年12月31日，该项目资金支出为35.58万元，项目完成率达100%。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通过该项目的实施，有效提升我市应急救援能力，人民生命财产安全得以保障。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“应急救援能力提升”</w:t>
      </w:r>
      <w:r>
        <w:rPr>
          <w:rFonts w:hint="eastAsia" w:hAnsi="仿宋_GB2312" w:cs="仿宋_GB2312"/>
          <w:color w:val="auto"/>
          <w:kern w:val="0"/>
          <w:sz w:val="32"/>
          <w:szCs w:val="32"/>
          <w:highlight w:val="none"/>
          <w:lang w:val="en-US" w:eastAsia="zh-CN" w:bidi="ar-SA"/>
        </w:rPr>
        <w:t>专项经费年初预算35.58万元，实际资金到位35.58万元，实际资金支出35.58万元，项目完成率100%。该项目资金到位及时，支出合理合规，设立依据充分。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该项目开工时间较晚，尾款需在2023年支付。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2022年“应急救援能力提升”</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35.58</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35.58</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完成省区域应急救援广元基地战训食堂设备和营房家具采购，保障基地正常运行。</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战训食堂设备和营房家具已验收入库。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食堂设备、营房家具采购等批次</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采购项目验收合格率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及时支付采购款</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节约成本、充分利旧</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35.58</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35.58</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建设一流应急救援队伍，标准化建设达标率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救援覆盖面广</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社会和人民群众满意度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outlineLvl w:val="9"/>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81" w:name="_Toc31732"/>
      <w:r>
        <w:rPr>
          <w:rFonts w:hint="eastAsia" w:ascii="黑体" w:hAnsi="黑体" w:eastAsia="黑体" w:cs="黑体"/>
          <w:color w:val="auto"/>
          <w:kern w:val="0"/>
          <w:sz w:val="32"/>
          <w:szCs w:val="32"/>
          <w:highlight w:val="none"/>
          <w:lang w:val="en-US" w:eastAsia="zh-CN" w:bidi="ar-SA"/>
        </w:rPr>
        <w:t>附件7</w:t>
      </w:r>
      <w:bookmarkEnd w:id="81"/>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2022年“应急救援特种车辆税费”</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我市安全生产形势严峻，定期对全市煤矿、非煤矿山等行业进行安全预防性检查，开展瓦斯等级鉴定、自救器和呼吸器配装使用培训等技术服务工作，到各县（区）指导培训水上救援、森林消防火灾处置等业务工作。每年平均参加抢险救灾、处理各类事故达20余次。支队应急救援特种装备及车辆的购置税、维修维护费、燃料费、保险费、过桥过路费等耗费极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应急救援特种车辆税费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项目经费来源为财政拨款，该项目投资75.9万元，主要用于保障支队应急救援特种装备及车辆的购置税、维修维护费、燃料费、保险费、过桥过路费等。</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应急救援特种车辆税费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专项资金75.9万元，市财政局批复75.9万元。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该项目资金计划75.9万元，截至2022年12月31日，实际计划情况75.9万元。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该项目资金到位75.9万元，截至2022年12月31日，实际到位情况75.9万元。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截至2022年12月31日，该项目资金实际支出75.9万元，支付依据合规合法，资金支付与预算相符。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经费实施专账核算，无截留、挤占、挪用专项资金现象。全部支出使用合法票据，无虚列项目成本，无进行大额现金支付现象，对超过1000元以上支出均通过公务卡或银行专账等结算方式，均按规定标准执行。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车辆购置税由办公室审核，分管财务领导审签，财务室支付；车辆维修维护费由各业务科室驾驶员填写审批单，分管领导签字，办公室审核，经主要领导审理，按实际支付；车辆保险费每年定期缴纳，票据由办公室审核，分管财务领导审签，财务室支付；车辆燃油费等由办公室审核，分管财务领导审签。</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该项目计划批复资金75.9万元，实际到位资金75.9万元，合计支出资金75.9万元，完成预算的100%，支出合理合规，设立依据充分。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坚持项目账务达到账证相符、账账相符、账实相符，为提高工作质量和效率，明确规范管理、强化责任、稳中求进的指导思想，为了更好地使用“应急救援特种车辆税费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截至2022年12月31日，该项目资金支出为75.9万元，项目完成率达100%。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通过该项目的实施，持续提升装备运行保障能力，为人民生命财产安全提供有力保障。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应急救援特种车辆税费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专项经费年初预算75.9万元，实际资金到位75.9万元，实际资金支出75.9万元，项目完成率100%。该项目资金到位及时，支出合理合规，设立依据充分。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项目绩效目标评价有待进一步完善。</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应急救援特种车辆税费</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75.9</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75.9</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保障应急救援特种装备及车辆的购置税、维修维护费、燃料费、保险费、过桥过路费。提升装备运行保障能力。</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应急救援装备及特种车辆运行状态良好，应急救援任务的执行得到高效保障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需缴纳车辆购置税车辆</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8辆</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8辆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车辆出动率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按时缴纳购置税</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成本控制</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75.9</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75.9</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应急救援任务完成率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0"/>
                <w:szCs w:val="20"/>
                <w:u w:val="none"/>
                <w:lang w:val="en-US" w:eastAsia="zh-CN" w:bidi="ar"/>
              </w:rPr>
              <w:t>救援装备（车辆）性能良好，运行正常</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社会、人民和服务对象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82" w:name="_Toc16236"/>
      <w:r>
        <w:rPr>
          <w:rFonts w:hint="eastAsia" w:ascii="黑体" w:hAnsi="黑体" w:eastAsia="黑体" w:cs="黑体"/>
          <w:color w:val="auto"/>
          <w:kern w:val="0"/>
          <w:sz w:val="32"/>
          <w:szCs w:val="32"/>
          <w:highlight w:val="none"/>
          <w:lang w:val="en-US" w:eastAsia="zh-CN" w:bidi="ar-SA"/>
        </w:rPr>
        <w:t>附件8</w:t>
      </w:r>
      <w:bookmarkEnd w:id="82"/>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2022年“省人防建设补助资金”</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四川省区域应急救援广元基地即将建成并投入使用，为更好地提升应急救援能力，需采购一批应急救援装备设备。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省人防建设补助资金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项目经费来源为财政拨款，该项目投资38.99万元，主要用于采购一批应急救援装备设备，提升应急救援能力。</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省人防建设补助资金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专项资金38.99万元，市财政局批复38.99万元。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该项目资金计划38.99万元，截至2022年12月31日，实际计划情况38.99万元。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该项目资金到位38.99万元，截至2022年12月31日，实际到位情况38.99万元。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截至2022年12月31日，该项目资金实际支出38.99万元，支付依据合规合法，资金支付与预算相符。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由办公室负责该项目的具体实施。严格执行《招投标法》，明确招标程序，确保公开、公平、公正，同时主动接受相关管理部门监督。由领导审批，按程序、批次支付采购款。</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该项目计划批复资金38.99万元，实际到位资金38.99万元，合计支出资金38.99万元，完成预算的100%，支出合理合规，设立依据充分。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坚持项目账务达到账证相符、账账相符、账实相符，为提高工作质量和效率，明确规范管理、强化责任、稳中求进的指导思想，为了更好地使用“省人防建设补助资金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截至2022年12月31日，该项目资金支出为38.99万元，项目完成率达100%。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通过该项目的实施，持续提升应急救援能力，为人民生命财产安全提供有力保障。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省人防建设补助资金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专项经费年初预算38.99万元，实际资金到位38.99万元，实际资金支出38.99万元，项目完成率100%。该项目资金到位及时，支出合理合规，设立依据充分。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该项目开工时间较晚，尾款需在2023年支付。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省人防建设补助资金</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38.99</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38.99</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采购一批人民防空应急救援装备设备，提升应急救援能力。</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应急救援装备设备已验收入库。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采购人民防空应急救援训练装备设备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1批</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装备设备验收合格率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完成实现</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≤12月</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采购金额</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38.99</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38.99</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应急救援能力提升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社会、人民和服务对象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83" w:name="_Toc4845"/>
      <w:r>
        <w:rPr>
          <w:rFonts w:hint="eastAsia" w:ascii="黑体" w:hAnsi="黑体" w:eastAsia="黑体" w:cs="黑体"/>
          <w:color w:val="auto"/>
          <w:kern w:val="0"/>
          <w:sz w:val="32"/>
          <w:szCs w:val="32"/>
          <w:highlight w:val="none"/>
          <w:lang w:val="en-US" w:eastAsia="zh-CN" w:bidi="ar-SA"/>
        </w:rPr>
        <w:t>附件9</w:t>
      </w:r>
      <w:bookmarkEnd w:id="83"/>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2022年“自然灾害救灾资金”</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按照《自然灾害救助条例》规定，县级以上人民政府应当将自然灾害救助工作纳入国民经济和社会发展规划，建立健全与自然灾害救助需求相适应的资金、物资保障机制，将人民政府安排的自然灾害救助资金和自然灾害救助工作经费纳入财政预算。</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自然灾害救灾资金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项目经费来源为财政拨款，该项目投资20万元，主要用于抢险救灾应急物资的采购、储备，满足防御自然灾害日常储备的标准要求。</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自然灾害救灾资金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专项资金20万元，市财政局批复20万元。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该项目资金计划20万元，截至2022年12月31日，实际计划情况20万元。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该项目资金到位20万元，截至2022年12月31日，实际到位情况20万元。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截至2022年12月31日，该项目资金实际支出20万元，支付依据合规合法，资金支付与预算相符。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经费实施专账核算，无截留、挤占、挪用专项资金现象。全部支出使用合法票据，无虚列项目成本，无进行大额现金支付现象，对超过1000元以上支出均通过公务卡或银行专账等结算方式，均按规定标准执行。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由装备科按需填写物资采购清单，办公室审核，分管财务领导审签，财务室支付。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该项目计划批复资金20万元，实际到位资金20万元，合计支出资金20万元，完成预算的100%，支出合理合规，设立依据充分。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坚持项目账务达到账证相符、账账相符、账实相符，为提高工作质量和效率，明确规范管理、强化责任、稳中求进的指导思想，为了更好地使用“自然灾害救灾资金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截至2022年12月31日，该项目资金支出为20万元，项目完成率达100%。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通过该项目的实施，持续提升备灾能力，为人民生命财产安全提供有力保障。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自然灾害救灾资金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专项经费年初预算20万元，实际资金到位20万元，实际资金支出20万元，项目完成率100%。该项目资金到位及时，支出合理合规，设立依据充分。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自然灾害防灾救灾工作覆盖面广，如未遇到较大的自然灾害时，相应的绩效评价就不能满足要求。</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自然灾害救灾资金</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20</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20</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制定和完善救灾物资的采购工作。</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集中采购一批救灾物资，有效提升备灾能力。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购置抢险救灾耗材</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1批</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耗材采购合格率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5月前完成采购</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成本控制</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20</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20</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应急救援抢险成功率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18"/>
                <w:szCs w:val="18"/>
                <w:u w:val="none"/>
                <w:lang w:val="en-US" w:eastAsia="zh-CN" w:bidi="ar"/>
              </w:rPr>
              <w:t>保障受灾群众基本生活，确保社会稳定。</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社会、人民和服务对象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84" w:name="_Toc30943"/>
      <w:r>
        <w:rPr>
          <w:rFonts w:hint="eastAsia" w:ascii="黑体" w:hAnsi="黑体" w:eastAsia="黑体" w:cs="黑体"/>
          <w:color w:val="auto"/>
          <w:kern w:val="0"/>
          <w:sz w:val="32"/>
          <w:szCs w:val="32"/>
          <w:highlight w:val="none"/>
          <w:lang w:val="en-US" w:eastAsia="zh-CN" w:bidi="ar-SA"/>
        </w:rPr>
        <w:t>附件10</w:t>
      </w:r>
      <w:bookmarkEnd w:id="84"/>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2022年“四川省人民防空建设补助资金”</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四川省区域应急救援广元基地即将建成并投入使用，为更好地提升应急救援能力，需采购一批应急救援装备设备。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四川省人民防空建设补助资金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项目经费来源为财政拨款，该项目投资77.66万元，主要用于采购一批应急救援装备设备，提升应急救援能力。</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四川省人民防空建设补助资金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专项资金77.66万元，市财政局批复77.66万元。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该项目资金计划77.66万元，截至2022年12月31日，实际计划情况77.66万元。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该项目资金到位77.66万元，截至2022年12月31日，实际到位情况77.66万元。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截至2022年12月31日，该项目资金实际支出77.66万元，支付依据合规合法，资金支付与预算相符。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由办公室负责该项目的具体实施。严格执行《招投标法》，明确招标程序，确保公开、公平、公正，同时主动接受相关管理部门监督。由领导审批，按程序、批次支付采购款。</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该项目计划批复资金77.66万元，实际到位资金77.66万元，合计支出资金77.66万元，完成预算的100%，支出合理合规，设立依据充分。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坚持项目账务达到账证相符、账账相符、账实相符，为提高工作质量和效率，明确规范管理、强化责任、稳中求进的指导思想，为了更好地使用“四川省人民防空建设补助资金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截至2022年12月31日，该项目资金支出为77.66万元，项目完成率达100%。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通过该项目的实施，持续提升应急救援能力，为人民生命财产安全提供有力保障。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四川省人民防空建设补助资金</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专项经费年初预算77.66万元，实际资金到位77.66万元，实际资金支出77.66万元，项目完成率100%。该项目资金到位及时，支出合理合规，设立依据充分。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该项目开工时间较晚，尾款需在2023年支付。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四川省人民防空建设补助资金</w:t>
      </w:r>
      <w:r>
        <w:rPr>
          <w:rFonts w:hint="eastAsia" w:ascii="仿宋_GB2312" w:hAnsi="仿宋_GB2312" w:eastAsia="仿宋_GB2312" w:cs="仿宋_GB2312"/>
          <w:b/>
          <w:bCs/>
          <w:color w:val="auto"/>
          <w:kern w:val="0"/>
          <w:sz w:val="28"/>
          <w:szCs w:val="28"/>
          <w:highlight w:val="none"/>
          <w:lang w:val="en-US" w:eastAsia="zh-CN" w:bidi="ar-SA"/>
        </w:rPr>
        <w:t>”</w:t>
      </w:r>
      <w:r>
        <w:rPr>
          <w:rFonts w:hint="eastAsia" w:hAnsi="仿宋_GB2312" w:cs="仿宋_GB2312"/>
          <w:b/>
          <w:bCs/>
          <w:color w:val="auto"/>
          <w:kern w:val="0"/>
          <w:sz w:val="28"/>
          <w:szCs w:val="28"/>
          <w:highlight w:val="none"/>
          <w:lang w:val="en-US" w:eastAsia="zh-CN" w:bidi="ar-SA"/>
        </w:rPr>
        <w:t>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77.66</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77.66</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77.66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采购一批人民防空应急救援装备设备，提升应急救援能力。</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应急救援装备设备已验收入库。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采购人民防空应急救援训练装备设备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1批</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装备设备验收合格率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完成实现</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≤12月</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采购金额</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77.66</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77.66</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应急救援能力提升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社会、人民和服务对象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85" w:name="_Toc14103"/>
      <w:r>
        <w:rPr>
          <w:rFonts w:hint="eastAsia" w:ascii="黑体" w:hAnsi="黑体" w:eastAsia="黑体" w:cs="黑体"/>
          <w:color w:val="auto"/>
          <w:kern w:val="0"/>
          <w:sz w:val="32"/>
          <w:szCs w:val="32"/>
          <w:highlight w:val="none"/>
          <w:lang w:val="en-US" w:eastAsia="zh-CN" w:bidi="ar-SA"/>
        </w:rPr>
        <w:t>附件11</w:t>
      </w:r>
      <w:bookmarkEnd w:id="85"/>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2022年“综合楼外墙维修改造项目”</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综合楼外墙年久失修，存在安全隐患，急需维修维护。</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综合楼外墙维修改造项目</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项目经费来源为财政拨款，该项目投资0.97万元，主要用于综合楼外墙维修改造。</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综合楼外墙维修改造项目</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专项资金0.97万元，市财政局批复0.97万元。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该项目资金计划0.97万元，截至2022年12月31日，实际计划情况0.97万元。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该项目资金到位0.97万元，截至2022年12月31日，实际到位情况0.97万元。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截至2022年12月31日，该项目资金实际支出0.97万元，支付依据合规合法，资金支付与预算相符。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由办公室负责该项目的具体实施，组织相关领导及科室负责人进行验收，财务室支付。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该项目计划批复资金0.97万元，实际到位资金0.97万元，合计支出资金0.97万元，完成预算的100%，支出合理合规，设立依据充分。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坚持项目账务达到账证相符、账账相符、账实相符，为提高工作质量和效率，明确规范管理、强化责任、稳中求进的指导思想，为了更好地使用“综合楼外墙维修改造项目</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截至2022年12月31日，该项目资金支出为0.97万元，项目完成率达100%。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通过该项目的实施，消除安全隐患，提高办公环境。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综合楼外墙维修改造项目</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专项经费年初预算0.97万元，实际资金到位0.97万元，实际资金支出0.97万元，项目完成率100%。该项目资金到位及时，支出合理合规，设立依据充分。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项目绩效目标评价有待进一步完善。</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“综合楼外墙维修改造项目”项目绩效目标自评表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0.97</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0.97</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应急救援基地综合楼外墙隐患整治、维修改造。</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综合楼外墙完成维修改造，消除隐患。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质保率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2022年完成率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成本控制</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0.97</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0.97</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应急救援抢险成功率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18"/>
                <w:szCs w:val="18"/>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可持续影响指标</w:t>
            </w:r>
          </w:p>
        </w:tc>
        <w:tc>
          <w:tcPr>
            <w:tcW w:w="1965" w:type="dxa"/>
            <w:vAlign w:val="center"/>
          </w:tcPr>
          <w:p>
            <w:pPr>
              <w:keepNext w:val="0"/>
              <w:keepLines w:val="0"/>
              <w:widowControl/>
              <w:suppressLineNumbers w:val="0"/>
              <w:jc w:val="center"/>
              <w:textAlignment w:val="center"/>
              <w:outlineLvl w:val="9"/>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施工单位满意度</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社会、人民和服务对象</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黑体" w:hAnsi="黑体" w:eastAsia="黑体" w:cs="黑体"/>
          <w:color w:val="auto"/>
          <w:kern w:val="0"/>
          <w:sz w:val="32"/>
          <w:szCs w:val="32"/>
          <w:highlight w:val="none"/>
          <w:lang w:val="en-US" w:eastAsia="zh-CN" w:bidi="ar-SA"/>
        </w:rPr>
      </w:pPr>
      <w:bookmarkStart w:id="86" w:name="_Toc14323"/>
      <w:r>
        <w:rPr>
          <w:rFonts w:hint="eastAsia" w:ascii="黑体" w:hAnsi="黑体" w:eastAsia="黑体" w:cs="黑体"/>
          <w:color w:val="auto"/>
          <w:kern w:val="0"/>
          <w:sz w:val="32"/>
          <w:szCs w:val="32"/>
          <w:highlight w:val="none"/>
          <w:lang w:val="en-US" w:eastAsia="zh-CN" w:bidi="ar-SA"/>
        </w:rPr>
        <w:t>附件12</w:t>
      </w:r>
      <w:bookmarkEnd w:id="86"/>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2022年“乡村振兴工作经费”</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r>
        <w:rPr>
          <w:rFonts w:hint="eastAsia" w:ascii="方正小标宋简体" w:hAnsi="方正小标宋简体" w:eastAsia="方正小标宋简体" w:cs="方正小标宋简体"/>
          <w:color w:val="auto"/>
          <w:kern w:val="0"/>
          <w:sz w:val="44"/>
          <w:szCs w:val="44"/>
          <w:highlight w:val="none"/>
          <w:lang w:val="en-US" w:eastAsia="zh-CN" w:bidi="ar-SA"/>
        </w:rPr>
        <w:t>专项预算项目支出绩效自评报告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color w:val="auto"/>
          <w:kern w:val="0"/>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（一）项目基本情况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为巩固拓展脱贫攻坚成果，弘扬脱贫攻坚精神，开展乡村振兴相关具体工作，我支队从2021年7月起，派出3名驻村工作队员到苍溪县龙王村天宝村进行帮扶，确保巩固拓展脱贫攻坚与乡村振兴有效衔接。</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（二）项目绩效目标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乡村振兴工作经费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项目经费来源为财政拨款，该项目投资5.46万元，主要用于驻村工作队员工作经费及生活补助等。</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（三）项目自评步骤及方法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以市财政局相关要求为指导，结合财政制度等管理制度和办法实施，通过项目完成数量、质量、时效以及社会效益等指标对项目开展绩效自评。</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二、项目资金申报及使用情况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（一）项目资金申报及批复情况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广元市生产安全应急救援支队申报</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乡村振兴工作经费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专项资金5.46万元，市财政局批复5.46万元。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（二）资金计划、到位及使用情况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1．资金计划。</w:t>
      </w:r>
      <w:r>
        <w:rPr>
          <w:rFonts w:hint="eastAsia" w:hAnsi="仿宋_GB2312" w:cs="仿宋_GB2312"/>
          <w:color w:val="auto"/>
          <w:kern w:val="0"/>
          <w:sz w:val="32"/>
          <w:szCs w:val="32"/>
          <w:highlight w:val="none"/>
          <w:lang w:val="en-US" w:eastAsia="zh-CN" w:bidi="ar-SA"/>
        </w:rPr>
        <w:t>该项目资金计划5.46万元，截至2022年12月31日，实际计划情况5.46万元。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2．资金到位。</w:t>
      </w:r>
      <w:r>
        <w:rPr>
          <w:rFonts w:hint="eastAsia" w:hAnsi="仿宋_GB2312" w:cs="仿宋_GB2312"/>
          <w:color w:val="auto"/>
          <w:kern w:val="0"/>
          <w:sz w:val="32"/>
          <w:szCs w:val="32"/>
          <w:highlight w:val="none"/>
          <w:lang w:val="en-US" w:eastAsia="zh-CN" w:bidi="ar-SA"/>
        </w:rPr>
        <w:t>该项目资金到位5.46万元，截至2022年12月31日，实际到位情况5.46万元。</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ascii="楷体_GB2312" w:hAnsi="楷体_GB2312" w:eastAsia="楷体_GB2312" w:cs="楷体_GB2312"/>
          <w:color w:val="auto"/>
          <w:kern w:val="0"/>
          <w:sz w:val="32"/>
          <w:szCs w:val="32"/>
          <w:highlight w:val="none"/>
          <w:lang w:val="en-US" w:eastAsia="zh-CN" w:bidi="ar-SA"/>
        </w:rPr>
        <w:t>3．资金使用。</w:t>
      </w:r>
      <w:r>
        <w:rPr>
          <w:rFonts w:hint="eastAsia" w:hAnsi="仿宋_GB2312" w:cs="仿宋_GB2312"/>
          <w:color w:val="auto"/>
          <w:kern w:val="0"/>
          <w:sz w:val="32"/>
          <w:szCs w:val="32"/>
          <w:highlight w:val="none"/>
          <w:lang w:val="en-US" w:eastAsia="zh-CN" w:bidi="ar-SA"/>
        </w:rPr>
        <w:t>截至2022年12月31日，该项目资金实际支出5.46万元，支付依据合规合法，资金支付与预算相符。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经费实施专账核算，无截留、挤占、挪用专项资金现象。全部支出使用合法票据，无虚列项目成本，无进行大额现金支付现象，对超过1000元以上支出均通过公务卡或银行专账等结算方式，均按规定标准执行。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（三）项目财务管理情况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健全了项目资金财务管理制度，财务会计和出纳按岗分设、印鉴分设管理，财务处理及时、会计核算规范，符合会计管理要求，申报款项手续完备。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三、项目实施及管理情况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（一）项目组织架构及实施流程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按月、按季度由驻村工作队填写报销单，由办公室审核，分管财务领导审签，财务室支付。</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该项目计划批复资金5.46万元，实际到位资金5.46万元，合计支出资金5.46万元，完成预算的100%，支出合理合规，设立依据充分。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（三）项目监管情况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坚持项目账务达到账证相符、账账相符、账实相符，为提高工作质量和效率，明确规范管理、强化责任、稳中求进的指导思想，为了更好地使用“乡村振兴工作经费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我支队严格按照预算执行。办公室负责经费资金支付进度监督及管理。为提高工作质量和效率，明确规范管理、强化责任、稳中求进的指导思想，根据预算资金项目绩效目标，严格经费使用程序，加强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四、项目绩效情况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（一）项目完成情况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截至2022年12月31日，该项目资金支出为5.46万元，项目完成率达100%。</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（二）项目效益情况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通过该项目的实施，巩固拓展了脱贫攻坚与乡村振兴有效衔接。</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五、评价结论及建议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（一）评价结论</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2022年</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乡村振兴工作经费</w:t>
      </w:r>
      <w:r>
        <w:rPr>
          <w:rFonts w:hint="eastAsia" w:ascii="仿宋_GB2312" w:hAnsi="仿宋_GB2312" w:eastAsia="仿宋_GB2312" w:cs="仿宋_GB2312"/>
          <w:color w:val="auto"/>
          <w:kern w:val="0"/>
          <w:sz w:val="32"/>
          <w:szCs w:val="32"/>
          <w:highlight w:val="none"/>
          <w:lang w:val="en-US" w:eastAsia="zh-CN" w:bidi="ar-SA"/>
        </w:rPr>
        <w:t>”</w:t>
      </w:r>
      <w:r>
        <w:rPr>
          <w:rFonts w:hint="eastAsia" w:hAnsi="仿宋_GB2312" w:cs="仿宋_GB2312"/>
          <w:color w:val="auto"/>
          <w:kern w:val="0"/>
          <w:sz w:val="32"/>
          <w:szCs w:val="32"/>
          <w:highlight w:val="none"/>
          <w:lang w:val="en-US" w:eastAsia="zh-CN" w:bidi="ar-SA"/>
        </w:rPr>
        <w:t>专项经费年初预算5.46万元，实际资金到位5.46万元，实际资金支出5.46万元，项目完成率100%。该项目资金到位及时，支出合理合规，设立依据充分。</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（二）存在的问题</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hAnsi="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项目绩效目标评价有待进一步完善。</w:t>
      </w:r>
    </w:p>
    <w:p>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（三）相关建议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hAnsi="仿宋_GB2312" w:cs="仿宋_GB2312"/>
          <w:color w:val="auto"/>
          <w:kern w:val="0"/>
          <w:sz w:val="32"/>
          <w:szCs w:val="32"/>
          <w:highlight w:val="none"/>
          <w:lang w:val="en-US" w:eastAsia="zh-CN" w:bidi="ar-SA"/>
        </w:rPr>
        <w:t>进一步完善预算的编制工作，提高预算编制的精准度，提高资金使用效率，按照预算执行要求及时有效的完成，提高预算执行率，保障资金合理支出。加强对绩效目标管理的督查，使绩效目标能更加科学有效地完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kern w:val="0"/>
          <w:sz w:val="28"/>
          <w:szCs w:val="28"/>
          <w:highlight w:val="none"/>
          <w:lang w:val="en-US" w:eastAsia="zh-CN" w:bidi="ar-SA"/>
        </w:rPr>
        <w:t>2022年</w:t>
      </w:r>
      <w:r>
        <w:rPr>
          <w:rFonts w:hint="eastAsia" w:hAnsi="仿宋_GB2312" w:cs="仿宋_GB2312"/>
          <w:b/>
          <w:bCs/>
          <w:color w:val="auto"/>
          <w:kern w:val="0"/>
          <w:sz w:val="28"/>
          <w:szCs w:val="28"/>
          <w:highlight w:val="none"/>
          <w:lang w:val="en-US" w:eastAsia="zh-CN" w:bidi="ar-SA"/>
        </w:rPr>
        <w:t>“乡村振兴工作经费”项目绩效目标自评表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095"/>
        <w:gridCol w:w="1170"/>
        <w:gridCol w:w="1965"/>
        <w:gridCol w:w="160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264"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主观部门及代码</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广元市应急管理局</w:t>
            </w:r>
          </w:p>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331001</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实施单位</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广元市生产安全应急救援支队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预算执行情况（万元）</w:t>
            </w: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预算数：</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5.46</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执行数：</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5.46</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其中：财政拨款</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226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其他资金：</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年度目标完成情况</w:t>
            </w: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预期目标</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423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巩固拓展脱贫攻坚成果，弘扬脱贫攻坚精神，开展乡村振兴相关具体工作。</w:t>
            </w:r>
          </w:p>
        </w:tc>
        <w:tc>
          <w:tcPr>
            <w:tcW w:w="3293"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default"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确保巩固拓展脱贫攻坚与乡村振兴有效衔接。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年度绩效指标完成情况</w:t>
            </w: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一级指标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二级指标</w:t>
            </w:r>
          </w:p>
        </w:tc>
        <w:tc>
          <w:tcPr>
            <w:tcW w:w="196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三级指标</w:t>
            </w:r>
          </w:p>
        </w:tc>
        <w:tc>
          <w:tcPr>
            <w:tcW w:w="160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预期指标值</w:t>
            </w:r>
          </w:p>
        </w:tc>
        <w:tc>
          <w:tcPr>
            <w:tcW w:w="1688"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实际完成指标值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产出指标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数量指标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驻村工作队员人数</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3人</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质量指标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生活补助发放率</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时效指标</w:t>
            </w:r>
          </w:p>
        </w:tc>
        <w:tc>
          <w:tcPr>
            <w:tcW w:w="196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按月、按季度发放</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成本指标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按标准发放</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5.46</w:t>
            </w:r>
            <w:r>
              <w:rPr>
                <w:rFonts w:hint="eastAsia" w:ascii="宋体" w:hAnsi="宋体" w:eastAsia="宋体" w:cs="宋体"/>
                <w:i w:val="0"/>
                <w:iCs w:val="0"/>
                <w:color w:val="000000"/>
                <w:kern w:val="0"/>
                <w:sz w:val="21"/>
                <w:szCs w:val="21"/>
                <w:u w:val="none"/>
                <w:lang w:val="en-US" w:eastAsia="zh-CN" w:bidi="ar"/>
              </w:rPr>
              <w:t>万元</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5.46</w:t>
            </w:r>
            <w:r>
              <w:rPr>
                <w:rFonts w:hint="eastAsia" w:ascii="宋体" w:hAnsi="宋体" w:eastAsia="宋体" w:cs="宋体"/>
                <w:color w:val="auto"/>
                <w:kern w:val="0"/>
                <w:sz w:val="21"/>
                <w:szCs w:val="21"/>
                <w:highlight w:val="none"/>
                <w:vertAlign w:val="baseline"/>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效益指标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社会效益指标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结对帮扶村人居条件提升率</w:t>
            </w:r>
          </w:p>
        </w:tc>
        <w:tc>
          <w:tcPr>
            <w:tcW w:w="1605"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default" w:ascii="宋体" w:hAnsi="宋体" w:eastAsia="宋体" w:cs="宋体"/>
                <w:color w:val="auto"/>
                <w:kern w:val="0"/>
                <w:sz w:val="21"/>
                <w:szCs w:val="21"/>
                <w:highlight w:val="none"/>
                <w:vertAlign w:val="baseline"/>
                <w:lang w:val="en-US" w:eastAsia="zh-CN" w:bidi="ar-SA"/>
              </w:rPr>
            </w:pPr>
            <w:r>
              <w:rPr>
                <w:rFonts w:hint="eastAsia" w:ascii="宋体" w:hAnsi="宋体" w:cs="宋体"/>
                <w:color w:val="auto"/>
                <w:kern w:val="0"/>
                <w:sz w:val="21"/>
                <w:szCs w:val="21"/>
                <w:highlight w:val="none"/>
                <w:vertAlign w:val="baseline"/>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999"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p>
        </w:tc>
        <w:tc>
          <w:tcPr>
            <w:tcW w:w="1095"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21"/>
                <w:szCs w:val="21"/>
                <w:highlight w:val="none"/>
                <w:vertAlign w:val="baseline"/>
                <w:lang w:val="en-US" w:eastAsia="zh-CN" w:bidi="ar-SA"/>
              </w:rPr>
              <w:t>满意度指标</w:t>
            </w:r>
          </w:p>
        </w:tc>
        <w:tc>
          <w:tcPr>
            <w:tcW w:w="1170"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9"/>
              <w:rPr>
                <w:rFonts w:hint="eastAsia" w:asciiTheme="majorEastAsia" w:hAnsiTheme="majorEastAsia" w:eastAsiaTheme="majorEastAsia" w:cstheme="majorEastAsia"/>
                <w:color w:val="auto"/>
                <w:kern w:val="0"/>
                <w:sz w:val="21"/>
                <w:szCs w:val="21"/>
                <w:highlight w:val="none"/>
                <w:vertAlign w:val="baseline"/>
                <w:lang w:val="en-US" w:eastAsia="zh-CN" w:bidi="ar-SA"/>
              </w:rPr>
            </w:pPr>
            <w:r>
              <w:rPr>
                <w:rFonts w:hint="eastAsia" w:asciiTheme="majorEastAsia" w:hAnsiTheme="majorEastAsia" w:eastAsiaTheme="majorEastAsia" w:cstheme="majorEastAsia"/>
                <w:color w:val="auto"/>
                <w:kern w:val="0"/>
                <w:sz w:val="18"/>
                <w:szCs w:val="18"/>
                <w:highlight w:val="none"/>
                <w:vertAlign w:val="baseline"/>
                <w:lang w:val="en-US" w:eastAsia="zh-CN" w:bidi="ar-SA"/>
              </w:rPr>
              <w:t>服务对象满意度指标</w:t>
            </w:r>
          </w:p>
        </w:tc>
        <w:tc>
          <w:tcPr>
            <w:tcW w:w="196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cs="宋体"/>
                <w:i w:val="0"/>
                <w:iCs w:val="0"/>
                <w:color w:val="000000"/>
                <w:kern w:val="0"/>
                <w:sz w:val="21"/>
                <w:szCs w:val="21"/>
                <w:u w:val="none"/>
                <w:lang w:val="en-US" w:eastAsia="zh-CN" w:bidi="ar"/>
              </w:rPr>
              <w:t>帮扶对象、驻村工作队</w:t>
            </w:r>
            <w:r>
              <w:rPr>
                <w:rFonts w:hint="eastAsia" w:ascii="宋体" w:hAnsi="宋体" w:eastAsia="宋体" w:cs="宋体"/>
                <w:i w:val="0"/>
                <w:iCs w:val="0"/>
                <w:color w:val="000000"/>
                <w:kern w:val="0"/>
                <w:sz w:val="21"/>
                <w:szCs w:val="21"/>
                <w:u w:val="none"/>
                <w:lang w:val="en-US" w:eastAsia="zh-CN" w:bidi="ar"/>
              </w:rPr>
              <w:t>满意度</w:t>
            </w:r>
          </w:p>
        </w:tc>
        <w:tc>
          <w:tcPr>
            <w:tcW w:w="1605"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≥90%</w:t>
            </w:r>
          </w:p>
        </w:tc>
        <w:tc>
          <w:tcPr>
            <w:tcW w:w="1688" w:type="dxa"/>
            <w:vAlign w:val="center"/>
          </w:tcPr>
          <w:p>
            <w:pPr>
              <w:keepNext w:val="0"/>
              <w:keepLines w:val="0"/>
              <w:widowControl/>
              <w:suppressLineNumbers w:val="0"/>
              <w:jc w:val="center"/>
              <w:textAlignment w:val="center"/>
              <w:outlineLvl w:val="9"/>
              <w:rPr>
                <w:rFonts w:hint="eastAsia" w:ascii="宋体" w:hAnsi="宋体" w:eastAsia="宋体" w:cs="宋体"/>
                <w:color w:val="auto"/>
                <w:kern w:val="0"/>
                <w:sz w:val="21"/>
                <w:szCs w:val="21"/>
                <w:highlight w:val="none"/>
                <w:vertAlign w:val="baseline"/>
                <w:lang w:val="en-US" w:eastAsia="zh-CN" w:bidi="ar-SA"/>
              </w:rPr>
            </w:pPr>
            <w:r>
              <w:rPr>
                <w:rFonts w:hint="eastAsia" w:ascii="宋体" w:hAnsi="宋体" w:eastAsia="宋体" w:cs="宋体"/>
                <w:color w:val="auto"/>
                <w:kern w:val="0"/>
                <w:sz w:val="21"/>
                <w:szCs w:val="21"/>
                <w:highlight w:val="none"/>
                <w:vertAlign w:val="baseline"/>
                <w:lang w:val="en-US" w:eastAsia="zh-CN" w:bidi="ar-SA"/>
              </w:rPr>
              <w:t>满意</w:t>
            </w:r>
          </w:p>
        </w:tc>
      </w:tr>
    </w:tbl>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lang w:val="en-US" w:eastAsia="zh-CN"/>
        </w:rPr>
      </w:pPr>
    </w:p>
    <w:p>
      <w:pPr>
        <w:spacing w:line="600" w:lineRule="exact"/>
        <w:jc w:val="center"/>
        <w:outlineLvl w:val="0"/>
        <w:rPr>
          <w:rFonts w:hint="eastAsia" w:ascii="仿宋" w:hAnsi="仿宋" w:eastAsia="仿宋"/>
          <w:b w:val="0"/>
          <w:color w:val="auto"/>
          <w:highlight w:val="none"/>
        </w:rPr>
      </w:pPr>
      <w:bookmarkStart w:id="87" w:name="_Toc8137"/>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五部分 附表</w:t>
      </w:r>
      <w:bookmarkEnd w:id="71"/>
      <w:bookmarkEnd w:id="75"/>
      <w:bookmarkEnd w:id="87"/>
      <w:bookmarkStart w:id="88" w:name="_Toc15396619"/>
    </w:p>
    <w:p>
      <w:pPr>
        <w:pStyle w:val="4"/>
        <w:rPr>
          <w:rFonts w:ascii="仿宋" w:hAnsi="仿宋" w:eastAsia="仿宋"/>
          <w:color w:val="auto"/>
          <w:highlight w:val="none"/>
        </w:rPr>
      </w:pPr>
      <w:bookmarkStart w:id="89" w:name="_Toc4669"/>
      <w:r>
        <w:rPr>
          <w:rFonts w:hint="eastAsia" w:ascii="仿宋" w:hAnsi="仿宋" w:eastAsia="仿宋"/>
          <w:b w:val="0"/>
          <w:color w:val="auto"/>
          <w:highlight w:val="none"/>
        </w:rPr>
        <w:t>一、收</w:t>
      </w:r>
      <w:r>
        <w:rPr>
          <w:rStyle w:val="26"/>
          <w:rFonts w:hint="eastAsia" w:ascii="仿宋" w:hAnsi="仿宋" w:eastAsia="仿宋"/>
          <w:b w:val="0"/>
          <w:bCs w:val="0"/>
          <w:color w:val="auto"/>
          <w:highlight w:val="none"/>
        </w:rPr>
        <w:t>入支出决算总表</w:t>
      </w:r>
      <w:bookmarkEnd w:id="88"/>
      <w:bookmarkEnd w:id="89"/>
    </w:p>
    <w:p>
      <w:pPr>
        <w:pStyle w:val="4"/>
        <w:rPr>
          <w:rFonts w:ascii="仿宋" w:hAnsi="仿宋" w:eastAsia="仿宋"/>
          <w:color w:val="auto"/>
          <w:highlight w:val="none"/>
        </w:rPr>
      </w:pPr>
      <w:bookmarkStart w:id="90" w:name="_Toc15396620"/>
      <w:bookmarkStart w:id="91" w:name="_Toc16748"/>
      <w:r>
        <w:rPr>
          <w:rFonts w:hint="eastAsia" w:ascii="仿宋" w:hAnsi="仿宋" w:eastAsia="仿宋"/>
          <w:b w:val="0"/>
          <w:color w:val="auto"/>
          <w:highlight w:val="none"/>
        </w:rPr>
        <w:t>二、收</w:t>
      </w:r>
      <w:r>
        <w:rPr>
          <w:rStyle w:val="26"/>
          <w:rFonts w:hint="eastAsia" w:ascii="仿宋" w:hAnsi="仿宋" w:eastAsia="仿宋"/>
          <w:b w:val="0"/>
          <w:bCs w:val="0"/>
          <w:color w:val="auto"/>
          <w:highlight w:val="none"/>
        </w:rPr>
        <w:t>入决算表</w:t>
      </w:r>
      <w:bookmarkEnd w:id="90"/>
      <w:bookmarkEnd w:id="91"/>
    </w:p>
    <w:p>
      <w:pPr>
        <w:pStyle w:val="4"/>
        <w:rPr>
          <w:rFonts w:ascii="仿宋" w:hAnsi="仿宋" w:eastAsia="仿宋"/>
          <w:color w:val="auto"/>
          <w:highlight w:val="none"/>
        </w:rPr>
      </w:pPr>
      <w:bookmarkStart w:id="92" w:name="_Toc15396621"/>
      <w:bookmarkStart w:id="93" w:name="_Toc21224"/>
      <w:r>
        <w:rPr>
          <w:rStyle w:val="2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6"/>
          <w:rFonts w:hint="eastAsia" w:ascii="仿宋" w:hAnsi="仿宋" w:eastAsia="仿宋"/>
          <w:b w:val="0"/>
          <w:bCs w:val="0"/>
          <w:color w:val="auto"/>
          <w:highlight w:val="none"/>
        </w:rPr>
        <w:t>出决算表</w:t>
      </w:r>
      <w:bookmarkEnd w:id="92"/>
      <w:bookmarkEnd w:id="93"/>
    </w:p>
    <w:p>
      <w:pPr>
        <w:pStyle w:val="4"/>
        <w:rPr>
          <w:rFonts w:ascii="仿宋" w:hAnsi="仿宋" w:eastAsia="仿宋"/>
          <w:b w:val="0"/>
          <w:color w:val="auto"/>
          <w:highlight w:val="none"/>
        </w:rPr>
      </w:pPr>
      <w:bookmarkStart w:id="94" w:name="_Toc15396622"/>
      <w:bookmarkStart w:id="95" w:name="_Toc26954"/>
      <w:r>
        <w:rPr>
          <w:rStyle w:val="2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政拨款收入支出决算总表</w:t>
      </w:r>
      <w:bookmarkEnd w:id="94"/>
      <w:bookmarkEnd w:id="95"/>
    </w:p>
    <w:p>
      <w:pPr>
        <w:pStyle w:val="4"/>
        <w:rPr>
          <w:rStyle w:val="26"/>
          <w:rFonts w:ascii="仿宋" w:hAnsi="仿宋" w:eastAsia="仿宋"/>
          <w:b w:val="0"/>
          <w:bCs w:val="0"/>
          <w:color w:val="auto"/>
          <w:highlight w:val="none"/>
        </w:rPr>
      </w:pPr>
      <w:bookmarkStart w:id="96" w:name="_Toc15396623"/>
      <w:bookmarkStart w:id="97" w:name="_Toc3541"/>
      <w:r>
        <w:rPr>
          <w:rStyle w:val="2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政拨款支出决算明细表</w:t>
      </w:r>
      <w:bookmarkEnd w:id="96"/>
      <w:bookmarkEnd w:id="97"/>
      <w:bookmarkStart w:id="98" w:name="_Toc15396624"/>
    </w:p>
    <w:p>
      <w:pPr>
        <w:pStyle w:val="4"/>
        <w:rPr>
          <w:rFonts w:ascii="仿宋" w:hAnsi="仿宋" w:eastAsia="仿宋"/>
          <w:color w:val="auto"/>
          <w:highlight w:val="none"/>
        </w:rPr>
      </w:pPr>
      <w:bookmarkStart w:id="99" w:name="_Toc20619"/>
      <w:r>
        <w:rPr>
          <w:rStyle w:val="2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般公共预算财政拨款支出决算表</w:t>
      </w:r>
      <w:bookmarkEnd w:id="98"/>
      <w:bookmarkEnd w:id="99"/>
    </w:p>
    <w:p>
      <w:pPr>
        <w:pStyle w:val="4"/>
        <w:rPr>
          <w:rFonts w:ascii="仿宋" w:hAnsi="仿宋" w:eastAsia="仿宋"/>
          <w:color w:val="auto"/>
          <w:highlight w:val="none"/>
        </w:rPr>
      </w:pPr>
      <w:bookmarkStart w:id="100" w:name="_Toc15396625"/>
      <w:bookmarkStart w:id="101" w:name="_Toc277"/>
      <w:r>
        <w:rPr>
          <w:rStyle w:val="2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般公共预算财政拨款支出决算明细表</w:t>
      </w:r>
      <w:bookmarkEnd w:id="100"/>
      <w:bookmarkEnd w:id="101"/>
    </w:p>
    <w:p>
      <w:pPr>
        <w:pStyle w:val="4"/>
        <w:rPr>
          <w:rFonts w:ascii="仿宋" w:hAnsi="仿宋" w:eastAsia="仿宋"/>
          <w:color w:val="auto"/>
          <w:highlight w:val="none"/>
        </w:rPr>
      </w:pPr>
      <w:bookmarkStart w:id="102" w:name="_Toc15396626"/>
      <w:bookmarkStart w:id="103" w:name="_Toc10339"/>
      <w:r>
        <w:rPr>
          <w:rStyle w:val="2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般公共预算财政拨款基本支出决算表</w:t>
      </w:r>
      <w:bookmarkEnd w:id="102"/>
      <w:bookmarkEnd w:id="103"/>
    </w:p>
    <w:p>
      <w:pPr>
        <w:pStyle w:val="4"/>
        <w:rPr>
          <w:rFonts w:ascii="仿宋" w:hAnsi="仿宋" w:eastAsia="仿宋"/>
          <w:color w:val="auto"/>
          <w:highlight w:val="none"/>
        </w:rPr>
      </w:pPr>
      <w:bookmarkStart w:id="104" w:name="_Toc15396627"/>
      <w:bookmarkStart w:id="105" w:name="_Toc24295"/>
      <w:r>
        <w:rPr>
          <w:rStyle w:val="2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般公共预算财政拨款项目支出决算表</w:t>
      </w:r>
      <w:bookmarkEnd w:id="104"/>
      <w:bookmarkEnd w:id="105"/>
    </w:p>
    <w:p>
      <w:pPr>
        <w:pStyle w:val="4"/>
        <w:rPr>
          <w:rFonts w:ascii="仿宋" w:hAnsi="仿宋" w:eastAsia="仿宋"/>
          <w:color w:val="auto"/>
          <w:highlight w:val="none"/>
        </w:rPr>
      </w:pPr>
      <w:bookmarkStart w:id="106" w:name="_Toc15396628"/>
      <w:bookmarkStart w:id="107" w:name="_Toc28806"/>
      <w:r>
        <w:rPr>
          <w:rStyle w:val="26"/>
          <w:rFonts w:hint="eastAsia" w:ascii="仿宋" w:hAnsi="仿宋" w:eastAsia="仿宋"/>
          <w:b w:val="0"/>
          <w:bCs w:val="0"/>
          <w:color w:val="auto"/>
          <w:highlight w:val="none"/>
        </w:rPr>
        <w:t>十、</w:t>
      </w:r>
      <w:bookmarkEnd w:id="106"/>
      <w:r>
        <w:rPr>
          <w:rFonts w:hint="eastAsia" w:ascii="仿宋" w:hAnsi="仿宋" w:eastAsia="仿宋"/>
          <w:b w:val="0"/>
          <w:color w:val="auto"/>
          <w:highlight w:val="none"/>
        </w:rPr>
        <w:t>政</w:t>
      </w:r>
      <w:r>
        <w:rPr>
          <w:rStyle w:val="26"/>
          <w:rFonts w:hint="eastAsia" w:ascii="仿宋" w:hAnsi="仿宋" w:eastAsia="仿宋"/>
          <w:b w:val="0"/>
          <w:bCs w:val="0"/>
          <w:color w:val="auto"/>
          <w:highlight w:val="none"/>
        </w:rPr>
        <w:t>府性基金预算财政拨款收入支出决算表</w:t>
      </w:r>
      <w:bookmarkEnd w:id="107"/>
    </w:p>
    <w:p>
      <w:pPr>
        <w:pStyle w:val="4"/>
        <w:rPr>
          <w:rFonts w:ascii="仿宋" w:hAnsi="仿宋" w:eastAsia="仿宋"/>
          <w:color w:val="auto"/>
          <w:highlight w:val="none"/>
        </w:rPr>
      </w:pPr>
      <w:bookmarkStart w:id="108" w:name="_Toc15396629"/>
      <w:bookmarkStart w:id="109" w:name="_Toc11477"/>
      <w:r>
        <w:rPr>
          <w:rStyle w:val="26"/>
          <w:rFonts w:hint="eastAsia" w:ascii="仿宋" w:hAnsi="仿宋" w:eastAsia="仿宋"/>
          <w:b w:val="0"/>
          <w:bCs w:val="0"/>
          <w:color w:val="auto"/>
          <w:highlight w:val="none"/>
        </w:rPr>
        <w:t>十一、</w:t>
      </w:r>
      <w:bookmarkEnd w:id="108"/>
      <w:r>
        <w:rPr>
          <w:rFonts w:hint="eastAsia" w:ascii="仿宋" w:hAnsi="仿宋" w:eastAsia="仿宋"/>
          <w:b w:val="0"/>
          <w:color w:val="auto"/>
          <w:highlight w:val="none"/>
        </w:rPr>
        <w:t>国</w:t>
      </w:r>
      <w:r>
        <w:rPr>
          <w:rStyle w:val="26"/>
          <w:rFonts w:hint="eastAsia" w:ascii="仿宋" w:hAnsi="仿宋" w:eastAsia="仿宋"/>
          <w:b w:val="0"/>
          <w:bCs w:val="0"/>
          <w:color w:val="auto"/>
          <w:highlight w:val="none"/>
        </w:rPr>
        <w:t>有资本经营预算</w:t>
      </w:r>
      <w:r>
        <w:rPr>
          <w:rStyle w:val="26"/>
          <w:rFonts w:hint="eastAsia" w:ascii="仿宋" w:hAnsi="仿宋" w:eastAsia="仿宋"/>
          <w:b w:val="0"/>
          <w:bCs w:val="0"/>
          <w:color w:val="auto"/>
          <w:highlight w:val="none"/>
          <w:lang w:eastAsia="zh-CN"/>
        </w:rPr>
        <w:t>财政拨款收入</w:t>
      </w:r>
      <w:r>
        <w:rPr>
          <w:rStyle w:val="26"/>
          <w:rFonts w:hint="eastAsia" w:ascii="仿宋" w:hAnsi="仿宋" w:eastAsia="仿宋"/>
          <w:b w:val="0"/>
          <w:bCs w:val="0"/>
          <w:color w:val="auto"/>
          <w:highlight w:val="none"/>
        </w:rPr>
        <w:t>支出决算表</w:t>
      </w:r>
      <w:bookmarkEnd w:id="109"/>
    </w:p>
    <w:p>
      <w:pPr>
        <w:pStyle w:val="4"/>
        <w:rPr>
          <w:rFonts w:ascii="仿宋" w:hAnsi="仿宋" w:eastAsia="仿宋"/>
          <w:color w:val="auto"/>
          <w:highlight w:val="none"/>
        </w:rPr>
      </w:pPr>
      <w:bookmarkStart w:id="110" w:name="_Toc15396630"/>
      <w:bookmarkStart w:id="111" w:name="_Toc12887"/>
      <w:r>
        <w:rPr>
          <w:rStyle w:val="26"/>
          <w:rFonts w:hint="eastAsia" w:ascii="仿宋" w:hAnsi="仿宋" w:eastAsia="仿宋"/>
          <w:b w:val="0"/>
          <w:bCs w:val="0"/>
          <w:color w:val="auto"/>
          <w:highlight w:val="none"/>
        </w:rPr>
        <w:t>十二、</w:t>
      </w:r>
      <w:bookmarkEnd w:id="110"/>
      <w:r>
        <w:rPr>
          <w:rStyle w:val="26"/>
          <w:rFonts w:hint="eastAsia" w:ascii="仿宋" w:hAnsi="仿宋" w:eastAsia="仿宋"/>
          <w:b w:val="0"/>
          <w:bCs w:val="0"/>
          <w:color w:val="auto"/>
          <w:highlight w:val="none"/>
          <w:lang w:eastAsia="zh-CN"/>
        </w:rPr>
        <w:t>国有资本经营预算财政拨款支出决算表</w:t>
      </w:r>
      <w:bookmarkEnd w:id="111"/>
    </w:p>
    <w:p>
      <w:pPr>
        <w:pStyle w:val="4"/>
        <w:rPr>
          <w:rFonts w:hint="eastAsia" w:eastAsia="仿宋"/>
          <w:color w:val="auto"/>
          <w:highlight w:val="none"/>
          <w:lang w:eastAsia="zh-CN"/>
        </w:rPr>
      </w:pPr>
      <w:bookmarkStart w:id="112" w:name="_Toc15396631"/>
      <w:bookmarkStart w:id="113" w:name="_Toc2226"/>
      <w:r>
        <w:rPr>
          <w:rStyle w:val="26"/>
          <w:rFonts w:hint="eastAsia" w:ascii="仿宋" w:hAnsi="仿宋" w:eastAsia="仿宋"/>
          <w:b w:val="0"/>
          <w:bCs w:val="0"/>
          <w:color w:val="auto"/>
          <w:highlight w:val="none"/>
        </w:rPr>
        <w:t>十三、</w:t>
      </w:r>
      <w:bookmarkEnd w:id="112"/>
      <w:r>
        <w:rPr>
          <w:rStyle w:val="26"/>
          <w:rFonts w:hint="eastAsia" w:ascii="仿宋" w:hAnsi="仿宋" w:eastAsia="仿宋"/>
          <w:b w:val="0"/>
          <w:bCs w:val="0"/>
          <w:color w:val="auto"/>
          <w:highlight w:val="none"/>
          <w:lang w:eastAsia="zh-CN"/>
        </w:rPr>
        <w:t>财政拨款“三公”经费支出决算表</w:t>
      </w:r>
      <w:bookmarkEnd w:id="113"/>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zg1ODI3YTJjMWMzZDZlNWE2MzE3MjZjN2E4Mj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5A4DBE"/>
    <w:rsid w:val="053A62B5"/>
    <w:rsid w:val="0A2032A3"/>
    <w:rsid w:val="0B8A37D8"/>
    <w:rsid w:val="0F1F386F"/>
    <w:rsid w:val="10241D79"/>
    <w:rsid w:val="104C4E00"/>
    <w:rsid w:val="10C055FF"/>
    <w:rsid w:val="118107EC"/>
    <w:rsid w:val="11DD6519"/>
    <w:rsid w:val="14E0636A"/>
    <w:rsid w:val="16BB723D"/>
    <w:rsid w:val="18015F3F"/>
    <w:rsid w:val="1BE8440E"/>
    <w:rsid w:val="1CF06327"/>
    <w:rsid w:val="1D155CEE"/>
    <w:rsid w:val="20F57F95"/>
    <w:rsid w:val="240371BF"/>
    <w:rsid w:val="25711CC6"/>
    <w:rsid w:val="25C741E6"/>
    <w:rsid w:val="27842671"/>
    <w:rsid w:val="29FD04D3"/>
    <w:rsid w:val="2ABE7A3E"/>
    <w:rsid w:val="2CA234A8"/>
    <w:rsid w:val="2EFA178C"/>
    <w:rsid w:val="30B46D73"/>
    <w:rsid w:val="319F7F4E"/>
    <w:rsid w:val="360D47F0"/>
    <w:rsid w:val="383D272C"/>
    <w:rsid w:val="39AE70AB"/>
    <w:rsid w:val="3C0C0783"/>
    <w:rsid w:val="3CE56E60"/>
    <w:rsid w:val="3F9F3A96"/>
    <w:rsid w:val="3FD113FA"/>
    <w:rsid w:val="41085755"/>
    <w:rsid w:val="41343238"/>
    <w:rsid w:val="48741B43"/>
    <w:rsid w:val="48BF60AB"/>
    <w:rsid w:val="493C27E9"/>
    <w:rsid w:val="496F39ED"/>
    <w:rsid w:val="49FF41D3"/>
    <w:rsid w:val="4B920BD1"/>
    <w:rsid w:val="4BE068DB"/>
    <w:rsid w:val="4BF6002B"/>
    <w:rsid w:val="4ECE2238"/>
    <w:rsid w:val="51DB4B86"/>
    <w:rsid w:val="55333C3E"/>
    <w:rsid w:val="5CEB0141"/>
    <w:rsid w:val="5E802B0B"/>
    <w:rsid w:val="5FA13D78"/>
    <w:rsid w:val="61265BEC"/>
    <w:rsid w:val="631C548E"/>
    <w:rsid w:val="64CA39A1"/>
    <w:rsid w:val="69630ADE"/>
    <w:rsid w:val="6C4A05C8"/>
    <w:rsid w:val="6D3B1A89"/>
    <w:rsid w:val="704F56B4"/>
    <w:rsid w:val="71BF4EC2"/>
    <w:rsid w:val="72734D90"/>
    <w:rsid w:val="73897D80"/>
    <w:rsid w:val="7412278C"/>
    <w:rsid w:val="7904082E"/>
    <w:rsid w:val="79E7B28D"/>
    <w:rsid w:val="7E092DA4"/>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table" w:styleId="13">
    <w:name w:val="Table Grid"/>
    <w:basedOn w:val="12"/>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2"/>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3"/>
    <w:qFormat/>
    <w:uiPriority w:val="9"/>
    <w:rPr>
      <w:rFonts w:ascii="Times New Roman" w:hAnsi="Times New Roman"/>
      <w:b/>
      <w:bCs/>
      <w:kern w:val="44"/>
      <w:sz w:val="44"/>
      <w:szCs w:val="44"/>
    </w:rPr>
  </w:style>
  <w:style w:type="character" w:customStyle="1" w:styleId="26">
    <w:name w:val="标题 2 Char"/>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4"/>
    <w:link w:val="7"/>
    <w:semiHidden/>
    <w:qFormat/>
    <w:uiPriority w:val="99"/>
    <w:rPr>
      <w:rFonts w:ascii="Times New Roman" w:hAnsi="Times New Roman"/>
      <w:kern w:val="2"/>
      <w:sz w:val="18"/>
      <w:szCs w:val="18"/>
    </w:rPr>
  </w:style>
  <w:style w:type="character" w:customStyle="1" w:styleId="29">
    <w:name w:val="标题 3 Char"/>
    <w:basedOn w:val="14"/>
    <w:link w:val="5"/>
    <w:qFormat/>
    <w:uiPriority w:val="9"/>
    <w:rPr>
      <w:rFonts w:ascii="Times New Roman" w:hAnsi="Times New Roman"/>
      <w:b/>
      <w:bCs/>
      <w:kern w:val="2"/>
      <w:sz w:val="32"/>
      <w:szCs w:val="32"/>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76</Pages>
  <Words>24885</Words>
  <Characters>27023</Characters>
  <Lines>61</Lines>
  <Paragraphs>17</Paragraphs>
  <TotalTime>1</TotalTime>
  <ScaleCrop>false</ScaleCrop>
  <LinksUpToDate>false</LinksUpToDate>
  <CharactersWithSpaces>27176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2023-10-20T06:25:38Z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6B70361D626A4593B4A9C4A901EC4F63</vt:lpwstr>
  </property>
</Properties>
</file>