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0"/>
        <w:rPr>
          <w:rFonts w:ascii="方正小标宋简体" w:hAnsi="宋体" w:eastAsia="方正小标宋简体"/>
          <w:color w:val="auto"/>
          <w:sz w:val="21"/>
          <w:szCs w:val="21"/>
          <w:highlight w:val="none"/>
        </w:rPr>
      </w:pPr>
      <w:bookmarkStart w:id="0" w:name="_Toc15306267"/>
    </w:p>
    <w:p>
      <w:pPr>
        <w:spacing w:line="600" w:lineRule="exact"/>
        <w:jc w:val="center"/>
        <w:outlineLvl w:val="0"/>
        <w:rPr>
          <w:rFonts w:ascii="方正小标宋简体" w:hAnsi="宋体" w:eastAsia="方正小标宋简体"/>
          <w:color w:val="auto"/>
          <w:sz w:val="72"/>
          <w:szCs w:val="72"/>
          <w:highlight w:val="none"/>
        </w:rPr>
      </w:pPr>
    </w:p>
    <w:p>
      <w:pPr>
        <w:spacing w:line="600" w:lineRule="exact"/>
        <w:jc w:val="center"/>
        <w:outlineLvl w:val="0"/>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15396475"/>
      <w:bookmarkStart w:id="2" w:name="_Toc15377425"/>
      <w:bookmarkStart w:id="3" w:name="_Toc15396597"/>
      <w:bookmarkStart w:id="4" w:name="_Toc15377193"/>
      <w:bookmarkStart w:id="5" w:name="_Toc15378441"/>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6" w:name="_Toc15377194"/>
      <w:bookmarkStart w:id="7" w:name="_Toc15377426"/>
      <w:bookmarkStart w:id="8" w:name="_Toc15396598"/>
      <w:bookmarkStart w:id="9" w:name="_Toc15396476"/>
      <w:bookmarkStart w:id="10" w:name="_Toc15378442"/>
      <w:r>
        <w:rPr>
          <w:rFonts w:hint="eastAsia" w:ascii="方正小标宋简体" w:hAnsi="方正小标宋简体" w:eastAsia="方正小标宋简体" w:cs="方正小标宋简体"/>
          <w:color w:val="auto"/>
          <w:sz w:val="72"/>
          <w:szCs w:val="72"/>
          <w:highlight w:val="none"/>
          <w:lang w:eastAsia="zh-CN"/>
        </w:rPr>
        <w:t>广元市</w:t>
      </w:r>
      <w:bookmarkEnd w:id="0"/>
      <w:bookmarkStart w:id="11" w:name="_Toc15306268"/>
      <w:r>
        <w:rPr>
          <w:rFonts w:hint="eastAsia" w:ascii="方正小标宋简体" w:hAnsi="方正小标宋简体" w:eastAsia="方正小标宋简体" w:cs="方正小标宋简体"/>
          <w:color w:val="auto"/>
          <w:sz w:val="72"/>
          <w:szCs w:val="72"/>
          <w:highlight w:val="none"/>
          <w:lang w:eastAsia="zh-CN"/>
        </w:rPr>
        <w:t>林业局单位</w:t>
      </w:r>
      <w:r>
        <w:rPr>
          <w:rFonts w:hint="eastAsia" w:ascii="方正小标宋简体" w:hAnsi="方正小标宋简体" w:eastAsia="方正小标宋简体" w:cs="方正小标宋简体"/>
          <w:color w:val="auto"/>
          <w:sz w:val="72"/>
          <w:szCs w:val="72"/>
          <w:highlight w:val="none"/>
        </w:rPr>
        <w:t>决算</w:t>
      </w:r>
      <w:bookmarkEnd w:id="6"/>
      <w:bookmarkEnd w:id="7"/>
      <w:bookmarkEnd w:id="8"/>
      <w:bookmarkEnd w:id="9"/>
      <w:bookmarkEnd w:id="10"/>
      <w:bookmarkEnd w:id="11"/>
    </w:p>
    <w:p>
      <w:pPr>
        <w:widowControl/>
        <w:jc w:val="center"/>
        <w:rPr>
          <w:rFonts w:hint="eastAsia" w:ascii="黑体" w:hAnsi="黑体" w:eastAsia="黑体"/>
          <w:color w:val="auto"/>
          <w:sz w:val="48"/>
          <w:szCs w:val="48"/>
          <w:highlight w:val="none"/>
        </w:rPr>
        <w:sectPr>
          <w:footerReference r:id="rId5" w:type="first"/>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pPr>
    </w:p>
    <w:p>
      <w:pPr>
        <w:widowControl/>
        <w:jc w:val="center"/>
        <w:rPr>
          <w:rFonts w:ascii="黑体" w:hAnsi="黑体" w:eastAsia="黑体"/>
          <w:color w:val="auto"/>
          <w:sz w:val="48"/>
          <w:szCs w:val="48"/>
          <w:highlight w:val="none"/>
        </w:rPr>
      </w:pPr>
      <w:r>
        <w:rPr>
          <w:rFonts w:hint="eastAsia" w:ascii="黑体" w:hAnsi="黑体" w:eastAsia="黑体"/>
          <w:color w:val="auto"/>
          <w:sz w:val="48"/>
          <w:szCs w:val="48"/>
          <w:highlight w:val="none"/>
        </w:rPr>
        <w:t>目录</w:t>
      </w:r>
    </w:p>
    <w:p>
      <w:pPr>
        <w:widowControl/>
        <w:jc w:val="center"/>
        <w:rPr>
          <w:rFonts w:ascii="黑体" w:hAnsi="黑体" w:eastAsia="黑体" w:cstheme="minorBidi"/>
          <w:color w:val="auto"/>
          <w:sz w:val="28"/>
          <w:szCs w:val="28"/>
          <w:highlight w:val="none"/>
        </w:rPr>
      </w:pPr>
    </w:p>
    <w:p>
      <w:pPr>
        <w:pStyle w:val="13"/>
        <w:rPr>
          <w:rFonts w:hint="eastAsia" w:eastAsia="仿宋"/>
          <w:color w:val="auto"/>
          <w:highlight w:val="none"/>
          <w:lang w:val="en-US" w:eastAsia="zh-CN"/>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 xml:space="preserve">10 </w:t>
      </w:r>
      <w:r>
        <w:rPr>
          <w:rFonts w:hint="eastAsia"/>
          <w:color w:val="auto"/>
          <w:highlight w:val="none"/>
        </w:rPr>
        <w:t>月</w:t>
      </w:r>
      <w:r>
        <w:rPr>
          <w:rFonts w:hint="eastAsia"/>
          <w:color w:val="auto"/>
          <w:highlight w:val="none"/>
          <w:lang w:val="en-US" w:eastAsia="zh-CN"/>
        </w:rPr>
        <w:t xml:space="preserve">18 </w:t>
      </w:r>
      <w:r>
        <w:rPr>
          <w:rFonts w:hint="eastAsia"/>
          <w:color w:val="auto"/>
          <w:highlight w:val="none"/>
        </w:rPr>
        <w:t>日</w:t>
      </w:r>
      <w:r>
        <w:rPr>
          <w:rFonts w:hint="eastAsia"/>
          <w:color w:val="auto"/>
          <w:highlight w:val="yellow"/>
          <w:lang w:val="en-US" w:eastAsia="zh-CN"/>
        </w:rPr>
        <w:t>(单位根据实际情况修改）</w:t>
      </w:r>
    </w:p>
    <w:p>
      <w:pPr>
        <w:rPr>
          <w:color w:val="auto"/>
          <w:highlight w:val="none"/>
        </w:rPr>
      </w:pPr>
    </w:p>
    <w:p>
      <w:pPr>
        <w:pStyle w:val="13"/>
        <w:adjustRightInd w:val="0"/>
        <w:snapToGrid w:val="0"/>
        <w:spacing w:before="0" w:line="440" w:lineRule="exact"/>
        <w:jc w:val="left"/>
        <w:rPr>
          <w:rFonts w:hint="eastAsia" w:eastAsia="仿宋" w:cstheme="minorBidi"/>
          <w:color w:val="auto"/>
          <w:sz w:val="24"/>
          <w:szCs w:val="24"/>
          <w:highlight w:val="none"/>
          <w:lang w:val="en-US" w:eastAsia="zh-CN"/>
        </w:rPr>
      </w:pPr>
      <w:r>
        <w:rPr>
          <w:rFonts w:hint="eastAsia"/>
          <w:color w:val="auto"/>
          <w:sz w:val="24"/>
          <w:highlight w:val="none"/>
        </w:rPr>
        <w:t>第一部分</w:t>
      </w:r>
      <w:r>
        <w:rPr>
          <w:color w:val="auto"/>
          <w:sz w:val="24"/>
          <w:highlight w:val="none"/>
        </w:rPr>
        <w:t xml:space="preserve"> </w:t>
      </w:r>
      <w:r>
        <w:rPr>
          <w:rFonts w:hint="eastAsia"/>
          <w:color w:val="auto"/>
          <w:sz w:val="24"/>
          <w:highlight w:val="none"/>
          <w:lang w:eastAsia="zh-CN"/>
        </w:rPr>
        <w:t>单位</w:t>
      </w:r>
      <w:r>
        <w:rPr>
          <w:rFonts w:hint="eastAsia"/>
          <w:color w:val="auto"/>
          <w:sz w:val="24"/>
          <w:highlight w:val="none"/>
        </w:rPr>
        <w:t>概况</w:t>
      </w:r>
      <w:r>
        <w:rPr>
          <w:b/>
          <w:color w:val="auto"/>
          <w:highlight w:val="none"/>
        </w:rPr>
        <w:tab/>
      </w:r>
      <w:r>
        <w:rPr>
          <w:rFonts w:hint="eastAsia"/>
          <w:b/>
          <w:color w:val="auto"/>
          <w:highlight w:val="none"/>
          <w:lang w:val="en-US" w:eastAsia="zh-CN"/>
        </w:rPr>
        <w:t>1</w:t>
      </w:r>
    </w:p>
    <w:p>
      <w:pPr>
        <w:pStyle w:val="16"/>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一、</w:t>
      </w:r>
      <w:r>
        <w:rPr>
          <w:rFonts w:hint="eastAsia"/>
          <w:color w:val="auto"/>
          <w:sz w:val="24"/>
          <w:highlight w:val="none"/>
          <w:lang w:eastAsia="zh-CN"/>
        </w:rPr>
        <w:t>主要职责</w:t>
      </w:r>
      <w:r>
        <w:rPr>
          <w:b/>
          <w:color w:val="auto"/>
          <w:highlight w:val="none"/>
        </w:rPr>
        <w:tab/>
      </w:r>
      <w:r>
        <w:rPr>
          <w:rFonts w:hint="eastAsia"/>
          <w:b/>
          <w:color w:val="auto"/>
          <w:highlight w:val="none"/>
          <w:lang w:val="en-US" w:eastAsia="zh-CN"/>
        </w:rPr>
        <w:t>........ 1</w:t>
      </w:r>
    </w:p>
    <w:p>
      <w:pPr>
        <w:pStyle w:val="16"/>
        <w:adjustRightInd w:val="0"/>
        <w:snapToGrid w:val="0"/>
        <w:spacing w:line="440" w:lineRule="exact"/>
        <w:jc w:val="left"/>
        <w:rPr>
          <w:rFonts w:hint="eastAsia" w:eastAsia="宋体"/>
          <w:color w:val="auto"/>
          <w:lang w:val="en-US" w:eastAsia="zh-CN"/>
        </w:rPr>
      </w:pPr>
      <w:r>
        <w:rPr>
          <w:rFonts w:hint="eastAsia"/>
          <w:color w:val="auto"/>
          <w:sz w:val="24"/>
          <w:highlight w:val="none"/>
          <w:lang w:eastAsia="zh-CN"/>
        </w:rPr>
        <w:t>二</w:t>
      </w:r>
      <w:r>
        <w:rPr>
          <w:rFonts w:hint="eastAsia"/>
          <w:color w:val="auto"/>
          <w:sz w:val="24"/>
          <w:highlight w:val="none"/>
        </w:rPr>
        <w:t>、</w:t>
      </w:r>
      <w:r>
        <w:rPr>
          <w:rFonts w:hint="eastAsia"/>
          <w:color w:val="auto"/>
          <w:sz w:val="24"/>
          <w:highlight w:val="none"/>
          <w:lang w:eastAsia="zh-CN"/>
        </w:rPr>
        <w:t>机构设置</w:t>
      </w:r>
      <w:r>
        <w:rPr>
          <w:b/>
          <w:color w:val="auto"/>
          <w:highlight w:val="none"/>
        </w:rPr>
        <w:tab/>
      </w:r>
      <w:r>
        <w:rPr>
          <w:rFonts w:hint="eastAsia"/>
          <w:b/>
          <w:color w:val="auto"/>
          <w:highlight w:val="none"/>
          <w:lang w:val="en-US" w:eastAsia="zh-CN"/>
        </w:rPr>
        <w:t>2</w:t>
      </w:r>
    </w:p>
    <w:p>
      <w:pPr>
        <w:pStyle w:val="13"/>
        <w:adjustRightInd w:val="0"/>
        <w:snapToGrid w:val="0"/>
        <w:spacing w:before="0" w:line="440" w:lineRule="exact"/>
        <w:jc w:val="left"/>
        <w:rPr>
          <w:rFonts w:hint="eastAsia" w:eastAsia="仿宋"/>
          <w:color w:val="auto"/>
          <w:sz w:val="24"/>
          <w:szCs w:val="24"/>
          <w:highlight w:val="none"/>
          <w:lang w:val="en-US" w:eastAsia="zh-CN"/>
        </w:rPr>
      </w:pPr>
      <w:r>
        <w:rPr>
          <w:rFonts w:hint="eastAsia"/>
          <w:color w:val="auto"/>
          <w:sz w:val="24"/>
          <w:highlight w:val="none"/>
        </w:rPr>
        <w:t>第二部分</w:t>
      </w:r>
      <w:r>
        <w:rPr>
          <w:rFonts w:hint="eastAsia"/>
          <w:color w:val="auto"/>
          <w:sz w:val="24"/>
          <w:highlight w:val="none"/>
          <w:lang w:val="en-US" w:eastAsia="zh-CN"/>
        </w:rPr>
        <w:t xml:space="preserve"> 2022年度</w:t>
      </w:r>
      <w:r>
        <w:rPr>
          <w:rFonts w:hint="eastAsia"/>
          <w:color w:val="auto"/>
          <w:sz w:val="24"/>
          <w:highlight w:val="none"/>
          <w:lang w:eastAsia="zh-CN"/>
        </w:rPr>
        <w:t>单位</w:t>
      </w:r>
      <w:r>
        <w:rPr>
          <w:rFonts w:hint="eastAsia"/>
          <w:color w:val="auto"/>
          <w:sz w:val="24"/>
          <w:highlight w:val="none"/>
        </w:rPr>
        <w:t>决算情况说明</w:t>
      </w:r>
      <w:r>
        <w:rPr>
          <w:b/>
          <w:color w:val="auto"/>
          <w:highlight w:val="none"/>
        </w:rPr>
        <w:tab/>
      </w:r>
      <w:r>
        <w:rPr>
          <w:rFonts w:hint="eastAsia"/>
          <w:b/>
          <w:color w:val="auto"/>
          <w:highlight w:val="none"/>
          <w:lang w:val="en-US" w:eastAsia="zh-CN"/>
        </w:rPr>
        <w:t>3</w:t>
      </w:r>
    </w:p>
    <w:p>
      <w:pPr>
        <w:pStyle w:val="16"/>
        <w:adjustRightInd w:val="0"/>
        <w:snapToGrid w:val="0"/>
        <w:spacing w:line="440" w:lineRule="exact"/>
        <w:jc w:val="left"/>
        <w:rPr>
          <w:rFonts w:hint="eastAsia" w:ascii="仿宋" w:hAnsi="仿宋" w:eastAsia="宋体" w:cstheme="minorBidi"/>
          <w:color w:val="auto"/>
          <w:sz w:val="24"/>
          <w:highlight w:val="none"/>
          <w:lang w:val="en-US" w:eastAsia="zh-CN"/>
        </w:rPr>
      </w:pPr>
      <w:r>
        <w:rPr>
          <w:rFonts w:hint="eastAsia"/>
          <w:color w:val="auto"/>
          <w:sz w:val="24"/>
          <w:highlight w:val="none"/>
        </w:rPr>
        <w:t>一、收入支出决算总体情况说明</w:t>
      </w:r>
      <w:r>
        <w:rPr>
          <w:b/>
          <w:color w:val="auto"/>
          <w:highlight w:val="none"/>
        </w:rPr>
        <w:tab/>
      </w:r>
      <w:r>
        <w:rPr>
          <w:rFonts w:hint="eastAsia"/>
          <w:b/>
          <w:color w:val="auto"/>
          <w:highlight w:val="none"/>
          <w:lang w:val="en-US" w:eastAsia="zh-CN"/>
        </w:rPr>
        <w:t>1</w:t>
      </w:r>
    </w:p>
    <w:p>
      <w:pPr>
        <w:pStyle w:val="16"/>
        <w:adjustRightInd w:val="0"/>
        <w:snapToGrid w:val="0"/>
        <w:spacing w:line="440" w:lineRule="exact"/>
        <w:jc w:val="left"/>
        <w:rPr>
          <w:rFonts w:hint="eastAsia" w:ascii="仿宋" w:hAnsi="仿宋" w:eastAsia="宋体" w:cstheme="minorBidi"/>
          <w:color w:val="auto"/>
          <w:sz w:val="24"/>
          <w:highlight w:val="none"/>
          <w:lang w:eastAsia="zh-CN"/>
        </w:rPr>
      </w:pPr>
      <w:r>
        <w:rPr>
          <w:rFonts w:hint="eastAsia"/>
          <w:color w:val="auto"/>
          <w:sz w:val="24"/>
          <w:highlight w:val="none"/>
        </w:rPr>
        <w:t>二、收入决算情况说明</w:t>
      </w:r>
      <w:r>
        <w:rPr>
          <w:b/>
          <w:color w:val="auto"/>
          <w:highlight w:val="none"/>
        </w:rPr>
        <w:tab/>
      </w:r>
      <w:r>
        <w:rPr>
          <w:rFonts w:hint="eastAsia"/>
          <w:b/>
          <w:color w:val="auto"/>
          <w:highlight w:val="none"/>
          <w:lang w:val="en-US" w:eastAsia="zh-CN"/>
        </w:rPr>
        <w:t>2</w:t>
      </w:r>
    </w:p>
    <w:p>
      <w:pPr>
        <w:pStyle w:val="16"/>
        <w:adjustRightInd w:val="0"/>
        <w:snapToGrid w:val="0"/>
        <w:spacing w:line="440" w:lineRule="exact"/>
        <w:jc w:val="left"/>
        <w:rPr>
          <w:rFonts w:hint="eastAsia" w:ascii="仿宋" w:hAnsi="仿宋" w:eastAsia="宋体" w:cstheme="minorBidi"/>
          <w:color w:val="auto"/>
          <w:sz w:val="24"/>
          <w:highlight w:val="none"/>
          <w:lang w:val="en-US" w:eastAsia="zh-CN"/>
        </w:rPr>
      </w:pPr>
      <w:r>
        <w:rPr>
          <w:rFonts w:hint="eastAsia"/>
          <w:color w:val="auto"/>
          <w:sz w:val="24"/>
          <w:highlight w:val="none"/>
        </w:rPr>
        <w:t>三、支出决算情况说明</w:t>
      </w:r>
      <w:r>
        <w:rPr>
          <w:b/>
          <w:color w:val="auto"/>
          <w:highlight w:val="none"/>
        </w:rPr>
        <w:tab/>
      </w:r>
      <w:r>
        <w:rPr>
          <w:rFonts w:hint="eastAsia"/>
          <w:b/>
          <w:color w:val="auto"/>
          <w:highlight w:val="none"/>
          <w:lang w:val="en-US" w:eastAsia="zh-CN"/>
        </w:rPr>
        <w:t>3</w:t>
      </w:r>
    </w:p>
    <w:p>
      <w:pPr>
        <w:pStyle w:val="16"/>
        <w:adjustRightInd w:val="0"/>
        <w:snapToGrid w:val="0"/>
        <w:spacing w:line="440" w:lineRule="exact"/>
        <w:jc w:val="left"/>
        <w:rPr>
          <w:rFonts w:hint="eastAsia" w:ascii="仿宋" w:hAnsi="仿宋" w:eastAsia="宋体" w:cstheme="minorBidi"/>
          <w:color w:val="auto"/>
          <w:sz w:val="24"/>
          <w:highlight w:val="none"/>
          <w:lang w:val="en-US" w:eastAsia="zh-CN"/>
        </w:rPr>
      </w:pPr>
      <w:r>
        <w:rPr>
          <w:rFonts w:hint="eastAsia"/>
          <w:color w:val="auto"/>
          <w:sz w:val="24"/>
          <w:highlight w:val="none"/>
        </w:rPr>
        <w:t>四、财政拨款收入支出决算总体情况说明</w:t>
      </w:r>
      <w:r>
        <w:rPr>
          <w:b/>
          <w:color w:val="auto"/>
          <w:highlight w:val="none"/>
        </w:rPr>
        <w:tab/>
      </w:r>
      <w:r>
        <w:rPr>
          <w:rFonts w:hint="eastAsia"/>
          <w:b/>
          <w:color w:val="auto"/>
          <w:highlight w:val="none"/>
          <w:lang w:val="en-US" w:eastAsia="zh-CN"/>
        </w:rPr>
        <w:t>4</w:t>
      </w:r>
    </w:p>
    <w:p>
      <w:pPr>
        <w:pStyle w:val="16"/>
        <w:adjustRightInd w:val="0"/>
        <w:snapToGrid w:val="0"/>
        <w:spacing w:line="440" w:lineRule="exact"/>
        <w:jc w:val="left"/>
        <w:rPr>
          <w:rFonts w:hint="eastAsia" w:ascii="仿宋" w:hAnsi="仿宋" w:eastAsia="宋体" w:cstheme="minorBidi"/>
          <w:color w:val="auto"/>
          <w:sz w:val="24"/>
          <w:highlight w:val="none"/>
          <w:lang w:val="en-US" w:eastAsia="zh-CN"/>
        </w:rPr>
      </w:pPr>
      <w:r>
        <w:rPr>
          <w:rFonts w:hint="eastAsia"/>
          <w:color w:val="auto"/>
          <w:sz w:val="24"/>
          <w:highlight w:val="none"/>
        </w:rPr>
        <w:t>五、一般公共预算财政拨款支出决算情况说明</w:t>
      </w:r>
      <w:r>
        <w:rPr>
          <w:b/>
          <w:color w:val="auto"/>
          <w:highlight w:val="none"/>
        </w:rPr>
        <w:tab/>
      </w:r>
      <w:r>
        <w:rPr>
          <w:rFonts w:hint="eastAsia"/>
          <w:b/>
          <w:color w:val="auto"/>
          <w:highlight w:val="none"/>
          <w:lang w:val="en-US" w:eastAsia="zh-CN"/>
        </w:rPr>
        <w:t>4</w:t>
      </w:r>
    </w:p>
    <w:p>
      <w:pPr>
        <w:pStyle w:val="16"/>
        <w:adjustRightInd w:val="0"/>
        <w:snapToGrid w:val="0"/>
        <w:spacing w:line="440" w:lineRule="exact"/>
        <w:jc w:val="left"/>
        <w:rPr>
          <w:rFonts w:hint="eastAsia" w:ascii="仿宋" w:hAnsi="仿宋" w:eastAsia="宋体" w:cstheme="minorBidi"/>
          <w:color w:val="auto"/>
          <w:sz w:val="24"/>
          <w:highlight w:val="none"/>
          <w:lang w:val="en-US" w:eastAsia="zh-CN"/>
        </w:rPr>
      </w:pPr>
      <w:r>
        <w:rPr>
          <w:rFonts w:hint="eastAsia"/>
          <w:color w:val="auto"/>
          <w:sz w:val="24"/>
          <w:highlight w:val="none"/>
        </w:rPr>
        <w:t>六、一般公共预算财政拨款基本支出决算情况说明</w:t>
      </w:r>
      <w:r>
        <w:rPr>
          <w:b/>
          <w:color w:val="auto"/>
          <w:highlight w:val="none"/>
        </w:rPr>
        <w:tab/>
      </w:r>
      <w:r>
        <w:rPr>
          <w:rFonts w:hint="eastAsia"/>
          <w:b/>
          <w:color w:val="auto"/>
          <w:highlight w:val="none"/>
          <w:lang w:val="en-US" w:eastAsia="zh-CN"/>
        </w:rPr>
        <w:t>8</w:t>
      </w:r>
    </w:p>
    <w:p>
      <w:pPr>
        <w:pStyle w:val="16"/>
        <w:adjustRightInd w:val="0"/>
        <w:snapToGrid w:val="0"/>
        <w:spacing w:line="440" w:lineRule="exact"/>
        <w:jc w:val="left"/>
        <w:rPr>
          <w:rFonts w:hint="eastAsia" w:ascii="仿宋" w:hAnsi="仿宋" w:eastAsia="宋体" w:cstheme="minorBidi"/>
          <w:color w:val="auto"/>
          <w:sz w:val="24"/>
          <w:highlight w:val="none"/>
          <w:lang w:val="en-US" w:eastAsia="zh-CN"/>
        </w:rPr>
      </w:pPr>
      <w:r>
        <w:rPr>
          <w:rFonts w:hint="eastAsia"/>
          <w:color w:val="auto"/>
          <w:sz w:val="24"/>
          <w:highlight w:val="none"/>
        </w:rPr>
        <w:t>七、财政拨款</w:t>
      </w:r>
      <w:r>
        <w:rPr>
          <w:rFonts w:hint="eastAsia"/>
          <w:color w:val="auto"/>
          <w:sz w:val="24"/>
          <w:highlight w:val="none"/>
          <w:lang w:eastAsia="zh-CN"/>
        </w:rPr>
        <w:t>“</w:t>
      </w:r>
      <w:r>
        <w:rPr>
          <w:rFonts w:hint="eastAsia"/>
          <w:color w:val="auto"/>
          <w:sz w:val="24"/>
          <w:highlight w:val="none"/>
        </w:rPr>
        <w:t>三公”经费支出决算情况说明</w:t>
      </w:r>
      <w:r>
        <w:rPr>
          <w:b/>
          <w:color w:val="auto"/>
          <w:highlight w:val="none"/>
        </w:rPr>
        <w:tab/>
      </w:r>
      <w:r>
        <w:rPr>
          <w:rFonts w:hint="eastAsia"/>
          <w:b/>
          <w:color w:val="auto"/>
          <w:highlight w:val="none"/>
          <w:lang w:val="en-US" w:eastAsia="zh-CN"/>
        </w:rPr>
        <w:t>9</w:t>
      </w:r>
    </w:p>
    <w:p>
      <w:pPr>
        <w:pStyle w:val="16"/>
        <w:adjustRightInd w:val="0"/>
        <w:snapToGrid w:val="0"/>
        <w:spacing w:line="440" w:lineRule="exact"/>
        <w:jc w:val="left"/>
        <w:rPr>
          <w:rFonts w:hint="eastAsia" w:ascii="仿宋" w:hAnsi="仿宋" w:eastAsia="宋体" w:cstheme="minorBidi"/>
          <w:color w:val="auto"/>
          <w:sz w:val="24"/>
          <w:highlight w:val="none"/>
          <w:lang w:val="en-US" w:eastAsia="zh-CN"/>
        </w:rPr>
      </w:pPr>
      <w:r>
        <w:rPr>
          <w:rFonts w:hint="eastAsia"/>
          <w:color w:val="auto"/>
          <w:sz w:val="24"/>
          <w:highlight w:val="none"/>
        </w:rPr>
        <w:t>八、政府性基金预算支出决算情况说明</w:t>
      </w:r>
      <w:r>
        <w:rPr>
          <w:b/>
          <w:color w:val="auto"/>
          <w:highlight w:val="none"/>
        </w:rPr>
        <w:tab/>
      </w:r>
      <w:r>
        <w:rPr>
          <w:rFonts w:hint="eastAsia"/>
          <w:b/>
          <w:color w:val="auto"/>
          <w:highlight w:val="none"/>
          <w:lang w:val="en-US" w:eastAsia="zh-CN"/>
        </w:rPr>
        <w:t>8</w:t>
      </w:r>
    </w:p>
    <w:p>
      <w:pPr>
        <w:pStyle w:val="16"/>
        <w:adjustRightInd w:val="0"/>
        <w:snapToGrid w:val="0"/>
        <w:spacing w:line="440" w:lineRule="exact"/>
        <w:jc w:val="left"/>
        <w:rPr>
          <w:rFonts w:hint="eastAsia" w:eastAsia="宋体"/>
          <w:color w:val="auto"/>
          <w:sz w:val="24"/>
          <w:highlight w:val="none"/>
          <w:lang w:val="en-US" w:eastAsia="zh-CN"/>
        </w:rPr>
      </w:pPr>
      <w:r>
        <w:rPr>
          <w:rFonts w:hint="eastAsia"/>
          <w:color w:val="auto"/>
          <w:sz w:val="24"/>
          <w:highlight w:val="none"/>
        </w:rPr>
        <w:t>九、国有资本经营预算支出决算情况说明</w:t>
      </w:r>
      <w:r>
        <w:rPr>
          <w:b/>
          <w:color w:val="auto"/>
          <w:highlight w:val="none"/>
        </w:rPr>
        <w:tab/>
      </w:r>
      <w:r>
        <w:rPr>
          <w:rFonts w:hint="eastAsia"/>
          <w:b/>
          <w:color w:val="auto"/>
          <w:highlight w:val="none"/>
          <w:lang w:val="en-US" w:eastAsia="zh-CN"/>
        </w:rPr>
        <w:t>8</w:t>
      </w:r>
    </w:p>
    <w:p>
      <w:pPr>
        <w:pStyle w:val="16"/>
        <w:adjustRightInd w:val="0"/>
        <w:snapToGrid w:val="0"/>
        <w:spacing w:line="440" w:lineRule="exact"/>
        <w:jc w:val="left"/>
        <w:rPr>
          <w:rFonts w:hint="eastAsia" w:eastAsia="宋体"/>
          <w:color w:val="auto"/>
          <w:sz w:val="24"/>
          <w:highlight w:val="none"/>
          <w:lang w:val="en-US" w:eastAsia="zh-CN"/>
        </w:rPr>
      </w:pPr>
      <w:r>
        <w:rPr>
          <w:rFonts w:hint="eastAsia"/>
          <w:color w:val="auto"/>
          <w:sz w:val="24"/>
          <w:highlight w:val="none"/>
        </w:rPr>
        <w:t>十、其他重要事项的情况说明</w:t>
      </w:r>
      <w:r>
        <w:rPr>
          <w:b/>
          <w:color w:val="auto"/>
          <w:highlight w:val="none"/>
        </w:rPr>
        <w:tab/>
      </w:r>
      <w:r>
        <w:rPr>
          <w:rFonts w:hint="eastAsia"/>
          <w:b/>
          <w:color w:val="auto"/>
          <w:highlight w:val="none"/>
          <w:lang w:val="en-US" w:eastAsia="zh-CN"/>
        </w:rPr>
        <w:t>8</w:t>
      </w:r>
    </w:p>
    <w:p>
      <w:pPr>
        <w:pStyle w:val="13"/>
        <w:adjustRightInd w:val="0"/>
        <w:snapToGrid w:val="0"/>
        <w:spacing w:before="0" w:line="440" w:lineRule="exact"/>
        <w:jc w:val="left"/>
        <w:rPr>
          <w:rFonts w:hint="default" w:eastAsia="仿宋" w:cstheme="minorBidi"/>
          <w:color w:val="auto"/>
          <w:sz w:val="24"/>
          <w:szCs w:val="24"/>
          <w:highlight w:val="none"/>
          <w:lang w:val="en-US" w:eastAsia="zh-CN"/>
        </w:rPr>
      </w:pPr>
      <w:r>
        <w:rPr>
          <w:rFonts w:hint="eastAsia"/>
          <w:color w:val="auto"/>
          <w:sz w:val="24"/>
          <w:highlight w:val="none"/>
        </w:rPr>
        <w:t>第三部分</w:t>
      </w:r>
      <w:r>
        <w:rPr>
          <w:color w:val="auto"/>
          <w:sz w:val="24"/>
          <w:highlight w:val="none"/>
        </w:rPr>
        <w:t xml:space="preserve"> </w:t>
      </w:r>
      <w:r>
        <w:rPr>
          <w:rFonts w:hint="eastAsia"/>
          <w:color w:val="auto"/>
          <w:sz w:val="24"/>
          <w:highlight w:val="none"/>
        </w:rPr>
        <w:t>名词解释</w:t>
      </w:r>
      <w:r>
        <w:rPr>
          <w:b/>
          <w:color w:val="auto"/>
          <w:highlight w:val="none"/>
        </w:rPr>
        <w:tab/>
      </w:r>
      <w:r>
        <w:rPr>
          <w:rFonts w:hint="eastAsia"/>
          <w:b/>
          <w:color w:val="auto"/>
          <w:highlight w:val="none"/>
          <w:lang w:val="en-US" w:eastAsia="zh-CN"/>
        </w:rPr>
        <w:t>12</w:t>
      </w:r>
    </w:p>
    <w:p>
      <w:pPr>
        <w:pStyle w:val="13"/>
        <w:adjustRightInd w:val="0"/>
        <w:snapToGrid w:val="0"/>
        <w:spacing w:before="0" w:line="440" w:lineRule="exact"/>
        <w:jc w:val="left"/>
        <w:rPr>
          <w:rFonts w:hint="default" w:eastAsia="仿宋" w:cstheme="minorBidi"/>
          <w:color w:val="auto"/>
          <w:sz w:val="24"/>
          <w:szCs w:val="24"/>
          <w:highlight w:val="none"/>
          <w:lang w:val="en-US" w:eastAsia="zh-CN"/>
        </w:rPr>
      </w:pPr>
      <w:r>
        <w:rPr>
          <w:rFonts w:hint="eastAsia"/>
          <w:color w:val="auto"/>
          <w:sz w:val="24"/>
          <w:highlight w:val="none"/>
        </w:rPr>
        <w:t>第四部分</w:t>
      </w:r>
      <w:r>
        <w:rPr>
          <w:color w:val="auto"/>
          <w:sz w:val="24"/>
          <w:highlight w:val="none"/>
        </w:rPr>
        <w:t xml:space="preserve"> </w:t>
      </w:r>
      <w:r>
        <w:rPr>
          <w:rFonts w:hint="eastAsia"/>
          <w:color w:val="auto"/>
          <w:sz w:val="24"/>
          <w:highlight w:val="none"/>
        </w:rPr>
        <w:t>附件</w:t>
      </w:r>
      <w:r>
        <w:rPr>
          <w:b/>
          <w:color w:val="auto"/>
          <w:highlight w:val="none"/>
        </w:rPr>
        <w:tab/>
      </w:r>
      <w:r>
        <w:rPr>
          <w:rFonts w:hint="eastAsia"/>
          <w:b/>
          <w:color w:val="auto"/>
          <w:highlight w:val="none"/>
          <w:lang w:val="en-US" w:eastAsia="zh-CN"/>
        </w:rPr>
        <w:t>17</w:t>
      </w:r>
    </w:p>
    <w:p>
      <w:pPr>
        <w:pStyle w:val="13"/>
        <w:adjustRightInd w:val="0"/>
        <w:snapToGrid w:val="0"/>
        <w:spacing w:before="0" w:line="440" w:lineRule="exact"/>
        <w:jc w:val="left"/>
        <w:rPr>
          <w:rFonts w:hint="default" w:eastAsia="仿宋" w:cstheme="minorBidi"/>
          <w:color w:val="auto"/>
          <w:sz w:val="24"/>
          <w:szCs w:val="24"/>
          <w:highlight w:val="none"/>
          <w:lang w:val="en-US" w:eastAsia="zh-CN"/>
        </w:rPr>
      </w:pPr>
      <w:r>
        <w:rPr>
          <w:rFonts w:hint="eastAsia"/>
          <w:color w:val="auto"/>
          <w:sz w:val="24"/>
          <w:highlight w:val="none"/>
        </w:rPr>
        <w:t>第五部分</w:t>
      </w:r>
      <w:r>
        <w:rPr>
          <w:color w:val="auto"/>
          <w:sz w:val="24"/>
          <w:highlight w:val="none"/>
        </w:rPr>
        <w:t xml:space="preserve"> </w:t>
      </w:r>
      <w:r>
        <w:rPr>
          <w:rFonts w:hint="eastAsia"/>
          <w:color w:val="auto"/>
          <w:sz w:val="24"/>
          <w:highlight w:val="none"/>
        </w:rPr>
        <w:t>附表</w:t>
      </w:r>
      <w:r>
        <w:rPr>
          <w:b/>
          <w:color w:val="auto"/>
          <w:highlight w:val="none"/>
        </w:rPr>
        <w:tab/>
      </w:r>
      <w:r>
        <w:rPr>
          <w:rFonts w:hint="eastAsia"/>
          <w:b/>
          <w:color w:val="auto"/>
          <w:highlight w:val="none"/>
          <w:lang w:val="en-US" w:eastAsia="zh-CN"/>
        </w:rPr>
        <w:t>89</w:t>
      </w:r>
    </w:p>
    <w:p>
      <w:pPr>
        <w:pStyle w:val="16"/>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一、收入支出决算总表</w:t>
      </w:r>
      <w:r>
        <w:rPr>
          <w:b/>
          <w:color w:val="auto"/>
          <w:highlight w:val="none"/>
        </w:rPr>
        <w:tab/>
      </w:r>
      <w:r>
        <w:rPr>
          <w:rFonts w:hint="eastAsia"/>
          <w:b/>
          <w:color w:val="auto"/>
          <w:highlight w:val="none"/>
          <w:lang w:val="en-US" w:eastAsia="zh-CN"/>
        </w:rPr>
        <w:t>89</w:t>
      </w:r>
    </w:p>
    <w:p>
      <w:pPr>
        <w:pStyle w:val="16"/>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二、收入决算表</w:t>
      </w:r>
      <w:r>
        <w:rPr>
          <w:b/>
          <w:color w:val="auto"/>
          <w:highlight w:val="none"/>
        </w:rPr>
        <w:tab/>
      </w:r>
      <w:r>
        <w:rPr>
          <w:rFonts w:hint="eastAsia"/>
          <w:b/>
          <w:color w:val="auto"/>
          <w:highlight w:val="none"/>
          <w:lang w:val="en-US" w:eastAsia="zh-CN"/>
        </w:rPr>
        <w:t>89</w:t>
      </w:r>
    </w:p>
    <w:p>
      <w:pPr>
        <w:pStyle w:val="16"/>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三、支出决算表</w:t>
      </w:r>
      <w:r>
        <w:rPr>
          <w:b/>
          <w:color w:val="auto"/>
          <w:highlight w:val="none"/>
        </w:rPr>
        <w:tab/>
      </w:r>
      <w:r>
        <w:rPr>
          <w:rFonts w:hint="eastAsia"/>
          <w:b/>
          <w:color w:val="auto"/>
          <w:highlight w:val="none"/>
          <w:lang w:val="en-US" w:eastAsia="zh-CN"/>
        </w:rPr>
        <w:t>89</w:t>
      </w:r>
    </w:p>
    <w:p>
      <w:pPr>
        <w:pStyle w:val="16"/>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四、财政拨款收入支出决算总表</w:t>
      </w:r>
      <w:r>
        <w:rPr>
          <w:b/>
          <w:color w:val="auto"/>
          <w:highlight w:val="none"/>
        </w:rPr>
        <w:tab/>
      </w:r>
      <w:r>
        <w:rPr>
          <w:rFonts w:hint="eastAsia"/>
          <w:b/>
          <w:color w:val="auto"/>
          <w:highlight w:val="none"/>
          <w:lang w:val="en-US" w:eastAsia="zh-CN"/>
        </w:rPr>
        <w:t>89</w:t>
      </w:r>
    </w:p>
    <w:p>
      <w:pPr>
        <w:pStyle w:val="16"/>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五、财政拨款支出决算明细表</w:t>
      </w:r>
      <w:r>
        <w:rPr>
          <w:b/>
          <w:color w:val="auto"/>
          <w:highlight w:val="none"/>
        </w:rPr>
        <w:tab/>
      </w:r>
      <w:r>
        <w:rPr>
          <w:rFonts w:hint="eastAsia"/>
          <w:b/>
          <w:color w:val="auto"/>
          <w:highlight w:val="none"/>
          <w:lang w:val="en-US" w:eastAsia="zh-CN"/>
        </w:rPr>
        <w:t>89</w:t>
      </w:r>
    </w:p>
    <w:p>
      <w:pPr>
        <w:pStyle w:val="16"/>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六、一般公共预算财政拨款支出决算表</w:t>
      </w:r>
      <w:r>
        <w:rPr>
          <w:b/>
          <w:color w:val="auto"/>
          <w:highlight w:val="none"/>
        </w:rPr>
        <w:tab/>
      </w:r>
      <w:r>
        <w:rPr>
          <w:rFonts w:hint="eastAsia"/>
          <w:b/>
          <w:color w:val="auto"/>
          <w:highlight w:val="none"/>
          <w:lang w:val="en-US" w:eastAsia="zh-CN"/>
        </w:rPr>
        <w:t>89</w:t>
      </w:r>
    </w:p>
    <w:p>
      <w:pPr>
        <w:pStyle w:val="16"/>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七、一般公共预算财政拨款支出决算明细表</w:t>
      </w:r>
      <w:r>
        <w:rPr>
          <w:b/>
          <w:color w:val="auto"/>
          <w:highlight w:val="none"/>
        </w:rPr>
        <w:tab/>
      </w:r>
      <w:r>
        <w:rPr>
          <w:rFonts w:hint="eastAsia"/>
          <w:b/>
          <w:color w:val="auto"/>
          <w:highlight w:val="none"/>
          <w:lang w:val="en-US" w:eastAsia="zh-CN"/>
        </w:rPr>
        <w:t>89</w:t>
      </w:r>
    </w:p>
    <w:p>
      <w:pPr>
        <w:pStyle w:val="16"/>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八、一般公共预算财政拨款基本支出决算</w:t>
      </w:r>
      <w:r>
        <w:rPr>
          <w:rFonts w:hint="eastAsia"/>
          <w:color w:val="auto"/>
          <w:sz w:val="24"/>
          <w:highlight w:val="none"/>
          <w:lang w:eastAsia="zh-CN"/>
        </w:rPr>
        <w:t>明细</w:t>
      </w:r>
      <w:r>
        <w:rPr>
          <w:rFonts w:hint="eastAsia"/>
          <w:color w:val="auto"/>
          <w:sz w:val="24"/>
          <w:highlight w:val="none"/>
        </w:rPr>
        <w:t>表</w:t>
      </w:r>
      <w:r>
        <w:rPr>
          <w:b/>
          <w:color w:val="auto"/>
          <w:highlight w:val="none"/>
        </w:rPr>
        <w:tab/>
      </w:r>
      <w:r>
        <w:rPr>
          <w:rFonts w:hint="eastAsia"/>
          <w:b/>
          <w:color w:val="auto"/>
          <w:highlight w:val="none"/>
          <w:lang w:val="en-US" w:eastAsia="zh-CN"/>
        </w:rPr>
        <w:t>89</w:t>
      </w:r>
    </w:p>
    <w:p>
      <w:pPr>
        <w:pStyle w:val="16"/>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九、一般公共预算财政拨款项目支出决算表</w:t>
      </w:r>
      <w:r>
        <w:rPr>
          <w:b/>
          <w:color w:val="auto"/>
          <w:highlight w:val="none"/>
        </w:rPr>
        <w:tab/>
      </w:r>
      <w:r>
        <w:rPr>
          <w:rFonts w:hint="eastAsia"/>
          <w:b/>
          <w:color w:val="auto"/>
          <w:highlight w:val="none"/>
          <w:lang w:val="en-US" w:eastAsia="zh-CN"/>
        </w:rPr>
        <w:t>89</w:t>
      </w:r>
    </w:p>
    <w:p>
      <w:pPr>
        <w:pStyle w:val="16"/>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十、政府性基金预算财政拨款收入支出决算表</w:t>
      </w:r>
      <w:r>
        <w:rPr>
          <w:b/>
          <w:color w:val="auto"/>
          <w:highlight w:val="none"/>
        </w:rPr>
        <w:tab/>
      </w:r>
      <w:r>
        <w:rPr>
          <w:rFonts w:hint="eastAsia"/>
          <w:b/>
          <w:color w:val="auto"/>
          <w:highlight w:val="none"/>
          <w:lang w:val="en-US" w:eastAsia="zh-CN"/>
        </w:rPr>
        <w:t>89</w:t>
      </w:r>
    </w:p>
    <w:p>
      <w:pPr>
        <w:pStyle w:val="16"/>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十一、国有资本经营预算财政拨款收入支出决算表</w:t>
      </w:r>
      <w:r>
        <w:rPr>
          <w:b/>
          <w:color w:val="auto"/>
          <w:highlight w:val="none"/>
        </w:rPr>
        <w:tab/>
      </w:r>
      <w:r>
        <w:rPr>
          <w:rFonts w:hint="eastAsia"/>
          <w:b/>
          <w:color w:val="auto"/>
          <w:highlight w:val="none"/>
          <w:lang w:val="en-US" w:eastAsia="zh-CN"/>
        </w:rPr>
        <w:t>89</w:t>
      </w:r>
    </w:p>
    <w:p>
      <w:pPr>
        <w:pStyle w:val="16"/>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十二、</w:t>
      </w:r>
      <w:r>
        <w:rPr>
          <w:rFonts w:hint="eastAsia"/>
          <w:color w:val="auto"/>
          <w:sz w:val="24"/>
          <w:highlight w:val="none"/>
          <w:lang w:val="en-US" w:eastAsia="zh-CN"/>
        </w:rPr>
        <w:t>国有资本经营预算财政拨款支出决算表</w:t>
      </w:r>
      <w:r>
        <w:rPr>
          <w:b/>
          <w:color w:val="auto"/>
          <w:highlight w:val="none"/>
        </w:rPr>
        <w:tab/>
      </w:r>
      <w:r>
        <w:rPr>
          <w:rFonts w:hint="eastAsia"/>
          <w:b/>
          <w:color w:val="auto"/>
          <w:highlight w:val="none"/>
          <w:lang w:val="en-US" w:eastAsia="zh-CN"/>
        </w:rPr>
        <w:t>89</w:t>
      </w:r>
    </w:p>
    <w:p>
      <w:pPr>
        <w:pStyle w:val="16"/>
        <w:adjustRightInd w:val="0"/>
        <w:snapToGrid w:val="0"/>
        <w:spacing w:line="440" w:lineRule="exact"/>
        <w:jc w:val="left"/>
        <w:rPr>
          <w:rFonts w:hint="default" w:eastAsia="宋体"/>
          <w:color w:val="auto"/>
          <w:sz w:val="24"/>
          <w:highlight w:val="none"/>
          <w:lang w:val="en-US" w:eastAsia="zh-CN"/>
        </w:rPr>
      </w:pPr>
      <w:r>
        <w:rPr>
          <w:rFonts w:hint="eastAsia"/>
          <w:color w:val="auto"/>
          <w:sz w:val="24"/>
          <w:highlight w:val="none"/>
        </w:rPr>
        <w:t>十三、财政拨款“三公”经费支出决算表</w:t>
      </w:r>
      <w:r>
        <w:rPr>
          <w:b/>
          <w:color w:val="auto"/>
          <w:highlight w:val="none"/>
        </w:rPr>
        <w:tab/>
      </w:r>
      <w:r>
        <w:rPr>
          <w:rFonts w:hint="eastAsia"/>
          <w:b/>
          <w:color w:val="auto"/>
          <w:highlight w:val="none"/>
          <w:lang w:val="en-US" w:eastAsia="zh-CN"/>
        </w:rPr>
        <w:t>89</w:t>
      </w:r>
    </w:p>
    <w:p>
      <w:pPr>
        <w:pStyle w:val="4"/>
        <w:jc w:val="center"/>
        <w:rPr>
          <w:rFonts w:hint="eastAsia" w:ascii="黑体" w:hAnsi="黑体" w:eastAsia="黑体"/>
          <w:b w:val="0"/>
          <w:color w:val="auto"/>
          <w:highlight w:val="none"/>
        </w:rPr>
        <w:sectPr>
          <w:footerReference r:id="rId7" w:type="first"/>
          <w:footerReference r:id="rId6" w:type="default"/>
          <w:pgSz w:w="11906" w:h="16838"/>
          <w:pgMar w:top="1440" w:right="1800" w:bottom="1440" w:left="1800" w:header="851" w:footer="992" w:gutter="0"/>
          <w:pgNumType w:fmt="decimal" w:start="1"/>
          <w:cols w:space="425" w:num="1"/>
          <w:titlePg/>
          <w:docGrid w:type="lines" w:linePitch="312" w:charSpace="0"/>
        </w:sectPr>
      </w:pPr>
      <w:bookmarkStart w:id="12" w:name="_Toc15396599"/>
      <w:bookmarkStart w:id="13" w:name="_Toc15377196"/>
    </w:p>
    <w:p>
      <w:pPr>
        <w:pStyle w:val="4"/>
        <w:jc w:val="center"/>
        <w:rPr>
          <w:rFonts w:ascii="黑体" w:eastAsia="黑体"/>
          <w:color w:val="auto"/>
          <w:sz w:val="32"/>
          <w:szCs w:val="32"/>
          <w:highlight w:val="none"/>
        </w:rPr>
      </w:pPr>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31"/>
          <w:rFonts w:hint="eastAsia" w:ascii="黑体" w:hAnsi="黑体" w:eastAsia="黑体"/>
          <w:b w:val="0"/>
          <w:bCs w:val="0"/>
          <w:color w:val="auto"/>
          <w:highlight w:val="none"/>
        </w:rPr>
        <w:t>概况</w:t>
      </w:r>
      <w:bookmarkEnd w:id="12"/>
      <w:bookmarkEnd w:id="13"/>
    </w:p>
    <w:p>
      <w:pPr>
        <w:pStyle w:val="5"/>
        <w:numPr>
          <w:ilvl w:val="0"/>
          <w:numId w:val="1"/>
        </w:numPr>
        <w:rPr>
          <w:rStyle w:val="32"/>
          <w:rFonts w:hint="eastAsia" w:ascii="黑体" w:hAnsi="黑体" w:eastAsia="黑体"/>
          <w:b w:val="0"/>
          <w:bCs w:val="0"/>
          <w:color w:val="auto"/>
          <w:highlight w:val="none"/>
          <w:lang w:eastAsia="zh-CN"/>
        </w:rPr>
      </w:pPr>
      <w:bookmarkStart w:id="14" w:name="_Toc15377197"/>
      <w:bookmarkStart w:id="15" w:name="_Toc15396600"/>
      <w:r>
        <w:rPr>
          <w:rStyle w:val="32"/>
          <w:rFonts w:hint="eastAsia" w:ascii="黑体" w:hAnsi="黑体" w:eastAsia="黑体"/>
          <w:b w:val="0"/>
          <w:bCs w:val="0"/>
          <w:color w:val="auto"/>
          <w:highlight w:val="none"/>
          <w:lang w:eastAsia="zh-CN"/>
        </w:rPr>
        <w:t>主要职责</w:t>
      </w:r>
    </w:p>
    <w:p>
      <w:pPr>
        <w:pStyle w:val="5"/>
        <w:numPr>
          <w:ilvl w:val="0"/>
          <w:numId w:val="0"/>
        </w:numPr>
        <w:shd w:val="clear"/>
        <w:ind w:firstLine="643" w:firstLineChars="200"/>
        <w:rPr>
          <w:rFonts w:hint="eastAsia" w:ascii="仿宋_GB2312" w:hAnsi="仿宋_GB2312" w:eastAsia="仿宋_GB2312" w:cs="仿宋_GB2312"/>
          <w:color w:val="auto"/>
          <w:sz w:val="32"/>
          <w:szCs w:val="32"/>
          <w:highlight w:val="none"/>
          <w:lang w:val="en-US" w:eastAsia="zh-CN"/>
        </w:rPr>
      </w:pPr>
      <w:bookmarkStart w:id="16" w:name="_Toc29055"/>
      <w:r>
        <w:rPr>
          <w:rFonts w:hint="eastAsia" w:ascii="仿宋_GB2312" w:hAnsi="仿宋" w:eastAsia="仿宋_GB2312"/>
          <w:color w:val="auto"/>
          <w:sz w:val="32"/>
          <w:szCs w:val="32"/>
          <w:highlight w:val="none"/>
        </w:rPr>
        <w:t>负责全市林业及其生态保护修复的监督管理。组织全市生态保护修复和造林绿化工作。负责全市森林资源的监督管理。负责全市湿地资源的监督管理。负责全市陆生野生动植物资源的监督管理。负责监督管理全市各类自然保护地。负责推进全市林业改革相关工作。拟订集体林权制度、国有林区、国有林场（苗圃）等重大改革意见并监督实施。拟订农村林业发展、维护林业经营者合法权益的政策措施。指导农村林地承包经营工作。开展退耕还林，负责天然林保护工作。拟订全市林业资源优化配置及木材利用政策，拟订相关林业产业地方标准并监督实施，组织、指导林产品质量监督。指导全市国有林场（苗圃）基本建设、发展，组织林木种质资源普查，组织建立种质资源库，负责良种选育推广，管理林木种苗生产经营行为，监管林木种苗质量。负责森林防灭火相关工作。监督管理全市林业市级及以上资金和国有资产，提出林业预算内投资、市级及以上财政性资金安排建议，按市政府规定权限，核报、监督管理规划内和年度计划内投资项目。参与拟订全市林业经济调节政策，组织实施林业生态补偿工作。承担职责范围内安全生产和职业健康、生态环境保护、审批服务便民化等工作。</w:t>
      </w:r>
      <w:bookmarkEnd w:id="16"/>
    </w:p>
    <w:p>
      <w:pPr>
        <w:rPr>
          <w:rFonts w:hint="eastAsia"/>
          <w:lang w:eastAsia="zh-CN"/>
        </w:rPr>
      </w:pPr>
    </w:p>
    <w:p>
      <w:pPr>
        <w:pStyle w:val="5"/>
        <w:numPr>
          <w:ilvl w:val="0"/>
          <w:numId w:val="1"/>
        </w:numPr>
        <w:ind w:left="0" w:leftChars="0" w:firstLine="0" w:firstLineChars="0"/>
        <w:rPr>
          <w:rFonts w:hint="eastAsia" w:ascii="黑体" w:hAnsi="黑体" w:eastAsia="黑体"/>
          <w:b w:val="0"/>
          <w:color w:val="auto"/>
          <w:highlight w:val="none"/>
          <w:lang w:val="en-US" w:eastAsia="zh-CN"/>
        </w:rPr>
      </w:pPr>
      <w:r>
        <w:rPr>
          <w:rFonts w:hint="eastAsia" w:ascii="黑体" w:hAnsi="黑体" w:eastAsia="黑体"/>
          <w:b w:val="0"/>
          <w:color w:val="auto"/>
          <w:highlight w:val="none"/>
          <w:lang w:val="en-US" w:eastAsia="zh-CN"/>
        </w:rPr>
        <w:t>机构设置</w:t>
      </w:r>
    </w:p>
    <w:p>
      <w:pPr>
        <w:shd w:val="clear"/>
        <w:spacing w:line="600" w:lineRule="exact"/>
        <w:ind w:firstLine="640" w:firstLineChars="200"/>
        <w:rPr>
          <w:rFonts w:hint="eastAsia" w:ascii="仿宋" w:hAnsi="仿宋" w:eastAsia="仿宋"/>
          <w:color w:val="auto"/>
          <w:sz w:val="32"/>
          <w:szCs w:val="32"/>
          <w:highlight w:val="none"/>
          <w:lang w:val="en-US" w:eastAsia="zh-CN"/>
        </w:rPr>
      </w:pPr>
      <w:r>
        <w:rPr>
          <w:rFonts w:hint="eastAsia" w:ascii="仿宋" w:hAnsi="仿宋" w:eastAsia="仿宋"/>
          <w:color w:val="auto"/>
          <w:sz w:val="32"/>
          <w:szCs w:val="32"/>
          <w:highlight w:val="none"/>
          <w:lang w:val="en-US" w:eastAsia="zh-CN"/>
        </w:rPr>
        <w:t>广元市林业局现有内设科室14个，分别是办公室、生态保护修复科、森林资源管理科、野生动植物保护管理科、自然保护地和湿地管理科、林业产业和科技科、国有林场和种苗管理科、财务科、人事科、机关党办、规划改革发展科、综合执法科、防火科、林长制工作科（挂政策法规与行政审批科、执法监督科牌子）。直属事业单位12个：市自然保护地工作站（市蜀道世界自然与文化遗产保护中心、四川南河国家湿地公园事务中心）、市林木种苗管理站、市林业有害生物防治检疫站、市森林防火监测中心、市野生动植物保护管理站、市天然林资源保护工程管理中心、市退耕还林工程管理中心、市林长制工作事务中心、市林业工作站（市营林造林站）、市林业科学研究院（市林业技术推广站）、市森林资源工作站（市林业规划事务中心）和市国有林场，其中市林业有害生物防治检疫站为参公事业单位。管理市属国有企业1个：鸳鸯池国有林保护有限公司</w:t>
      </w:r>
    </w:p>
    <w:p>
      <w:pPr>
        <w:widowControl w:val="0"/>
        <w:numPr>
          <w:ilvl w:val="0"/>
          <w:numId w:val="0"/>
        </w:numPr>
        <w:jc w:val="both"/>
        <w:rPr>
          <w:rFonts w:hint="eastAsia"/>
          <w:lang w:val="en-US" w:eastAsia="zh-CN"/>
        </w:rPr>
      </w:pPr>
    </w:p>
    <w:bookmarkEnd w:id="14"/>
    <w:bookmarkEnd w:id="15"/>
    <w:p>
      <w:pPr>
        <w:widowControl/>
        <w:jc w:val="left"/>
        <w:rPr>
          <w:rFonts w:ascii="仿宋" w:hAnsi="仿宋" w:eastAsia="仿宋"/>
          <w:color w:val="auto"/>
          <w:kern w:val="0"/>
          <w:sz w:val="32"/>
          <w:szCs w:val="32"/>
          <w:highlight w:val="none"/>
        </w:rPr>
      </w:pPr>
      <w:r>
        <w:rPr>
          <w:rFonts w:ascii="仿宋" w:hAnsi="仿宋" w:eastAsia="仿宋"/>
          <w:color w:val="auto"/>
          <w:sz w:val="32"/>
          <w:szCs w:val="32"/>
          <w:highlight w:val="none"/>
        </w:rPr>
        <w:br w:type="page"/>
      </w:r>
    </w:p>
    <w:p>
      <w:pPr>
        <w:pStyle w:val="4"/>
        <w:ind w:right="440"/>
        <w:jc w:val="center"/>
        <w:rPr>
          <w:rStyle w:val="31"/>
          <w:rFonts w:ascii="黑体" w:hAnsi="黑体" w:eastAsia="黑体"/>
          <w:b w:val="0"/>
          <w:bCs/>
          <w:color w:val="auto"/>
          <w:highlight w:val="none"/>
        </w:rPr>
      </w:pPr>
      <w:bookmarkStart w:id="17" w:name="_Toc15396602"/>
      <w:bookmarkStart w:id="18" w:name="_Toc15377204"/>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w:t>
      </w:r>
      <w:r>
        <w:rPr>
          <w:rStyle w:val="31"/>
          <w:rFonts w:hint="eastAsia" w:ascii="黑体" w:hAnsi="黑体" w:eastAsia="黑体"/>
          <w:b w:val="0"/>
          <w:bCs/>
          <w:color w:val="auto"/>
          <w:highlight w:val="none"/>
          <w:lang w:eastAsia="zh-CN"/>
        </w:rPr>
        <w:t>单位</w:t>
      </w:r>
      <w:r>
        <w:rPr>
          <w:rStyle w:val="31"/>
          <w:rFonts w:hint="eastAsia" w:ascii="黑体" w:hAnsi="黑体" w:eastAsia="黑体"/>
          <w:b w:val="0"/>
          <w:bCs/>
          <w:color w:val="auto"/>
          <w:highlight w:val="none"/>
        </w:rPr>
        <w:t>决算情况说明</w:t>
      </w:r>
      <w:bookmarkEnd w:id="17"/>
      <w:bookmarkEnd w:id="18"/>
    </w:p>
    <w:p>
      <w:pPr>
        <w:rPr>
          <w:color w:val="auto"/>
          <w:highlight w:val="none"/>
        </w:rPr>
      </w:pPr>
    </w:p>
    <w:p>
      <w:pPr>
        <w:pStyle w:val="30"/>
        <w:numPr>
          <w:ilvl w:val="0"/>
          <w:numId w:val="2"/>
        </w:numPr>
        <w:spacing w:line="600" w:lineRule="exact"/>
        <w:ind w:firstLineChars="0"/>
        <w:outlineLvl w:val="1"/>
        <w:rPr>
          <w:rStyle w:val="32"/>
          <w:rFonts w:ascii="黑体" w:hAnsi="黑体" w:eastAsia="黑体"/>
          <w:b w:val="0"/>
          <w:color w:val="auto"/>
          <w:highlight w:val="none"/>
        </w:rPr>
      </w:pPr>
      <w:bookmarkStart w:id="19" w:name="_Toc15377205"/>
      <w:bookmarkStart w:id="20" w:name="_Toc15396603"/>
      <w:r>
        <w:rPr>
          <w:rFonts w:hint="eastAsia" w:ascii="黑体" w:hAnsi="黑体" w:eastAsia="黑体"/>
          <w:color w:val="auto"/>
          <w:sz w:val="32"/>
          <w:szCs w:val="32"/>
          <w:highlight w:val="none"/>
        </w:rPr>
        <w:t>收</w:t>
      </w:r>
      <w:r>
        <w:rPr>
          <w:rStyle w:val="32"/>
          <w:rFonts w:hint="eastAsia" w:ascii="黑体" w:hAnsi="黑体" w:eastAsia="黑体"/>
          <w:b w:val="0"/>
          <w:color w:val="auto"/>
          <w:highlight w:val="none"/>
        </w:rPr>
        <w:t>入支出决算总体情况说明</w:t>
      </w:r>
      <w:bookmarkEnd w:id="19"/>
      <w:bookmarkEnd w:id="20"/>
    </w:p>
    <w:p>
      <w:pPr>
        <w:shd w:val="clea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年度收、支总计4,609.43万元。与20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年相比，收、支总计各减少</w:t>
      </w:r>
      <w:r>
        <w:rPr>
          <w:rFonts w:hint="eastAsia" w:ascii="仿宋" w:hAnsi="仿宋" w:eastAsia="仿宋"/>
          <w:color w:val="auto"/>
          <w:sz w:val="32"/>
          <w:szCs w:val="32"/>
          <w:highlight w:val="none"/>
          <w:lang w:val="en-US" w:eastAsia="zh-CN"/>
        </w:rPr>
        <w:t>3400.55</w:t>
      </w:r>
      <w:r>
        <w:rPr>
          <w:rFonts w:hint="eastAsia" w:ascii="仿宋" w:hAnsi="仿宋" w:eastAsia="仿宋"/>
          <w:color w:val="auto"/>
          <w:sz w:val="32"/>
          <w:szCs w:val="32"/>
          <w:highlight w:val="none"/>
        </w:rPr>
        <w:t>万元，下降</w:t>
      </w:r>
      <w:r>
        <w:rPr>
          <w:rFonts w:hint="eastAsia" w:ascii="仿宋" w:hAnsi="仿宋" w:eastAsia="仿宋"/>
          <w:color w:val="auto"/>
          <w:sz w:val="32"/>
          <w:szCs w:val="32"/>
          <w:highlight w:val="none"/>
          <w:lang w:val="en-US" w:eastAsia="zh-CN"/>
        </w:rPr>
        <w:t>42.45</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项目资金减少。</w:t>
      </w:r>
    </w:p>
    <w:p>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：收、支决算总计变动情况图）（柱状图）</w:t>
      </w:r>
    </w:p>
    <w:p>
      <w:pPr>
        <w:pStyle w:val="2"/>
        <w:jc w:val="center"/>
      </w:pPr>
      <w:r>
        <w:drawing>
          <wp:inline distT="0" distB="0" distL="114300" distR="114300">
            <wp:extent cx="3305175" cy="1493520"/>
            <wp:effectExtent l="4445" t="4445" r="5080" b="6985"/>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0" w:firstLineChars="200"/>
        <w:jc w:val="left"/>
        <w:rPr>
          <w:rFonts w:ascii="仿宋_GB2312" w:eastAsia="仿宋_GB2312"/>
          <w:color w:val="auto"/>
          <w:sz w:val="32"/>
          <w:szCs w:val="32"/>
          <w:highlight w:val="none"/>
        </w:rPr>
      </w:pPr>
    </w:p>
    <w:p>
      <w:pPr>
        <w:pStyle w:val="30"/>
        <w:numPr>
          <w:ilvl w:val="0"/>
          <w:numId w:val="2"/>
        </w:numPr>
        <w:spacing w:line="600" w:lineRule="exact"/>
        <w:ind w:firstLineChars="0"/>
        <w:outlineLvl w:val="1"/>
        <w:rPr>
          <w:rStyle w:val="32"/>
          <w:rFonts w:ascii="黑体" w:hAnsi="黑体" w:eastAsia="黑体"/>
          <w:b w:val="0"/>
          <w:color w:val="auto"/>
          <w:highlight w:val="none"/>
        </w:rPr>
      </w:pPr>
      <w:bookmarkStart w:id="21" w:name="_Toc15396604"/>
      <w:bookmarkStart w:id="22" w:name="_Toc15377206"/>
      <w:r>
        <w:rPr>
          <w:rFonts w:hint="eastAsia" w:ascii="黑体" w:hAnsi="黑体" w:eastAsia="黑体"/>
          <w:color w:val="auto"/>
          <w:sz w:val="32"/>
          <w:szCs w:val="32"/>
          <w:highlight w:val="none"/>
        </w:rPr>
        <w:t>收</w:t>
      </w:r>
      <w:r>
        <w:rPr>
          <w:rStyle w:val="32"/>
          <w:rFonts w:hint="eastAsia" w:ascii="黑体" w:hAnsi="黑体" w:eastAsia="黑体"/>
          <w:b w:val="0"/>
          <w:color w:val="auto"/>
          <w:highlight w:val="none"/>
        </w:rPr>
        <w:t>入决算情况说明</w:t>
      </w:r>
      <w:bookmarkEnd w:id="21"/>
      <w:bookmarkEnd w:id="22"/>
    </w:p>
    <w:p>
      <w:pPr>
        <w:spacing w:line="600" w:lineRule="exact"/>
        <w:ind w:firstLine="640" w:firstLineChars="200"/>
        <w:outlineLvl w:val="1"/>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年本年收入合计</w:t>
      </w:r>
      <w:r>
        <w:rPr>
          <w:rFonts w:hint="eastAsia" w:ascii="仿宋" w:hAnsi="仿宋" w:eastAsia="仿宋"/>
          <w:color w:val="auto"/>
          <w:sz w:val="32"/>
          <w:szCs w:val="32"/>
          <w:highlight w:val="none"/>
          <w:lang w:val="en-US" w:eastAsia="zh-CN"/>
        </w:rPr>
        <w:t>2,615.90</w:t>
      </w:r>
      <w:r>
        <w:rPr>
          <w:rFonts w:hint="eastAsia" w:ascii="仿宋" w:hAnsi="仿宋" w:eastAsia="仿宋"/>
          <w:color w:val="auto"/>
          <w:sz w:val="32"/>
          <w:szCs w:val="32"/>
          <w:highlight w:val="none"/>
        </w:rPr>
        <w:t>万元，其中：一般公共预算财政拨款收入2,615.81万元，占</w:t>
      </w:r>
      <w:r>
        <w:rPr>
          <w:rFonts w:hint="eastAsia" w:ascii="仿宋" w:hAnsi="仿宋" w:eastAsia="仿宋"/>
          <w:color w:val="auto"/>
          <w:sz w:val="32"/>
          <w:szCs w:val="32"/>
          <w:highlight w:val="none"/>
          <w:lang w:val="en-US" w:eastAsia="zh-CN"/>
        </w:rPr>
        <w:t>99.99</w:t>
      </w:r>
      <w:r>
        <w:rPr>
          <w:rFonts w:ascii="仿宋" w:hAnsi="仿宋" w:eastAsia="仿宋"/>
          <w:color w:val="auto"/>
          <w:sz w:val="32"/>
          <w:szCs w:val="32"/>
          <w:highlight w:val="none"/>
        </w:rPr>
        <w:t>%</w:t>
      </w:r>
      <w:r>
        <w:rPr>
          <w:rFonts w:hint="eastAsia" w:ascii="仿宋" w:hAnsi="仿宋" w:eastAsia="仿宋"/>
          <w:color w:val="auto"/>
          <w:sz w:val="32"/>
          <w:szCs w:val="32"/>
          <w:highlight w:val="none"/>
        </w:rPr>
        <w:t>；其他收入</w:t>
      </w:r>
      <w:r>
        <w:rPr>
          <w:rFonts w:hint="eastAsia" w:ascii="仿宋" w:hAnsi="仿宋" w:eastAsia="仿宋"/>
          <w:color w:val="auto"/>
          <w:sz w:val="32"/>
          <w:szCs w:val="32"/>
          <w:highlight w:val="none"/>
          <w:lang w:val="en-US" w:eastAsia="zh-CN"/>
        </w:rPr>
        <w:t>0.09</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0.01</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（图2：收入决算结构图）（饼状图）</w:t>
      </w:r>
    </w:p>
    <w:p>
      <w:pPr>
        <w:pStyle w:val="2"/>
        <w:jc w:val="center"/>
      </w:pPr>
      <w:r>
        <w:drawing>
          <wp:inline distT="0" distB="0" distL="114300" distR="114300">
            <wp:extent cx="3221355" cy="1434465"/>
            <wp:effectExtent l="4445" t="4445" r="12700" b="8890"/>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firstLineChars="200"/>
        <w:rPr>
          <w:rFonts w:ascii="仿宋_GB2312" w:eastAsia="仿宋_GB2312"/>
          <w:color w:val="auto"/>
          <w:sz w:val="32"/>
          <w:szCs w:val="32"/>
          <w:highlight w:val="none"/>
        </w:rPr>
      </w:pPr>
    </w:p>
    <w:p>
      <w:pPr>
        <w:pStyle w:val="30"/>
        <w:numPr>
          <w:ilvl w:val="0"/>
          <w:numId w:val="2"/>
        </w:numPr>
        <w:spacing w:line="600" w:lineRule="exact"/>
        <w:ind w:firstLineChars="0"/>
        <w:outlineLvl w:val="1"/>
        <w:rPr>
          <w:rStyle w:val="32"/>
          <w:rFonts w:ascii="黑体" w:hAnsi="黑体" w:eastAsia="黑体"/>
          <w:b w:val="0"/>
          <w:color w:val="auto"/>
          <w:highlight w:val="none"/>
        </w:rPr>
      </w:pPr>
      <w:bookmarkStart w:id="23" w:name="_Toc15396605"/>
      <w:bookmarkStart w:id="24" w:name="_Toc15377207"/>
      <w:r>
        <w:rPr>
          <w:rFonts w:hint="eastAsia" w:ascii="黑体" w:hAnsi="黑体" w:eastAsia="黑体"/>
          <w:color w:val="auto"/>
          <w:sz w:val="32"/>
          <w:szCs w:val="32"/>
          <w:highlight w:val="none"/>
        </w:rPr>
        <w:t>支</w:t>
      </w:r>
      <w:r>
        <w:rPr>
          <w:rStyle w:val="32"/>
          <w:rFonts w:hint="eastAsia" w:ascii="黑体" w:hAnsi="黑体" w:eastAsia="黑体"/>
          <w:b w:val="0"/>
          <w:color w:val="auto"/>
          <w:highlight w:val="none"/>
        </w:rPr>
        <w:t>出决算情况说明</w:t>
      </w:r>
      <w:bookmarkEnd w:id="23"/>
      <w:bookmarkEnd w:id="24"/>
    </w:p>
    <w:p>
      <w:pPr>
        <w:spacing w:line="600" w:lineRule="exact"/>
        <w:ind w:firstLine="640" w:firstLineChars="200"/>
        <w:outlineLvl w:val="1"/>
        <w:rPr>
          <w:rFonts w:ascii="仿宋" w:hAnsi="仿宋" w:eastAsia="仿宋"/>
          <w:color w:val="auto"/>
          <w:sz w:val="32"/>
          <w:szCs w:val="32"/>
          <w:highlight w:val="none"/>
          <w:shd w:val="pct10" w:color="auto" w:fill="FFFFFF"/>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年本年支出合计4,258.54万元，其中：基本支出2,239.79万元，占</w:t>
      </w:r>
      <w:r>
        <w:rPr>
          <w:rFonts w:hint="eastAsia" w:ascii="仿宋" w:hAnsi="仿宋" w:eastAsia="仿宋"/>
          <w:color w:val="auto"/>
          <w:sz w:val="32"/>
          <w:szCs w:val="32"/>
          <w:highlight w:val="none"/>
          <w:lang w:val="en-US" w:eastAsia="zh-CN"/>
        </w:rPr>
        <w:t>52.60</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；项目支出2018.7</w:t>
      </w:r>
      <w:r>
        <w:rPr>
          <w:rFonts w:hint="eastAsia" w:ascii="仿宋" w:hAnsi="仿宋" w:eastAsia="仿宋"/>
          <w:color w:val="auto"/>
          <w:sz w:val="32"/>
          <w:szCs w:val="32"/>
          <w:highlight w:val="none"/>
          <w:lang w:val="en-US" w:eastAsia="zh-CN"/>
        </w:rPr>
        <w:t>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47.40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（图3：支出决算结构图）（饼状图）</w:t>
      </w:r>
    </w:p>
    <w:p>
      <w:pPr>
        <w:pStyle w:val="2"/>
        <w:jc w:val="center"/>
      </w:pPr>
      <w:r>
        <w:drawing>
          <wp:inline distT="0" distB="0" distL="114300" distR="114300">
            <wp:extent cx="3034665" cy="1371600"/>
            <wp:effectExtent l="4445" t="4445" r="8890" b="14605"/>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ind w:firstLine="640" w:firstLineChars="200"/>
        <w:rPr>
          <w:rFonts w:ascii="仿宋_GB2312" w:eastAsia="仿宋_GB2312"/>
          <w:color w:val="auto"/>
          <w:sz w:val="32"/>
          <w:szCs w:val="32"/>
          <w:highlight w:val="none"/>
        </w:rPr>
      </w:pPr>
    </w:p>
    <w:p>
      <w:pPr>
        <w:spacing w:line="600" w:lineRule="exact"/>
        <w:ind w:firstLine="640" w:firstLineChars="200"/>
        <w:outlineLvl w:val="1"/>
        <w:rPr>
          <w:rStyle w:val="32"/>
          <w:rFonts w:ascii="黑体" w:hAnsi="黑体" w:eastAsia="黑体"/>
          <w:b w:val="0"/>
          <w:color w:val="auto"/>
          <w:highlight w:val="none"/>
        </w:rPr>
      </w:pPr>
      <w:bookmarkStart w:id="25" w:name="_Toc15377208"/>
      <w:bookmarkStart w:id="26" w:name="_Toc15396606"/>
      <w:r>
        <w:rPr>
          <w:rFonts w:hint="eastAsia" w:ascii="黑体" w:hAnsi="黑体" w:eastAsia="黑体"/>
          <w:color w:val="auto"/>
          <w:sz w:val="32"/>
          <w:szCs w:val="32"/>
          <w:highlight w:val="none"/>
        </w:rPr>
        <w:t>四、财</w:t>
      </w:r>
      <w:r>
        <w:rPr>
          <w:rStyle w:val="32"/>
          <w:rFonts w:hint="eastAsia" w:ascii="黑体" w:hAnsi="黑体" w:eastAsia="黑体"/>
          <w:b w:val="0"/>
          <w:color w:val="auto"/>
          <w:highlight w:val="none"/>
        </w:rPr>
        <w:t>政拨款收入支出决算总体情况说明</w:t>
      </w:r>
      <w:bookmarkEnd w:id="25"/>
      <w:bookmarkEnd w:id="26"/>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年财政拨款收、支总计4,359.48万元。与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年相比，财政拨款收、支总计各减少</w:t>
      </w:r>
      <w:r>
        <w:rPr>
          <w:rFonts w:hint="eastAsia" w:ascii="仿宋" w:hAnsi="仿宋" w:eastAsia="仿宋"/>
          <w:color w:val="auto"/>
          <w:sz w:val="32"/>
          <w:szCs w:val="32"/>
          <w:highlight w:val="none"/>
          <w:lang w:val="en-US" w:eastAsia="zh-CN"/>
        </w:rPr>
        <w:t>3400.43</w:t>
      </w:r>
      <w:r>
        <w:rPr>
          <w:rFonts w:hint="eastAsia" w:ascii="仿宋" w:hAnsi="仿宋" w:eastAsia="仿宋"/>
          <w:color w:val="auto"/>
          <w:sz w:val="32"/>
          <w:szCs w:val="32"/>
          <w:highlight w:val="none"/>
        </w:rPr>
        <w:t>万元，下降</w:t>
      </w:r>
      <w:r>
        <w:rPr>
          <w:rFonts w:hint="eastAsia" w:ascii="仿宋" w:hAnsi="仿宋" w:eastAsia="仿宋"/>
          <w:color w:val="auto"/>
          <w:sz w:val="32"/>
          <w:szCs w:val="32"/>
          <w:highlight w:val="none"/>
          <w:lang w:val="en-US" w:eastAsia="zh-CN"/>
        </w:rPr>
        <w:t>43.82</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项目资金减少。</w:t>
      </w:r>
    </w:p>
    <w:p>
      <w:pPr>
        <w:spacing w:line="600" w:lineRule="exact"/>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（图4：财政拨款收、支决算总计变动情况）（柱状图）</w:t>
      </w:r>
    </w:p>
    <w:p>
      <w:pPr>
        <w:pStyle w:val="2"/>
      </w:pPr>
      <w:r>
        <w:drawing>
          <wp:inline distT="0" distB="0" distL="114300" distR="114300">
            <wp:extent cx="4208145" cy="1644015"/>
            <wp:effectExtent l="5080" t="4445" r="15875" b="889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pPr>
        <w:spacing w:line="600" w:lineRule="exact"/>
        <w:ind w:firstLine="640"/>
        <w:rPr>
          <w:rFonts w:ascii="仿宋" w:hAnsi="仿宋" w:eastAsia="仿宋"/>
          <w:b/>
          <w:color w:val="auto"/>
          <w:sz w:val="32"/>
          <w:szCs w:val="32"/>
          <w:highlight w:val="none"/>
        </w:rPr>
      </w:pPr>
    </w:p>
    <w:p>
      <w:pPr>
        <w:spacing w:line="600" w:lineRule="exact"/>
        <w:ind w:firstLine="640" w:firstLineChars="200"/>
        <w:outlineLvl w:val="1"/>
        <w:rPr>
          <w:rStyle w:val="32"/>
          <w:rFonts w:ascii="黑体" w:hAnsi="黑体" w:eastAsia="黑体"/>
          <w:b w:val="0"/>
          <w:color w:val="auto"/>
          <w:highlight w:val="none"/>
        </w:rPr>
      </w:pPr>
      <w:bookmarkStart w:id="27" w:name="_Toc15396607"/>
      <w:bookmarkStart w:id="28" w:name="_Toc15377209"/>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32"/>
          <w:rFonts w:hint="eastAsia" w:ascii="黑体" w:hAnsi="黑体" w:eastAsia="黑体"/>
          <w:b w:val="0"/>
          <w:color w:val="auto"/>
          <w:highlight w:val="none"/>
        </w:rPr>
        <w:t>般公共预算财政拨款支出决算情况说明</w:t>
      </w:r>
      <w:bookmarkEnd w:id="27"/>
      <w:bookmarkEnd w:id="28"/>
    </w:p>
    <w:p>
      <w:pPr>
        <w:spacing w:line="600" w:lineRule="exact"/>
        <w:ind w:firstLine="643" w:firstLineChars="200"/>
        <w:outlineLvl w:val="2"/>
        <w:rPr>
          <w:rFonts w:ascii="仿宋" w:hAnsi="仿宋" w:eastAsia="仿宋"/>
          <w:b/>
          <w:color w:val="auto"/>
          <w:sz w:val="32"/>
          <w:szCs w:val="32"/>
          <w:highlight w:val="none"/>
        </w:rPr>
      </w:pPr>
      <w:bookmarkStart w:id="29" w:name="_Toc15377210"/>
      <w:r>
        <w:rPr>
          <w:rFonts w:hint="eastAsia" w:ascii="仿宋" w:hAnsi="仿宋" w:eastAsia="仿宋"/>
          <w:b/>
          <w:color w:val="auto"/>
          <w:sz w:val="32"/>
          <w:szCs w:val="32"/>
          <w:highlight w:val="none"/>
        </w:rPr>
        <w:t>（一）一般公共预算财政拨款支出决算总体情况</w:t>
      </w:r>
      <w:bookmarkEnd w:id="29"/>
    </w:p>
    <w:p>
      <w:pPr>
        <w:spacing w:line="600" w:lineRule="exact"/>
        <w:ind w:firstLine="640" w:firstLineChars="200"/>
        <w:rPr>
          <w:rFonts w:hint="default" w:ascii="仿宋" w:hAnsi="仿宋" w:eastAsia="仿宋"/>
          <w:color w:val="auto"/>
          <w:sz w:val="32"/>
          <w:szCs w:val="32"/>
          <w:highlight w:val="none"/>
          <w:lang w:val="en-US"/>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年一般公共预算财政拨款支出4,258.45万元，占本年支出合计的</w:t>
      </w:r>
      <w:r>
        <w:rPr>
          <w:rFonts w:hint="eastAsia" w:ascii="仿宋" w:hAnsi="仿宋" w:eastAsia="仿宋"/>
          <w:color w:val="auto"/>
          <w:sz w:val="32"/>
          <w:szCs w:val="32"/>
          <w:highlight w:val="none"/>
          <w:lang w:val="en-US" w:eastAsia="zh-CN"/>
        </w:rPr>
        <w:t>99.99</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rPr>
        <w:t>减少</w:t>
      </w:r>
      <w:r>
        <w:rPr>
          <w:rFonts w:hint="eastAsia" w:ascii="仿宋" w:hAnsi="仿宋" w:eastAsia="仿宋"/>
          <w:color w:val="auto"/>
          <w:sz w:val="32"/>
          <w:szCs w:val="32"/>
          <w:highlight w:val="none"/>
          <w:lang w:val="en-US" w:eastAsia="zh-CN"/>
        </w:rPr>
        <w:t>1001.7</w:t>
      </w:r>
      <w:r>
        <w:rPr>
          <w:rFonts w:hint="eastAsia" w:ascii="仿宋" w:hAnsi="仿宋" w:eastAsia="仿宋"/>
          <w:color w:val="auto"/>
          <w:sz w:val="32"/>
          <w:szCs w:val="32"/>
          <w:highlight w:val="none"/>
        </w:rPr>
        <w:t>万元，下降</w:t>
      </w:r>
      <w:r>
        <w:rPr>
          <w:rFonts w:hint="eastAsia" w:ascii="仿宋" w:hAnsi="仿宋" w:eastAsia="仿宋"/>
          <w:color w:val="auto"/>
          <w:sz w:val="32"/>
          <w:szCs w:val="32"/>
          <w:highlight w:val="none"/>
          <w:lang w:val="en-US" w:eastAsia="zh-CN"/>
        </w:rPr>
        <w:t>19.04</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w:t>
      </w:r>
      <w:r>
        <w:rPr>
          <w:rFonts w:hint="eastAsia" w:ascii="仿宋" w:hAnsi="仿宋" w:eastAsia="仿宋"/>
          <w:color w:val="auto"/>
          <w:sz w:val="32"/>
          <w:szCs w:val="32"/>
          <w:highlight w:val="none"/>
          <w:lang w:eastAsia="zh-CN"/>
        </w:rPr>
        <w:t>项目资金减少。</w:t>
      </w:r>
    </w:p>
    <w:p>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（图5：一般公共预算财政拨款支出决算变动情况）（柱状图）</w:t>
      </w:r>
    </w:p>
    <w:p>
      <w:pPr>
        <w:pStyle w:val="2"/>
      </w:pPr>
      <w:r>
        <w:drawing>
          <wp:inline distT="0" distB="0" distL="114300" distR="114300">
            <wp:extent cx="5269865" cy="1313815"/>
            <wp:effectExtent l="4445" t="4445" r="21590" b="15240"/>
            <wp:docPr id="7"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pPr>
        <w:spacing w:line="600" w:lineRule="exact"/>
        <w:ind w:firstLine="640" w:firstLineChars="200"/>
        <w:rPr>
          <w:rFonts w:ascii="仿宋" w:hAnsi="仿宋" w:eastAsia="仿宋"/>
          <w:color w:val="auto"/>
          <w:sz w:val="32"/>
          <w:szCs w:val="32"/>
          <w:highlight w:val="none"/>
        </w:rPr>
      </w:pPr>
    </w:p>
    <w:p>
      <w:pPr>
        <w:spacing w:line="600" w:lineRule="exact"/>
        <w:ind w:firstLine="643" w:firstLineChars="200"/>
        <w:outlineLvl w:val="2"/>
        <w:rPr>
          <w:rFonts w:ascii="仿宋" w:hAnsi="仿宋" w:eastAsia="仿宋"/>
          <w:b/>
          <w:color w:val="auto"/>
          <w:sz w:val="32"/>
          <w:szCs w:val="32"/>
          <w:highlight w:val="none"/>
        </w:rPr>
      </w:pPr>
      <w:bookmarkStart w:id="30" w:name="_Toc15377211"/>
      <w:r>
        <w:rPr>
          <w:rFonts w:hint="eastAsia" w:ascii="仿宋" w:hAnsi="仿宋" w:eastAsia="仿宋"/>
          <w:b/>
          <w:color w:val="auto"/>
          <w:sz w:val="32"/>
          <w:szCs w:val="32"/>
          <w:highlight w:val="none"/>
        </w:rPr>
        <w:t>（二）一般公共预算财政拨款支出决算结构情况</w:t>
      </w:r>
      <w:bookmarkEnd w:id="30"/>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4258.45</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一般公共服务</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0.71</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0.02</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科学技术</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4.58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0.11</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lang w:eastAsia="zh-CN"/>
        </w:rPr>
        <w:t>交通运输</w:t>
      </w:r>
      <w:r>
        <w:rPr>
          <w:rFonts w:hint="eastAsia" w:ascii="仿宋" w:hAnsi="仿宋" w:eastAsia="仿宋"/>
          <w:b/>
          <w:bCs/>
          <w:color w:val="auto"/>
          <w:sz w:val="32"/>
          <w:szCs w:val="32"/>
          <w:highlight w:val="none"/>
        </w:rPr>
        <w:t>支出</w:t>
      </w:r>
      <w:r>
        <w:rPr>
          <w:rFonts w:hint="eastAsia" w:ascii="仿宋" w:hAnsi="仿宋" w:eastAsia="仿宋" w:cs="Times New Roman"/>
          <w:color w:val="auto"/>
          <w:sz w:val="32"/>
          <w:szCs w:val="32"/>
          <w:highlight w:val="none"/>
          <w:lang w:val="en-US" w:eastAsia="zh-CN"/>
        </w:rPr>
        <w:t>1265.51万元，占29.72%</w:t>
      </w:r>
      <w:r>
        <w:rPr>
          <w:rFonts w:hint="eastAsia" w:ascii="仿宋" w:hAnsi="仿宋" w:eastAsia="仿宋"/>
          <w:color w:val="auto"/>
          <w:sz w:val="32"/>
          <w:szCs w:val="32"/>
          <w:highlight w:val="none"/>
        </w:rPr>
        <w:t>；</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165.03</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3.88</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hint="eastAsia" w:ascii="仿宋" w:hAnsi="仿宋" w:eastAsia="仿宋"/>
          <w:color w:val="auto"/>
          <w:sz w:val="32"/>
          <w:szCs w:val="32"/>
          <w:highlight w:val="none"/>
        </w:rPr>
        <w:t>66.49万元，占</w:t>
      </w:r>
      <w:r>
        <w:rPr>
          <w:rFonts w:hint="eastAsia" w:ascii="仿宋" w:hAnsi="仿宋" w:eastAsia="仿宋"/>
          <w:color w:val="auto"/>
          <w:sz w:val="32"/>
          <w:szCs w:val="32"/>
          <w:highlight w:val="none"/>
          <w:lang w:val="en-US" w:eastAsia="zh-CN"/>
        </w:rPr>
        <w:t>1.56</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lang w:eastAsia="zh-CN"/>
        </w:rPr>
        <w:t>农林水支出</w:t>
      </w:r>
      <w:r>
        <w:rPr>
          <w:rFonts w:hint="eastAsia" w:ascii="仿宋" w:hAnsi="仿宋" w:eastAsia="仿宋"/>
          <w:color w:val="auto"/>
          <w:sz w:val="32"/>
          <w:szCs w:val="32"/>
          <w:highlight w:val="none"/>
          <w:lang w:val="en-US" w:eastAsia="zh-CN"/>
        </w:rPr>
        <w:t>2587.06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60.75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w:t>
      </w:r>
      <w:r>
        <w:rPr>
          <w:rFonts w:hint="eastAsia" w:ascii="仿宋" w:hAnsi="仿宋" w:eastAsia="仿宋"/>
          <w:color w:val="auto"/>
          <w:sz w:val="32"/>
          <w:szCs w:val="32"/>
          <w:highlight w:val="none"/>
        </w:rPr>
        <w:t>169.08万元，占</w:t>
      </w:r>
      <w:r>
        <w:rPr>
          <w:rFonts w:hint="eastAsia" w:ascii="仿宋" w:hAnsi="仿宋" w:eastAsia="仿宋"/>
          <w:color w:val="auto"/>
          <w:sz w:val="32"/>
          <w:szCs w:val="32"/>
          <w:highlight w:val="none"/>
          <w:lang w:val="en-US" w:eastAsia="zh-CN"/>
        </w:rPr>
        <w:t>3.96</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（图6：一般公共预算财政拨款支出决算结构）（饼状图）</w:t>
      </w:r>
    </w:p>
    <w:p>
      <w:pPr>
        <w:pStyle w:val="2"/>
      </w:pPr>
      <w:r>
        <w:drawing>
          <wp:inline distT="0" distB="0" distL="114300" distR="114300">
            <wp:extent cx="3859530" cy="2221230"/>
            <wp:effectExtent l="4445" t="4445" r="22225" b="2222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pPr>
        <w:spacing w:line="600" w:lineRule="exact"/>
        <w:ind w:firstLine="640" w:firstLineChars="200"/>
        <w:rPr>
          <w:rFonts w:ascii="仿宋" w:hAnsi="仿宋" w:eastAsia="仿宋"/>
          <w:color w:val="auto"/>
          <w:sz w:val="32"/>
          <w:szCs w:val="32"/>
          <w:highlight w:val="none"/>
        </w:rPr>
      </w:pPr>
    </w:p>
    <w:p>
      <w:pPr>
        <w:spacing w:line="600" w:lineRule="exact"/>
        <w:ind w:firstLine="643" w:firstLineChars="200"/>
        <w:outlineLvl w:val="2"/>
        <w:rPr>
          <w:rFonts w:ascii="仿宋" w:hAnsi="仿宋" w:eastAsia="仿宋"/>
          <w:b/>
          <w:color w:val="auto"/>
          <w:sz w:val="32"/>
          <w:szCs w:val="32"/>
          <w:highlight w:val="none"/>
        </w:rPr>
      </w:pPr>
      <w:bookmarkStart w:id="31" w:name="_Toc15377212"/>
      <w:r>
        <w:rPr>
          <w:rFonts w:hint="eastAsia" w:ascii="仿宋" w:hAnsi="仿宋" w:eastAsia="仿宋"/>
          <w:b/>
          <w:color w:val="auto"/>
          <w:sz w:val="32"/>
          <w:szCs w:val="32"/>
          <w:highlight w:val="none"/>
        </w:rPr>
        <w:t>（三）一般公共预算财政拨款支出决算具体情况</w:t>
      </w:r>
      <w:bookmarkEnd w:id="31"/>
    </w:p>
    <w:p>
      <w:pPr>
        <w:spacing w:line="600" w:lineRule="exact"/>
        <w:ind w:firstLine="643" w:firstLineChars="200"/>
        <w:outlineLvl w:val="2"/>
        <w:rPr>
          <w:rFonts w:ascii="仿宋" w:hAnsi="仿宋" w:eastAsia="仿宋"/>
          <w:color w:val="auto"/>
          <w:sz w:val="32"/>
          <w:szCs w:val="32"/>
          <w:highlight w:val="none"/>
        </w:rPr>
      </w:pPr>
      <w:bookmarkStart w:id="32" w:name="_Toc15377444"/>
      <w:bookmarkStart w:id="33" w:name="_Toc15378460"/>
      <w:bookmarkStart w:id="34" w:name="_Toc15377213"/>
      <w:r>
        <w:rPr>
          <w:rFonts w:hint="eastAsia" w:ascii="仿宋" w:hAnsi="仿宋" w:eastAsia="仿宋"/>
          <w:b/>
          <w:color w:val="auto"/>
          <w:sz w:val="32"/>
          <w:szCs w:val="32"/>
          <w:highlight w:val="none"/>
        </w:rPr>
        <w:t>20</w:t>
      </w:r>
      <w:r>
        <w:rPr>
          <w:rFonts w:hint="eastAsia" w:ascii="仿宋" w:hAnsi="仿宋" w:eastAsia="仿宋"/>
          <w:b/>
          <w:color w:val="auto"/>
          <w:sz w:val="32"/>
          <w:szCs w:val="32"/>
          <w:highlight w:val="none"/>
          <w:lang w:val="en-US" w:eastAsia="zh-CN"/>
        </w:rPr>
        <w:t>22</w:t>
      </w:r>
      <w:r>
        <w:rPr>
          <w:rFonts w:hint="eastAsia" w:ascii="仿宋" w:hAnsi="仿宋" w:eastAsia="仿宋"/>
          <w:b/>
          <w:color w:val="auto"/>
          <w:sz w:val="32"/>
          <w:szCs w:val="32"/>
          <w:highlight w:val="none"/>
        </w:rPr>
        <w:t>年</w:t>
      </w:r>
      <w:r>
        <w:rPr>
          <w:rFonts w:hint="eastAsia" w:ascii="仿宋" w:hAnsi="仿宋" w:eastAsia="仿宋"/>
          <w:b/>
          <w:color w:val="auto"/>
          <w:sz w:val="32"/>
          <w:szCs w:val="32"/>
          <w:highlight w:val="none"/>
          <w:lang w:eastAsia="zh-CN"/>
        </w:rPr>
        <w:t>一</w:t>
      </w:r>
      <w:r>
        <w:rPr>
          <w:rFonts w:hint="eastAsia" w:ascii="仿宋" w:hAnsi="仿宋" w:eastAsia="仿宋"/>
          <w:b/>
          <w:color w:val="auto"/>
          <w:sz w:val="32"/>
          <w:szCs w:val="32"/>
          <w:highlight w:val="none"/>
        </w:rPr>
        <w:t>般公共预算支出决算数为</w:t>
      </w:r>
      <w:r>
        <w:rPr>
          <w:rFonts w:hint="eastAsia" w:ascii="仿宋" w:hAnsi="仿宋" w:eastAsia="仿宋"/>
          <w:b/>
          <w:color w:val="auto"/>
          <w:sz w:val="32"/>
          <w:szCs w:val="32"/>
          <w:highlight w:val="none"/>
          <w:lang w:val="en-US" w:eastAsia="zh-CN"/>
        </w:rPr>
        <w:t>4258.45万元</w:t>
      </w:r>
      <w:r>
        <w:rPr>
          <w:rFonts w:hint="eastAsia" w:ascii="仿宋" w:hAnsi="仿宋" w:eastAsia="仿宋"/>
          <w:color w:val="auto"/>
          <w:sz w:val="32"/>
          <w:szCs w:val="32"/>
          <w:highlight w:val="none"/>
        </w:rPr>
        <w:t>，</w:t>
      </w:r>
      <w:r>
        <w:rPr>
          <w:rStyle w:val="21"/>
          <w:rFonts w:hint="eastAsia" w:ascii="仿宋" w:hAnsi="仿宋" w:eastAsia="仿宋"/>
          <w:bCs/>
          <w:color w:val="auto"/>
          <w:sz w:val="32"/>
          <w:szCs w:val="32"/>
          <w:highlight w:val="none"/>
        </w:rPr>
        <w:t>完成预算</w:t>
      </w:r>
      <w:r>
        <w:rPr>
          <w:rStyle w:val="21"/>
          <w:rFonts w:hint="eastAsia" w:ascii="仿宋" w:hAnsi="仿宋" w:eastAsia="仿宋"/>
          <w:bCs/>
          <w:color w:val="auto"/>
          <w:sz w:val="32"/>
          <w:szCs w:val="32"/>
          <w:highlight w:val="none"/>
          <w:lang w:val="en-US" w:eastAsia="zh-CN"/>
        </w:rPr>
        <w:t>97.68</w:t>
      </w:r>
      <w:r>
        <w:rPr>
          <w:rStyle w:val="21"/>
          <w:rFonts w:ascii="仿宋" w:hAnsi="仿宋" w:eastAsia="仿宋"/>
          <w:bCs/>
          <w:color w:val="auto"/>
          <w:sz w:val="32"/>
          <w:szCs w:val="32"/>
          <w:highlight w:val="none"/>
        </w:rPr>
        <w:t>%</w:t>
      </w:r>
      <w:r>
        <w:rPr>
          <w:rStyle w:val="21"/>
          <w:rFonts w:hint="eastAsia" w:ascii="仿宋" w:hAnsi="仿宋" w:eastAsia="仿宋"/>
          <w:bCs/>
          <w:color w:val="auto"/>
          <w:sz w:val="32"/>
          <w:szCs w:val="32"/>
          <w:highlight w:val="none"/>
        </w:rPr>
        <w:t>。其中：</w:t>
      </w:r>
      <w:bookmarkEnd w:id="32"/>
      <w:bookmarkEnd w:id="33"/>
      <w:bookmarkEnd w:id="34"/>
    </w:p>
    <w:p>
      <w:pPr>
        <w:spacing w:line="600" w:lineRule="exact"/>
        <w:ind w:firstLine="643" w:firstLineChars="200"/>
        <w:rPr>
          <w:rFonts w:ascii="仿宋" w:hAnsi="仿宋" w:eastAsia="仿宋"/>
          <w:b/>
          <w:color w:val="auto"/>
          <w:sz w:val="32"/>
          <w:szCs w:val="32"/>
          <w:highlight w:val="none"/>
        </w:rPr>
      </w:pPr>
      <w:r>
        <w:rPr>
          <w:rStyle w:val="21"/>
          <w:rFonts w:ascii="仿宋" w:hAnsi="仿宋" w:eastAsia="仿宋"/>
          <w:bCs/>
          <w:color w:val="auto"/>
          <w:sz w:val="32"/>
          <w:szCs w:val="32"/>
          <w:highlight w:val="none"/>
        </w:rPr>
        <w:t>1.</w:t>
      </w:r>
      <w:r>
        <w:rPr>
          <w:rStyle w:val="21"/>
          <w:rFonts w:hint="eastAsia" w:ascii="仿宋" w:hAnsi="仿宋" w:eastAsia="仿宋"/>
          <w:bCs/>
          <w:color w:val="auto"/>
          <w:sz w:val="32"/>
          <w:szCs w:val="32"/>
          <w:highlight w:val="none"/>
        </w:rPr>
        <w:t>一般公共服务（类）</w:t>
      </w:r>
      <w:r>
        <w:rPr>
          <w:rStyle w:val="21"/>
          <w:rFonts w:hint="eastAsia" w:ascii="仿宋" w:hAnsi="仿宋" w:eastAsia="仿宋"/>
          <w:bCs/>
          <w:color w:val="auto"/>
          <w:sz w:val="32"/>
          <w:szCs w:val="32"/>
          <w:highlight w:val="none"/>
          <w:lang w:eastAsia="zh-CN"/>
        </w:rPr>
        <w:t>商贸事务</w:t>
      </w:r>
      <w:r>
        <w:rPr>
          <w:rStyle w:val="21"/>
          <w:rFonts w:hint="eastAsia" w:ascii="仿宋" w:hAnsi="仿宋" w:eastAsia="仿宋"/>
          <w:bCs/>
          <w:color w:val="auto"/>
          <w:sz w:val="32"/>
          <w:szCs w:val="32"/>
          <w:highlight w:val="none"/>
        </w:rPr>
        <w:t>（款）招商引资（项）</w:t>
      </w:r>
      <w:r>
        <w:rPr>
          <w:rStyle w:val="21"/>
          <w:rFonts w:ascii="仿宋" w:hAnsi="仿宋" w:eastAsia="仿宋"/>
          <w:bCs/>
          <w:color w:val="auto"/>
          <w:sz w:val="32"/>
          <w:szCs w:val="32"/>
          <w:highlight w:val="none"/>
        </w:rPr>
        <w:t>:</w:t>
      </w:r>
      <w:r>
        <w:rPr>
          <w:rStyle w:val="21"/>
          <w:rFonts w:ascii="仿宋" w:hAnsi="仿宋" w:eastAsia="仿宋"/>
          <w:b w:val="0"/>
          <w:bCs/>
          <w:color w:val="auto"/>
          <w:sz w:val="32"/>
          <w:szCs w:val="32"/>
          <w:highlight w:val="none"/>
        </w:rPr>
        <w:t xml:space="preserve"> </w:t>
      </w:r>
      <w:r>
        <w:rPr>
          <w:rStyle w:val="21"/>
          <w:rFonts w:hint="eastAsia" w:ascii="仿宋" w:hAnsi="仿宋" w:eastAsia="仿宋"/>
          <w:b w:val="0"/>
          <w:bCs/>
          <w:color w:val="auto"/>
          <w:sz w:val="32"/>
          <w:szCs w:val="32"/>
          <w:highlight w:val="none"/>
        </w:rPr>
        <w:t>支出决算为</w:t>
      </w:r>
      <w:r>
        <w:rPr>
          <w:rStyle w:val="21"/>
          <w:rFonts w:hint="eastAsia" w:ascii="仿宋" w:hAnsi="仿宋" w:eastAsia="仿宋"/>
          <w:b w:val="0"/>
          <w:bCs/>
          <w:color w:val="auto"/>
          <w:sz w:val="32"/>
          <w:szCs w:val="32"/>
          <w:highlight w:val="none"/>
          <w:lang w:val="en-US" w:eastAsia="zh-CN"/>
        </w:rPr>
        <w:t>0.71</w:t>
      </w:r>
      <w:r>
        <w:rPr>
          <w:rStyle w:val="21"/>
          <w:rFonts w:hint="eastAsia" w:ascii="仿宋" w:hAnsi="仿宋" w:eastAsia="仿宋"/>
          <w:b w:val="0"/>
          <w:bCs/>
          <w:color w:val="auto"/>
          <w:sz w:val="32"/>
          <w:szCs w:val="32"/>
          <w:highlight w:val="none"/>
        </w:rPr>
        <w:t>万元，完成预算</w:t>
      </w:r>
      <w:r>
        <w:rPr>
          <w:rStyle w:val="21"/>
          <w:rFonts w:hint="eastAsia" w:ascii="仿宋" w:hAnsi="仿宋" w:eastAsia="仿宋"/>
          <w:b w:val="0"/>
          <w:bCs/>
          <w:color w:val="auto"/>
          <w:sz w:val="32"/>
          <w:szCs w:val="32"/>
          <w:highlight w:val="none"/>
          <w:lang w:val="en-US" w:eastAsia="zh-CN"/>
        </w:rPr>
        <w:t>30.74</w:t>
      </w:r>
      <w:r>
        <w:rPr>
          <w:rStyle w:val="21"/>
          <w:rFonts w:ascii="仿宋" w:hAnsi="仿宋" w:eastAsia="仿宋"/>
          <w:b w:val="0"/>
          <w:bCs/>
          <w:color w:val="auto"/>
          <w:sz w:val="32"/>
          <w:szCs w:val="32"/>
          <w:highlight w:val="none"/>
        </w:rPr>
        <w:t>%</w:t>
      </w:r>
      <w:r>
        <w:rPr>
          <w:rStyle w:val="21"/>
          <w:rFonts w:hint="eastAsia" w:ascii="仿宋" w:hAnsi="仿宋" w:eastAsia="仿宋"/>
          <w:b w:val="0"/>
          <w:bCs/>
          <w:color w:val="auto"/>
          <w:sz w:val="32"/>
          <w:szCs w:val="32"/>
          <w:highlight w:val="none"/>
        </w:rPr>
        <w:t>，决算数小于预算数的主要原因是</w:t>
      </w:r>
      <w:r>
        <w:rPr>
          <w:rFonts w:hint="eastAsia" w:ascii="仿宋_GB2312" w:hAnsi="仿宋_GB2312" w:eastAsia="仿宋_GB2312" w:cs="仿宋_GB2312"/>
          <w:color w:val="auto"/>
          <w:sz w:val="32"/>
          <w:szCs w:val="32"/>
          <w:highlight w:val="none"/>
        </w:rPr>
        <w:t>项目尚在实施中，属于正常的资金结转</w:t>
      </w:r>
      <w:r>
        <w:rPr>
          <w:rStyle w:val="21"/>
          <w:rFonts w:hint="eastAsia" w:ascii="仿宋" w:hAnsi="仿宋" w:eastAsia="仿宋"/>
          <w:b w:val="0"/>
          <w:bCs/>
          <w:color w:val="auto"/>
          <w:sz w:val="32"/>
          <w:szCs w:val="32"/>
          <w:highlight w:val="none"/>
        </w:rPr>
        <w:t>。</w:t>
      </w:r>
    </w:p>
    <w:p>
      <w:pPr>
        <w:spacing w:line="600" w:lineRule="exact"/>
        <w:ind w:firstLine="643" w:firstLineChars="200"/>
        <w:rPr>
          <w:rFonts w:ascii="仿宋" w:hAnsi="仿宋" w:eastAsia="仿宋"/>
          <w:b/>
          <w:color w:val="auto"/>
          <w:sz w:val="32"/>
          <w:szCs w:val="32"/>
          <w:highlight w:val="none"/>
        </w:rPr>
      </w:pPr>
      <w:r>
        <w:rPr>
          <w:rStyle w:val="21"/>
          <w:rFonts w:ascii="仿宋" w:hAnsi="仿宋" w:eastAsia="仿宋"/>
          <w:bCs/>
          <w:color w:val="auto"/>
          <w:sz w:val="32"/>
          <w:szCs w:val="32"/>
          <w:highlight w:val="none"/>
        </w:rPr>
        <w:t>2.</w:t>
      </w:r>
      <w:r>
        <w:rPr>
          <w:rStyle w:val="21"/>
          <w:rFonts w:hint="eastAsia" w:ascii="仿宋" w:hAnsi="仿宋" w:eastAsia="仿宋"/>
          <w:bCs/>
          <w:color w:val="auto"/>
          <w:sz w:val="32"/>
          <w:szCs w:val="32"/>
          <w:highlight w:val="none"/>
        </w:rPr>
        <w:t>科学技术支出（类）技术研究与开发（款）科技成果转化与扩散（项）</w:t>
      </w:r>
      <w:r>
        <w:rPr>
          <w:rStyle w:val="21"/>
          <w:rFonts w:ascii="仿宋" w:hAnsi="仿宋" w:eastAsia="仿宋"/>
          <w:bCs/>
          <w:color w:val="auto"/>
          <w:sz w:val="32"/>
          <w:szCs w:val="32"/>
          <w:highlight w:val="none"/>
        </w:rPr>
        <w:t>:</w:t>
      </w:r>
      <w:r>
        <w:rPr>
          <w:rStyle w:val="21"/>
          <w:rFonts w:ascii="仿宋" w:hAnsi="仿宋" w:eastAsia="仿宋"/>
          <w:b w:val="0"/>
          <w:bCs/>
          <w:color w:val="auto"/>
          <w:sz w:val="32"/>
          <w:szCs w:val="32"/>
          <w:highlight w:val="none"/>
        </w:rPr>
        <w:t xml:space="preserve"> </w:t>
      </w:r>
      <w:r>
        <w:rPr>
          <w:rStyle w:val="21"/>
          <w:rFonts w:hint="eastAsia" w:ascii="仿宋" w:hAnsi="仿宋" w:eastAsia="仿宋"/>
          <w:b w:val="0"/>
          <w:bCs/>
          <w:color w:val="auto"/>
          <w:sz w:val="32"/>
          <w:szCs w:val="32"/>
          <w:highlight w:val="none"/>
        </w:rPr>
        <w:t>支出决算为</w:t>
      </w:r>
      <w:r>
        <w:rPr>
          <w:rStyle w:val="21"/>
          <w:rFonts w:hint="eastAsia" w:ascii="仿宋" w:hAnsi="仿宋" w:eastAsia="仿宋"/>
          <w:b w:val="0"/>
          <w:bCs/>
          <w:color w:val="auto"/>
          <w:sz w:val="32"/>
          <w:szCs w:val="32"/>
          <w:highlight w:val="none"/>
          <w:lang w:val="en-US" w:eastAsia="zh-CN"/>
        </w:rPr>
        <w:t>4.58</w:t>
      </w:r>
      <w:r>
        <w:rPr>
          <w:rStyle w:val="21"/>
          <w:rFonts w:hint="eastAsia" w:ascii="仿宋" w:hAnsi="仿宋" w:eastAsia="仿宋"/>
          <w:b w:val="0"/>
          <w:bCs/>
          <w:color w:val="auto"/>
          <w:sz w:val="32"/>
          <w:szCs w:val="32"/>
          <w:highlight w:val="none"/>
        </w:rPr>
        <w:t>万元，完成预算</w:t>
      </w:r>
      <w:r>
        <w:rPr>
          <w:rStyle w:val="21"/>
          <w:rFonts w:hint="eastAsia" w:ascii="仿宋" w:hAnsi="仿宋" w:eastAsia="仿宋"/>
          <w:b w:val="0"/>
          <w:bCs/>
          <w:color w:val="auto"/>
          <w:sz w:val="32"/>
          <w:szCs w:val="32"/>
          <w:highlight w:val="none"/>
          <w:lang w:val="en-US" w:eastAsia="zh-CN"/>
        </w:rPr>
        <w:t>100</w:t>
      </w:r>
      <w:r>
        <w:rPr>
          <w:rStyle w:val="21"/>
          <w:rFonts w:ascii="仿宋" w:hAnsi="仿宋" w:eastAsia="仿宋"/>
          <w:b w:val="0"/>
          <w:bCs/>
          <w:color w:val="auto"/>
          <w:sz w:val="32"/>
          <w:szCs w:val="32"/>
          <w:highlight w:val="none"/>
        </w:rPr>
        <w:t>%</w:t>
      </w:r>
      <w:r>
        <w:rPr>
          <w:rStyle w:val="21"/>
          <w:rFonts w:hint="eastAsia" w:ascii="仿宋" w:hAnsi="仿宋" w:eastAsia="仿宋"/>
          <w:b w:val="0"/>
          <w:bCs/>
          <w:color w:val="auto"/>
          <w:sz w:val="32"/>
          <w:szCs w:val="32"/>
          <w:highlight w:val="none"/>
        </w:rPr>
        <w:t>。</w:t>
      </w:r>
    </w:p>
    <w:p>
      <w:pPr>
        <w:spacing w:line="600" w:lineRule="exact"/>
        <w:ind w:firstLine="643" w:firstLineChars="200"/>
        <w:rPr>
          <w:rFonts w:ascii="仿宋" w:hAnsi="仿宋" w:eastAsia="仿宋"/>
          <w:b/>
          <w:color w:val="auto"/>
          <w:sz w:val="32"/>
          <w:szCs w:val="32"/>
          <w:highlight w:val="none"/>
        </w:rPr>
      </w:pPr>
      <w:r>
        <w:rPr>
          <w:rStyle w:val="21"/>
          <w:rFonts w:ascii="仿宋" w:hAnsi="仿宋" w:eastAsia="仿宋"/>
          <w:bCs/>
          <w:color w:val="auto"/>
          <w:sz w:val="32"/>
          <w:szCs w:val="32"/>
          <w:highlight w:val="none"/>
        </w:rPr>
        <w:t>3.</w:t>
      </w:r>
      <w:r>
        <w:rPr>
          <w:rStyle w:val="21"/>
          <w:rFonts w:hint="eastAsia" w:ascii="仿宋" w:hAnsi="仿宋" w:eastAsia="仿宋"/>
          <w:bCs/>
          <w:color w:val="auto"/>
          <w:sz w:val="32"/>
          <w:szCs w:val="32"/>
          <w:highlight w:val="none"/>
        </w:rPr>
        <w:t>社会保障和就业支出（类）行政事业单位养老支出（款）  机关事业单位基本养老保险缴费支出（项）</w:t>
      </w:r>
      <w:r>
        <w:rPr>
          <w:rStyle w:val="21"/>
          <w:rFonts w:ascii="仿宋" w:hAnsi="仿宋" w:eastAsia="仿宋"/>
          <w:bCs/>
          <w:color w:val="auto"/>
          <w:sz w:val="32"/>
          <w:szCs w:val="32"/>
          <w:highlight w:val="none"/>
        </w:rPr>
        <w:t>:</w:t>
      </w:r>
      <w:r>
        <w:rPr>
          <w:rStyle w:val="21"/>
          <w:rFonts w:ascii="仿宋" w:hAnsi="仿宋" w:eastAsia="仿宋"/>
          <w:b w:val="0"/>
          <w:bCs/>
          <w:color w:val="auto"/>
          <w:sz w:val="32"/>
          <w:szCs w:val="32"/>
          <w:highlight w:val="none"/>
        </w:rPr>
        <w:t xml:space="preserve"> </w:t>
      </w:r>
      <w:r>
        <w:rPr>
          <w:rStyle w:val="21"/>
          <w:rFonts w:hint="eastAsia" w:ascii="仿宋" w:hAnsi="仿宋" w:eastAsia="仿宋"/>
          <w:b w:val="0"/>
          <w:bCs/>
          <w:color w:val="auto"/>
          <w:sz w:val="32"/>
          <w:szCs w:val="32"/>
          <w:highlight w:val="none"/>
        </w:rPr>
        <w:t>支出决算为</w:t>
      </w:r>
      <w:r>
        <w:rPr>
          <w:rStyle w:val="21"/>
          <w:rFonts w:hint="eastAsia" w:ascii="仿宋" w:hAnsi="仿宋" w:eastAsia="仿宋"/>
          <w:b w:val="0"/>
          <w:bCs/>
          <w:color w:val="auto"/>
          <w:sz w:val="32"/>
          <w:szCs w:val="32"/>
          <w:highlight w:val="none"/>
          <w:lang w:val="en-US" w:eastAsia="zh-CN"/>
        </w:rPr>
        <w:t>120.01</w:t>
      </w:r>
      <w:r>
        <w:rPr>
          <w:rStyle w:val="21"/>
          <w:rFonts w:hint="eastAsia" w:ascii="仿宋" w:hAnsi="仿宋" w:eastAsia="仿宋"/>
          <w:b w:val="0"/>
          <w:bCs/>
          <w:color w:val="auto"/>
          <w:sz w:val="32"/>
          <w:szCs w:val="32"/>
          <w:highlight w:val="none"/>
        </w:rPr>
        <w:t>万元，完成预算</w:t>
      </w:r>
      <w:r>
        <w:rPr>
          <w:rStyle w:val="21"/>
          <w:rFonts w:hint="eastAsia" w:ascii="仿宋" w:hAnsi="仿宋" w:eastAsia="仿宋"/>
          <w:b w:val="0"/>
          <w:bCs/>
          <w:color w:val="auto"/>
          <w:sz w:val="32"/>
          <w:szCs w:val="32"/>
          <w:highlight w:val="none"/>
          <w:lang w:val="en-US" w:eastAsia="zh-CN"/>
        </w:rPr>
        <w:t>100</w:t>
      </w:r>
      <w:r>
        <w:rPr>
          <w:rStyle w:val="21"/>
          <w:rFonts w:ascii="仿宋" w:hAnsi="仿宋" w:eastAsia="仿宋"/>
          <w:b w:val="0"/>
          <w:bCs/>
          <w:color w:val="auto"/>
          <w:sz w:val="32"/>
          <w:szCs w:val="32"/>
          <w:highlight w:val="none"/>
        </w:rPr>
        <w:t>%</w:t>
      </w:r>
      <w:r>
        <w:rPr>
          <w:rStyle w:val="21"/>
          <w:rFonts w:hint="eastAsia" w:ascii="仿宋" w:hAnsi="仿宋" w:eastAsia="仿宋"/>
          <w:b w:val="0"/>
          <w:bCs/>
          <w:color w:val="auto"/>
          <w:sz w:val="32"/>
          <w:szCs w:val="32"/>
          <w:highlight w:val="none"/>
        </w:rPr>
        <w:t>。</w:t>
      </w:r>
    </w:p>
    <w:p>
      <w:pPr>
        <w:spacing w:line="600" w:lineRule="exact"/>
        <w:ind w:firstLine="643" w:firstLineChars="200"/>
        <w:rPr>
          <w:rFonts w:ascii="仿宋" w:hAnsi="仿宋" w:eastAsia="仿宋"/>
          <w:b/>
          <w:color w:val="auto"/>
          <w:sz w:val="32"/>
          <w:szCs w:val="32"/>
          <w:highlight w:val="none"/>
        </w:rPr>
      </w:pPr>
      <w:r>
        <w:rPr>
          <w:rStyle w:val="21"/>
          <w:rFonts w:ascii="仿宋" w:hAnsi="仿宋" w:eastAsia="仿宋"/>
          <w:bCs/>
          <w:color w:val="auto"/>
          <w:sz w:val="32"/>
          <w:szCs w:val="32"/>
          <w:highlight w:val="none"/>
        </w:rPr>
        <w:t>4.</w:t>
      </w:r>
      <w:r>
        <w:rPr>
          <w:rStyle w:val="21"/>
          <w:rFonts w:hint="eastAsia" w:ascii="仿宋" w:hAnsi="仿宋" w:eastAsia="仿宋"/>
          <w:bCs/>
          <w:color w:val="auto"/>
          <w:sz w:val="32"/>
          <w:szCs w:val="32"/>
          <w:highlight w:val="none"/>
        </w:rPr>
        <w:t>社会保障和就业支出（类）行政事业单位养老支出（款）  机关事业单位职业年金缴费支出（项）</w:t>
      </w:r>
      <w:r>
        <w:rPr>
          <w:rStyle w:val="21"/>
          <w:rFonts w:ascii="仿宋" w:hAnsi="仿宋" w:eastAsia="仿宋"/>
          <w:bCs/>
          <w:color w:val="auto"/>
          <w:sz w:val="32"/>
          <w:szCs w:val="32"/>
          <w:highlight w:val="none"/>
        </w:rPr>
        <w:t>:</w:t>
      </w:r>
      <w:r>
        <w:rPr>
          <w:rStyle w:val="21"/>
          <w:rFonts w:ascii="仿宋" w:hAnsi="仿宋" w:eastAsia="仿宋"/>
          <w:b w:val="0"/>
          <w:bCs/>
          <w:color w:val="auto"/>
          <w:sz w:val="32"/>
          <w:szCs w:val="32"/>
          <w:highlight w:val="none"/>
        </w:rPr>
        <w:t xml:space="preserve"> </w:t>
      </w:r>
      <w:r>
        <w:rPr>
          <w:rStyle w:val="21"/>
          <w:rFonts w:hint="eastAsia" w:ascii="仿宋" w:hAnsi="仿宋" w:eastAsia="仿宋"/>
          <w:b w:val="0"/>
          <w:bCs/>
          <w:color w:val="auto"/>
          <w:sz w:val="32"/>
          <w:szCs w:val="32"/>
          <w:highlight w:val="none"/>
        </w:rPr>
        <w:t>支出决算为</w:t>
      </w:r>
      <w:r>
        <w:rPr>
          <w:rStyle w:val="21"/>
          <w:rFonts w:hint="eastAsia" w:ascii="仿宋" w:hAnsi="仿宋" w:eastAsia="仿宋"/>
          <w:b w:val="0"/>
          <w:bCs/>
          <w:color w:val="auto"/>
          <w:sz w:val="32"/>
          <w:szCs w:val="32"/>
          <w:highlight w:val="none"/>
          <w:lang w:val="en-US" w:eastAsia="zh-CN"/>
        </w:rPr>
        <w:t>21.81</w:t>
      </w:r>
      <w:r>
        <w:rPr>
          <w:rStyle w:val="21"/>
          <w:rFonts w:hint="eastAsia" w:ascii="仿宋" w:hAnsi="仿宋" w:eastAsia="仿宋"/>
          <w:b w:val="0"/>
          <w:bCs/>
          <w:color w:val="auto"/>
          <w:sz w:val="32"/>
          <w:szCs w:val="32"/>
          <w:highlight w:val="none"/>
        </w:rPr>
        <w:t>万元，完成预算</w:t>
      </w:r>
      <w:r>
        <w:rPr>
          <w:rStyle w:val="21"/>
          <w:rFonts w:hint="eastAsia" w:ascii="仿宋" w:hAnsi="仿宋" w:eastAsia="仿宋"/>
          <w:b w:val="0"/>
          <w:bCs/>
          <w:color w:val="auto"/>
          <w:sz w:val="32"/>
          <w:szCs w:val="32"/>
          <w:highlight w:val="none"/>
          <w:lang w:val="en-US" w:eastAsia="zh-CN"/>
        </w:rPr>
        <w:t>100</w:t>
      </w:r>
      <w:r>
        <w:rPr>
          <w:rStyle w:val="21"/>
          <w:rFonts w:ascii="仿宋" w:hAnsi="仿宋" w:eastAsia="仿宋"/>
          <w:b w:val="0"/>
          <w:bCs/>
          <w:color w:val="auto"/>
          <w:sz w:val="32"/>
          <w:szCs w:val="32"/>
          <w:highlight w:val="none"/>
        </w:rPr>
        <w:t>%</w:t>
      </w:r>
      <w:r>
        <w:rPr>
          <w:rStyle w:val="21"/>
          <w:rFonts w:hint="eastAsia" w:ascii="仿宋" w:hAnsi="仿宋" w:eastAsia="仿宋"/>
          <w:b w:val="0"/>
          <w:bCs/>
          <w:color w:val="auto"/>
          <w:sz w:val="32"/>
          <w:szCs w:val="32"/>
          <w:highlight w:val="none"/>
        </w:rPr>
        <w:t>。</w:t>
      </w:r>
    </w:p>
    <w:p>
      <w:pPr>
        <w:spacing w:line="600" w:lineRule="exact"/>
        <w:ind w:firstLine="643" w:firstLineChars="200"/>
        <w:rPr>
          <w:rFonts w:ascii="仿宋" w:hAnsi="仿宋" w:eastAsia="仿宋"/>
          <w:b/>
          <w:color w:val="auto"/>
          <w:sz w:val="32"/>
          <w:szCs w:val="32"/>
          <w:highlight w:val="none"/>
        </w:rPr>
      </w:pPr>
      <w:r>
        <w:rPr>
          <w:rStyle w:val="21"/>
          <w:rFonts w:ascii="仿宋" w:hAnsi="仿宋" w:eastAsia="仿宋"/>
          <w:bCs/>
          <w:color w:val="auto"/>
          <w:sz w:val="32"/>
          <w:szCs w:val="32"/>
          <w:highlight w:val="none"/>
        </w:rPr>
        <w:t>5.</w:t>
      </w:r>
      <w:r>
        <w:rPr>
          <w:rStyle w:val="21"/>
          <w:rFonts w:hint="eastAsia" w:ascii="仿宋" w:hAnsi="仿宋" w:eastAsia="仿宋"/>
          <w:bCs/>
          <w:color w:val="auto"/>
          <w:sz w:val="32"/>
          <w:szCs w:val="32"/>
          <w:highlight w:val="none"/>
        </w:rPr>
        <w:t>社会保障和就业支出（类）</w:t>
      </w:r>
      <w:r>
        <w:rPr>
          <w:rStyle w:val="21"/>
          <w:rFonts w:hint="eastAsia" w:ascii="仿宋" w:hAnsi="仿宋" w:eastAsia="仿宋"/>
          <w:bCs/>
          <w:color w:val="auto"/>
          <w:sz w:val="32"/>
          <w:szCs w:val="32"/>
          <w:highlight w:val="none"/>
          <w:lang w:eastAsia="zh-CN"/>
        </w:rPr>
        <w:t>抚恤</w:t>
      </w:r>
      <w:r>
        <w:rPr>
          <w:rStyle w:val="21"/>
          <w:rFonts w:hint="eastAsia" w:ascii="仿宋" w:hAnsi="仿宋" w:eastAsia="仿宋"/>
          <w:bCs/>
          <w:color w:val="auto"/>
          <w:sz w:val="32"/>
          <w:szCs w:val="32"/>
          <w:highlight w:val="none"/>
        </w:rPr>
        <w:t>（款）</w:t>
      </w:r>
      <w:r>
        <w:rPr>
          <w:rStyle w:val="21"/>
          <w:rFonts w:hint="eastAsia" w:ascii="仿宋" w:hAnsi="仿宋" w:eastAsia="仿宋"/>
          <w:bCs/>
          <w:color w:val="auto"/>
          <w:sz w:val="32"/>
          <w:szCs w:val="32"/>
          <w:highlight w:val="none"/>
          <w:lang w:eastAsia="zh-CN"/>
        </w:rPr>
        <w:t>死亡抚恤</w:t>
      </w:r>
      <w:r>
        <w:rPr>
          <w:rStyle w:val="21"/>
          <w:rFonts w:hint="eastAsia" w:ascii="仿宋" w:hAnsi="仿宋" w:eastAsia="仿宋"/>
          <w:bCs/>
          <w:color w:val="auto"/>
          <w:sz w:val="32"/>
          <w:szCs w:val="32"/>
          <w:highlight w:val="none"/>
        </w:rPr>
        <w:t>（项）</w:t>
      </w:r>
      <w:r>
        <w:rPr>
          <w:rStyle w:val="21"/>
          <w:rFonts w:ascii="仿宋" w:hAnsi="仿宋" w:eastAsia="仿宋"/>
          <w:bCs/>
          <w:color w:val="auto"/>
          <w:sz w:val="32"/>
          <w:szCs w:val="32"/>
          <w:highlight w:val="none"/>
        </w:rPr>
        <w:t>:</w:t>
      </w:r>
      <w:r>
        <w:rPr>
          <w:rStyle w:val="21"/>
          <w:rFonts w:ascii="仿宋" w:hAnsi="仿宋" w:eastAsia="仿宋"/>
          <w:b w:val="0"/>
          <w:bCs/>
          <w:color w:val="auto"/>
          <w:sz w:val="32"/>
          <w:szCs w:val="32"/>
          <w:highlight w:val="none"/>
        </w:rPr>
        <w:t xml:space="preserve"> </w:t>
      </w:r>
      <w:r>
        <w:rPr>
          <w:rStyle w:val="21"/>
          <w:rFonts w:hint="eastAsia" w:ascii="仿宋" w:hAnsi="仿宋" w:eastAsia="仿宋"/>
          <w:b w:val="0"/>
          <w:bCs/>
          <w:color w:val="auto"/>
          <w:sz w:val="32"/>
          <w:szCs w:val="32"/>
          <w:highlight w:val="none"/>
        </w:rPr>
        <w:t>支出决算为</w:t>
      </w:r>
      <w:r>
        <w:rPr>
          <w:rStyle w:val="21"/>
          <w:rFonts w:hint="eastAsia" w:ascii="仿宋" w:hAnsi="仿宋" w:eastAsia="仿宋"/>
          <w:b w:val="0"/>
          <w:bCs/>
          <w:color w:val="auto"/>
          <w:sz w:val="32"/>
          <w:szCs w:val="32"/>
          <w:highlight w:val="none"/>
          <w:lang w:val="en-US" w:eastAsia="zh-CN"/>
        </w:rPr>
        <w:t>23.21</w:t>
      </w:r>
      <w:r>
        <w:rPr>
          <w:rStyle w:val="21"/>
          <w:rFonts w:hint="eastAsia" w:ascii="仿宋" w:hAnsi="仿宋" w:eastAsia="仿宋"/>
          <w:b w:val="0"/>
          <w:bCs/>
          <w:color w:val="auto"/>
          <w:sz w:val="32"/>
          <w:szCs w:val="32"/>
          <w:highlight w:val="none"/>
        </w:rPr>
        <w:t>万元，完成预算</w:t>
      </w:r>
      <w:r>
        <w:rPr>
          <w:rStyle w:val="21"/>
          <w:rFonts w:hint="eastAsia" w:ascii="仿宋" w:hAnsi="仿宋" w:eastAsia="仿宋"/>
          <w:b w:val="0"/>
          <w:bCs/>
          <w:color w:val="auto"/>
          <w:sz w:val="32"/>
          <w:szCs w:val="32"/>
          <w:highlight w:val="none"/>
          <w:lang w:val="en-US" w:eastAsia="zh-CN"/>
        </w:rPr>
        <w:t>100</w:t>
      </w:r>
      <w:r>
        <w:rPr>
          <w:rStyle w:val="21"/>
          <w:rFonts w:ascii="仿宋" w:hAnsi="仿宋" w:eastAsia="仿宋"/>
          <w:b w:val="0"/>
          <w:bCs/>
          <w:color w:val="auto"/>
          <w:sz w:val="32"/>
          <w:szCs w:val="32"/>
          <w:highlight w:val="none"/>
        </w:rPr>
        <w:t>%</w:t>
      </w:r>
      <w:r>
        <w:rPr>
          <w:rStyle w:val="21"/>
          <w:rFonts w:hint="eastAsia" w:ascii="仿宋" w:hAnsi="仿宋" w:eastAsia="仿宋"/>
          <w:b w:val="0"/>
          <w:bCs/>
          <w:color w:val="auto"/>
          <w:sz w:val="32"/>
          <w:szCs w:val="32"/>
          <w:highlight w:val="none"/>
        </w:rPr>
        <w:t>。</w:t>
      </w:r>
    </w:p>
    <w:p>
      <w:pPr>
        <w:spacing w:line="600" w:lineRule="exact"/>
        <w:ind w:firstLine="643" w:firstLineChars="200"/>
        <w:rPr>
          <w:rFonts w:ascii="仿宋" w:hAnsi="仿宋" w:eastAsia="仿宋"/>
          <w:b/>
          <w:color w:val="auto"/>
          <w:sz w:val="32"/>
          <w:szCs w:val="32"/>
          <w:highlight w:val="none"/>
        </w:rPr>
      </w:pPr>
      <w:r>
        <w:rPr>
          <w:rStyle w:val="21"/>
          <w:rFonts w:ascii="仿宋" w:hAnsi="仿宋" w:eastAsia="仿宋"/>
          <w:bCs/>
          <w:color w:val="auto"/>
          <w:sz w:val="32"/>
          <w:szCs w:val="32"/>
          <w:highlight w:val="none"/>
        </w:rPr>
        <w:t>6.</w:t>
      </w:r>
      <w:r>
        <w:rPr>
          <w:rFonts w:hint="eastAsia" w:ascii="仿宋" w:hAnsi="仿宋" w:eastAsia="仿宋"/>
          <w:b/>
          <w:bCs/>
          <w:color w:val="auto"/>
          <w:sz w:val="32"/>
          <w:szCs w:val="32"/>
          <w:highlight w:val="none"/>
        </w:rPr>
        <w:t>卫生健康支出</w:t>
      </w:r>
      <w:r>
        <w:rPr>
          <w:rStyle w:val="21"/>
          <w:rFonts w:hint="eastAsia" w:ascii="仿宋" w:hAnsi="仿宋" w:eastAsia="仿宋"/>
          <w:bCs/>
          <w:color w:val="auto"/>
          <w:sz w:val="32"/>
          <w:szCs w:val="32"/>
          <w:highlight w:val="none"/>
        </w:rPr>
        <w:t>（类）行政事业单位医疗（款）行政单位医疗（项）</w:t>
      </w:r>
      <w:r>
        <w:rPr>
          <w:rStyle w:val="21"/>
          <w:rFonts w:ascii="仿宋" w:hAnsi="仿宋" w:eastAsia="仿宋"/>
          <w:bCs/>
          <w:color w:val="auto"/>
          <w:sz w:val="32"/>
          <w:szCs w:val="32"/>
          <w:highlight w:val="none"/>
        </w:rPr>
        <w:t>:</w:t>
      </w:r>
      <w:r>
        <w:rPr>
          <w:rStyle w:val="21"/>
          <w:rFonts w:hint="eastAsia" w:ascii="仿宋" w:hAnsi="仿宋" w:eastAsia="仿宋"/>
          <w:b w:val="0"/>
          <w:bCs/>
          <w:color w:val="auto"/>
          <w:sz w:val="32"/>
          <w:szCs w:val="32"/>
          <w:highlight w:val="none"/>
        </w:rPr>
        <w:t>支出决算为</w:t>
      </w:r>
      <w:r>
        <w:rPr>
          <w:rStyle w:val="21"/>
          <w:rFonts w:hint="eastAsia" w:ascii="仿宋" w:hAnsi="仿宋" w:eastAsia="仿宋"/>
          <w:b w:val="0"/>
          <w:bCs/>
          <w:color w:val="auto"/>
          <w:sz w:val="32"/>
          <w:szCs w:val="32"/>
          <w:highlight w:val="none"/>
          <w:lang w:val="en-US" w:eastAsia="zh-CN"/>
        </w:rPr>
        <w:t>66.49</w:t>
      </w:r>
      <w:r>
        <w:rPr>
          <w:rStyle w:val="21"/>
          <w:rFonts w:hint="eastAsia" w:ascii="仿宋" w:hAnsi="仿宋" w:eastAsia="仿宋"/>
          <w:b w:val="0"/>
          <w:bCs/>
          <w:color w:val="auto"/>
          <w:sz w:val="32"/>
          <w:szCs w:val="32"/>
          <w:highlight w:val="none"/>
        </w:rPr>
        <w:t>万元，完成预算</w:t>
      </w:r>
      <w:r>
        <w:rPr>
          <w:rStyle w:val="21"/>
          <w:rFonts w:hint="eastAsia" w:ascii="仿宋" w:hAnsi="仿宋" w:eastAsia="仿宋"/>
          <w:b w:val="0"/>
          <w:bCs/>
          <w:color w:val="auto"/>
          <w:sz w:val="32"/>
          <w:szCs w:val="32"/>
          <w:highlight w:val="none"/>
          <w:lang w:val="en-US" w:eastAsia="zh-CN"/>
        </w:rPr>
        <w:t>100</w:t>
      </w:r>
      <w:r>
        <w:rPr>
          <w:rStyle w:val="21"/>
          <w:rFonts w:ascii="仿宋" w:hAnsi="仿宋" w:eastAsia="仿宋"/>
          <w:b w:val="0"/>
          <w:bCs/>
          <w:color w:val="auto"/>
          <w:sz w:val="32"/>
          <w:szCs w:val="32"/>
          <w:highlight w:val="none"/>
        </w:rPr>
        <w:t>%</w:t>
      </w:r>
      <w:r>
        <w:rPr>
          <w:rStyle w:val="21"/>
          <w:rFonts w:hint="eastAsia" w:ascii="仿宋" w:hAnsi="仿宋" w:eastAsia="仿宋"/>
          <w:b w:val="0"/>
          <w:bCs/>
          <w:color w:val="auto"/>
          <w:sz w:val="32"/>
          <w:szCs w:val="32"/>
          <w:highlight w:val="none"/>
        </w:rPr>
        <w:t>。</w:t>
      </w:r>
    </w:p>
    <w:p>
      <w:pPr>
        <w:spacing w:line="600" w:lineRule="exact"/>
        <w:ind w:firstLine="643" w:firstLineChars="200"/>
        <w:rPr>
          <w:rStyle w:val="21"/>
          <w:rFonts w:hint="eastAsia" w:ascii="仿宋" w:hAnsi="仿宋" w:eastAsia="仿宋"/>
          <w:b w:val="0"/>
          <w:bCs/>
          <w:color w:val="auto"/>
          <w:sz w:val="32"/>
          <w:szCs w:val="32"/>
          <w:highlight w:val="none"/>
        </w:rPr>
      </w:pPr>
      <w:r>
        <w:rPr>
          <w:rStyle w:val="21"/>
          <w:rFonts w:hint="eastAsia" w:ascii="仿宋" w:hAnsi="仿宋" w:eastAsia="仿宋"/>
          <w:bCs/>
          <w:color w:val="auto"/>
          <w:sz w:val="32"/>
          <w:szCs w:val="32"/>
          <w:highlight w:val="none"/>
          <w:lang w:val="en-US" w:eastAsia="zh-CN"/>
        </w:rPr>
        <w:t>7</w:t>
      </w:r>
      <w:r>
        <w:rPr>
          <w:rStyle w:val="21"/>
          <w:rFonts w:ascii="仿宋" w:hAnsi="仿宋" w:eastAsia="仿宋"/>
          <w:bCs/>
          <w:color w:val="auto"/>
          <w:sz w:val="32"/>
          <w:szCs w:val="32"/>
          <w:highlight w:val="none"/>
        </w:rPr>
        <w:t>.</w:t>
      </w:r>
      <w:r>
        <w:rPr>
          <w:rStyle w:val="21"/>
          <w:rFonts w:hint="eastAsia" w:ascii="仿宋" w:hAnsi="仿宋" w:eastAsia="仿宋"/>
          <w:bCs/>
          <w:color w:val="auto"/>
          <w:sz w:val="32"/>
          <w:szCs w:val="32"/>
          <w:highlight w:val="none"/>
          <w:lang w:eastAsia="zh-CN"/>
        </w:rPr>
        <w:t>农林水支出</w:t>
      </w:r>
      <w:r>
        <w:rPr>
          <w:rStyle w:val="21"/>
          <w:rFonts w:hint="eastAsia" w:ascii="仿宋" w:hAnsi="仿宋" w:eastAsia="仿宋"/>
          <w:bCs/>
          <w:color w:val="auto"/>
          <w:sz w:val="32"/>
          <w:szCs w:val="32"/>
          <w:highlight w:val="none"/>
        </w:rPr>
        <w:t>（类）</w:t>
      </w:r>
      <w:r>
        <w:rPr>
          <w:rStyle w:val="21"/>
          <w:rFonts w:hint="eastAsia" w:ascii="仿宋" w:hAnsi="仿宋" w:eastAsia="仿宋"/>
          <w:bCs/>
          <w:color w:val="auto"/>
          <w:sz w:val="32"/>
          <w:szCs w:val="32"/>
          <w:highlight w:val="none"/>
          <w:lang w:eastAsia="zh-CN"/>
        </w:rPr>
        <w:t>林业和草原</w:t>
      </w:r>
      <w:r>
        <w:rPr>
          <w:rStyle w:val="21"/>
          <w:rFonts w:hint="eastAsia" w:ascii="仿宋" w:hAnsi="仿宋" w:eastAsia="仿宋"/>
          <w:bCs/>
          <w:color w:val="auto"/>
          <w:sz w:val="32"/>
          <w:szCs w:val="32"/>
          <w:highlight w:val="none"/>
        </w:rPr>
        <w:t>（款）</w:t>
      </w:r>
      <w:r>
        <w:rPr>
          <w:rStyle w:val="21"/>
          <w:rFonts w:hint="eastAsia" w:ascii="仿宋" w:hAnsi="仿宋" w:eastAsia="仿宋"/>
          <w:bCs/>
          <w:color w:val="auto"/>
          <w:sz w:val="32"/>
          <w:szCs w:val="32"/>
          <w:highlight w:val="none"/>
          <w:lang w:eastAsia="zh-CN"/>
        </w:rPr>
        <w:t>行政运行</w:t>
      </w:r>
      <w:r>
        <w:rPr>
          <w:rStyle w:val="21"/>
          <w:rFonts w:hint="eastAsia" w:ascii="仿宋" w:hAnsi="仿宋" w:eastAsia="仿宋"/>
          <w:bCs/>
          <w:color w:val="auto"/>
          <w:sz w:val="32"/>
          <w:szCs w:val="32"/>
          <w:highlight w:val="none"/>
        </w:rPr>
        <w:t>（项）</w:t>
      </w:r>
      <w:r>
        <w:rPr>
          <w:rStyle w:val="21"/>
          <w:rFonts w:ascii="仿宋" w:hAnsi="仿宋" w:eastAsia="仿宋"/>
          <w:bCs/>
          <w:color w:val="auto"/>
          <w:sz w:val="32"/>
          <w:szCs w:val="32"/>
          <w:highlight w:val="none"/>
        </w:rPr>
        <w:t>:</w:t>
      </w:r>
      <w:r>
        <w:rPr>
          <w:rStyle w:val="21"/>
          <w:rFonts w:ascii="仿宋" w:hAnsi="仿宋" w:eastAsia="仿宋"/>
          <w:b w:val="0"/>
          <w:bCs/>
          <w:color w:val="auto"/>
          <w:sz w:val="32"/>
          <w:szCs w:val="32"/>
          <w:highlight w:val="none"/>
        </w:rPr>
        <w:t xml:space="preserve"> </w:t>
      </w:r>
      <w:r>
        <w:rPr>
          <w:rStyle w:val="21"/>
          <w:rFonts w:hint="eastAsia" w:ascii="仿宋" w:hAnsi="仿宋" w:eastAsia="仿宋"/>
          <w:b w:val="0"/>
          <w:bCs/>
          <w:color w:val="auto"/>
          <w:sz w:val="32"/>
          <w:szCs w:val="32"/>
          <w:highlight w:val="none"/>
        </w:rPr>
        <w:t>支出决算为</w:t>
      </w:r>
      <w:r>
        <w:rPr>
          <w:rStyle w:val="21"/>
          <w:rFonts w:hint="eastAsia" w:ascii="仿宋" w:hAnsi="仿宋" w:eastAsia="仿宋"/>
          <w:b w:val="0"/>
          <w:bCs/>
          <w:color w:val="auto"/>
          <w:sz w:val="32"/>
          <w:szCs w:val="32"/>
          <w:highlight w:val="none"/>
          <w:lang w:val="en-US" w:eastAsia="zh-CN"/>
        </w:rPr>
        <w:t>1212.31</w:t>
      </w:r>
      <w:r>
        <w:rPr>
          <w:rStyle w:val="21"/>
          <w:rFonts w:hint="eastAsia" w:ascii="仿宋" w:hAnsi="仿宋" w:eastAsia="仿宋"/>
          <w:b w:val="0"/>
          <w:bCs/>
          <w:color w:val="auto"/>
          <w:sz w:val="32"/>
          <w:szCs w:val="32"/>
          <w:highlight w:val="none"/>
        </w:rPr>
        <w:t>万元，完成预算</w:t>
      </w:r>
      <w:r>
        <w:rPr>
          <w:rStyle w:val="21"/>
          <w:rFonts w:hint="eastAsia" w:ascii="仿宋" w:hAnsi="仿宋" w:eastAsia="仿宋"/>
          <w:b w:val="0"/>
          <w:bCs/>
          <w:color w:val="auto"/>
          <w:sz w:val="32"/>
          <w:szCs w:val="32"/>
          <w:highlight w:val="none"/>
          <w:lang w:val="en-US" w:eastAsia="zh-CN"/>
        </w:rPr>
        <w:t>63.83</w:t>
      </w:r>
      <w:r>
        <w:rPr>
          <w:rStyle w:val="21"/>
          <w:rFonts w:ascii="仿宋" w:hAnsi="仿宋" w:eastAsia="仿宋"/>
          <w:b w:val="0"/>
          <w:bCs/>
          <w:color w:val="auto"/>
          <w:sz w:val="32"/>
          <w:szCs w:val="32"/>
          <w:highlight w:val="none"/>
        </w:rPr>
        <w:t>%</w:t>
      </w:r>
      <w:r>
        <w:rPr>
          <w:rStyle w:val="21"/>
          <w:rFonts w:hint="eastAsia" w:ascii="仿宋" w:hAnsi="仿宋" w:eastAsia="仿宋"/>
          <w:b w:val="0"/>
          <w:bCs/>
          <w:color w:val="auto"/>
          <w:sz w:val="32"/>
          <w:szCs w:val="32"/>
          <w:highlight w:val="none"/>
        </w:rPr>
        <w:t>，决算数小于预算数的主要原因是</w:t>
      </w:r>
      <w:r>
        <w:rPr>
          <w:rFonts w:hint="eastAsia" w:ascii="仿宋_GB2312" w:hAnsi="仿宋_GB2312" w:eastAsia="仿宋_GB2312" w:cs="仿宋_GB2312"/>
          <w:color w:val="auto"/>
          <w:sz w:val="32"/>
          <w:szCs w:val="32"/>
          <w:highlight w:val="none"/>
        </w:rPr>
        <w:t>项目尚在实施中，属于正常的资金结转</w:t>
      </w:r>
      <w:r>
        <w:rPr>
          <w:rStyle w:val="21"/>
          <w:rFonts w:hint="eastAsia" w:ascii="仿宋" w:hAnsi="仿宋" w:eastAsia="仿宋"/>
          <w:b w:val="0"/>
          <w:bCs/>
          <w:color w:val="auto"/>
          <w:sz w:val="32"/>
          <w:szCs w:val="32"/>
          <w:highlight w:val="none"/>
        </w:rPr>
        <w:t>。</w:t>
      </w:r>
    </w:p>
    <w:p>
      <w:pPr>
        <w:spacing w:line="600" w:lineRule="exact"/>
        <w:ind w:firstLine="643" w:firstLineChars="200"/>
        <w:rPr>
          <w:rStyle w:val="21"/>
          <w:rFonts w:hint="eastAsia" w:ascii="仿宋" w:hAnsi="仿宋" w:eastAsia="仿宋"/>
          <w:b w:val="0"/>
          <w:bCs/>
          <w:color w:val="auto"/>
          <w:sz w:val="32"/>
          <w:szCs w:val="32"/>
          <w:highlight w:val="none"/>
        </w:rPr>
      </w:pPr>
      <w:r>
        <w:rPr>
          <w:rStyle w:val="21"/>
          <w:rFonts w:hint="eastAsia" w:ascii="仿宋" w:hAnsi="仿宋" w:eastAsia="仿宋"/>
          <w:bCs/>
          <w:color w:val="auto"/>
          <w:sz w:val="32"/>
          <w:szCs w:val="32"/>
          <w:highlight w:val="none"/>
          <w:lang w:val="en-US" w:eastAsia="zh-CN"/>
        </w:rPr>
        <w:t>8</w:t>
      </w:r>
      <w:r>
        <w:rPr>
          <w:rStyle w:val="21"/>
          <w:rFonts w:ascii="仿宋" w:hAnsi="仿宋" w:eastAsia="仿宋"/>
          <w:bCs/>
          <w:color w:val="auto"/>
          <w:sz w:val="32"/>
          <w:szCs w:val="32"/>
          <w:highlight w:val="none"/>
        </w:rPr>
        <w:t>.</w:t>
      </w:r>
      <w:r>
        <w:rPr>
          <w:rStyle w:val="21"/>
          <w:rFonts w:hint="eastAsia" w:ascii="仿宋" w:hAnsi="仿宋" w:eastAsia="仿宋"/>
          <w:bCs/>
          <w:color w:val="auto"/>
          <w:sz w:val="32"/>
          <w:szCs w:val="32"/>
          <w:highlight w:val="none"/>
          <w:lang w:eastAsia="zh-CN"/>
        </w:rPr>
        <w:t>农林水支出</w:t>
      </w:r>
      <w:r>
        <w:rPr>
          <w:rStyle w:val="21"/>
          <w:rFonts w:hint="eastAsia" w:ascii="仿宋" w:hAnsi="仿宋" w:eastAsia="仿宋"/>
          <w:bCs/>
          <w:color w:val="auto"/>
          <w:sz w:val="32"/>
          <w:szCs w:val="32"/>
          <w:highlight w:val="none"/>
        </w:rPr>
        <w:t>（类）</w:t>
      </w:r>
      <w:r>
        <w:rPr>
          <w:rStyle w:val="21"/>
          <w:rFonts w:hint="eastAsia" w:ascii="仿宋" w:hAnsi="仿宋" w:eastAsia="仿宋"/>
          <w:bCs/>
          <w:color w:val="auto"/>
          <w:sz w:val="32"/>
          <w:szCs w:val="32"/>
          <w:highlight w:val="none"/>
          <w:lang w:eastAsia="zh-CN"/>
        </w:rPr>
        <w:t>林业和草原</w:t>
      </w:r>
      <w:r>
        <w:rPr>
          <w:rStyle w:val="21"/>
          <w:rFonts w:hint="eastAsia" w:ascii="仿宋" w:hAnsi="仿宋" w:eastAsia="仿宋"/>
          <w:bCs/>
          <w:color w:val="auto"/>
          <w:sz w:val="32"/>
          <w:szCs w:val="32"/>
          <w:highlight w:val="none"/>
        </w:rPr>
        <w:t>（款）</w:t>
      </w:r>
      <w:r>
        <w:rPr>
          <w:rStyle w:val="21"/>
          <w:rFonts w:hint="eastAsia" w:ascii="仿宋" w:hAnsi="仿宋" w:eastAsia="仿宋"/>
          <w:bCs/>
          <w:color w:val="auto"/>
          <w:sz w:val="32"/>
          <w:szCs w:val="32"/>
          <w:highlight w:val="none"/>
          <w:lang w:eastAsia="zh-CN"/>
        </w:rPr>
        <w:t xml:space="preserve"> 一般行政管理事务</w:t>
      </w:r>
      <w:r>
        <w:rPr>
          <w:rStyle w:val="21"/>
          <w:rFonts w:hint="eastAsia" w:ascii="仿宋" w:hAnsi="仿宋" w:eastAsia="仿宋"/>
          <w:bCs/>
          <w:color w:val="auto"/>
          <w:sz w:val="32"/>
          <w:szCs w:val="32"/>
          <w:highlight w:val="none"/>
        </w:rPr>
        <w:t>（项）</w:t>
      </w:r>
      <w:r>
        <w:rPr>
          <w:rStyle w:val="21"/>
          <w:rFonts w:ascii="仿宋" w:hAnsi="仿宋" w:eastAsia="仿宋"/>
          <w:bCs/>
          <w:color w:val="auto"/>
          <w:sz w:val="32"/>
          <w:szCs w:val="32"/>
          <w:highlight w:val="none"/>
        </w:rPr>
        <w:t>:</w:t>
      </w:r>
      <w:r>
        <w:rPr>
          <w:rStyle w:val="21"/>
          <w:rFonts w:ascii="仿宋" w:hAnsi="仿宋" w:eastAsia="仿宋"/>
          <w:b w:val="0"/>
          <w:bCs/>
          <w:color w:val="auto"/>
          <w:sz w:val="32"/>
          <w:szCs w:val="32"/>
          <w:highlight w:val="none"/>
        </w:rPr>
        <w:t xml:space="preserve"> </w:t>
      </w:r>
      <w:r>
        <w:rPr>
          <w:rStyle w:val="21"/>
          <w:rFonts w:hint="eastAsia" w:ascii="仿宋" w:hAnsi="仿宋" w:eastAsia="仿宋"/>
          <w:b w:val="0"/>
          <w:bCs/>
          <w:color w:val="auto"/>
          <w:sz w:val="32"/>
          <w:szCs w:val="32"/>
          <w:highlight w:val="none"/>
        </w:rPr>
        <w:t>支出决算为</w:t>
      </w:r>
      <w:r>
        <w:rPr>
          <w:rStyle w:val="21"/>
          <w:rFonts w:hint="eastAsia" w:ascii="仿宋" w:hAnsi="仿宋" w:eastAsia="仿宋"/>
          <w:b w:val="0"/>
          <w:bCs/>
          <w:color w:val="auto"/>
          <w:sz w:val="32"/>
          <w:szCs w:val="32"/>
          <w:highlight w:val="none"/>
          <w:lang w:val="en-US" w:eastAsia="zh-CN"/>
        </w:rPr>
        <w:t>183.91</w:t>
      </w:r>
      <w:r>
        <w:rPr>
          <w:rStyle w:val="21"/>
          <w:rFonts w:hint="eastAsia" w:ascii="仿宋" w:hAnsi="仿宋" w:eastAsia="仿宋"/>
          <w:b w:val="0"/>
          <w:bCs/>
          <w:color w:val="auto"/>
          <w:sz w:val="32"/>
          <w:szCs w:val="32"/>
          <w:highlight w:val="none"/>
        </w:rPr>
        <w:t>万元，完成预算</w:t>
      </w:r>
      <w:r>
        <w:rPr>
          <w:rStyle w:val="21"/>
          <w:rFonts w:hint="eastAsia" w:ascii="仿宋" w:hAnsi="仿宋" w:eastAsia="仿宋"/>
          <w:b w:val="0"/>
          <w:bCs/>
          <w:color w:val="auto"/>
          <w:sz w:val="32"/>
          <w:szCs w:val="32"/>
          <w:highlight w:val="none"/>
          <w:lang w:val="en-US" w:eastAsia="zh-CN"/>
        </w:rPr>
        <w:t>100</w:t>
      </w:r>
      <w:r>
        <w:rPr>
          <w:rStyle w:val="21"/>
          <w:rFonts w:ascii="仿宋" w:hAnsi="仿宋" w:eastAsia="仿宋"/>
          <w:b w:val="0"/>
          <w:bCs/>
          <w:color w:val="auto"/>
          <w:sz w:val="32"/>
          <w:szCs w:val="32"/>
          <w:highlight w:val="none"/>
        </w:rPr>
        <w:t>%</w:t>
      </w:r>
      <w:r>
        <w:rPr>
          <w:rStyle w:val="21"/>
          <w:rFonts w:hint="eastAsia" w:ascii="仿宋" w:hAnsi="仿宋" w:eastAsia="仿宋"/>
          <w:b w:val="0"/>
          <w:bCs/>
          <w:color w:val="auto"/>
          <w:sz w:val="32"/>
          <w:szCs w:val="32"/>
          <w:highlight w:val="none"/>
        </w:rPr>
        <w:t>。</w:t>
      </w:r>
    </w:p>
    <w:p>
      <w:pPr>
        <w:spacing w:line="600" w:lineRule="exact"/>
        <w:ind w:firstLine="643" w:firstLineChars="200"/>
        <w:rPr>
          <w:rStyle w:val="21"/>
          <w:rFonts w:hint="eastAsia" w:ascii="仿宋" w:hAnsi="仿宋" w:eastAsia="仿宋"/>
          <w:b w:val="0"/>
          <w:bCs/>
          <w:color w:val="auto"/>
          <w:sz w:val="32"/>
          <w:szCs w:val="32"/>
          <w:highlight w:val="none"/>
        </w:rPr>
      </w:pPr>
      <w:r>
        <w:rPr>
          <w:rStyle w:val="21"/>
          <w:rFonts w:hint="eastAsia" w:ascii="仿宋" w:hAnsi="仿宋" w:eastAsia="仿宋"/>
          <w:bCs/>
          <w:color w:val="auto"/>
          <w:sz w:val="32"/>
          <w:szCs w:val="32"/>
          <w:highlight w:val="none"/>
          <w:lang w:val="en-US" w:eastAsia="zh-CN"/>
        </w:rPr>
        <w:t>9</w:t>
      </w:r>
      <w:r>
        <w:rPr>
          <w:rStyle w:val="21"/>
          <w:rFonts w:ascii="仿宋" w:hAnsi="仿宋" w:eastAsia="仿宋"/>
          <w:bCs/>
          <w:color w:val="auto"/>
          <w:sz w:val="32"/>
          <w:szCs w:val="32"/>
          <w:highlight w:val="none"/>
        </w:rPr>
        <w:t>.</w:t>
      </w:r>
      <w:r>
        <w:rPr>
          <w:rStyle w:val="21"/>
          <w:rFonts w:hint="eastAsia" w:ascii="仿宋" w:hAnsi="仿宋" w:eastAsia="仿宋"/>
          <w:bCs/>
          <w:color w:val="auto"/>
          <w:sz w:val="32"/>
          <w:szCs w:val="32"/>
          <w:highlight w:val="none"/>
          <w:lang w:eastAsia="zh-CN"/>
        </w:rPr>
        <w:t>农林水支出</w:t>
      </w:r>
      <w:r>
        <w:rPr>
          <w:rStyle w:val="21"/>
          <w:rFonts w:hint="eastAsia" w:ascii="仿宋" w:hAnsi="仿宋" w:eastAsia="仿宋"/>
          <w:bCs/>
          <w:color w:val="auto"/>
          <w:sz w:val="32"/>
          <w:szCs w:val="32"/>
          <w:highlight w:val="none"/>
        </w:rPr>
        <w:t>（类）</w:t>
      </w:r>
      <w:r>
        <w:rPr>
          <w:rStyle w:val="21"/>
          <w:rFonts w:hint="eastAsia" w:ascii="仿宋" w:hAnsi="仿宋" w:eastAsia="仿宋"/>
          <w:bCs/>
          <w:color w:val="auto"/>
          <w:sz w:val="32"/>
          <w:szCs w:val="32"/>
          <w:highlight w:val="none"/>
          <w:lang w:eastAsia="zh-CN"/>
        </w:rPr>
        <w:t>林业和草原</w:t>
      </w:r>
      <w:r>
        <w:rPr>
          <w:rStyle w:val="21"/>
          <w:rFonts w:hint="eastAsia" w:ascii="仿宋" w:hAnsi="仿宋" w:eastAsia="仿宋"/>
          <w:bCs/>
          <w:color w:val="auto"/>
          <w:sz w:val="32"/>
          <w:szCs w:val="32"/>
          <w:highlight w:val="none"/>
        </w:rPr>
        <w:t>（款）</w:t>
      </w:r>
      <w:r>
        <w:rPr>
          <w:rStyle w:val="21"/>
          <w:rFonts w:hint="eastAsia" w:ascii="仿宋" w:hAnsi="仿宋" w:eastAsia="仿宋"/>
          <w:bCs/>
          <w:color w:val="auto"/>
          <w:sz w:val="32"/>
          <w:szCs w:val="32"/>
          <w:highlight w:val="none"/>
          <w:lang w:eastAsia="zh-CN"/>
        </w:rPr>
        <w:t>事业机构</w:t>
      </w:r>
      <w:r>
        <w:rPr>
          <w:rStyle w:val="21"/>
          <w:rFonts w:hint="eastAsia" w:ascii="仿宋" w:hAnsi="仿宋" w:eastAsia="仿宋"/>
          <w:bCs/>
          <w:color w:val="auto"/>
          <w:sz w:val="32"/>
          <w:szCs w:val="32"/>
          <w:highlight w:val="none"/>
        </w:rPr>
        <w:t>（项）</w:t>
      </w:r>
      <w:r>
        <w:rPr>
          <w:rStyle w:val="21"/>
          <w:rFonts w:ascii="仿宋" w:hAnsi="仿宋" w:eastAsia="仿宋"/>
          <w:bCs/>
          <w:color w:val="auto"/>
          <w:sz w:val="32"/>
          <w:szCs w:val="32"/>
          <w:highlight w:val="none"/>
        </w:rPr>
        <w:t>:</w:t>
      </w:r>
      <w:r>
        <w:rPr>
          <w:rStyle w:val="21"/>
          <w:rFonts w:ascii="仿宋" w:hAnsi="仿宋" w:eastAsia="仿宋"/>
          <w:b w:val="0"/>
          <w:bCs/>
          <w:color w:val="auto"/>
          <w:sz w:val="32"/>
          <w:szCs w:val="32"/>
          <w:highlight w:val="none"/>
        </w:rPr>
        <w:t xml:space="preserve"> </w:t>
      </w:r>
      <w:r>
        <w:rPr>
          <w:rStyle w:val="21"/>
          <w:rFonts w:hint="eastAsia" w:ascii="仿宋" w:hAnsi="仿宋" w:eastAsia="仿宋"/>
          <w:b w:val="0"/>
          <w:bCs/>
          <w:color w:val="auto"/>
          <w:sz w:val="32"/>
          <w:szCs w:val="32"/>
          <w:highlight w:val="none"/>
        </w:rPr>
        <w:t>支出决算为</w:t>
      </w:r>
      <w:r>
        <w:rPr>
          <w:rStyle w:val="21"/>
          <w:rFonts w:hint="eastAsia" w:ascii="仿宋" w:hAnsi="仿宋" w:eastAsia="仿宋"/>
          <w:b w:val="0"/>
          <w:bCs/>
          <w:color w:val="auto"/>
          <w:sz w:val="32"/>
          <w:szCs w:val="32"/>
          <w:highlight w:val="none"/>
          <w:lang w:val="en-US" w:eastAsia="zh-CN"/>
        </w:rPr>
        <w:t>626.79</w:t>
      </w:r>
      <w:r>
        <w:rPr>
          <w:rStyle w:val="21"/>
          <w:rFonts w:hint="eastAsia" w:ascii="仿宋" w:hAnsi="仿宋" w:eastAsia="仿宋"/>
          <w:b w:val="0"/>
          <w:bCs/>
          <w:color w:val="auto"/>
          <w:sz w:val="32"/>
          <w:szCs w:val="32"/>
          <w:highlight w:val="none"/>
        </w:rPr>
        <w:t>万元，完成预算</w:t>
      </w:r>
      <w:r>
        <w:rPr>
          <w:rStyle w:val="21"/>
          <w:rFonts w:hint="eastAsia" w:ascii="仿宋" w:hAnsi="仿宋" w:eastAsia="仿宋"/>
          <w:b w:val="0"/>
          <w:bCs/>
          <w:color w:val="auto"/>
          <w:sz w:val="32"/>
          <w:szCs w:val="32"/>
          <w:highlight w:val="none"/>
          <w:lang w:val="en-US" w:eastAsia="zh-CN"/>
        </w:rPr>
        <w:t>100</w:t>
      </w:r>
      <w:r>
        <w:rPr>
          <w:rStyle w:val="21"/>
          <w:rFonts w:ascii="仿宋" w:hAnsi="仿宋" w:eastAsia="仿宋"/>
          <w:b w:val="0"/>
          <w:bCs/>
          <w:color w:val="auto"/>
          <w:sz w:val="32"/>
          <w:szCs w:val="32"/>
          <w:highlight w:val="none"/>
        </w:rPr>
        <w:t>%</w:t>
      </w:r>
      <w:r>
        <w:rPr>
          <w:rStyle w:val="21"/>
          <w:rFonts w:hint="eastAsia" w:ascii="仿宋" w:hAnsi="仿宋" w:eastAsia="仿宋"/>
          <w:b w:val="0"/>
          <w:bCs/>
          <w:color w:val="auto"/>
          <w:sz w:val="32"/>
          <w:szCs w:val="32"/>
          <w:highlight w:val="none"/>
        </w:rPr>
        <w:t>。</w:t>
      </w:r>
    </w:p>
    <w:p>
      <w:pPr>
        <w:spacing w:line="600" w:lineRule="exact"/>
        <w:ind w:firstLine="643" w:firstLineChars="200"/>
        <w:rPr>
          <w:rStyle w:val="21"/>
          <w:rFonts w:hint="eastAsia" w:ascii="仿宋" w:hAnsi="仿宋" w:eastAsia="仿宋"/>
          <w:b w:val="0"/>
          <w:bCs/>
          <w:color w:val="auto"/>
          <w:sz w:val="32"/>
          <w:szCs w:val="32"/>
          <w:highlight w:val="none"/>
        </w:rPr>
      </w:pPr>
      <w:r>
        <w:rPr>
          <w:rStyle w:val="21"/>
          <w:rFonts w:hint="eastAsia" w:ascii="仿宋" w:hAnsi="仿宋" w:eastAsia="仿宋"/>
          <w:bCs/>
          <w:color w:val="auto"/>
          <w:sz w:val="32"/>
          <w:szCs w:val="32"/>
          <w:highlight w:val="none"/>
          <w:lang w:val="en-US" w:eastAsia="zh-CN"/>
        </w:rPr>
        <w:t>10</w:t>
      </w:r>
      <w:r>
        <w:rPr>
          <w:rStyle w:val="21"/>
          <w:rFonts w:ascii="仿宋" w:hAnsi="仿宋" w:eastAsia="仿宋"/>
          <w:bCs/>
          <w:color w:val="auto"/>
          <w:sz w:val="32"/>
          <w:szCs w:val="32"/>
          <w:highlight w:val="none"/>
        </w:rPr>
        <w:t>.</w:t>
      </w:r>
      <w:r>
        <w:rPr>
          <w:rStyle w:val="21"/>
          <w:rFonts w:hint="eastAsia" w:ascii="仿宋" w:hAnsi="仿宋" w:eastAsia="仿宋"/>
          <w:bCs/>
          <w:color w:val="auto"/>
          <w:sz w:val="32"/>
          <w:szCs w:val="32"/>
          <w:highlight w:val="none"/>
          <w:lang w:eastAsia="zh-CN"/>
        </w:rPr>
        <w:t>农林水支出</w:t>
      </w:r>
      <w:r>
        <w:rPr>
          <w:rStyle w:val="21"/>
          <w:rFonts w:hint="eastAsia" w:ascii="仿宋" w:hAnsi="仿宋" w:eastAsia="仿宋"/>
          <w:bCs/>
          <w:color w:val="auto"/>
          <w:sz w:val="32"/>
          <w:szCs w:val="32"/>
          <w:highlight w:val="none"/>
        </w:rPr>
        <w:t>（类）</w:t>
      </w:r>
      <w:r>
        <w:rPr>
          <w:rStyle w:val="21"/>
          <w:rFonts w:hint="eastAsia" w:ascii="仿宋" w:hAnsi="仿宋" w:eastAsia="仿宋"/>
          <w:bCs/>
          <w:color w:val="auto"/>
          <w:sz w:val="32"/>
          <w:szCs w:val="32"/>
          <w:highlight w:val="none"/>
          <w:lang w:eastAsia="zh-CN"/>
        </w:rPr>
        <w:t>林业和草原</w:t>
      </w:r>
      <w:r>
        <w:rPr>
          <w:rStyle w:val="21"/>
          <w:rFonts w:hint="eastAsia" w:ascii="仿宋" w:hAnsi="仿宋" w:eastAsia="仿宋"/>
          <w:bCs/>
          <w:color w:val="auto"/>
          <w:sz w:val="32"/>
          <w:szCs w:val="32"/>
          <w:highlight w:val="none"/>
        </w:rPr>
        <w:t>（款）</w:t>
      </w:r>
      <w:r>
        <w:rPr>
          <w:rStyle w:val="21"/>
          <w:rFonts w:hint="eastAsia" w:ascii="仿宋" w:hAnsi="仿宋" w:eastAsia="仿宋"/>
          <w:bCs/>
          <w:color w:val="auto"/>
          <w:sz w:val="32"/>
          <w:szCs w:val="32"/>
          <w:highlight w:val="none"/>
          <w:lang w:eastAsia="zh-CN"/>
        </w:rPr>
        <w:t>森林资源培育</w:t>
      </w:r>
      <w:r>
        <w:rPr>
          <w:rStyle w:val="21"/>
          <w:rFonts w:hint="eastAsia" w:ascii="仿宋" w:hAnsi="仿宋" w:eastAsia="仿宋"/>
          <w:bCs/>
          <w:color w:val="auto"/>
          <w:sz w:val="32"/>
          <w:szCs w:val="32"/>
          <w:highlight w:val="none"/>
        </w:rPr>
        <w:t>（项）</w:t>
      </w:r>
      <w:r>
        <w:rPr>
          <w:rStyle w:val="21"/>
          <w:rFonts w:ascii="仿宋" w:hAnsi="仿宋" w:eastAsia="仿宋"/>
          <w:bCs/>
          <w:color w:val="auto"/>
          <w:sz w:val="32"/>
          <w:szCs w:val="32"/>
          <w:highlight w:val="none"/>
        </w:rPr>
        <w:t>:</w:t>
      </w:r>
      <w:r>
        <w:rPr>
          <w:rStyle w:val="21"/>
          <w:rFonts w:ascii="仿宋" w:hAnsi="仿宋" w:eastAsia="仿宋"/>
          <w:b w:val="0"/>
          <w:bCs/>
          <w:color w:val="auto"/>
          <w:sz w:val="32"/>
          <w:szCs w:val="32"/>
          <w:highlight w:val="none"/>
        </w:rPr>
        <w:t xml:space="preserve"> </w:t>
      </w:r>
      <w:r>
        <w:rPr>
          <w:rStyle w:val="21"/>
          <w:rFonts w:hint="eastAsia" w:ascii="仿宋" w:hAnsi="仿宋" w:eastAsia="仿宋"/>
          <w:b w:val="0"/>
          <w:bCs/>
          <w:color w:val="auto"/>
          <w:sz w:val="32"/>
          <w:szCs w:val="32"/>
          <w:highlight w:val="none"/>
        </w:rPr>
        <w:t>支出决算为</w:t>
      </w:r>
      <w:r>
        <w:rPr>
          <w:rStyle w:val="21"/>
          <w:rFonts w:hint="eastAsia" w:ascii="仿宋" w:hAnsi="仿宋" w:eastAsia="仿宋"/>
          <w:b w:val="0"/>
          <w:bCs/>
          <w:color w:val="auto"/>
          <w:sz w:val="32"/>
          <w:szCs w:val="32"/>
          <w:highlight w:val="none"/>
          <w:lang w:val="en-US" w:eastAsia="zh-CN"/>
        </w:rPr>
        <w:t>26.30</w:t>
      </w:r>
      <w:r>
        <w:rPr>
          <w:rStyle w:val="21"/>
          <w:rFonts w:hint="eastAsia" w:ascii="仿宋" w:hAnsi="仿宋" w:eastAsia="仿宋"/>
          <w:b w:val="0"/>
          <w:bCs/>
          <w:color w:val="auto"/>
          <w:sz w:val="32"/>
          <w:szCs w:val="32"/>
          <w:highlight w:val="none"/>
        </w:rPr>
        <w:t>万元，完成预算</w:t>
      </w:r>
      <w:r>
        <w:rPr>
          <w:rStyle w:val="21"/>
          <w:rFonts w:hint="eastAsia" w:ascii="仿宋" w:hAnsi="仿宋" w:eastAsia="仿宋"/>
          <w:b w:val="0"/>
          <w:bCs/>
          <w:color w:val="auto"/>
          <w:sz w:val="32"/>
          <w:szCs w:val="32"/>
          <w:highlight w:val="none"/>
          <w:lang w:val="en-US" w:eastAsia="zh-CN"/>
        </w:rPr>
        <w:t>81.53</w:t>
      </w:r>
      <w:r>
        <w:rPr>
          <w:rStyle w:val="21"/>
          <w:rFonts w:ascii="仿宋" w:hAnsi="仿宋" w:eastAsia="仿宋"/>
          <w:b w:val="0"/>
          <w:bCs/>
          <w:color w:val="auto"/>
          <w:sz w:val="32"/>
          <w:szCs w:val="32"/>
          <w:highlight w:val="none"/>
        </w:rPr>
        <w:t>%</w:t>
      </w:r>
      <w:r>
        <w:rPr>
          <w:rStyle w:val="21"/>
          <w:rFonts w:hint="eastAsia" w:ascii="仿宋" w:hAnsi="仿宋" w:eastAsia="仿宋"/>
          <w:b w:val="0"/>
          <w:bCs/>
          <w:color w:val="auto"/>
          <w:sz w:val="32"/>
          <w:szCs w:val="32"/>
          <w:highlight w:val="none"/>
        </w:rPr>
        <w:t>，决算数小于预算数的主要原因是</w:t>
      </w:r>
      <w:r>
        <w:rPr>
          <w:rFonts w:hint="eastAsia" w:ascii="仿宋_GB2312" w:hAnsi="仿宋_GB2312" w:eastAsia="仿宋_GB2312" w:cs="仿宋_GB2312"/>
          <w:color w:val="auto"/>
          <w:sz w:val="32"/>
          <w:szCs w:val="32"/>
          <w:highlight w:val="none"/>
        </w:rPr>
        <w:t>项目尚在实施中，属于正常的资金结转</w:t>
      </w:r>
      <w:r>
        <w:rPr>
          <w:rStyle w:val="21"/>
          <w:rFonts w:hint="eastAsia" w:ascii="仿宋" w:hAnsi="仿宋" w:eastAsia="仿宋"/>
          <w:b w:val="0"/>
          <w:bCs/>
          <w:color w:val="auto"/>
          <w:sz w:val="32"/>
          <w:szCs w:val="32"/>
          <w:highlight w:val="none"/>
        </w:rPr>
        <w:t>。</w:t>
      </w:r>
    </w:p>
    <w:p>
      <w:pPr>
        <w:spacing w:line="600" w:lineRule="exact"/>
        <w:ind w:firstLine="643" w:firstLineChars="200"/>
        <w:rPr>
          <w:rStyle w:val="21"/>
          <w:rFonts w:hint="eastAsia" w:ascii="仿宋" w:hAnsi="仿宋" w:eastAsia="仿宋"/>
          <w:b w:val="0"/>
          <w:bCs/>
          <w:color w:val="auto"/>
          <w:sz w:val="32"/>
          <w:szCs w:val="32"/>
          <w:highlight w:val="none"/>
        </w:rPr>
      </w:pPr>
      <w:r>
        <w:rPr>
          <w:rStyle w:val="21"/>
          <w:rFonts w:hint="eastAsia" w:ascii="仿宋" w:hAnsi="仿宋" w:eastAsia="仿宋"/>
          <w:bCs/>
          <w:color w:val="auto"/>
          <w:sz w:val="32"/>
          <w:szCs w:val="32"/>
          <w:highlight w:val="none"/>
          <w:lang w:val="en-US" w:eastAsia="zh-CN"/>
        </w:rPr>
        <w:t>11</w:t>
      </w:r>
      <w:r>
        <w:rPr>
          <w:rStyle w:val="21"/>
          <w:rFonts w:ascii="仿宋" w:hAnsi="仿宋" w:eastAsia="仿宋"/>
          <w:bCs/>
          <w:color w:val="auto"/>
          <w:sz w:val="32"/>
          <w:szCs w:val="32"/>
          <w:highlight w:val="none"/>
        </w:rPr>
        <w:t>.</w:t>
      </w:r>
      <w:r>
        <w:rPr>
          <w:rStyle w:val="21"/>
          <w:rFonts w:hint="eastAsia" w:ascii="仿宋" w:hAnsi="仿宋" w:eastAsia="仿宋"/>
          <w:bCs/>
          <w:color w:val="auto"/>
          <w:sz w:val="32"/>
          <w:szCs w:val="32"/>
          <w:highlight w:val="none"/>
          <w:lang w:eastAsia="zh-CN"/>
        </w:rPr>
        <w:t>农林水支出</w:t>
      </w:r>
      <w:r>
        <w:rPr>
          <w:rStyle w:val="21"/>
          <w:rFonts w:hint="eastAsia" w:ascii="仿宋" w:hAnsi="仿宋" w:eastAsia="仿宋"/>
          <w:bCs/>
          <w:color w:val="auto"/>
          <w:sz w:val="32"/>
          <w:szCs w:val="32"/>
          <w:highlight w:val="none"/>
        </w:rPr>
        <w:t>（类）</w:t>
      </w:r>
      <w:r>
        <w:rPr>
          <w:rStyle w:val="21"/>
          <w:rFonts w:hint="eastAsia" w:ascii="仿宋" w:hAnsi="仿宋" w:eastAsia="仿宋"/>
          <w:bCs/>
          <w:color w:val="auto"/>
          <w:sz w:val="32"/>
          <w:szCs w:val="32"/>
          <w:highlight w:val="none"/>
          <w:lang w:eastAsia="zh-CN"/>
        </w:rPr>
        <w:t>林业和草原</w:t>
      </w:r>
      <w:r>
        <w:rPr>
          <w:rStyle w:val="21"/>
          <w:rFonts w:hint="eastAsia" w:ascii="仿宋" w:hAnsi="仿宋" w:eastAsia="仿宋"/>
          <w:bCs/>
          <w:color w:val="auto"/>
          <w:sz w:val="32"/>
          <w:szCs w:val="32"/>
          <w:highlight w:val="none"/>
        </w:rPr>
        <w:t>（款</w:t>
      </w:r>
      <w:r>
        <w:rPr>
          <w:rStyle w:val="21"/>
          <w:rFonts w:hint="eastAsia" w:ascii="仿宋" w:hAnsi="仿宋" w:eastAsia="仿宋"/>
          <w:bCs/>
          <w:color w:val="auto"/>
          <w:sz w:val="32"/>
          <w:szCs w:val="32"/>
          <w:highlight w:val="none"/>
          <w:lang w:val="en-US" w:eastAsia="zh-CN"/>
        </w:rPr>
        <w:t>)</w:t>
      </w:r>
      <w:r>
        <w:rPr>
          <w:rStyle w:val="21"/>
          <w:rFonts w:hint="eastAsia" w:ascii="仿宋" w:hAnsi="仿宋" w:eastAsia="仿宋"/>
          <w:bCs/>
          <w:color w:val="auto"/>
          <w:sz w:val="32"/>
          <w:szCs w:val="32"/>
          <w:highlight w:val="none"/>
          <w:lang w:eastAsia="zh-CN"/>
        </w:rPr>
        <w:t>技术推广与转化</w:t>
      </w:r>
      <w:r>
        <w:rPr>
          <w:rStyle w:val="21"/>
          <w:rFonts w:hint="eastAsia" w:ascii="仿宋" w:hAnsi="仿宋" w:eastAsia="仿宋"/>
          <w:bCs/>
          <w:color w:val="auto"/>
          <w:sz w:val="32"/>
          <w:szCs w:val="32"/>
          <w:highlight w:val="none"/>
        </w:rPr>
        <w:t>（项）</w:t>
      </w:r>
      <w:r>
        <w:rPr>
          <w:rStyle w:val="21"/>
          <w:rFonts w:ascii="仿宋" w:hAnsi="仿宋" w:eastAsia="仿宋"/>
          <w:bCs/>
          <w:color w:val="auto"/>
          <w:sz w:val="32"/>
          <w:szCs w:val="32"/>
          <w:highlight w:val="none"/>
        </w:rPr>
        <w:t>:</w:t>
      </w:r>
      <w:r>
        <w:rPr>
          <w:rStyle w:val="21"/>
          <w:rFonts w:ascii="仿宋" w:hAnsi="仿宋" w:eastAsia="仿宋"/>
          <w:b w:val="0"/>
          <w:bCs/>
          <w:color w:val="auto"/>
          <w:sz w:val="32"/>
          <w:szCs w:val="32"/>
          <w:highlight w:val="none"/>
        </w:rPr>
        <w:t xml:space="preserve"> </w:t>
      </w:r>
      <w:r>
        <w:rPr>
          <w:rStyle w:val="21"/>
          <w:rFonts w:hint="eastAsia" w:ascii="仿宋" w:hAnsi="仿宋" w:eastAsia="仿宋"/>
          <w:b w:val="0"/>
          <w:bCs/>
          <w:color w:val="auto"/>
          <w:sz w:val="32"/>
          <w:szCs w:val="32"/>
          <w:highlight w:val="none"/>
        </w:rPr>
        <w:t>支出决算为</w:t>
      </w:r>
      <w:r>
        <w:rPr>
          <w:rStyle w:val="21"/>
          <w:rFonts w:hint="eastAsia" w:ascii="仿宋" w:hAnsi="仿宋" w:eastAsia="仿宋"/>
          <w:b w:val="0"/>
          <w:bCs/>
          <w:color w:val="auto"/>
          <w:sz w:val="32"/>
          <w:szCs w:val="32"/>
          <w:highlight w:val="none"/>
          <w:lang w:val="en-US" w:eastAsia="zh-CN"/>
        </w:rPr>
        <w:t>10.15</w:t>
      </w:r>
      <w:r>
        <w:rPr>
          <w:rStyle w:val="21"/>
          <w:rFonts w:hint="eastAsia" w:ascii="仿宋" w:hAnsi="仿宋" w:eastAsia="仿宋"/>
          <w:b w:val="0"/>
          <w:bCs/>
          <w:color w:val="auto"/>
          <w:sz w:val="32"/>
          <w:szCs w:val="32"/>
          <w:highlight w:val="none"/>
        </w:rPr>
        <w:t>万元，完成预算</w:t>
      </w:r>
      <w:r>
        <w:rPr>
          <w:rStyle w:val="21"/>
          <w:rFonts w:hint="eastAsia" w:ascii="仿宋" w:hAnsi="仿宋" w:eastAsia="仿宋"/>
          <w:b w:val="0"/>
          <w:bCs/>
          <w:color w:val="auto"/>
          <w:sz w:val="32"/>
          <w:szCs w:val="32"/>
          <w:highlight w:val="none"/>
          <w:lang w:val="en-US" w:eastAsia="zh-CN"/>
        </w:rPr>
        <w:t>44.60</w:t>
      </w:r>
      <w:r>
        <w:rPr>
          <w:rStyle w:val="21"/>
          <w:rFonts w:ascii="仿宋" w:hAnsi="仿宋" w:eastAsia="仿宋"/>
          <w:b w:val="0"/>
          <w:bCs/>
          <w:color w:val="auto"/>
          <w:sz w:val="32"/>
          <w:szCs w:val="32"/>
          <w:highlight w:val="none"/>
        </w:rPr>
        <w:t>%</w:t>
      </w:r>
      <w:r>
        <w:rPr>
          <w:rStyle w:val="21"/>
          <w:rFonts w:hint="eastAsia" w:ascii="仿宋" w:hAnsi="仿宋" w:eastAsia="仿宋"/>
          <w:b w:val="0"/>
          <w:bCs/>
          <w:color w:val="auto"/>
          <w:sz w:val="32"/>
          <w:szCs w:val="32"/>
          <w:highlight w:val="none"/>
        </w:rPr>
        <w:t>，决算数小于预算数的主要原因是</w:t>
      </w:r>
      <w:r>
        <w:rPr>
          <w:rFonts w:hint="eastAsia" w:ascii="仿宋_GB2312" w:hAnsi="仿宋_GB2312" w:eastAsia="仿宋_GB2312" w:cs="仿宋_GB2312"/>
          <w:color w:val="auto"/>
          <w:sz w:val="32"/>
          <w:szCs w:val="32"/>
          <w:highlight w:val="none"/>
        </w:rPr>
        <w:t>项目尚在实施中，属于正常的资金结转</w:t>
      </w:r>
      <w:r>
        <w:rPr>
          <w:rStyle w:val="21"/>
          <w:rFonts w:hint="eastAsia" w:ascii="仿宋" w:hAnsi="仿宋" w:eastAsia="仿宋"/>
          <w:b w:val="0"/>
          <w:bCs/>
          <w:color w:val="auto"/>
          <w:sz w:val="32"/>
          <w:szCs w:val="32"/>
          <w:highlight w:val="none"/>
        </w:rPr>
        <w:t>。</w:t>
      </w:r>
    </w:p>
    <w:p>
      <w:pPr>
        <w:spacing w:line="600" w:lineRule="exact"/>
        <w:ind w:firstLine="643" w:firstLineChars="200"/>
        <w:rPr>
          <w:rStyle w:val="21"/>
          <w:rFonts w:hint="eastAsia" w:ascii="仿宋" w:hAnsi="仿宋" w:eastAsia="仿宋"/>
          <w:b w:val="0"/>
          <w:bCs/>
          <w:color w:val="auto"/>
          <w:sz w:val="32"/>
          <w:szCs w:val="32"/>
          <w:highlight w:val="none"/>
        </w:rPr>
      </w:pPr>
      <w:r>
        <w:rPr>
          <w:rStyle w:val="21"/>
          <w:rFonts w:hint="eastAsia" w:ascii="仿宋" w:hAnsi="仿宋" w:eastAsia="仿宋"/>
          <w:bCs/>
          <w:color w:val="auto"/>
          <w:sz w:val="32"/>
          <w:szCs w:val="32"/>
          <w:highlight w:val="none"/>
          <w:lang w:val="en-US" w:eastAsia="zh-CN"/>
        </w:rPr>
        <w:t>12</w:t>
      </w:r>
      <w:r>
        <w:rPr>
          <w:rStyle w:val="21"/>
          <w:rFonts w:ascii="仿宋" w:hAnsi="仿宋" w:eastAsia="仿宋"/>
          <w:bCs/>
          <w:color w:val="auto"/>
          <w:sz w:val="32"/>
          <w:szCs w:val="32"/>
          <w:highlight w:val="none"/>
        </w:rPr>
        <w:t>.</w:t>
      </w:r>
      <w:r>
        <w:rPr>
          <w:rStyle w:val="21"/>
          <w:rFonts w:hint="eastAsia" w:ascii="仿宋" w:hAnsi="仿宋" w:eastAsia="仿宋"/>
          <w:bCs/>
          <w:color w:val="auto"/>
          <w:sz w:val="32"/>
          <w:szCs w:val="32"/>
          <w:highlight w:val="none"/>
          <w:lang w:eastAsia="zh-CN"/>
        </w:rPr>
        <w:t>农林水支出</w:t>
      </w:r>
      <w:r>
        <w:rPr>
          <w:rStyle w:val="21"/>
          <w:rFonts w:hint="eastAsia" w:ascii="仿宋" w:hAnsi="仿宋" w:eastAsia="仿宋"/>
          <w:bCs/>
          <w:color w:val="auto"/>
          <w:sz w:val="32"/>
          <w:szCs w:val="32"/>
          <w:highlight w:val="none"/>
        </w:rPr>
        <w:t>（类）</w:t>
      </w:r>
      <w:r>
        <w:rPr>
          <w:rStyle w:val="21"/>
          <w:rFonts w:hint="eastAsia" w:ascii="仿宋" w:hAnsi="仿宋" w:eastAsia="仿宋"/>
          <w:bCs/>
          <w:color w:val="auto"/>
          <w:sz w:val="32"/>
          <w:szCs w:val="32"/>
          <w:highlight w:val="none"/>
          <w:lang w:eastAsia="zh-CN"/>
        </w:rPr>
        <w:t>林业和草原</w:t>
      </w:r>
      <w:r>
        <w:rPr>
          <w:rStyle w:val="21"/>
          <w:rFonts w:hint="eastAsia" w:ascii="仿宋" w:hAnsi="仿宋" w:eastAsia="仿宋"/>
          <w:bCs/>
          <w:color w:val="auto"/>
          <w:sz w:val="32"/>
          <w:szCs w:val="32"/>
          <w:highlight w:val="none"/>
        </w:rPr>
        <w:t>（款</w:t>
      </w:r>
      <w:r>
        <w:rPr>
          <w:rStyle w:val="21"/>
          <w:rFonts w:hint="eastAsia" w:ascii="仿宋" w:hAnsi="仿宋" w:eastAsia="仿宋"/>
          <w:bCs/>
          <w:color w:val="auto"/>
          <w:sz w:val="32"/>
          <w:szCs w:val="32"/>
          <w:highlight w:val="none"/>
          <w:lang w:val="en-US" w:eastAsia="zh-CN"/>
        </w:rPr>
        <w:t>)</w:t>
      </w:r>
      <w:r>
        <w:rPr>
          <w:rStyle w:val="21"/>
          <w:rFonts w:hint="eastAsia" w:ascii="仿宋" w:hAnsi="仿宋" w:eastAsia="仿宋"/>
          <w:bCs/>
          <w:color w:val="auto"/>
          <w:sz w:val="32"/>
          <w:szCs w:val="32"/>
          <w:highlight w:val="none"/>
          <w:lang w:eastAsia="zh-CN"/>
        </w:rPr>
        <w:t xml:space="preserve"> 森林资源管理</w:t>
      </w:r>
      <w:r>
        <w:rPr>
          <w:rStyle w:val="21"/>
          <w:rFonts w:hint="eastAsia" w:ascii="仿宋" w:hAnsi="仿宋" w:eastAsia="仿宋"/>
          <w:bCs/>
          <w:color w:val="auto"/>
          <w:sz w:val="32"/>
          <w:szCs w:val="32"/>
          <w:highlight w:val="none"/>
        </w:rPr>
        <w:t>（项）</w:t>
      </w:r>
      <w:r>
        <w:rPr>
          <w:rStyle w:val="21"/>
          <w:rFonts w:ascii="仿宋" w:hAnsi="仿宋" w:eastAsia="仿宋"/>
          <w:bCs/>
          <w:color w:val="auto"/>
          <w:sz w:val="32"/>
          <w:szCs w:val="32"/>
          <w:highlight w:val="none"/>
        </w:rPr>
        <w:t>:</w:t>
      </w:r>
      <w:r>
        <w:rPr>
          <w:rStyle w:val="21"/>
          <w:rFonts w:ascii="仿宋" w:hAnsi="仿宋" w:eastAsia="仿宋"/>
          <w:b w:val="0"/>
          <w:bCs/>
          <w:color w:val="auto"/>
          <w:sz w:val="32"/>
          <w:szCs w:val="32"/>
          <w:highlight w:val="none"/>
        </w:rPr>
        <w:t xml:space="preserve"> </w:t>
      </w:r>
      <w:r>
        <w:rPr>
          <w:rStyle w:val="21"/>
          <w:rFonts w:hint="eastAsia" w:ascii="仿宋" w:hAnsi="仿宋" w:eastAsia="仿宋"/>
          <w:b w:val="0"/>
          <w:bCs/>
          <w:color w:val="auto"/>
          <w:sz w:val="32"/>
          <w:szCs w:val="32"/>
          <w:highlight w:val="none"/>
        </w:rPr>
        <w:t>支出决算为</w:t>
      </w:r>
      <w:r>
        <w:rPr>
          <w:rStyle w:val="21"/>
          <w:rFonts w:hint="eastAsia" w:ascii="仿宋" w:hAnsi="仿宋" w:eastAsia="仿宋"/>
          <w:b w:val="0"/>
          <w:bCs/>
          <w:color w:val="auto"/>
          <w:sz w:val="32"/>
          <w:szCs w:val="32"/>
          <w:highlight w:val="none"/>
          <w:lang w:val="en-US" w:eastAsia="zh-CN"/>
        </w:rPr>
        <w:t>58.57</w:t>
      </w:r>
      <w:r>
        <w:rPr>
          <w:rStyle w:val="21"/>
          <w:rFonts w:hint="eastAsia" w:ascii="仿宋" w:hAnsi="仿宋" w:eastAsia="仿宋"/>
          <w:b w:val="0"/>
          <w:bCs/>
          <w:color w:val="auto"/>
          <w:sz w:val="32"/>
          <w:szCs w:val="32"/>
          <w:highlight w:val="none"/>
        </w:rPr>
        <w:t>万元，完成预算</w:t>
      </w:r>
      <w:r>
        <w:rPr>
          <w:rStyle w:val="21"/>
          <w:rFonts w:hint="eastAsia" w:ascii="仿宋" w:hAnsi="仿宋" w:eastAsia="仿宋"/>
          <w:b w:val="0"/>
          <w:bCs/>
          <w:color w:val="auto"/>
          <w:sz w:val="32"/>
          <w:szCs w:val="32"/>
          <w:highlight w:val="none"/>
          <w:lang w:val="en-US" w:eastAsia="zh-CN"/>
        </w:rPr>
        <w:t>100</w:t>
      </w:r>
      <w:r>
        <w:rPr>
          <w:rStyle w:val="21"/>
          <w:rFonts w:ascii="仿宋" w:hAnsi="仿宋" w:eastAsia="仿宋"/>
          <w:b w:val="0"/>
          <w:bCs/>
          <w:color w:val="auto"/>
          <w:sz w:val="32"/>
          <w:szCs w:val="32"/>
          <w:highlight w:val="none"/>
        </w:rPr>
        <w:t>%</w:t>
      </w:r>
      <w:r>
        <w:rPr>
          <w:rStyle w:val="21"/>
          <w:rFonts w:hint="eastAsia" w:ascii="仿宋" w:hAnsi="仿宋" w:eastAsia="仿宋"/>
          <w:b w:val="0"/>
          <w:bCs/>
          <w:color w:val="auto"/>
          <w:sz w:val="32"/>
          <w:szCs w:val="32"/>
          <w:highlight w:val="none"/>
        </w:rPr>
        <w:t>。</w:t>
      </w:r>
    </w:p>
    <w:p>
      <w:pPr>
        <w:spacing w:line="600" w:lineRule="exact"/>
        <w:ind w:firstLine="643" w:firstLineChars="200"/>
        <w:rPr>
          <w:rStyle w:val="21"/>
          <w:rFonts w:hint="eastAsia" w:ascii="仿宋" w:hAnsi="仿宋" w:eastAsia="仿宋"/>
          <w:b w:val="0"/>
          <w:bCs/>
          <w:color w:val="auto"/>
          <w:sz w:val="32"/>
          <w:szCs w:val="32"/>
          <w:highlight w:val="none"/>
        </w:rPr>
      </w:pPr>
      <w:r>
        <w:rPr>
          <w:rStyle w:val="21"/>
          <w:rFonts w:hint="eastAsia" w:ascii="仿宋" w:hAnsi="仿宋" w:eastAsia="仿宋"/>
          <w:bCs/>
          <w:color w:val="auto"/>
          <w:sz w:val="32"/>
          <w:szCs w:val="32"/>
          <w:highlight w:val="none"/>
          <w:lang w:val="en-US" w:eastAsia="zh-CN"/>
        </w:rPr>
        <w:t>13</w:t>
      </w:r>
      <w:r>
        <w:rPr>
          <w:rStyle w:val="21"/>
          <w:rFonts w:ascii="仿宋" w:hAnsi="仿宋" w:eastAsia="仿宋"/>
          <w:bCs/>
          <w:color w:val="auto"/>
          <w:sz w:val="32"/>
          <w:szCs w:val="32"/>
          <w:highlight w:val="none"/>
        </w:rPr>
        <w:t>.</w:t>
      </w:r>
      <w:r>
        <w:rPr>
          <w:rStyle w:val="21"/>
          <w:rFonts w:hint="eastAsia" w:ascii="仿宋" w:hAnsi="仿宋" w:eastAsia="仿宋"/>
          <w:bCs/>
          <w:color w:val="auto"/>
          <w:sz w:val="32"/>
          <w:szCs w:val="32"/>
          <w:highlight w:val="none"/>
          <w:lang w:eastAsia="zh-CN"/>
        </w:rPr>
        <w:t>农林水支出</w:t>
      </w:r>
      <w:r>
        <w:rPr>
          <w:rStyle w:val="21"/>
          <w:rFonts w:hint="eastAsia" w:ascii="仿宋" w:hAnsi="仿宋" w:eastAsia="仿宋"/>
          <w:bCs/>
          <w:color w:val="auto"/>
          <w:sz w:val="32"/>
          <w:szCs w:val="32"/>
          <w:highlight w:val="none"/>
        </w:rPr>
        <w:t>（类）</w:t>
      </w:r>
      <w:r>
        <w:rPr>
          <w:rStyle w:val="21"/>
          <w:rFonts w:hint="eastAsia" w:ascii="仿宋" w:hAnsi="仿宋" w:eastAsia="仿宋"/>
          <w:bCs/>
          <w:color w:val="auto"/>
          <w:sz w:val="32"/>
          <w:szCs w:val="32"/>
          <w:highlight w:val="none"/>
          <w:lang w:eastAsia="zh-CN"/>
        </w:rPr>
        <w:t>林业和草原</w:t>
      </w:r>
      <w:r>
        <w:rPr>
          <w:rStyle w:val="21"/>
          <w:rFonts w:hint="eastAsia" w:ascii="仿宋" w:hAnsi="仿宋" w:eastAsia="仿宋"/>
          <w:bCs/>
          <w:color w:val="auto"/>
          <w:sz w:val="32"/>
          <w:szCs w:val="32"/>
          <w:highlight w:val="none"/>
        </w:rPr>
        <w:t>（款</w:t>
      </w:r>
      <w:r>
        <w:rPr>
          <w:rStyle w:val="21"/>
          <w:rFonts w:hint="eastAsia" w:ascii="仿宋" w:hAnsi="仿宋" w:eastAsia="仿宋"/>
          <w:bCs/>
          <w:color w:val="auto"/>
          <w:sz w:val="32"/>
          <w:szCs w:val="32"/>
          <w:highlight w:val="none"/>
          <w:lang w:val="en-US" w:eastAsia="zh-CN"/>
        </w:rPr>
        <w:t>)</w:t>
      </w:r>
      <w:r>
        <w:rPr>
          <w:rStyle w:val="21"/>
          <w:rFonts w:hint="eastAsia" w:ascii="仿宋" w:hAnsi="仿宋" w:eastAsia="仿宋"/>
          <w:bCs/>
          <w:color w:val="auto"/>
          <w:sz w:val="32"/>
          <w:szCs w:val="32"/>
          <w:highlight w:val="none"/>
          <w:lang w:eastAsia="zh-CN"/>
        </w:rPr>
        <w:t xml:space="preserve"> 森林生态效益补偿</w:t>
      </w:r>
      <w:r>
        <w:rPr>
          <w:rStyle w:val="21"/>
          <w:rFonts w:hint="eastAsia" w:ascii="仿宋" w:hAnsi="仿宋" w:eastAsia="仿宋"/>
          <w:bCs/>
          <w:color w:val="auto"/>
          <w:sz w:val="32"/>
          <w:szCs w:val="32"/>
          <w:highlight w:val="none"/>
        </w:rPr>
        <w:t>（项）</w:t>
      </w:r>
      <w:r>
        <w:rPr>
          <w:rStyle w:val="21"/>
          <w:rFonts w:ascii="仿宋" w:hAnsi="仿宋" w:eastAsia="仿宋"/>
          <w:bCs/>
          <w:color w:val="auto"/>
          <w:sz w:val="32"/>
          <w:szCs w:val="32"/>
          <w:highlight w:val="none"/>
        </w:rPr>
        <w:t>:</w:t>
      </w:r>
      <w:r>
        <w:rPr>
          <w:rStyle w:val="21"/>
          <w:rFonts w:ascii="仿宋" w:hAnsi="仿宋" w:eastAsia="仿宋"/>
          <w:b w:val="0"/>
          <w:bCs/>
          <w:color w:val="auto"/>
          <w:sz w:val="32"/>
          <w:szCs w:val="32"/>
          <w:highlight w:val="none"/>
        </w:rPr>
        <w:t xml:space="preserve"> </w:t>
      </w:r>
      <w:r>
        <w:rPr>
          <w:rStyle w:val="21"/>
          <w:rFonts w:hint="eastAsia" w:ascii="仿宋" w:hAnsi="仿宋" w:eastAsia="仿宋"/>
          <w:b w:val="0"/>
          <w:bCs/>
          <w:color w:val="auto"/>
          <w:sz w:val="32"/>
          <w:szCs w:val="32"/>
          <w:highlight w:val="none"/>
        </w:rPr>
        <w:t>支出决算为</w:t>
      </w:r>
      <w:r>
        <w:rPr>
          <w:rStyle w:val="21"/>
          <w:rFonts w:hint="eastAsia" w:ascii="仿宋" w:hAnsi="仿宋" w:eastAsia="仿宋"/>
          <w:b w:val="0"/>
          <w:bCs/>
          <w:color w:val="auto"/>
          <w:sz w:val="32"/>
          <w:szCs w:val="32"/>
          <w:highlight w:val="none"/>
          <w:lang w:val="en-US" w:eastAsia="zh-CN"/>
        </w:rPr>
        <w:t>4.6</w:t>
      </w:r>
      <w:r>
        <w:rPr>
          <w:rStyle w:val="21"/>
          <w:rFonts w:hint="eastAsia" w:ascii="仿宋" w:hAnsi="仿宋" w:eastAsia="仿宋"/>
          <w:b w:val="0"/>
          <w:bCs/>
          <w:color w:val="auto"/>
          <w:sz w:val="32"/>
          <w:szCs w:val="32"/>
          <w:highlight w:val="none"/>
        </w:rPr>
        <w:t>万元，完成预算</w:t>
      </w:r>
      <w:r>
        <w:rPr>
          <w:rStyle w:val="21"/>
          <w:rFonts w:hint="eastAsia" w:ascii="仿宋" w:hAnsi="仿宋" w:eastAsia="仿宋"/>
          <w:b w:val="0"/>
          <w:bCs/>
          <w:color w:val="auto"/>
          <w:sz w:val="32"/>
          <w:szCs w:val="32"/>
          <w:highlight w:val="none"/>
          <w:lang w:val="en-US" w:eastAsia="zh-CN"/>
        </w:rPr>
        <w:t>100</w:t>
      </w:r>
      <w:r>
        <w:rPr>
          <w:rStyle w:val="21"/>
          <w:rFonts w:ascii="仿宋" w:hAnsi="仿宋" w:eastAsia="仿宋"/>
          <w:b w:val="0"/>
          <w:bCs/>
          <w:color w:val="auto"/>
          <w:sz w:val="32"/>
          <w:szCs w:val="32"/>
          <w:highlight w:val="none"/>
        </w:rPr>
        <w:t>%</w:t>
      </w:r>
      <w:r>
        <w:rPr>
          <w:rStyle w:val="21"/>
          <w:rFonts w:hint="eastAsia" w:ascii="仿宋" w:hAnsi="仿宋" w:eastAsia="仿宋"/>
          <w:b w:val="0"/>
          <w:bCs/>
          <w:color w:val="auto"/>
          <w:sz w:val="32"/>
          <w:szCs w:val="32"/>
          <w:highlight w:val="none"/>
        </w:rPr>
        <w:t>。</w:t>
      </w:r>
    </w:p>
    <w:p>
      <w:pPr>
        <w:spacing w:line="600" w:lineRule="exact"/>
        <w:ind w:firstLine="643" w:firstLineChars="200"/>
        <w:rPr>
          <w:rStyle w:val="21"/>
          <w:rFonts w:hint="eastAsia" w:ascii="仿宋" w:hAnsi="仿宋" w:eastAsia="仿宋"/>
          <w:b w:val="0"/>
          <w:bCs/>
          <w:color w:val="auto"/>
          <w:sz w:val="32"/>
          <w:szCs w:val="32"/>
          <w:highlight w:val="none"/>
        </w:rPr>
      </w:pPr>
      <w:r>
        <w:rPr>
          <w:rStyle w:val="21"/>
          <w:rFonts w:hint="eastAsia" w:ascii="仿宋" w:hAnsi="仿宋" w:eastAsia="仿宋"/>
          <w:bCs/>
          <w:color w:val="auto"/>
          <w:sz w:val="32"/>
          <w:szCs w:val="32"/>
          <w:highlight w:val="none"/>
          <w:lang w:val="en-US" w:eastAsia="zh-CN"/>
        </w:rPr>
        <w:t>14</w:t>
      </w:r>
      <w:r>
        <w:rPr>
          <w:rStyle w:val="21"/>
          <w:rFonts w:ascii="仿宋" w:hAnsi="仿宋" w:eastAsia="仿宋"/>
          <w:bCs/>
          <w:color w:val="auto"/>
          <w:sz w:val="32"/>
          <w:szCs w:val="32"/>
          <w:highlight w:val="none"/>
        </w:rPr>
        <w:t>.</w:t>
      </w:r>
      <w:r>
        <w:rPr>
          <w:rStyle w:val="21"/>
          <w:rFonts w:hint="eastAsia" w:ascii="仿宋" w:hAnsi="仿宋" w:eastAsia="仿宋"/>
          <w:bCs/>
          <w:color w:val="auto"/>
          <w:sz w:val="32"/>
          <w:szCs w:val="32"/>
          <w:highlight w:val="none"/>
          <w:lang w:eastAsia="zh-CN"/>
        </w:rPr>
        <w:t>农林水支出</w:t>
      </w:r>
      <w:r>
        <w:rPr>
          <w:rStyle w:val="21"/>
          <w:rFonts w:hint="eastAsia" w:ascii="仿宋" w:hAnsi="仿宋" w:eastAsia="仿宋"/>
          <w:bCs/>
          <w:color w:val="auto"/>
          <w:sz w:val="32"/>
          <w:szCs w:val="32"/>
          <w:highlight w:val="none"/>
        </w:rPr>
        <w:t>（类）</w:t>
      </w:r>
      <w:r>
        <w:rPr>
          <w:rStyle w:val="21"/>
          <w:rFonts w:hint="eastAsia" w:ascii="仿宋" w:hAnsi="仿宋" w:eastAsia="仿宋"/>
          <w:bCs/>
          <w:color w:val="auto"/>
          <w:sz w:val="32"/>
          <w:szCs w:val="32"/>
          <w:highlight w:val="none"/>
          <w:lang w:eastAsia="zh-CN"/>
        </w:rPr>
        <w:t>林业和草原</w:t>
      </w:r>
      <w:r>
        <w:rPr>
          <w:rStyle w:val="21"/>
          <w:rFonts w:hint="eastAsia" w:ascii="仿宋" w:hAnsi="仿宋" w:eastAsia="仿宋"/>
          <w:bCs/>
          <w:color w:val="auto"/>
          <w:sz w:val="32"/>
          <w:szCs w:val="32"/>
          <w:highlight w:val="none"/>
        </w:rPr>
        <w:t>（款</w:t>
      </w:r>
      <w:r>
        <w:rPr>
          <w:rStyle w:val="21"/>
          <w:rFonts w:hint="eastAsia" w:ascii="仿宋" w:hAnsi="仿宋" w:eastAsia="仿宋"/>
          <w:bCs/>
          <w:color w:val="auto"/>
          <w:sz w:val="32"/>
          <w:szCs w:val="32"/>
          <w:highlight w:val="none"/>
          <w:lang w:val="en-US" w:eastAsia="zh-CN"/>
        </w:rPr>
        <w:t>)</w:t>
      </w:r>
      <w:r>
        <w:rPr>
          <w:rStyle w:val="21"/>
          <w:rFonts w:hint="eastAsia" w:ascii="仿宋" w:hAnsi="仿宋" w:eastAsia="仿宋"/>
          <w:bCs/>
          <w:color w:val="auto"/>
          <w:sz w:val="32"/>
          <w:szCs w:val="32"/>
          <w:highlight w:val="none"/>
          <w:lang w:eastAsia="zh-CN"/>
        </w:rPr>
        <w:t xml:space="preserve"> 动植物保护</w:t>
      </w:r>
      <w:r>
        <w:rPr>
          <w:rStyle w:val="21"/>
          <w:rFonts w:hint="eastAsia" w:ascii="仿宋" w:hAnsi="仿宋" w:eastAsia="仿宋"/>
          <w:bCs/>
          <w:color w:val="auto"/>
          <w:sz w:val="32"/>
          <w:szCs w:val="32"/>
          <w:highlight w:val="none"/>
        </w:rPr>
        <w:t>（项）</w:t>
      </w:r>
      <w:r>
        <w:rPr>
          <w:rStyle w:val="21"/>
          <w:rFonts w:ascii="仿宋" w:hAnsi="仿宋" w:eastAsia="仿宋"/>
          <w:bCs/>
          <w:color w:val="auto"/>
          <w:sz w:val="32"/>
          <w:szCs w:val="32"/>
          <w:highlight w:val="none"/>
        </w:rPr>
        <w:t>:</w:t>
      </w:r>
      <w:r>
        <w:rPr>
          <w:rStyle w:val="21"/>
          <w:rFonts w:ascii="仿宋" w:hAnsi="仿宋" w:eastAsia="仿宋"/>
          <w:b w:val="0"/>
          <w:bCs/>
          <w:color w:val="auto"/>
          <w:sz w:val="32"/>
          <w:szCs w:val="32"/>
          <w:highlight w:val="none"/>
        </w:rPr>
        <w:t xml:space="preserve"> </w:t>
      </w:r>
      <w:r>
        <w:rPr>
          <w:rStyle w:val="21"/>
          <w:rFonts w:hint="eastAsia" w:ascii="仿宋" w:hAnsi="仿宋" w:eastAsia="仿宋"/>
          <w:b w:val="0"/>
          <w:bCs/>
          <w:color w:val="auto"/>
          <w:sz w:val="32"/>
          <w:szCs w:val="32"/>
          <w:highlight w:val="none"/>
        </w:rPr>
        <w:t>支出决算为</w:t>
      </w:r>
      <w:r>
        <w:rPr>
          <w:rStyle w:val="21"/>
          <w:rFonts w:hint="eastAsia" w:ascii="仿宋" w:hAnsi="仿宋" w:eastAsia="仿宋"/>
          <w:b w:val="0"/>
          <w:bCs/>
          <w:color w:val="auto"/>
          <w:sz w:val="32"/>
          <w:szCs w:val="32"/>
          <w:highlight w:val="none"/>
          <w:lang w:val="en-US" w:eastAsia="zh-CN"/>
        </w:rPr>
        <w:t>21.24</w:t>
      </w:r>
      <w:r>
        <w:rPr>
          <w:rStyle w:val="21"/>
          <w:rFonts w:hint="eastAsia" w:ascii="仿宋" w:hAnsi="仿宋" w:eastAsia="仿宋"/>
          <w:b w:val="0"/>
          <w:bCs/>
          <w:color w:val="auto"/>
          <w:sz w:val="32"/>
          <w:szCs w:val="32"/>
          <w:highlight w:val="none"/>
        </w:rPr>
        <w:t>万元，完成预算</w:t>
      </w:r>
      <w:r>
        <w:rPr>
          <w:rStyle w:val="21"/>
          <w:rFonts w:hint="eastAsia" w:ascii="仿宋" w:hAnsi="仿宋" w:eastAsia="仿宋"/>
          <w:b w:val="0"/>
          <w:bCs/>
          <w:color w:val="auto"/>
          <w:sz w:val="32"/>
          <w:szCs w:val="32"/>
          <w:highlight w:val="none"/>
          <w:lang w:val="en-US" w:eastAsia="zh-CN"/>
        </w:rPr>
        <w:t>99.95</w:t>
      </w:r>
      <w:r>
        <w:rPr>
          <w:rStyle w:val="21"/>
          <w:rFonts w:ascii="仿宋" w:hAnsi="仿宋" w:eastAsia="仿宋"/>
          <w:b w:val="0"/>
          <w:bCs/>
          <w:color w:val="auto"/>
          <w:sz w:val="32"/>
          <w:szCs w:val="32"/>
          <w:highlight w:val="none"/>
        </w:rPr>
        <w:t>%</w:t>
      </w:r>
      <w:r>
        <w:rPr>
          <w:rStyle w:val="21"/>
          <w:rFonts w:hint="eastAsia" w:ascii="仿宋" w:hAnsi="仿宋" w:eastAsia="仿宋"/>
          <w:b w:val="0"/>
          <w:bCs/>
          <w:color w:val="auto"/>
          <w:sz w:val="32"/>
          <w:szCs w:val="32"/>
          <w:highlight w:val="none"/>
        </w:rPr>
        <w:t>。</w:t>
      </w:r>
    </w:p>
    <w:p>
      <w:pPr>
        <w:pStyle w:val="2"/>
        <w:ind w:left="0" w:leftChars="0" w:firstLine="643" w:firstLineChars="200"/>
        <w:rPr>
          <w:rStyle w:val="21"/>
          <w:rFonts w:hint="eastAsia" w:ascii="仿宋" w:hAnsi="仿宋" w:eastAsia="仿宋"/>
          <w:b w:val="0"/>
          <w:bCs/>
          <w:color w:val="auto"/>
          <w:sz w:val="32"/>
          <w:szCs w:val="32"/>
          <w:highlight w:val="none"/>
        </w:rPr>
      </w:pPr>
      <w:r>
        <w:rPr>
          <w:rStyle w:val="21"/>
          <w:rFonts w:hint="eastAsia" w:ascii="仿宋" w:hAnsi="仿宋" w:eastAsia="仿宋"/>
          <w:bCs/>
          <w:color w:val="auto"/>
          <w:sz w:val="32"/>
          <w:szCs w:val="32"/>
          <w:highlight w:val="none"/>
          <w:lang w:val="en-US" w:eastAsia="zh-CN"/>
        </w:rPr>
        <w:t>15</w:t>
      </w:r>
      <w:r>
        <w:rPr>
          <w:rStyle w:val="21"/>
          <w:rFonts w:ascii="仿宋" w:hAnsi="仿宋" w:eastAsia="仿宋"/>
          <w:bCs/>
          <w:color w:val="auto"/>
          <w:sz w:val="32"/>
          <w:szCs w:val="32"/>
          <w:highlight w:val="none"/>
        </w:rPr>
        <w:t>.</w:t>
      </w:r>
      <w:r>
        <w:rPr>
          <w:rStyle w:val="21"/>
          <w:rFonts w:hint="eastAsia" w:ascii="仿宋" w:hAnsi="仿宋" w:eastAsia="仿宋"/>
          <w:bCs/>
          <w:color w:val="auto"/>
          <w:sz w:val="32"/>
          <w:szCs w:val="32"/>
          <w:highlight w:val="none"/>
          <w:lang w:eastAsia="zh-CN"/>
        </w:rPr>
        <w:t>农林水支出</w:t>
      </w:r>
      <w:r>
        <w:rPr>
          <w:rStyle w:val="21"/>
          <w:rFonts w:hint="eastAsia" w:ascii="仿宋" w:hAnsi="仿宋" w:eastAsia="仿宋"/>
          <w:bCs/>
          <w:color w:val="auto"/>
          <w:sz w:val="32"/>
          <w:szCs w:val="32"/>
          <w:highlight w:val="none"/>
        </w:rPr>
        <w:t>（类）</w:t>
      </w:r>
      <w:r>
        <w:rPr>
          <w:rStyle w:val="21"/>
          <w:rFonts w:hint="eastAsia" w:ascii="仿宋" w:hAnsi="仿宋" w:eastAsia="仿宋"/>
          <w:bCs/>
          <w:color w:val="auto"/>
          <w:sz w:val="32"/>
          <w:szCs w:val="32"/>
          <w:highlight w:val="none"/>
          <w:lang w:eastAsia="zh-CN"/>
        </w:rPr>
        <w:t>林业和草原</w:t>
      </w:r>
      <w:r>
        <w:rPr>
          <w:rStyle w:val="21"/>
          <w:rFonts w:hint="eastAsia" w:ascii="仿宋" w:hAnsi="仿宋" w:eastAsia="仿宋"/>
          <w:bCs/>
          <w:color w:val="auto"/>
          <w:sz w:val="32"/>
          <w:szCs w:val="32"/>
          <w:highlight w:val="none"/>
        </w:rPr>
        <w:t>（款）</w:t>
      </w:r>
      <w:r>
        <w:rPr>
          <w:rStyle w:val="21"/>
          <w:rFonts w:hint="eastAsia" w:ascii="仿宋" w:hAnsi="仿宋" w:eastAsia="仿宋"/>
          <w:bCs/>
          <w:color w:val="auto"/>
          <w:sz w:val="32"/>
          <w:szCs w:val="32"/>
          <w:highlight w:val="none"/>
          <w:lang w:eastAsia="zh-CN"/>
        </w:rPr>
        <w:t xml:space="preserve"> 林业草原防灾减灾</w:t>
      </w:r>
      <w:r>
        <w:rPr>
          <w:rStyle w:val="21"/>
          <w:rFonts w:hint="eastAsia" w:ascii="仿宋" w:hAnsi="仿宋" w:eastAsia="仿宋"/>
          <w:bCs/>
          <w:color w:val="auto"/>
          <w:sz w:val="32"/>
          <w:szCs w:val="32"/>
          <w:highlight w:val="none"/>
        </w:rPr>
        <w:t>（项）</w:t>
      </w:r>
      <w:r>
        <w:rPr>
          <w:rStyle w:val="21"/>
          <w:rFonts w:ascii="仿宋" w:hAnsi="仿宋" w:eastAsia="仿宋"/>
          <w:bCs/>
          <w:color w:val="auto"/>
          <w:sz w:val="32"/>
          <w:szCs w:val="32"/>
          <w:highlight w:val="none"/>
        </w:rPr>
        <w:t>:</w:t>
      </w:r>
      <w:r>
        <w:rPr>
          <w:rStyle w:val="21"/>
          <w:rFonts w:ascii="仿宋" w:hAnsi="仿宋" w:eastAsia="仿宋"/>
          <w:b w:val="0"/>
          <w:bCs/>
          <w:color w:val="auto"/>
          <w:sz w:val="32"/>
          <w:szCs w:val="32"/>
          <w:highlight w:val="none"/>
        </w:rPr>
        <w:t xml:space="preserve"> </w:t>
      </w:r>
      <w:r>
        <w:rPr>
          <w:rStyle w:val="21"/>
          <w:rFonts w:hint="eastAsia" w:ascii="仿宋" w:hAnsi="仿宋" w:eastAsia="仿宋"/>
          <w:b w:val="0"/>
          <w:bCs/>
          <w:color w:val="auto"/>
          <w:sz w:val="32"/>
          <w:szCs w:val="32"/>
          <w:highlight w:val="none"/>
        </w:rPr>
        <w:t>支出决算为</w:t>
      </w:r>
      <w:r>
        <w:rPr>
          <w:rStyle w:val="21"/>
          <w:rFonts w:hint="eastAsia" w:ascii="仿宋" w:hAnsi="仿宋" w:eastAsia="仿宋"/>
          <w:b w:val="0"/>
          <w:bCs/>
          <w:color w:val="auto"/>
          <w:sz w:val="32"/>
          <w:szCs w:val="32"/>
          <w:highlight w:val="none"/>
          <w:lang w:val="en-US" w:eastAsia="zh-CN"/>
        </w:rPr>
        <w:t>148.6</w:t>
      </w:r>
      <w:r>
        <w:rPr>
          <w:rStyle w:val="21"/>
          <w:rFonts w:hint="eastAsia" w:ascii="仿宋" w:hAnsi="仿宋" w:eastAsia="仿宋"/>
          <w:b w:val="0"/>
          <w:bCs/>
          <w:color w:val="auto"/>
          <w:sz w:val="32"/>
          <w:szCs w:val="32"/>
          <w:highlight w:val="none"/>
        </w:rPr>
        <w:t>万元，完成预算</w:t>
      </w:r>
      <w:r>
        <w:rPr>
          <w:rStyle w:val="21"/>
          <w:rFonts w:hint="eastAsia" w:ascii="仿宋" w:hAnsi="仿宋" w:eastAsia="仿宋"/>
          <w:b w:val="0"/>
          <w:bCs/>
          <w:color w:val="auto"/>
          <w:sz w:val="32"/>
          <w:szCs w:val="32"/>
          <w:highlight w:val="none"/>
          <w:lang w:val="en-US" w:eastAsia="zh-CN"/>
        </w:rPr>
        <w:t>100</w:t>
      </w:r>
      <w:r>
        <w:rPr>
          <w:rStyle w:val="21"/>
          <w:rFonts w:ascii="仿宋" w:hAnsi="仿宋" w:eastAsia="仿宋"/>
          <w:b w:val="0"/>
          <w:bCs/>
          <w:color w:val="auto"/>
          <w:sz w:val="32"/>
          <w:szCs w:val="32"/>
          <w:highlight w:val="none"/>
        </w:rPr>
        <w:t>%</w:t>
      </w:r>
      <w:r>
        <w:rPr>
          <w:rStyle w:val="21"/>
          <w:rFonts w:hint="eastAsia" w:ascii="仿宋" w:hAnsi="仿宋" w:eastAsia="仿宋"/>
          <w:b w:val="0"/>
          <w:bCs/>
          <w:color w:val="auto"/>
          <w:sz w:val="32"/>
          <w:szCs w:val="32"/>
          <w:highlight w:val="none"/>
        </w:rPr>
        <w:t>。</w:t>
      </w:r>
    </w:p>
    <w:p>
      <w:pPr>
        <w:spacing w:line="600" w:lineRule="exact"/>
        <w:ind w:firstLine="643" w:firstLineChars="200"/>
        <w:rPr>
          <w:rStyle w:val="21"/>
          <w:rFonts w:hint="eastAsia" w:ascii="仿宋" w:hAnsi="仿宋" w:eastAsia="仿宋"/>
          <w:b w:val="0"/>
          <w:bCs/>
          <w:color w:val="auto"/>
          <w:sz w:val="32"/>
          <w:szCs w:val="32"/>
          <w:highlight w:val="none"/>
        </w:rPr>
      </w:pPr>
      <w:r>
        <w:rPr>
          <w:rStyle w:val="21"/>
          <w:rFonts w:hint="eastAsia" w:ascii="仿宋" w:hAnsi="仿宋" w:eastAsia="仿宋"/>
          <w:bCs/>
          <w:color w:val="auto"/>
          <w:sz w:val="32"/>
          <w:szCs w:val="32"/>
          <w:highlight w:val="none"/>
          <w:lang w:val="en-US" w:eastAsia="zh-CN"/>
        </w:rPr>
        <w:t>16</w:t>
      </w:r>
      <w:r>
        <w:rPr>
          <w:rStyle w:val="21"/>
          <w:rFonts w:ascii="仿宋" w:hAnsi="仿宋" w:eastAsia="仿宋"/>
          <w:bCs/>
          <w:color w:val="auto"/>
          <w:sz w:val="32"/>
          <w:szCs w:val="32"/>
          <w:highlight w:val="none"/>
        </w:rPr>
        <w:t>.</w:t>
      </w:r>
      <w:r>
        <w:rPr>
          <w:rStyle w:val="21"/>
          <w:rFonts w:hint="eastAsia" w:ascii="仿宋" w:hAnsi="仿宋" w:eastAsia="仿宋"/>
          <w:bCs/>
          <w:color w:val="auto"/>
          <w:sz w:val="32"/>
          <w:szCs w:val="32"/>
          <w:highlight w:val="none"/>
          <w:lang w:eastAsia="zh-CN"/>
        </w:rPr>
        <w:t>农林水支出</w:t>
      </w:r>
      <w:r>
        <w:rPr>
          <w:rStyle w:val="21"/>
          <w:rFonts w:hint="eastAsia" w:ascii="仿宋" w:hAnsi="仿宋" w:eastAsia="仿宋"/>
          <w:bCs/>
          <w:color w:val="auto"/>
          <w:sz w:val="32"/>
          <w:szCs w:val="32"/>
          <w:highlight w:val="none"/>
        </w:rPr>
        <w:t>（类）</w:t>
      </w:r>
      <w:r>
        <w:rPr>
          <w:rStyle w:val="21"/>
          <w:rFonts w:hint="eastAsia" w:ascii="仿宋" w:hAnsi="仿宋" w:eastAsia="仿宋"/>
          <w:bCs/>
          <w:color w:val="auto"/>
          <w:sz w:val="32"/>
          <w:szCs w:val="32"/>
          <w:highlight w:val="none"/>
          <w:lang w:eastAsia="zh-CN"/>
        </w:rPr>
        <w:t>林业和草原</w:t>
      </w:r>
      <w:r>
        <w:rPr>
          <w:rStyle w:val="21"/>
          <w:rFonts w:hint="eastAsia" w:ascii="仿宋" w:hAnsi="仿宋" w:eastAsia="仿宋"/>
          <w:bCs/>
          <w:color w:val="auto"/>
          <w:sz w:val="32"/>
          <w:szCs w:val="32"/>
          <w:highlight w:val="none"/>
        </w:rPr>
        <w:t>（款</w:t>
      </w:r>
      <w:r>
        <w:rPr>
          <w:rStyle w:val="21"/>
          <w:rFonts w:hint="eastAsia" w:ascii="仿宋" w:hAnsi="仿宋" w:eastAsia="仿宋"/>
          <w:bCs/>
          <w:color w:val="auto"/>
          <w:sz w:val="32"/>
          <w:szCs w:val="32"/>
          <w:highlight w:val="none"/>
          <w:lang w:val="en-US" w:eastAsia="zh-CN"/>
        </w:rPr>
        <w:t>)</w:t>
      </w:r>
      <w:r>
        <w:rPr>
          <w:rStyle w:val="21"/>
          <w:rFonts w:hint="eastAsia" w:ascii="仿宋" w:hAnsi="仿宋" w:eastAsia="仿宋"/>
          <w:bCs/>
          <w:color w:val="auto"/>
          <w:sz w:val="32"/>
          <w:szCs w:val="32"/>
          <w:highlight w:val="none"/>
          <w:lang w:eastAsia="zh-CN"/>
        </w:rPr>
        <w:t xml:space="preserve">  其他林业和草原支出</w:t>
      </w:r>
      <w:r>
        <w:rPr>
          <w:rStyle w:val="21"/>
          <w:rFonts w:hint="eastAsia" w:ascii="仿宋" w:hAnsi="仿宋" w:eastAsia="仿宋"/>
          <w:bCs/>
          <w:color w:val="auto"/>
          <w:sz w:val="32"/>
          <w:szCs w:val="32"/>
          <w:highlight w:val="none"/>
        </w:rPr>
        <w:t>（项）</w:t>
      </w:r>
      <w:r>
        <w:rPr>
          <w:rStyle w:val="21"/>
          <w:rFonts w:ascii="仿宋" w:hAnsi="仿宋" w:eastAsia="仿宋"/>
          <w:bCs/>
          <w:color w:val="auto"/>
          <w:sz w:val="32"/>
          <w:szCs w:val="32"/>
          <w:highlight w:val="none"/>
        </w:rPr>
        <w:t>:</w:t>
      </w:r>
      <w:r>
        <w:rPr>
          <w:rStyle w:val="21"/>
          <w:rFonts w:ascii="仿宋" w:hAnsi="仿宋" w:eastAsia="仿宋"/>
          <w:b w:val="0"/>
          <w:bCs/>
          <w:color w:val="auto"/>
          <w:sz w:val="32"/>
          <w:szCs w:val="32"/>
          <w:highlight w:val="none"/>
        </w:rPr>
        <w:t xml:space="preserve"> </w:t>
      </w:r>
      <w:r>
        <w:rPr>
          <w:rStyle w:val="21"/>
          <w:rFonts w:hint="eastAsia" w:ascii="仿宋" w:hAnsi="仿宋" w:eastAsia="仿宋"/>
          <w:b w:val="0"/>
          <w:bCs/>
          <w:color w:val="auto"/>
          <w:sz w:val="32"/>
          <w:szCs w:val="32"/>
          <w:highlight w:val="none"/>
        </w:rPr>
        <w:t>支出决算为</w:t>
      </w:r>
      <w:r>
        <w:rPr>
          <w:rStyle w:val="21"/>
          <w:rFonts w:hint="eastAsia" w:ascii="仿宋" w:hAnsi="仿宋" w:eastAsia="仿宋"/>
          <w:b w:val="0"/>
          <w:bCs/>
          <w:color w:val="auto"/>
          <w:sz w:val="32"/>
          <w:szCs w:val="32"/>
          <w:highlight w:val="none"/>
          <w:lang w:val="en-US" w:eastAsia="zh-CN"/>
        </w:rPr>
        <w:t>294.56</w:t>
      </w:r>
      <w:r>
        <w:rPr>
          <w:rStyle w:val="21"/>
          <w:rFonts w:hint="eastAsia" w:ascii="仿宋" w:hAnsi="仿宋" w:eastAsia="仿宋"/>
          <w:b w:val="0"/>
          <w:bCs/>
          <w:color w:val="auto"/>
          <w:sz w:val="32"/>
          <w:szCs w:val="32"/>
          <w:highlight w:val="none"/>
        </w:rPr>
        <w:t>万元，完成预算</w:t>
      </w:r>
      <w:r>
        <w:rPr>
          <w:rStyle w:val="21"/>
          <w:rFonts w:hint="eastAsia" w:ascii="仿宋" w:hAnsi="仿宋" w:eastAsia="仿宋"/>
          <w:b w:val="0"/>
          <w:bCs/>
          <w:color w:val="auto"/>
          <w:sz w:val="32"/>
          <w:szCs w:val="32"/>
          <w:highlight w:val="none"/>
          <w:lang w:val="en-US" w:eastAsia="zh-CN"/>
        </w:rPr>
        <w:t>98.14</w:t>
      </w:r>
      <w:r>
        <w:rPr>
          <w:rStyle w:val="21"/>
          <w:rFonts w:ascii="仿宋" w:hAnsi="仿宋" w:eastAsia="仿宋"/>
          <w:b w:val="0"/>
          <w:bCs/>
          <w:color w:val="auto"/>
          <w:sz w:val="32"/>
          <w:szCs w:val="32"/>
          <w:highlight w:val="none"/>
        </w:rPr>
        <w:t>%</w:t>
      </w:r>
      <w:r>
        <w:rPr>
          <w:rStyle w:val="21"/>
          <w:rFonts w:hint="eastAsia" w:ascii="仿宋" w:hAnsi="仿宋" w:eastAsia="仿宋"/>
          <w:b w:val="0"/>
          <w:bCs/>
          <w:color w:val="auto"/>
          <w:sz w:val="32"/>
          <w:szCs w:val="32"/>
          <w:highlight w:val="none"/>
        </w:rPr>
        <w:t>，决算数小于预算数的主要原因是</w:t>
      </w:r>
      <w:r>
        <w:rPr>
          <w:rFonts w:hint="eastAsia" w:ascii="仿宋_GB2312" w:hAnsi="仿宋_GB2312" w:eastAsia="仿宋_GB2312" w:cs="仿宋_GB2312"/>
          <w:color w:val="auto"/>
          <w:sz w:val="32"/>
          <w:szCs w:val="32"/>
          <w:highlight w:val="none"/>
        </w:rPr>
        <w:t>项目尚在实施中，属于正常的资金结转</w:t>
      </w:r>
      <w:r>
        <w:rPr>
          <w:rStyle w:val="21"/>
          <w:rFonts w:hint="eastAsia" w:ascii="仿宋" w:hAnsi="仿宋" w:eastAsia="仿宋"/>
          <w:b w:val="0"/>
          <w:bCs/>
          <w:color w:val="auto"/>
          <w:sz w:val="32"/>
          <w:szCs w:val="32"/>
          <w:highlight w:val="none"/>
        </w:rPr>
        <w:t>。</w:t>
      </w:r>
    </w:p>
    <w:p>
      <w:pPr>
        <w:spacing w:line="600" w:lineRule="exact"/>
        <w:ind w:firstLine="643" w:firstLineChars="200"/>
        <w:rPr>
          <w:rStyle w:val="21"/>
          <w:rFonts w:hint="eastAsia" w:ascii="仿宋" w:hAnsi="仿宋" w:eastAsia="仿宋"/>
          <w:b w:val="0"/>
          <w:bCs/>
          <w:color w:val="auto"/>
          <w:sz w:val="32"/>
          <w:szCs w:val="32"/>
          <w:highlight w:val="none"/>
        </w:rPr>
      </w:pPr>
      <w:r>
        <w:rPr>
          <w:rStyle w:val="21"/>
          <w:rFonts w:hint="eastAsia" w:ascii="仿宋" w:hAnsi="仿宋" w:eastAsia="仿宋"/>
          <w:bCs/>
          <w:color w:val="auto"/>
          <w:sz w:val="32"/>
          <w:szCs w:val="32"/>
          <w:highlight w:val="none"/>
          <w:lang w:val="en-US" w:eastAsia="zh-CN"/>
        </w:rPr>
        <w:t>17</w:t>
      </w:r>
      <w:r>
        <w:rPr>
          <w:rStyle w:val="21"/>
          <w:rFonts w:ascii="仿宋" w:hAnsi="仿宋" w:eastAsia="仿宋"/>
          <w:bCs/>
          <w:color w:val="auto"/>
          <w:sz w:val="32"/>
          <w:szCs w:val="32"/>
          <w:highlight w:val="none"/>
        </w:rPr>
        <w:t>.</w:t>
      </w:r>
      <w:r>
        <w:rPr>
          <w:rStyle w:val="21"/>
          <w:rFonts w:hint="eastAsia" w:ascii="仿宋" w:hAnsi="仿宋" w:eastAsia="仿宋"/>
          <w:bCs/>
          <w:color w:val="auto"/>
          <w:sz w:val="32"/>
          <w:szCs w:val="32"/>
          <w:highlight w:val="none"/>
          <w:lang w:eastAsia="zh-CN"/>
        </w:rPr>
        <w:t>交通运输支出</w:t>
      </w:r>
      <w:r>
        <w:rPr>
          <w:rStyle w:val="21"/>
          <w:rFonts w:hint="eastAsia" w:ascii="仿宋" w:hAnsi="仿宋" w:eastAsia="仿宋"/>
          <w:bCs/>
          <w:color w:val="auto"/>
          <w:sz w:val="32"/>
          <w:szCs w:val="32"/>
          <w:highlight w:val="none"/>
        </w:rPr>
        <w:t>（类）</w:t>
      </w:r>
      <w:r>
        <w:rPr>
          <w:rStyle w:val="21"/>
          <w:rFonts w:hint="eastAsia" w:ascii="仿宋" w:hAnsi="仿宋" w:eastAsia="仿宋"/>
          <w:bCs/>
          <w:color w:val="auto"/>
          <w:sz w:val="32"/>
          <w:szCs w:val="32"/>
          <w:highlight w:val="none"/>
          <w:lang w:eastAsia="zh-CN"/>
        </w:rPr>
        <w:t>车辆购置税支出</w:t>
      </w:r>
      <w:r>
        <w:rPr>
          <w:rStyle w:val="21"/>
          <w:rFonts w:hint="eastAsia" w:ascii="仿宋" w:hAnsi="仿宋" w:eastAsia="仿宋"/>
          <w:bCs/>
          <w:color w:val="auto"/>
          <w:sz w:val="32"/>
          <w:szCs w:val="32"/>
          <w:highlight w:val="none"/>
        </w:rPr>
        <w:t>（款</w:t>
      </w:r>
      <w:r>
        <w:rPr>
          <w:rStyle w:val="21"/>
          <w:rFonts w:hint="eastAsia" w:ascii="仿宋" w:hAnsi="仿宋" w:eastAsia="仿宋"/>
          <w:bCs/>
          <w:color w:val="auto"/>
          <w:sz w:val="32"/>
          <w:szCs w:val="32"/>
          <w:highlight w:val="none"/>
          <w:lang w:val="en-US" w:eastAsia="zh-CN"/>
        </w:rPr>
        <w:t>)</w:t>
      </w:r>
      <w:r>
        <w:rPr>
          <w:rStyle w:val="21"/>
          <w:rFonts w:hint="eastAsia" w:ascii="仿宋" w:hAnsi="仿宋" w:eastAsia="仿宋"/>
          <w:bCs/>
          <w:color w:val="auto"/>
          <w:sz w:val="32"/>
          <w:szCs w:val="32"/>
          <w:highlight w:val="none"/>
          <w:lang w:eastAsia="zh-CN"/>
        </w:rPr>
        <w:t xml:space="preserve"> 车辆购置税用于公路等基础设施建设支出</w:t>
      </w:r>
      <w:r>
        <w:rPr>
          <w:rStyle w:val="21"/>
          <w:rFonts w:hint="eastAsia" w:ascii="仿宋" w:hAnsi="仿宋" w:eastAsia="仿宋"/>
          <w:bCs/>
          <w:color w:val="auto"/>
          <w:sz w:val="32"/>
          <w:szCs w:val="32"/>
          <w:highlight w:val="none"/>
        </w:rPr>
        <w:t>（项）</w:t>
      </w:r>
      <w:r>
        <w:rPr>
          <w:rStyle w:val="21"/>
          <w:rFonts w:ascii="仿宋" w:hAnsi="仿宋" w:eastAsia="仿宋"/>
          <w:bCs/>
          <w:color w:val="auto"/>
          <w:sz w:val="32"/>
          <w:szCs w:val="32"/>
          <w:highlight w:val="none"/>
        </w:rPr>
        <w:t>:</w:t>
      </w:r>
      <w:r>
        <w:rPr>
          <w:rStyle w:val="21"/>
          <w:rFonts w:ascii="仿宋" w:hAnsi="仿宋" w:eastAsia="仿宋"/>
          <w:b w:val="0"/>
          <w:bCs/>
          <w:color w:val="auto"/>
          <w:sz w:val="32"/>
          <w:szCs w:val="32"/>
          <w:highlight w:val="none"/>
        </w:rPr>
        <w:t xml:space="preserve"> </w:t>
      </w:r>
      <w:r>
        <w:rPr>
          <w:rStyle w:val="21"/>
          <w:rFonts w:hint="eastAsia" w:ascii="仿宋" w:hAnsi="仿宋" w:eastAsia="仿宋"/>
          <w:b w:val="0"/>
          <w:bCs/>
          <w:color w:val="auto"/>
          <w:sz w:val="32"/>
          <w:szCs w:val="32"/>
          <w:highlight w:val="none"/>
        </w:rPr>
        <w:t>支出决算为</w:t>
      </w:r>
      <w:r>
        <w:rPr>
          <w:rStyle w:val="21"/>
          <w:rFonts w:hint="eastAsia" w:ascii="仿宋" w:hAnsi="仿宋" w:eastAsia="仿宋"/>
          <w:b w:val="0"/>
          <w:bCs/>
          <w:color w:val="auto"/>
          <w:sz w:val="32"/>
          <w:szCs w:val="32"/>
          <w:highlight w:val="none"/>
          <w:lang w:val="en-US" w:eastAsia="zh-CN"/>
        </w:rPr>
        <w:t>1265.51</w:t>
      </w:r>
      <w:r>
        <w:rPr>
          <w:rStyle w:val="21"/>
          <w:rFonts w:hint="eastAsia" w:ascii="仿宋" w:hAnsi="仿宋" w:eastAsia="仿宋"/>
          <w:b w:val="0"/>
          <w:bCs/>
          <w:color w:val="auto"/>
          <w:sz w:val="32"/>
          <w:szCs w:val="32"/>
          <w:highlight w:val="none"/>
        </w:rPr>
        <w:t>万元，完成预算</w:t>
      </w:r>
      <w:r>
        <w:rPr>
          <w:rStyle w:val="21"/>
          <w:rFonts w:hint="eastAsia" w:ascii="仿宋" w:hAnsi="仿宋" w:eastAsia="仿宋"/>
          <w:b w:val="0"/>
          <w:bCs/>
          <w:color w:val="auto"/>
          <w:sz w:val="32"/>
          <w:szCs w:val="32"/>
          <w:highlight w:val="none"/>
          <w:lang w:val="en-US" w:eastAsia="zh-CN"/>
        </w:rPr>
        <w:t>100</w:t>
      </w:r>
      <w:r>
        <w:rPr>
          <w:rStyle w:val="21"/>
          <w:rFonts w:ascii="仿宋" w:hAnsi="仿宋" w:eastAsia="仿宋"/>
          <w:b w:val="0"/>
          <w:bCs/>
          <w:color w:val="auto"/>
          <w:sz w:val="32"/>
          <w:szCs w:val="32"/>
          <w:highlight w:val="none"/>
        </w:rPr>
        <w:t>%</w:t>
      </w:r>
      <w:r>
        <w:rPr>
          <w:rStyle w:val="21"/>
          <w:rFonts w:hint="eastAsia" w:ascii="仿宋" w:hAnsi="仿宋" w:eastAsia="仿宋"/>
          <w:b w:val="0"/>
          <w:bCs/>
          <w:color w:val="auto"/>
          <w:sz w:val="32"/>
          <w:szCs w:val="32"/>
          <w:highlight w:val="none"/>
        </w:rPr>
        <w:t>。</w:t>
      </w:r>
    </w:p>
    <w:p>
      <w:pPr>
        <w:spacing w:line="600" w:lineRule="exact"/>
        <w:ind w:firstLine="643" w:firstLineChars="200"/>
        <w:rPr>
          <w:rStyle w:val="21"/>
          <w:rFonts w:hint="eastAsia" w:ascii="仿宋" w:hAnsi="仿宋" w:eastAsia="仿宋"/>
          <w:b w:val="0"/>
          <w:bCs/>
          <w:color w:val="auto"/>
          <w:sz w:val="32"/>
          <w:szCs w:val="32"/>
          <w:highlight w:val="none"/>
        </w:rPr>
      </w:pPr>
      <w:r>
        <w:rPr>
          <w:rStyle w:val="21"/>
          <w:rFonts w:hint="eastAsia" w:ascii="仿宋" w:hAnsi="仿宋" w:eastAsia="仿宋"/>
          <w:bCs/>
          <w:color w:val="auto"/>
          <w:sz w:val="32"/>
          <w:szCs w:val="32"/>
          <w:highlight w:val="none"/>
          <w:lang w:val="en-US" w:eastAsia="zh-CN"/>
        </w:rPr>
        <w:t>18</w:t>
      </w:r>
      <w:r>
        <w:rPr>
          <w:rStyle w:val="21"/>
          <w:rFonts w:ascii="仿宋" w:hAnsi="仿宋" w:eastAsia="仿宋"/>
          <w:bCs/>
          <w:color w:val="auto"/>
          <w:sz w:val="32"/>
          <w:szCs w:val="32"/>
          <w:highlight w:val="none"/>
        </w:rPr>
        <w:t>.</w:t>
      </w:r>
      <w:r>
        <w:rPr>
          <w:rStyle w:val="21"/>
          <w:rFonts w:hint="eastAsia" w:ascii="仿宋" w:hAnsi="仿宋" w:eastAsia="仿宋"/>
          <w:bCs/>
          <w:color w:val="auto"/>
          <w:sz w:val="32"/>
          <w:szCs w:val="32"/>
          <w:highlight w:val="none"/>
          <w:lang w:eastAsia="zh-CN"/>
        </w:rPr>
        <w:t>住房保障支出</w:t>
      </w:r>
      <w:r>
        <w:rPr>
          <w:rStyle w:val="21"/>
          <w:rFonts w:hint="eastAsia" w:ascii="仿宋" w:hAnsi="仿宋" w:eastAsia="仿宋"/>
          <w:bCs/>
          <w:color w:val="auto"/>
          <w:sz w:val="32"/>
          <w:szCs w:val="32"/>
          <w:highlight w:val="none"/>
        </w:rPr>
        <w:t>（类）</w:t>
      </w:r>
      <w:r>
        <w:rPr>
          <w:rStyle w:val="21"/>
          <w:rFonts w:hint="eastAsia" w:ascii="仿宋" w:hAnsi="仿宋" w:eastAsia="仿宋"/>
          <w:bCs/>
          <w:color w:val="auto"/>
          <w:sz w:val="32"/>
          <w:szCs w:val="32"/>
          <w:highlight w:val="none"/>
          <w:lang w:eastAsia="zh-CN"/>
        </w:rPr>
        <w:t>住房改革支出</w:t>
      </w:r>
      <w:r>
        <w:rPr>
          <w:rStyle w:val="21"/>
          <w:rFonts w:hint="eastAsia" w:ascii="仿宋" w:hAnsi="仿宋" w:eastAsia="仿宋"/>
          <w:bCs/>
          <w:color w:val="auto"/>
          <w:sz w:val="32"/>
          <w:szCs w:val="32"/>
          <w:highlight w:val="none"/>
        </w:rPr>
        <w:t>（款</w:t>
      </w:r>
      <w:r>
        <w:rPr>
          <w:rStyle w:val="21"/>
          <w:rFonts w:hint="eastAsia" w:ascii="仿宋" w:hAnsi="仿宋" w:eastAsia="仿宋"/>
          <w:bCs/>
          <w:color w:val="auto"/>
          <w:sz w:val="32"/>
          <w:szCs w:val="32"/>
          <w:highlight w:val="none"/>
          <w:lang w:val="en-US" w:eastAsia="zh-CN"/>
        </w:rPr>
        <w:t>)</w:t>
      </w:r>
      <w:r>
        <w:rPr>
          <w:rStyle w:val="21"/>
          <w:rFonts w:hint="eastAsia" w:ascii="仿宋" w:hAnsi="仿宋" w:eastAsia="仿宋"/>
          <w:bCs/>
          <w:color w:val="auto"/>
          <w:sz w:val="32"/>
          <w:szCs w:val="32"/>
          <w:highlight w:val="none"/>
          <w:lang w:eastAsia="zh-CN"/>
        </w:rPr>
        <w:t xml:space="preserve"> 住房公积金</w:t>
      </w:r>
      <w:r>
        <w:rPr>
          <w:rStyle w:val="21"/>
          <w:rFonts w:hint="eastAsia" w:ascii="仿宋" w:hAnsi="仿宋" w:eastAsia="仿宋"/>
          <w:bCs/>
          <w:color w:val="auto"/>
          <w:sz w:val="32"/>
          <w:szCs w:val="32"/>
          <w:highlight w:val="none"/>
        </w:rPr>
        <w:t>（项）</w:t>
      </w:r>
      <w:r>
        <w:rPr>
          <w:rStyle w:val="21"/>
          <w:rFonts w:ascii="仿宋" w:hAnsi="仿宋" w:eastAsia="仿宋"/>
          <w:bCs/>
          <w:color w:val="auto"/>
          <w:sz w:val="32"/>
          <w:szCs w:val="32"/>
          <w:highlight w:val="none"/>
        </w:rPr>
        <w:t>:</w:t>
      </w:r>
      <w:r>
        <w:rPr>
          <w:rStyle w:val="21"/>
          <w:rFonts w:ascii="仿宋" w:hAnsi="仿宋" w:eastAsia="仿宋"/>
          <w:b w:val="0"/>
          <w:bCs/>
          <w:color w:val="auto"/>
          <w:sz w:val="32"/>
          <w:szCs w:val="32"/>
          <w:highlight w:val="none"/>
        </w:rPr>
        <w:t xml:space="preserve"> </w:t>
      </w:r>
      <w:r>
        <w:rPr>
          <w:rStyle w:val="21"/>
          <w:rFonts w:hint="eastAsia" w:ascii="仿宋" w:hAnsi="仿宋" w:eastAsia="仿宋"/>
          <w:b w:val="0"/>
          <w:bCs/>
          <w:color w:val="auto"/>
          <w:sz w:val="32"/>
          <w:szCs w:val="32"/>
          <w:highlight w:val="none"/>
        </w:rPr>
        <w:t>支出决算为</w:t>
      </w:r>
      <w:r>
        <w:rPr>
          <w:rStyle w:val="21"/>
          <w:rFonts w:hint="eastAsia" w:ascii="仿宋" w:hAnsi="仿宋" w:eastAsia="仿宋"/>
          <w:b w:val="0"/>
          <w:bCs/>
          <w:color w:val="auto"/>
          <w:sz w:val="32"/>
          <w:szCs w:val="32"/>
          <w:highlight w:val="none"/>
          <w:lang w:val="en-US" w:eastAsia="zh-CN"/>
        </w:rPr>
        <w:t>169.08</w:t>
      </w:r>
      <w:r>
        <w:rPr>
          <w:rStyle w:val="21"/>
          <w:rFonts w:hint="eastAsia" w:ascii="仿宋" w:hAnsi="仿宋" w:eastAsia="仿宋"/>
          <w:b w:val="0"/>
          <w:bCs/>
          <w:color w:val="auto"/>
          <w:sz w:val="32"/>
          <w:szCs w:val="32"/>
          <w:highlight w:val="none"/>
        </w:rPr>
        <w:t>万元，完成预算</w:t>
      </w:r>
      <w:r>
        <w:rPr>
          <w:rStyle w:val="21"/>
          <w:rFonts w:hint="eastAsia" w:ascii="仿宋" w:hAnsi="仿宋" w:eastAsia="仿宋"/>
          <w:b w:val="0"/>
          <w:bCs/>
          <w:color w:val="auto"/>
          <w:sz w:val="32"/>
          <w:szCs w:val="32"/>
          <w:highlight w:val="none"/>
          <w:lang w:val="en-US" w:eastAsia="zh-CN"/>
        </w:rPr>
        <w:t>100</w:t>
      </w:r>
      <w:r>
        <w:rPr>
          <w:rStyle w:val="21"/>
          <w:rFonts w:ascii="仿宋" w:hAnsi="仿宋" w:eastAsia="仿宋"/>
          <w:b w:val="0"/>
          <w:bCs/>
          <w:color w:val="auto"/>
          <w:sz w:val="32"/>
          <w:szCs w:val="32"/>
          <w:highlight w:val="none"/>
        </w:rPr>
        <w:t>%</w:t>
      </w:r>
      <w:r>
        <w:rPr>
          <w:rStyle w:val="21"/>
          <w:rFonts w:hint="eastAsia" w:ascii="仿宋" w:hAnsi="仿宋" w:eastAsia="仿宋"/>
          <w:b w:val="0"/>
          <w:bCs/>
          <w:color w:val="auto"/>
          <w:sz w:val="32"/>
          <w:szCs w:val="32"/>
          <w:highlight w:val="none"/>
        </w:rPr>
        <w:t>。</w:t>
      </w:r>
    </w:p>
    <w:p>
      <w:pPr>
        <w:tabs>
          <w:tab w:val="right" w:pos="8306"/>
        </w:tabs>
        <w:spacing w:line="600" w:lineRule="exact"/>
        <w:ind w:firstLine="640" w:firstLineChars="200"/>
        <w:outlineLvl w:val="1"/>
        <w:rPr>
          <w:rStyle w:val="32"/>
          <w:color w:val="auto"/>
          <w:highlight w:val="none"/>
        </w:rPr>
      </w:pPr>
      <w:bookmarkStart w:id="35" w:name="_Toc15396608"/>
      <w:bookmarkStart w:id="36" w:name="_Toc15377214"/>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32"/>
          <w:rFonts w:hint="eastAsia" w:ascii="黑体" w:hAnsi="黑体" w:eastAsia="黑体"/>
          <w:b w:val="0"/>
          <w:color w:val="auto"/>
          <w:highlight w:val="none"/>
        </w:rPr>
        <w:t>般公共预算财政拨款基本支出决算情况说明</w:t>
      </w:r>
      <w:bookmarkEnd w:id="35"/>
      <w:bookmarkEnd w:id="36"/>
      <w:r>
        <w:rPr>
          <w:rStyle w:val="32"/>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w:t>
      </w:r>
      <w:r>
        <w:rPr>
          <w:rFonts w:hint="eastAsia" w:ascii="仿宋" w:hAnsi="仿宋" w:eastAsia="仿宋"/>
          <w:color w:val="auto"/>
          <w:sz w:val="32"/>
          <w:szCs w:val="32"/>
          <w:highlight w:val="none"/>
          <w:lang w:val="en-US" w:eastAsia="zh-CN"/>
        </w:rPr>
        <w:t>2239.7</w:t>
      </w:r>
      <w:r>
        <w:rPr>
          <w:rFonts w:hint="eastAsia" w:ascii="仿宋" w:hAnsi="仿宋" w:eastAsia="仿宋"/>
          <w:color w:val="auto"/>
          <w:sz w:val="32"/>
          <w:szCs w:val="32"/>
          <w:highlight w:val="none"/>
        </w:rPr>
        <w:t>万元，其中：</w:t>
      </w:r>
    </w:p>
    <w:p>
      <w:pPr>
        <w:spacing w:line="600" w:lineRule="exact"/>
        <w:ind w:firstLine="645"/>
        <w:rPr>
          <w:rFonts w:hint="default" w:ascii="仿宋" w:hAnsi="仿宋" w:eastAsia="仿宋"/>
          <w:color w:val="auto"/>
          <w:sz w:val="32"/>
          <w:szCs w:val="32"/>
          <w:highlight w:val="none"/>
          <w:lang w:val="en-US"/>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1975.08</w:t>
      </w:r>
      <w:r>
        <w:rPr>
          <w:rFonts w:hint="eastAsia" w:ascii="仿宋" w:hAnsi="仿宋" w:eastAsia="仿宋"/>
          <w:color w:val="auto"/>
          <w:sz w:val="32"/>
          <w:szCs w:val="32"/>
          <w:highlight w:val="none"/>
        </w:rPr>
        <w:t>万元，主要包括：基本工资、津贴补贴、奖金、绩效工资、机关事业单位基本养老保险缴费、职业年金缴费、</w:t>
      </w:r>
      <w:r>
        <w:rPr>
          <w:rFonts w:hint="eastAsia" w:ascii="仿宋" w:hAnsi="仿宋" w:eastAsia="仿宋"/>
          <w:color w:val="auto"/>
          <w:sz w:val="32"/>
          <w:szCs w:val="32"/>
          <w:highlight w:val="none"/>
          <w:lang w:eastAsia="zh-CN"/>
        </w:rPr>
        <w:t>职工基本医疗保险缴费、</w:t>
      </w:r>
      <w:r>
        <w:rPr>
          <w:rFonts w:hint="eastAsia" w:ascii="仿宋" w:hAnsi="仿宋" w:eastAsia="仿宋"/>
          <w:color w:val="auto"/>
          <w:sz w:val="32"/>
          <w:szCs w:val="32"/>
          <w:highlight w:val="none"/>
        </w:rPr>
        <w:t>其他社会保障缴费、其他工资福利支出、抚恤金、生活补助、其他对个人和家庭的补助支出等。</w:t>
      </w:r>
    </w:p>
    <w:p>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　　公用经费</w:t>
      </w:r>
      <w:r>
        <w:rPr>
          <w:rFonts w:hint="eastAsia" w:ascii="仿宋" w:hAnsi="仿宋" w:eastAsia="仿宋"/>
          <w:color w:val="auto"/>
          <w:sz w:val="32"/>
          <w:szCs w:val="32"/>
          <w:highlight w:val="none"/>
          <w:lang w:val="en-US" w:eastAsia="zh-CN"/>
        </w:rPr>
        <w:t>264.62</w:t>
      </w:r>
      <w:r>
        <w:rPr>
          <w:rFonts w:hint="eastAsia" w:ascii="仿宋" w:hAnsi="仿宋" w:eastAsia="仿宋"/>
          <w:color w:val="auto"/>
          <w:sz w:val="32"/>
          <w:szCs w:val="32"/>
          <w:highlight w:val="none"/>
        </w:rPr>
        <w:t>万元，主要包括：办公费、印刷费、咨询费、手续费、水费、电费、邮电费、物业管理费、差旅费、维修（护）费、会议费、公务接待费、劳务费、委托业务费、工会经费、福利费、公务用车运行维护费、其他交通费、其他商品和服务支出等。</w:t>
      </w:r>
    </w:p>
    <w:p>
      <w:pPr>
        <w:spacing w:line="600" w:lineRule="exact"/>
        <w:ind w:firstLine="640"/>
        <w:outlineLvl w:val="1"/>
        <w:rPr>
          <w:rStyle w:val="32"/>
          <w:rFonts w:ascii="黑体" w:hAnsi="黑体" w:eastAsia="黑体"/>
          <w:b w:val="0"/>
          <w:color w:val="auto"/>
          <w:highlight w:val="none"/>
        </w:rPr>
      </w:pPr>
      <w:bookmarkStart w:id="37" w:name="_Toc15396609"/>
      <w:bookmarkStart w:id="38" w:name="_Toc15377215"/>
      <w:r>
        <w:rPr>
          <w:rFonts w:hint="eastAsia" w:ascii="黑体" w:eastAsia="黑体"/>
          <w:color w:val="auto"/>
          <w:sz w:val="32"/>
          <w:szCs w:val="32"/>
          <w:highlight w:val="none"/>
        </w:rPr>
        <w:t>七、</w:t>
      </w:r>
      <w:r>
        <w:rPr>
          <w:rStyle w:val="32"/>
          <w:rFonts w:hint="eastAsia" w:ascii="黑体" w:hAnsi="黑体" w:eastAsia="黑体"/>
          <w:b w:val="0"/>
          <w:color w:val="auto"/>
          <w:highlight w:val="none"/>
        </w:rPr>
        <w:t>财政拨款</w:t>
      </w:r>
      <w:r>
        <w:rPr>
          <w:rStyle w:val="32"/>
          <w:rFonts w:hint="eastAsia" w:ascii="黑体" w:hAnsi="黑体" w:eastAsia="黑体"/>
          <w:color w:val="auto"/>
          <w:highlight w:val="none"/>
        </w:rPr>
        <w:t>“</w:t>
      </w:r>
      <w:r>
        <w:rPr>
          <w:rStyle w:val="32"/>
          <w:rFonts w:hint="eastAsia" w:ascii="黑体" w:hAnsi="黑体" w:eastAsia="黑体"/>
          <w:b w:val="0"/>
          <w:color w:val="auto"/>
          <w:highlight w:val="none"/>
        </w:rPr>
        <w:t>三公”经费支出决算情况说明</w:t>
      </w:r>
      <w:bookmarkEnd w:id="37"/>
      <w:bookmarkEnd w:id="38"/>
    </w:p>
    <w:p>
      <w:pPr>
        <w:spacing w:line="600" w:lineRule="exact"/>
        <w:ind w:firstLine="640"/>
        <w:outlineLvl w:val="2"/>
        <w:rPr>
          <w:rFonts w:ascii="仿宋" w:hAnsi="仿宋" w:eastAsia="仿宋"/>
          <w:b/>
          <w:color w:val="auto"/>
          <w:sz w:val="32"/>
          <w:szCs w:val="32"/>
          <w:highlight w:val="none"/>
        </w:rPr>
      </w:pPr>
      <w:bookmarkStart w:id="39" w:name="_Toc15377216"/>
      <w:r>
        <w:rPr>
          <w:rFonts w:hint="eastAsia" w:ascii="仿宋" w:hAnsi="仿宋" w:eastAsia="仿宋"/>
          <w:b/>
          <w:color w:val="auto"/>
          <w:sz w:val="32"/>
          <w:szCs w:val="32"/>
          <w:highlight w:val="none"/>
        </w:rPr>
        <w:t>（一）“三公”经费财政拨款支出决算总体情况说明</w:t>
      </w:r>
      <w:bookmarkEnd w:id="39"/>
    </w:p>
    <w:p>
      <w:pPr>
        <w:spacing w:line="600" w:lineRule="exact"/>
        <w:ind w:firstLine="640"/>
        <w:rPr>
          <w:rFonts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75.82</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较上年增加</w:t>
      </w:r>
      <w:r>
        <w:rPr>
          <w:rFonts w:hint="eastAsia" w:ascii="仿宋" w:hAnsi="仿宋" w:eastAsia="仿宋"/>
          <w:color w:val="auto"/>
          <w:sz w:val="32"/>
          <w:szCs w:val="32"/>
          <w:highlight w:val="none"/>
          <w:lang w:val="en-US" w:eastAsia="zh-CN"/>
        </w:rPr>
        <w:t>30.83万元，增长68.53%</w:t>
      </w:r>
      <w:r>
        <w:rPr>
          <w:rFonts w:hint="eastAsia" w:ascii="仿宋" w:hAnsi="仿宋" w:eastAsia="仿宋"/>
          <w:color w:val="auto"/>
          <w:sz w:val="32"/>
          <w:szCs w:val="32"/>
          <w:highlight w:val="none"/>
        </w:rPr>
        <w:t>。</w:t>
      </w:r>
    </w:p>
    <w:p>
      <w:pPr>
        <w:spacing w:line="600" w:lineRule="exact"/>
        <w:ind w:firstLine="640"/>
        <w:outlineLvl w:val="2"/>
        <w:rPr>
          <w:rFonts w:ascii="仿宋" w:hAnsi="仿宋" w:eastAsia="仿宋"/>
          <w:b/>
          <w:color w:val="auto"/>
          <w:sz w:val="32"/>
          <w:szCs w:val="32"/>
          <w:highlight w:val="none"/>
        </w:rPr>
      </w:pPr>
      <w:bookmarkStart w:id="40" w:name="_Toc15377217"/>
      <w:r>
        <w:rPr>
          <w:rFonts w:hint="eastAsia" w:ascii="仿宋" w:hAnsi="仿宋" w:eastAsia="仿宋"/>
          <w:b/>
          <w:color w:val="auto"/>
          <w:sz w:val="32"/>
          <w:szCs w:val="32"/>
          <w:highlight w:val="none"/>
        </w:rPr>
        <w:t>（二）“三公”经费财政拨款支出决算具体情况说明</w:t>
      </w:r>
      <w:bookmarkEnd w:id="40"/>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w:t>
      </w:r>
      <w:r>
        <w:rPr>
          <w:rFonts w:hint="eastAsia" w:ascii="仿宋" w:hAnsi="仿宋" w:eastAsia="仿宋"/>
          <w:color w:val="auto"/>
          <w:sz w:val="32"/>
          <w:szCs w:val="32"/>
          <w:highlight w:val="none"/>
          <w:lang w:val="en-US" w:eastAsia="zh-CN"/>
        </w:rPr>
        <w:t>72.25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95.29</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3.58</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4.71</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spacing w:line="600" w:lineRule="exact"/>
        <w:ind w:firstLine="64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（图7：“三公”经费财政拨款支出结构）（饼状图）</w:t>
      </w:r>
    </w:p>
    <w:p>
      <w:pPr>
        <w:pStyle w:val="2"/>
        <w:jc w:val="center"/>
      </w:pPr>
      <w:r>
        <w:drawing>
          <wp:inline distT="0" distB="0" distL="114300" distR="114300">
            <wp:extent cx="3568065" cy="1752600"/>
            <wp:effectExtent l="4445" t="4445" r="8890" b="14605"/>
            <wp:docPr id="5"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pPr>
        <w:shd w:val="clear"/>
        <w:spacing w:line="600" w:lineRule="exact"/>
        <w:ind w:firstLine="640"/>
        <w:rPr>
          <w:rFonts w:hint="eastAsia" w:eastAsia="仿宋_GB2312"/>
          <w:lang w:eastAsia="zh-CN"/>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 w:hAnsi="仿宋" w:eastAsia="仿宋"/>
          <w:b/>
          <w:color w:val="auto"/>
          <w:sz w:val="32"/>
          <w:szCs w:val="32"/>
          <w:highlight w:val="none"/>
          <w:lang w:val="en-US" w:eastAsia="zh-CN"/>
        </w:rPr>
        <w:t>年初未安排预算</w:t>
      </w:r>
      <w:r>
        <w:rPr>
          <w:rFonts w:hint="default" w:ascii="仿宋" w:hAnsi="仿宋" w:eastAsia="仿宋"/>
          <w:b/>
          <w:color w:val="auto"/>
          <w:sz w:val="32"/>
          <w:szCs w:val="32"/>
          <w:highlight w:val="none"/>
          <w:lang w:eastAsia="zh-CN"/>
        </w:rPr>
        <w:t>，较2021年无变化</w:t>
      </w:r>
      <w:r>
        <w:rPr>
          <w:rFonts w:hint="eastAsia" w:ascii="仿宋_GB2312" w:eastAsia="仿宋_GB2312"/>
          <w:color w:val="auto"/>
          <w:sz w:val="32"/>
          <w:szCs w:val="32"/>
          <w:highlight w:val="none"/>
        </w:rPr>
        <w:t>。</w:t>
      </w:r>
    </w:p>
    <w:p>
      <w:pPr>
        <w:spacing w:line="600" w:lineRule="exact"/>
        <w:ind w:firstLine="640"/>
        <w:rPr>
          <w:rFonts w:ascii="仿宋_GB2312" w:eastAsia="仿宋_GB2312"/>
          <w:b/>
          <w:color w:val="auto"/>
          <w:sz w:val="32"/>
          <w:szCs w:val="32"/>
          <w:highlight w:val="none"/>
        </w:rPr>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72.25</w:t>
      </w:r>
      <w:r>
        <w:rPr>
          <w:rFonts w:hint="eastAsia" w:ascii="仿宋_GB2312" w:eastAsia="仿宋_GB2312"/>
          <w:color w:val="auto"/>
          <w:sz w:val="32"/>
          <w:szCs w:val="32"/>
          <w:highlight w:val="none"/>
        </w:rPr>
        <w:t>万元,</w:t>
      </w:r>
      <w:r>
        <w:rPr>
          <w:rStyle w:val="21"/>
          <w:rFonts w:hint="eastAsia" w:ascii="仿宋" w:hAnsi="仿宋" w:eastAsia="仿宋"/>
          <w:b w:val="0"/>
          <w:bCs/>
          <w:color w:val="auto"/>
          <w:sz w:val="32"/>
          <w:szCs w:val="32"/>
          <w:highlight w:val="none"/>
        </w:rPr>
        <w:t>完成预算</w:t>
      </w:r>
      <w:r>
        <w:rPr>
          <w:rStyle w:val="21"/>
          <w:rFonts w:hint="eastAsia" w:ascii="仿宋" w:hAnsi="仿宋" w:eastAsia="仿宋"/>
          <w:b w:val="0"/>
          <w:bCs/>
          <w:color w:val="auto"/>
          <w:sz w:val="32"/>
          <w:szCs w:val="32"/>
          <w:highlight w:val="none"/>
          <w:lang w:val="en-US" w:eastAsia="zh-CN"/>
        </w:rPr>
        <w:t>100</w:t>
      </w:r>
      <w:r>
        <w:rPr>
          <w:rStyle w:val="21"/>
          <w:rFonts w:ascii="仿宋" w:hAnsi="仿宋" w:eastAsia="仿宋"/>
          <w:b w:val="0"/>
          <w:bCs/>
          <w:color w:val="auto"/>
          <w:sz w:val="32"/>
          <w:szCs w:val="32"/>
          <w:highlight w:val="none"/>
        </w:rPr>
        <w:t>%</w:t>
      </w:r>
      <w:r>
        <w:rPr>
          <w:rStyle w:val="21"/>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公务用车购置及运行维护费支出决算比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年增加</w:t>
      </w:r>
      <w:r>
        <w:rPr>
          <w:rFonts w:hint="eastAsia" w:ascii="仿宋_GB2312" w:eastAsia="仿宋_GB2312"/>
          <w:color w:val="auto"/>
          <w:sz w:val="32"/>
          <w:szCs w:val="32"/>
          <w:highlight w:val="none"/>
          <w:lang w:val="en-US" w:eastAsia="zh-CN"/>
        </w:rPr>
        <w:t>31.31</w:t>
      </w:r>
      <w:r>
        <w:rPr>
          <w:rFonts w:hint="eastAsia" w:ascii="仿宋_GB2312" w:eastAsia="仿宋_GB2312"/>
          <w:color w:val="auto"/>
          <w:sz w:val="32"/>
          <w:szCs w:val="32"/>
          <w:highlight w:val="none"/>
        </w:rPr>
        <w:t>万元，增长</w:t>
      </w:r>
      <w:r>
        <w:rPr>
          <w:rFonts w:hint="eastAsia" w:ascii="仿宋_GB2312" w:eastAsia="仿宋_GB2312"/>
          <w:color w:val="auto"/>
          <w:sz w:val="32"/>
          <w:szCs w:val="32"/>
          <w:highlight w:val="none"/>
          <w:lang w:val="en-US" w:eastAsia="zh-CN"/>
        </w:rPr>
        <w:t>76.49</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eastAsia="zh-CN"/>
        </w:rPr>
        <w:t>新购置了一辆防火指挥通讯车</w:t>
      </w:r>
      <w:r>
        <w:rPr>
          <w:rFonts w:hint="eastAsia" w:ascii="仿宋_GB2312" w:eastAsia="仿宋_GB2312"/>
          <w:color w:val="auto"/>
          <w:sz w:val="32"/>
          <w:szCs w:val="32"/>
          <w:highlight w:val="none"/>
        </w:rPr>
        <w:t>。</w:t>
      </w:r>
    </w:p>
    <w:p>
      <w:pPr>
        <w:spacing w:line="600" w:lineRule="exact"/>
        <w:ind w:firstLine="640" w:firstLineChars="200"/>
        <w:rPr>
          <w:rFonts w:ascii="仿宋_GB2312" w:eastAsia="仿宋_GB2312"/>
          <w:b/>
          <w:color w:val="auto"/>
          <w:sz w:val="32"/>
          <w:szCs w:val="32"/>
          <w:highlight w:val="none"/>
        </w:rPr>
      </w:pPr>
      <w:r>
        <w:rPr>
          <w:rFonts w:hint="eastAsia" w:ascii="仿宋_GB2312" w:eastAsia="仿宋_GB2312"/>
          <w:color w:val="auto"/>
          <w:sz w:val="32"/>
          <w:szCs w:val="32"/>
          <w:highlight w:val="none"/>
        </w:rPr>
        <w:t>其中：</w:t>
      </w:r>
      <w:r>
        <w:rPr>
          <w:rFonts w:hint="eastAsia" w:ascii="仿宋_GB2312" w:eastAsia="仿宋_GB2312"/>
          <w:b/>
          <w:color w:val="auto"/>
          <w:sz w:val="32"/>
          <w:szCs w:val="32"/>
          <w:highlight w:val="none"/>
        </w:rPr>
        <w:t>公务用车购置支出</w:t>
      </w:r>
      <w:r>
        <w:rPr>
          <w:rFonts w:hint="eastAsia" w:ascii="仿宋_GB2312" w:eastAsia="仿宋_GB2312"/>
          <w:color w:val="auto"/>
          <w:sz w:val="32"/>
          <w:szCs w:val="32"/>
          <w:highlight w:val="none"/>
          <w:lang w:val="en-US" w:eastAsia="zh-CN"/>
        </w:rPr>
        <w:t>31.98</w:t>
      </w:r>
      <w:r>
        <w:rPr>
          <w:rFonts w:hint="eastAsia" w:ascii="仿宋_GB2312" w:eastAsia="仿宋_GB2312"/>
          <w:color w:val="auto"/>
          <w:sz w:val="32"/>
          <w:szCs w:val="32"/>
          <w:highlight w:val="none"/>
        </w:rPr>
        <w:t>万元。全年按规定更新购置公务用车</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辆，其中：越野车</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辆、金额</w:t>
      </w:r>
      <w:r>
        <w:rPr>
          <w:rFonts w:hint="eastAsia" w:ascii="仿宋_GB2312" w:eastAsia="仿宋_GB2312"/>
          <w:color w:val="auto"/>
          <w:sz w:val="32"/>
          <w:szCs w:val="32"/>
          <w:highlight w:val="none"/>
          <w:lang w:val="en-US" w:eastAsia="zh-CN"/>
        </w:rPr>
        <w:t>31.98</w:t>
      </w:r>
      <w:r>
        <w:rPr>
          <w:rFonts w:hint="eastAsia" w:ascii="仿宋_GB2312" w:eastAsia="仿宋_GB2312"/>
          <w:color w:val="auto"/>
          <w:sz w:val="32"/>
          <w:szCs w:val="32"/>
          <w:highlight w:val="none"/>
        </w:rPr>
        <w:t>万元，主要用于</w:t>
      </w:r>
      <w:r>
        <w:rPr>
          <w:rFonts w:hint="eastAsia" w:ascii="仿宋_GB2312" w:hAnsi="仿宋_GB2312" w:eastAsia="仿宋_GB2312" w:cs="仿宋_GB2312"/>
          <w:color w:val="auto"/>
          <w:sz w:val="32"/>
          <w:szCs w:val="32"/>
          <w:highlight w:val="none"/>
          <w:lang w:val="en-US" w:eastAsia="zh-CN"/>
        </w:rPr>
        <w:t>开展</w:t>
      </w:r>
      <w:r>
        <w:rPr>
          <w:rFonts w:hint="eastAsia" w:ascii="仿宋_GB2312" w:hAnsi="仿宋_GB2312" w:eastAsia="仿宋_GB2312" w:cs="仿宋_GB2312"/>
          <w:color w:val="auto"/>
          <w:sz w:val="32"/>
          <w:szCs w:val="32"/>
          <w:highlight w:val="none"/>
        </w:rPr>
        <w:t>森林防灭火工作</w:t>
      </w:r>
      <w:r>
        <w:rPr>
          <w:rFonts w:hint="eastAsia" w:ascii="仿宋_GB2312" w:hAnsi="仿宋_GB2312" w:eastAsia="仿宋_GB2312" w:cs="仿宋_GB2312"/>
          <w:color w:val="auto"/>
          <w:sz w:val="32"/>
          <w:szCs w:val="32"/>
          <w:highlight w:val="none"/>
          <w:lang w:val="en-US" w:eastAsia="zh-CN"/>
        </w:rPr>
        <w:t>需要，</w:t>
      </w:r>
      <w:r>
        <w:rPr>
          <w:rFonts w:hint="eastAsia" w:ascii="仿宋_GB2312" w:hAnsi="仿宋_GB2312" w:eastAsia="仿宋_GB2312" w:cs="仿宋_GB2312"/>
          <w:color w:val="auto"/>
          <w:sz w:val="32"/>
          <w:szCs w:val="32"/>
          <w:highlight w:val="none"/>
        </w:rPr>
        <w:t>进一步做好森林火灾</w:t>
      </w:r>
      <w:r>
        <w:rPr>
          <w:rFonts w:hint="eastAsia" w:ascii="仿宋_GB2312" w:hAnsi="仿宋_GB2312" w:eastAsia="仿宋_GB2312" w:cs="仿宋_GB2312"/>
          <w:color w:val="auto"/>
          <w:kern w:val="0"/>
          <w:sz w:val="32"/>
          <w:szCs w:val="32"/>
          <w:highlight w:val="none"/>
          <w:lang w:bidi="ar"/>
        </w:rPr>
        <w:t>早期处置工作</w:t>
      </w: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月底，单位共有公务用车</w:t>
      </w:r>
      <w:r>
        <w:rPr>
          <w:rFonts w:hint="eastAsia" w:ascii="仿宋_GB2312" w:eastAsia="仿宋_GB2312"/>
          <w:color w:val="auto"/>
          <w:sz w:val="32"/>
          <w:szCs w:val="32"/>
          <w:highlight w:val="none"/>
          <w:lang w:val="en-US" w:eastAsia="zh-CN"/>
        </w:rPr>
        <w:t>8</w:t>
      </w:r>
      <w:r>
        <w:rPr>
          <w:rFonts w:hint="eastAsia" w:ascii="仿宋_GB2312" w:eastAsia="仿宋_GB2312"/>
          <w:color w:val="auto"/>
          <w:sz w:val="32"/>
          <w:szCs w:val="32"/>
          <w:highlight w:val="none"/>
        </w:rPr>
        <w:t>辆，其中：轿车</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辆、越野车</w:t>
      </w:r>
      <w:r>
        <w:rPr>
          <w:rFonts w:hint="eastAsia" w:ascii="仿宋_GB2312" w:eastAsia="仿宋_GB2312"/>
          <w:color w:val="auto"/>
          <w:sz w:val="32"/>
          <w:szCs w:val="32"/>
          <w:highlight w:val="none"/>
          <w:lang w:val="en-US" w:eastAsia="zh-CN"/>
        </w:rPr>
        <w:t>7</w:t>
      </w:r>
      <w:r>
        <w:rPr>
          <w:rFonts w:hint="eastAsia" w:ascii="仿宋_GB2312" w:eastAsia="仿宋_GB2312"/>
          <w:color w:val="auto"/>
          <w:sz w:val="32"/>
          <w:szCs w:val="32"/>
          <w:highlight w:val="none"/>
        </w:rPr>
        <w:t>辆。</w:t>
      </w:r>
    </w:p>
    <w:p>
      <w:pPr>
        <w:spacing w:line="600" w:lineRule="exact"/>
        <w:ind w:firstLine="640"/>
        <w:rPr>
          <w:rFonts w:hint="eastAsia" w:ascii="仿宋_GB2312" w:eastAsia="仿宋_GB2312"/>
          <w:color w:val="auto"/>
          <w:sz w:val="32"/>
          <w:szCs w:val="32"/>
          <w:highlight w:val="none"/>
        </w:rPr>
      </w:pPr>
      <w:r>
        <w:rPr>
          <w:rFonts w:hint="eastAsia" w:ascii="仿宋_GB2312" w:eastAsia="仿宋_GB2312"/>
          <w:b/>
          <w:color w:val="auto"/>
          <w:sz w:val="32"/>
          <w:szCs w:val="32"/>
          <w:highlight w:val="none"/>
        </w:rPr>
        <w:t>公务用车运行维护费支出</w:t>
      </w:r>
      <w:r>
        <w:rPr>
          <w:rFonts w:hint="eastAsia" w:ascii="仿宋_GB2312" w:eastAsia="仿宋_GB2312"/>
          <w:color w:val="auto"/>
          <w:sz w:val="32"/>
          <w:szCs w:val="32"/>
          <w:highlight w:val="none"/>
          <w:lang w:val="en-US" w:eastAsia="zh-CN"/>
        </w:rPr>
        <w:t>40.27</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主要用于</w:t>
      </w:r>
      <w:r>
        <w:rPr>
          <w:rFonts w:ascii="仿宋_GB2312" w:hAnsi="仿宋_GB2312" w:eastAsia="仿宋_GB2312" w:cs="仿宋_GB2312"/>
          <w:color w:val="auto"/>
          <w:sz w:val="32"/>
          <w:szCs w:val="32"/>
          <w:highlight w:val="none"/>
        </w:rPr>
        <w:t>森林防火、</w:t>
      </w:r>
      <w:r>
        <w:rPr>
          <w:rFonts w:hint="eastAsia" w:ascii="仿宋_GB2312" w:hAnsi="仿宋_GB2312" w:eastAsia="仿宋_GB2312" w:cs="仿宋_GB2312"/>
          <w:color w:val="auto"/>
          <w:sz w:val="32"/>
          <w:szCs w:val="32"/>
          <w:highlight w:val="none"/>
          <w:lang w:eastAsia="zh-CN"/>
        </w:rPr>
        <w:t>林业有害生物</w:t>
      </w:r>
      <w:r>
        <w:rPr>
          <w:rFonts w:ascii="仿宋_GB2312" w:hAnsi="仿宋_GB2312" w:eastAsia="仿宋_GB2312" w:cs="仿宋_GB2312"/>
          <w:color w:val="auto"/>
          <w:sz w:val="32"/>
          <w:szCs w:val="32"/>
          <w:highlight w:val="none"/>
        </w:rPr>
        <w:t>、森林资源管理、产业发展、</w:t>
      </w:r>
      <w:r>
        <w:rPr>
          <w:rFonts w:hint="eastAsia" w:ascii="仿宋_GB2312" w:hAnsi="仿宋_GB2312" w:eastAsia="仿宋_GB2312" w:cs="仿宋_GB2312"/>
          <w:color w:val="auto"/>
          <w:sz w:val="32"/>
          <w:szCs w:val="32"/>
          <w:highlight w:val="none"/>
          <w:lang w:eastAsia="zh-CN"/>
        </w:rPr>
        <w:t>生态保护</w:t>
      </w:r>
      <w:r>
        <w:rPr>
          <w:rFonts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rPr>
        <w:t>野生动物保护</w:t>
      </w:r>
      <w:r>
        <w:rPr>
          <w:rFonts w:ascii="仿宋_GB2312" w:hAnsi="仿宋_GB2312" w:eastAsia="仿宋_GB2312" w:cs="仿宋_GB2312"/>
          <w:color w:val="auto"/>
          <w:sz w:val="32"/>
          <w:szCs w:val="32"/>
          <w:highlight w:val="none"/>
        </w:rPr>
        <w:t>等项目上级检查、项目验收、县区指导工作、执法检查</w:t>
      </w:r>
      <w:r>
        <w:rPr>
          <w:rFonts w:hint="eastAsia" w:ascii="仿宋_GB2312" w:hAnsi="仿宋_GB2312" w:eastAsia="仿宋_GB2312" w:cs="仿宋_GB2312"/>
          <w:color w:val="auto"/>
          <w:sz w:val="32"/>
          <w:szCs w:val="32"/>
          <w:highlight w:val="none"/>
        </w:rPr>
        <w:t>等所需的公务用车燃料费、维修费、过路过桥费等支出</w:t>
      </w:r>
      <w:r>
        <w:rPr>
          <w:rFonts w:hint="eastAsia" w:ascii="仿宋_GB2312" w:eastAsia="仿宋_GB2312"/>
          <w:color w:val="auto"/>
          <w:sz w:val="32"/>
          <w:szCs w:val="32"/>
          <w:highlight w:val="none"/>
        </w:rPr>
        <w:t>。</w:t>
      </w:r>
    </w:p>
    <w:p>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color w:val="auto"/>
          <w:sz w:val="32"/>
          <w:szCs w:val="32"/>
          <w:highlight w:val="none"/>
          <w:lang w:val="en-US" w:eastAsia="zh-CN"/>
        </w:rPr>
        <w:t>3.58</w:t>
      </w:r>
      <w:r>
        <w:rPr>
          <w:rFonts w:hint="eastAsia" w:ascii="仿宋_GB2312" w:eastAsia="仿宋_GB2312"/>
          <w:color w:val="auto"/>
          <w:sz w:val="32"/>
          <w:szCs w:val="32"/>
          <w:highlight w:val="none"/>
        </w:rPr>
        <w:t>万元，</w:t>
      </w:r>
      <w:r>
        <w:rPr>
          <w:rStyle w:val="21"/>
          <w:rFonts w:hint="eastAsia" w:ascii="仿宋" w:hAnsi="仿宋" w:eastAsia="仿宋"/>
          <w:b w:val="0"/>
          <w:bCs/>
          <w:color w:val="auto"/>
          <w:sz w:val="32"/>
          <w:szCs w:val="32"/>
          <w:highlight w:val="none"/>
        </w:rPr>
        <w:t>完成预算</w:t>
      </w:r>
      <w:r>
        <w:rPr>
          <w:rStyle w:val="21"/>
          <w:rFonts w:hint="eastAsia" w:ascii="仿宋" w:hAnsi="仿宋" w:eastAsia="仿宋"/>
          <w:b w:val="0"/>
          <w:bCs/>
          <w:color w:val="auto"/>
          <w:sz w:val="32"/>
          <w:szCs w:val="32"/>
          <w:highlight w:val="none"/>
          <w:lang w:val="en-US" w:eastAsia="zh-CN"/>
        </w:rPr>
        <w:t>89.5</w:t>
      </w:r>
      <w:r>
        <w:rPr>
          <w:rStyle w:val="21"/>
          <w:rFonts w:ascii="仿宋" w:hAnsi="仿宋" w:eastAsia="仿宋"/>
          <w:b w:val="0"/>
          <w:bCs/>
          <w:color w:val="auto"/>
          <w:sz w:val="32"/>
          <w:szCs w:val="32"/>
          <w:highlight w:val="none"/>
        </w:rPr>
        <w:t>%</w:t>
      </w:r>
      <w:r>
        <w:rPr>
          <w:rStyle w:val="21"/>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年减少</w:t>
      </w:r>
      <w:r>
        <w:rPr>
          <w:rFonts w:hint="eastAsia" w:ascii="仿宋_GB2312" w:eastAsia="仿宋_GB2312"/>
          <w:color w:val="auto"/>
          <w:sz w:val="32"/>
          <w:szCs w:val="32"/>
          <w:highlight w:val="none"/>
          <w:lang w:val="en-US" w:eastAsia="zh-CN"/>
        </w:rPr>
        <w:t>0.48</w:t>
      </w:r>
      <w:r>
        <w:rPr>
          <w:rFonts w:hint="eastAsia" w:ascii="仿宋_GB2312" w:eastAsia="仿宋_GB2312"/>
          <w:color w:val="auto"/>
          <w:sz w:val="32"/>
          <w:szCs w:val="32"/>
          <w:highlight w:val="none"/>
        </w:rPr>
        <w:t>万元，下降</w:t>
      </w:r>
      <w:r>
        <w:rPr>
          <w:rFonts w:hint="eastAsia" w:ascii="仿宋_GB2312" w:eastAsia="仿宋_GB2312"/>
          <w:color w:val="auto"/>
          <w:sz w:val="32"/>
          <w:szCs w:val="32"/>
          <w:highlight w:val="none"/>
          <w:lang w:val="en-US" w:eastAsia="zh-CN"/>
        </w:rPr>
        <w:t>11.85</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。主要原因是是</w:t>
      </w:r>
      <w:r>
        <w:rPr>
          <w:rFonts w:hint="eastAsia" w:ascii="仿宋" w:hAnsi="仿宋" w:eastAsia="仿宋"/>
          <w:color w:val="auto"/>
          <w:sz w:val="32"/>
          <w:szCs w:val="32"/>
          <w:highlight w:val="none"/>
          <w:lang w:eastAsia="zh-CN"/>
        </w:rPr>
        <w:t>厉行节约，减少公务接待支出</w:t>
      </w:r>
      <w:r>
        <w:rPr>
          <w:rFonts w:hint="eastAsia" w:ascii="仿宋_GB2312" w:eastAsia="仿宋_GB2312"/>
          <w:color w:val="auto"/>
          <w:sz w:val="32"/>
          <w:szCs w:val="32"/>
          <w:highlight w:val="none"/>
        </w:rPr>
        <w:t>。其中：</w:t>
      </w:r>
    </w:p>
    <w:p>
      <w:pPr>
        <w:spacing w:line="600" w:lineRule="exact"/>
        <w:ind w:firstLine="640"/>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3.58</w:t>
      </w:r>
      <w:r>
        <w:rPr>
          <w:rFonts w:hint="eastAsia" w:ascii="仿宋_GB2312" w:eastAsia="仿宋_GB2312"/>
          <w:color w:val="auto"/>
          <w:sz w:val="32"/>
          <w:szCs w:val="32"/>
          <w:highlight w:val="none"/>
        </w:rPr>
        <w:t>万元，主要用于开展业务活动开支的用餐费。国内公务接待</w:t>
      </w:r>
      <w:r>
        <w:rPr>
          <w:rFonts w:hint="eastAsia" w:ascii="仿宋_GB2312" w:eastAsia="仿宋_GB2312"/>
          <w:color w:val="auto"/>
          <w:sz w:val="32"/>
          <w:szCs w:val="32"/>
          <w:highlight w:val="none"/>
          <w:lang w:val="en-US" w:eastAsia="zh-CN"/>
        </w:rPr>
        <w:t>28</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310</w:t>
      </w:r>
      <w:r>
        <w:rPr>
          <w:rFonts w:hint="eastAsia" w:ascii="仿宋_GB2312" w:eastAsia="仿宋_GB2312"/>
          <w:color w:val="auto"/>
          <w:sz w:val="32"/>
          <w:szCs w:val="32"/>
          <w:highlight w:val="none"/>
        </w:rPr>
        <w:t>人次，共计支出</w:t>
      </w:r>
      <w:r>
        <w:rPr>
          <w:rFonts w:hint="eastAsia" w:ascii="仿宋_GB2312" w:eastAsia="仿宋_GB2312"/>
          <w:color w:val="auto"/>
          <w:sz w:val="32"/>
          <w:szCs w:val="32"/>
          <w:highlight w:val="none"/>
          <w:lang w:val="en-US" w:eastAsia="zh-CN"/>
        </w:rPr>
        <w:t>3.58</w:t>
      </w:r>
      <w:r>
        <w:rPr>
          <w:rFonts w:hint="eastAsia" w:ascii="仿宋_GB2312" w:eastAsia="仿宋_GB2312"/>
          <w:color w:val="auto"/>
          <w:sz w:val="32"/>
          <w:szCs w:val="32"/>
          <w:highlight w:val="none"/>
        </w:rPr>
        <w:t>万元，具体内容包括：</w:t>
      </w:r>
      <w:r>
        <w:rPr>
          <w:rFonts w:ascii="仿宋_GB2312" w:hAnsi="仿宋_GB2312" w:eastAsia="仿宋_GB2312" w:cs="仿宋_GB2312"/>
          <w:color w:val="auto"/>
          <w:sz w:val="32"/>
          <w:szCs w:val="32"/>
          <w:highlight w:val="none"/>
        </w:rPr>
        <w:t>森林防火、</w:t>
      </w:r>
      <w:r>
        <w:rPr>
          <w:rFonts w:hint="eastAsia" w:ascii="仿宋_GB2312" w:hAnsi="仿宋_GB2312" w:eastAsia="仿宋_GB2312" w:cs="仿宋_GB2312"/>
          <w:color w:val="auto"/>
          <w:sz w:val="32"/>
          <w:szCs w:val="32"/>
          <w:highlight w:val="none"/>
          <w:lang w:eastAsia="zh-CN"/>
        </w:rPr>
        <w:t>古树名木调研</w:t>
      </w:r>
      <w:r>
        <w:rPr>
          <w:rFonts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储备林建设</w:t>
      </w:r>
      <w:r>
        <w:rPr>
          <w:rFonts w:ascii="仿宋_GB2312" w:hAnsi="仿宋_GB2312" w:eastAsia="仿宋_GB2312" w:cs="仿宋_GB2312"/>
          <w:color w:val="auto"/>
          <w:sz w:val="32"/>
          <w:szCs w:val="32"/>
          <w:highlight w:val="none"/>
        </w:rPr>
        <w:t>等业务工作</w:t>
      </w:r>
      <w:r>
        <w:rPr>
          <w:rFonts w:hint="eastAsia" w:ascii="仿宋_GB2312" w:hAnsi="仿宋_GB2312" w:eastAsia="仿宋_GB2312" w:cs="仿宋_GB2312"/>
          <w:color w:val="auto"/>
          <w:sz w:val="32"/>
          <w:szCs w:val="32"/>
          <w:highlight w:val="none"/>
          <w:lang w:eastAsia="zh-CN"/>
        </w:rPr>
        <w:t>，省局检查、</w:t>
      </w:r>
      <w:r>
        <w:rPr>
          <w:rFonts w:ascii="仿宋_GB2312" w:hAnsi="仿宋_GB2312" w:eastAsia="仿宋_GB2312" w:cs="仿宋_GB2312"/>
          <w:color w:val="auto"/>
          <w:sz w:val="32"/>
          <w:szCs w:val="32"/>
          <w:highlight w:val="none"/>
        </w:rPr>
        <w:t>其他市州及外省来广学习交流、县区联系工作等所必需的公务接待</w:t>
      </w:r>
      <w:r>
        <w:rPr>
          <w:rFonts w:hint="eastAsia" w:ascii="仿宋_GB2312" w:eastAsia="仿宋_GB2312"/>
          <w:color w:val="auto"/>
          <w:sz w:val="32"/>
          <w:szCs w:val="32"/>
          <w:highlight w:val="none"/>
        </w:rPr>
        <w:t>。</w:t>
      </w:r>
    </w:p>
    <w:p>
      <w:pPr>
        <w:spacing w:line="600" w:lineRule="exact"/>
        <w:ind w:firstLine="643" w:firstLineChars="200"/>
        <w:rPr>
          <w:rFonts w:hint="eastAsia" w:ascii="仿宋_GB2312" w:eastAsia="仿宋_GB2312"/>
          <w:color w:val="auto"/>
          <w:sz w:val="32"/>
          <w:szCs w:val="32"/>
          <w:highlight w:val="none"/>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600" w:lineRule="exact"/>
        <w:ind w:firstLine="640"/>
        <w:outlineLvl w:val="1"/>
        <w:rPr>
          <w:rStyle w:val="32"/>
          <w:rFonts w:ascii="黑体" w:hAnsi="黑体" w:eastAsia="黑体"/>
          <w:color w:val="auto"/>
          <w:highlight w:val="none"/>
        </w:rPr>
      </w:pPr>
      <w:bookmarkStart w:id="41" w:name="_Toc15377218"/>
      <w:bookmarkStart w:id="42" w:name="_Toc15396610"/>
      <w:r>
        <w:rPr>
          <w:rFonts w:hint="eastAsia" w:ascii="黑体" w:eastAsia="黑体"/>
          <w:color w:val="auto"/>
          <w:sz w:val="32"/>
          <w:szCs w:val="32"/>
          <w:highlight w:val="none"/>
        </w:rPr>
        <w:t>八、</w:t>
      </w:r>
      <w:r>
        <w:rPr>
          <w:rStyle w:val="32"/>
          <w:rFonts w:hint="eastAsia" w:ascii="黑体" w:hAnsi="黑体" w:eastAsia="黑体"/>
          <w:b w:val="0"/>
          <w:color w:val="auto"/>
          <w:highlight w:val="none"/>
        </w:rPr>
        <w:t>政府性基金预算支出决算情况说明</w:t>
      </w:r>
      <w:bookmarkEnd w:id="41"/>
      <w:bookmarkEnd w:id="42"/>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3"/>
        </w:numPr>
        <w:spacing w:line="600" w:lineRule="exact"/>
        <w:ind w:firstLine="640"/>
        <w:outlineLvl w:val="1"/>
        <w:rPr>
          <w:rStyle w:val="32"/>
          <w:rFonts w:ascii="黑体" w:hAnsi="黑体" w:eastAsia="黑体"/>
          <w:b w:val="0"/>
          <w:color w:val="auto"/>
          <w:highlight w:val="none"/>
        </w:rPr>
      </w:pPr>
      <w:bookmarkStart w:id="43" w:name="_Toc15377219"/>
      <w:bookmarkStart w:id="44" w:name="_Toc15396611"/>
      <w:r>
        <w:rPr>
          <w:rStyle w:val="32"/>
          <w:rFonts w:hint="eastAsia" w:ascii="黑体" w:hAnsi="黑体" w:eastAsia="黑体"/>
          <w:b w:val="0"/>
          <w:color w:val="auto"/>
          <w:highlight w:val="none"/>
        </w:rPr>
        <w:t>国有资本经营预算支出决算情况说明</w:t>
      </w:r>
      <w:bookmarkEnd w:id="43"/>
      <w:bookmarkEnd w:id="44"/>
    </w:p>
    <w:p>
      <w:pPr>
        <w:spacing w:line="600" w:lineRule="exact"/>
        <w:ind w:firstLine="640"/>
        <w:rPr>
          <w:rFonts w:ascii="方正小标宋简体" w:hAnsi="方正小标宋简体" w:eastAsia="方正小标宋简体" w:cs="方正小标宋简体"/>
          <w:color w:val="auto"/>
          <w:sz w:val="44"/>
          <w:szCs w:val="44"/>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numPr>
          <w:ilvl w:val="0"/>
          <w:numId w:val="3"/>
        </w:numPr>
        <w:spacing w:line="600" w:lineRule="exact"/>
        <w:ind w:firstLine="640"/>
        <w:outlineLvl w:val="1"/>
        <w:rPr>
          <w:rStyle w:val="32"/>
          <w:rFonts w:hint="eastAsia" w:ascii="黑体" w:hAnsi="黑体" w:eastAsia="黑体"/>
          <w:b w:val="0"/>
          <w:color w:val="auto"/>
          <w:highlight w:val="none"/>
        </w:rPr>
      </w:pPr>
      <w:bookmarkStart w:id="45" w:name="_Toc15377221"/>
      <w:bookmarkStart w:id="46" w:name="_Toc15396612"/>
      <w:r>
        <w:rPr>
          <w:rStyle w:val="32"/>
          <w:rFonts w:hint="eastAsia" w:ascii="黑体" w:hAnsi="黑体" w:eastAsia="黑体"/>
          <w:b w:val="0"/>
          <w:color w:val="auto"/>
          <w:highlight w:val="none"/>
        </w:rPr>
        <w:t>其他重要事项的情况说明</w:t>
      </w:r>
      <w:bookmarkEnd w:id="45"/>
      <w:bookmarkEnd w:id="46"/>
    </w:p>
    <w:p>
      <w:pPr>
        <w:spacing w:line="600" w:lineRule="exact"/>
        <w:ind w:firstLine="643" w:firstLineChars="200"/>
        <w:outlineLvl w:val="2"/>
        <w:rPr>
          <w:rFonts w:ascii="仿宋" w:hAnsi="仿宋" w:eastAsia="仿宋"/>
          <w:color w:val="auto"/>
          <w:sz w:val="32"/>
          <w:szCs w:val="32"/>
          <w:highlight w:val="none"/>
        </w:rPr>
      </w:pPr>
      <w:bookmarkStart w:id="47" w:name="_Toc15377222"/>
      <w:r>
        <w:rPr>
          <w:rFonts w:hint="eastAsia" w:ascii="仿宋" w:hAnsi="仿宋" w:eastAsia="仿宋"/>
          <w:b/>
          <w:color w:val="auto"/>
          <w:sz w:val="32"/>
          <w:szCs w:val="32"/>
          <w:highlight w:val="none"/>
        </w:rPr>
        <w:t>（一）机关运行经费支出情况</w:t>
      </w:r>
      <w:bookmarkEnd w:id="47"/>
    </w:p>
    <w:p>
      <w:pPr>
        <w:spacing w:line="600" w:lineRule="exact"/>
        <w:ind w:firstLine="640" w:firstLineChars="200"/>
        <w:rPr>
          <w:rFonts w:ascii="仿宋" w:hAnsi="仿宋" w:eastAsia="仿宋"/>
          <w:b/>
          <w:color w:val="auto"/>
          <w:sz w:val="32"/>
          <w:szCs w:val="32"/>
          <w:highlight w:val="none"/>
        </w:rPr>
      </w:pPr>
      <w:bookmarkStart w:id="48" w:name="_Toc15377223"/>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广元市林业局</w:t>
      </w:r>
      <w:r>
        <w:rPr>
          <w:rFonts w:hint="eastAsia" w:ascii="仿宋_GB2312" w:eastAsia="仿宋_GB2312"/>
          <w:color w:val="auto"/>
          <w:sz w:val="32"/>
          <w:szCs w:val="32"/>
          <w:highlight w:val="none"/>
        </w:rPr>
        <w:t>机关运行经费支出</w:t>
      </w:r>
      <w:r>
        <w:rPr>
          <w:rFonts w:hint="eastAsia" w:ascii="仿宋_GB2312" w:eastAsia="仿宋_GB2312"/>
          <w:color w:val="auto"/>
          <w:sz w:val="32"/>
          <w:szCs w:val="32"/>
          <w:highlight w:val="none"/>
          <w:lang w:val="en-US" w:eastAsia="zh-CN"/>
        </w:rPr>
        <w:t>264.62</w:t>
      </w:r>
      <w:r>
        <w:rPr>
          <w:rFonts w:hint="eastAsia" w:ascii="仿宋_GB2312" w:eastAsia="仿宋_GB2312"/>
          <w:color w:val="auto"/>
          <w:sz w:val="32"/>
          <w:szCs w:val="32"/>
          <w:highlight w:val="none"/>
        </w:rPr>
        <w:t>万元，比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年增加</w:t>
      </w:r>
      <w:r>
        <w:rPr>
          <w:rFonts w:hint="eastAsia" w:ascii="仿宋_GB2312" w:eastAsia="仿宋_GB2312"/>
          <w:color w:val="auto"/>
          <w:sz w:val="32"/>
          <w:szCs w:val="32"/>
          <w:highlight w:val="none"/>
          <w:lang w:val="en-US" w:eastAsia="zh-CN"/>
        </w:rPr>
        <w:t>99.4</w:t>
      </w:r>
      <w:r>
        <w:rPr>
          <w:rFonts w:hint="eastAsia" w:ascii="仿宋_GB2312" w:eastAsia="仿宋_GB2312"/>
          <w:color w:val="auto"/>
          <w:sz w:val="32"/>
          <w:szCs w:val="32"/>
          <w:highlight w:val="none"/>
        </w:rPr>
        <w:t>万元，增长</w:t>
      </w:r>
      <w:r>
        <w:rPr>
          <w:rFonts w:hint="eastAsia" w:ascii="仿宋_GB2312" w:eastAsia="仿宋_GB2312"/>
          <w:color w:val="auto"/>
          <w:sz w:val="32"/>
          <w:szCs w:val="32"/>
          <w:highlight w:val="none"/>
          <w:lang w:val="en-US" w:eastAsia="zh-CN"/>
        </w:rPr>
        <w:t>61.13</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eastAsia="zh-CN"/>
        </w:rPr>
        <w:t>大熊猫国家公园广元管理分局纳入我局统一核算</w:t>
      </w:r>
      <w:r>
        <w:rPr>
          <w:rFonts w:hint="eastAsia" w:ascii="仿宋_GB2312" w:eastAsia="仿宋_GB2312"/>
          <w:color w:val="auto"/>
          <w:sz w:val="32"/>
          <w:szCs w:val="32"/>
          <w:highlight w:val="none"/>
          <w:lang w:val="en-US" w:eastAsia="zh-CN"/>
        </w:rPr>
        <w:t>；工作任务加重。</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bookmarkEnd w:id="48"/>
    </w:p>
    <w:p>
      <w:pPr>
        <w:spacing w:line="60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广元市林业局</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49" w:name="_Toc15377224"/>
      <w:r>
        <w:rPr>
          <w:rFonts w:hint="eastAsia" w:ascii="仿宋" w:hAnsi="仿宋" w:eastAsia="仿宋"/>
          <w:b/>
          <w:color w:val="auto"/>
          <w:sz w:val="32"/>
          <w:szCs w:val="32"/>
          <w:highlight w:val="none"/>
        </w:rPr>
        <w:t>（三）国有资产占有使用情况</w:t>
      </w:r>
      <w:bookmarkEnd w:id="49"/>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eastAsia="zh-CN"/>
        </w:rPr>
        <w:t>广元市林业局</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8</w:t>
      </w:r>
      <w:r>
        <w:rPr>
          <w:rFonts w:hint="eastAsia" w:ascii="仿宋_GB2312" w:eastAsia="仿宋_GB2312"/>
          <w:color w:val="auto"/>
          <w:sz w:val="32"/>
          <w:szCs w:val="32"/>
          <w:highlight w:val="none"/>
        </w:rPr>
        <w:t>辆，其中：主要领导干部用车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辆、机要通信用车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特种技术用车</w:t>
      </w:r>
      <w:r>
        <w:rPr>
          <w:rFonts w:hint="eastAsia" w:ascii="仿宋_GB2312" w:eastAsia="仿宋_GB2312"/>
          <w:color w:val="auto"/>
          <w:sz w:val="32"/>
          <w:szCs w:val="32"/>
          <w:highlight w:val="none"/>
          <w:lang w:val="en-US" w:eastAsia="zh-CN"/>
        </w:rPr>
        <w:t>8辆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autoSpaceDE w:val="0"/>
        <w:autoSpaceDN w:val="0"/>
        <w:adjustRightInd w:val="0"/>
        <w:spacing w:line="600" w:lineRule="exact"/>
        <w:ind w:firstLine="640" w:firstLineChars="200"/>
        <w:jc w:val="left"/>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（四）预算绩效管理情况</w:t>
      </w:r>
    </w:p>
    <w:p>
      <w:pPr>
        <w:autoSpaceDE w:val="0"/>
        <w:autoSpaceDN w:val="0"/>
        <w:adjustRightInd w:val="0"/>
        <w:spacing w:line="600" w:lineRule="exact"/>
        <w:ind w:firstLine="640" w:firstLineChars="200"/>
        <w:jc w:val="left"/>
        <w:rPr>
          <w:rFonts w:ascii="仿宋_GB2312" w:eastAsia="仿宋_GB2312"/>
          <w:b/>
          <w:color w:val="auto"/>
          <w:sz w:val="32"/>
          <w:szCs w:val="32"/>
          <w:highlight w:val="red"/>
        </w:rPr>
      </w:pPr>
      <w:r>
        <w:rPr>
          <w:rFonts w:hint="eastAsia" w:ascii="仿宋_GB2312" w:eastAsia="仿宋_GB2312"/>
          <w:color w:val="auto"/>
          <w:sz w:val="32"/>
          <w:szCs w:val="32"/>
          <w:highlight w:val="none"/>
        </w:rPr>
        <w:t>根据预算绩效管理要求，本单位在2022年度预算编制阶段，组织对林长制专项经费项目（项目名称）等4个项目开展了预算事前绩效评估，对22个项目编制了绩效目标，预算执行过程中，选取22个项目开展绩效监控，组织对22个项目开展绩效自评，绩效自评表详见第四部分附件。</w:t>
      </w:r>
      <w:r>
        <w:rPr>
          <w:rFonts w:ascii="仿宋_GB2312" w:eastAsia="仿宋_GB2312"/>
          <w:b/>
          <w:color w:val="auto"/>
          <w:sz w:val="32"/>
          <w:szCs w:val="32"/>
          <w:highlight w:val="red"/>
        </w:rPr>
        <w:br w:type="page"/>
      </w:r>
    </w:p>
    <w:p>
      <w:pPr>
        <w:numPr>
          <w:ilvl w:val="0"/>
          <w:numId w:val="4"/>
        </w:numPr>
        <w:shd w:val="clear"/>
        <w:spacing w:line="600" w:lineRule="exact"/>
        <w:ind w:firstLine="660" w:firstLineChars="150"/>
        <w:jc w:val="center"/>
        <w:outlineLvl w:val="0"/>
        <w:rPr>
          <w:rStyle w:val="31"/>
          <w:rFonts w:ascii="黑体" w:hAnsi="黑体" w:eastAsia="黑体"/>
          <w:b w:val="0"/>
          <w:color w:val="auto"/>
          <w:highlight w:val="none"/>
        </w:rPr>
      </w:pPr>
      <w:bookmarkStart w:id="50" w:name="_Toc9395"/>
      <w:bookmarkStart w:id="51" w:name="_Toc15377225"/>
      <w:bookmarkStart w:id="52" w:name="_Toc15396613"/>
      <w:bookmarkStart w:id="53" w:name="_Toc15396614"/>
      <w:bookmarkStart w:id="54" w:name="_Toc15377226"/>
      <w:r>
        <w:rPr>
          <w:rFonts w:hint="eastAsia" w:ascii="黑体" w:hAnsi="黑体" w:eastAsia="黑体"/>
          <w:color w:val="auto"/>
          <w:sz w:val="44"/>
          <w:szCs w:val="44"/>
          <w:highlight w:val="none"/>
        </w:rPr>
        <w:t>名</w:t>
      </w:r>
      <w:r>
        <w:rPr>
          <w:rStyle w:val="31"/>
          <w:rFonts w:hint="eastAsia" w:ascii="黑体" w:hAnsi="黑体" w:eastAsia="黑体"/>
          <w:b w:val="0"/>
          <w:color w:val="auto"/>
          <w:highlight w:val="none"/>
        </w:rPr>
        <w:t>词解释</w:t>
      </w:r>
      <w:bookmarkEnd w:id="50"/>
      <w:bookmarkEnd w:id="51"/>
      <w:bookmarkEnd w:id="52"/>
    </w:p>
    <w:p>
      <w:pPr>
        <w:shd w:val="clear"/>
        <w:spacing w:line="600" w:lineRule="exact"/>
        <w:jc w:val="left"/>
        <w:rPr>
          <w:rFonts w:ascii="宋体"/>
          <w:b/>
          <w:color w:val="auto"/>
          <w:sz w:val="44"/>
          <w:szCs w:val="44"/>
          <w:highlight w:val="none"/>
        </w:rPr>
      </w:pPr>
    </w:p>
    <w:p>
      <w:pPr>
        <w:pStyle w:val="29"/>
        <w:numPr>
          <w:ilvl w:val="0"/>
          <w:numId w:val="5"/>
        </w:numPr>
        <w:shd w:val="clear"/>
        <w:spacing w:line="360" w:lineRule="auto"/>
        <w:ind w:left="0" w:leftChars="0" w:firstLine="400" w:firstLineChars="0"/>
        <w:outlineLvl w:val="1"/>
        <w:rPr>
          <w:rFonts w:ascii="仿宋_GB2312" w:eastAsia="仿宋_GB2312"/>
          <w:color w:val="auto"/>
          <w:sz w:val="32"/>
          <w:szCs w:val="32"/>
          <w:highlight w:val="none"/>
        </w:rPr>
      </w:pPr>
      <w:bookmarkStart w:id="55" w:name="_Toc2424"/>
      <w:r>
        <w:rPr>
          <w:rFonts w:hint="eastAsia" w:ascii="仿宋_GB2312" w:eastAsia="仿宋_GB2312"/>
          <w:color w:val="auto"/>
          <w:sz w:val="32"/>
          <w:szCs w:val="32"/>
          <w:highlight w:val="none"/>
        </w:rPr>
        <w:t>财政拨款收入：指单位从同级财政部门取得的财政预算资金。</w:t>
      </w:r>
      <w:bookmarkEnd w:id="55"/>
    </w:p>
    <w:p>
      <w:pPr>
        <w:pStyle w:val="29"/>
        <w:numPr>
          <w:ilvl w:val="0"/>
          <w:numId w:val="5"/>
        </w:numPr>
        <w:shd w:val="clear"/>
        <w:spacing w:line="360" w:lineRule="auto"/>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其他收入：指单位取得的除上述收入以外的各项收入。主要是</w:t>
      </w:r>
      <w:r>
        <w:rPr>
          <w:rFonts w:hint="eastAsia" w:ascii="仿宋_GB2312" w:eastAsia="仿宋_GB2312"/>
          <w:color w:val="auto"/>
          <w:sz w:val="32"/>
          <w:szCs w:val="32"/>
          <w:highlight w:val="none"/>
          <w:lang w:eastAsia="zh-CN"/>
        </w:rPr>
        <w:t>利息收入</w:t>
      </w:r>
      <w:r>
        <w:rPr>
          <w:rFonts w:hint="eastAsia" w:ascii="仿宋_GB2312" w:eastAsia="仿宋_GB2312"/>
          <w:color w:val="auto"/>
          <w:sz w:val="32"/>
          <w:szCs w:val="32"/>
          <w:highlight w:val="none"/>
        </w:rPr>
        <w:t>等。</w:t>
      </w:r>
      <w:r>
        <w:rPr>
          <w:rFonts w:ascii="仿宋_GB2312" w:eastAsia="仿宋_GB2312"/>
          <w:color w:val="auto"/>
          <w:sz w:val="32"/>
          <w:szCs w:val="32"/>
          <w:highlight w:val="none"/>
        </w:rPr>
        <w:t xml:space="preserve"> </w:t>
      </w:r>
    </w:p>
    <w:p>
      <w:pPr>
        <w:pStyle w:val="29"/>
        <w:numPr>
          <w:ilvl w:val="0"/>
          <w:numId w:val="5"/>
        </w:numPr>
        <w:shd w:val="clear"/>
        <w:spacing w:line="360" w:lineRule="auto"/>
        <w:ind w:left="0" w:leftChars="0" w:firstLine="400" w:firstLineChars="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年初结转和结余：指以前年度尚未完成、结转到本年按有关规定继续使用的资金。</w:t>
      </w:r>
    </w:p>
    <w:p>
      <w:pPr>
        <w:pStyle w:val="29"/>
        <w:numPr>
          <w:ilvl w:val="0"/>
          <w:numId w:val="5"/>
        </w:numPr>
        <w:shd w:val="clear"/>
        <w:spacing w:line="360" w:lineRule="auto"/>
        <w:ind w:left="0" w:leftChars="0" w:firstLine="400" w:firstLineChars="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结余分配</w:t>
      </w:r>
      <w:r>
        <w:rPr>
          <w:rFonts w:hint="eastAsia" w:ascii="仿宋_GB2312" w:eastAsia="仿宋_GB2312"/>
          <w:color w:val="auto"/>
          <w:sz w:val="32"/>
          <w:szCs w:val="32"/>
          <w:highlight w:val="none"/>
          <w:lang w:eastAsia="zh-CN"/>
        </w:rPr>
        <w:t>：指事业单位按照会计制度缴纳的所得税，提取的专用结余以及转入非财政拨款结余的金额等。</w:t>
      </w:r>
    </w:p>
    <w:p>
      <w:pPr>
        <w:pStyle w:val="29"/>
        <w:numPr>
          <w:ilvl w:val="0"/>
          <w:numId w:val="5"/>
        </w:numPr>
        <w:shd w:val="clear"/>
        <w:spacing w:line="360" w:lineRule="auto"/>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年末结转和结余：指单位按有关规定结转到下年或以后年度继续使用的资金。</w:t>
      </w:r>
    </w:p>
    <w:p>
      <w:pPr>
        <w:numPr>
          <w:ilvl w:val="0"/>
          <w:numId w:val="5"/>
        </w:numPr>
        <w:shd w:val="clear"/>
        <w:spacing w:line="360" w:lineRule="auto"/>
        <w:ind w:left="0" w:leftChars="0" w:firstLine="400" w:firstLineChars="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一般公共服务支出</w:t>
      </w:r>
      <w:r>
        <w:rPr>
          <w:rFonts w:hint="eastAsia" w:ascii="仿宋_GB2312" w:eastAsia="仿宋_GB2312"/>
          <w:color w:val="auto"/>
          <w:sz w:val="32"/>
          <w:szCs w:val="32"/>
          <w:highlight w:val="none"/>
        </w:rPr>
        <w:t>（类）</w:t>
      </w:r>
      <w:r>
        <w:rPr>
          <w:rFonts w:hint="eastAsia" w:ascii="仿宋_GB2312" w:eastAsia="仿宋_GB2312"/>
          <w:color w:val="auto"/>
          <w:sz w:val="32"/>
          <w:szCs w:val="32"/>
          <w:highlight w:val="none"/>
          <w:lang w:eastAsia="zh-CN"/>
        </w:rPr>
        <w:t>商贸事务</w:t>
      </w:r>
      <w:r>
        <w:rPr>
          <w:rFonts w:hint="eastAsia" w:ascii="仿宋_GB2312" w:eastAsia="仿宋_GB2312"/>
          <w:color w:val="auto"/>
          <w:sz w:val="32"/>
          <w:szCs w:val="32"/>
          <w:highlight w:val="none"/>
        </w:rPr>
        <w:t>（款</w:t>
      </w:r>
      <w:r>
        <w:rPr>
          <w:rFonts w:hint="eastAsia" w:ascii="仿宋_GB2312" w:eastAsia="仿宋_GB2312"/>
          <w:color w:val="auto"/>
          <w:sz w:val="32"/>
          <w:szCs w:val="32"/>
          <w:highlight w:val="none"/>
          <w:lang w:eastAsia="zh-CN"/>
        </w:rPr>
        <w:t>）招商引资（项）：反映用于招商引资、优化经济环境等方面的支出。</w:t>
      </w:r>
    </w:p>
    <w:p>
      <w:pPr>
        <w:numPr>
          <w:ilvl w:val="0"/>
          <w:numId w:val="5"/>
        </w:numPr>
        <w:shd w:val="clear"/>
        <w:spacing w:line="360" w:lineRule="auto"/>
        <w:ind w:left="0" w:leftChars="0" w:firstLine="400" w:firstLineChars="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科学技术支出</w:t>
      </w:r>
      <w:r>
        <w:rPr>
          <w:rFonts w:hint="eastAsia" w:ascii="仿宋_GB2312" w:eastAsia="仿宋_GB2312"/>
          <w:color w:val="auto"/>
          <w:sz w:val="32"/>
          <w:szCs w:val="32"/>
          <w:highlight w:val="none"/>
        </w:rPr>
        <w:t>（类）</w:t>
      </w:r>
      <w:r>
        <w:rPr>
          <w:rFonts w:hint="eastAsia" w:ascii="仿宋_GB2312" w:eastAsia="仿宋_GB2312"/>
          <w:color w:val="auto"/>
          <w:sz w:val="32"/>
          <w:szCs w:val="32"/>
          <w:highlight w:val="none"/>
          <w:lang w:eastAsia="zh-CN"/>
        </w:rPr>
        <w:t>技术研究与开发</w:t>
      </w:r>
      <w:r>
        <w:rPr>
          <w:rFonts w:hint="eastAsia" w:ascii="仿宋_GB2312" w:eastAsia="仿宋_GB2312"/>
          <w:color w:val="auto"/>
          <w:sz w:val="32"/>
          <w:szCs w:val="32"/>
          <w:highlight w:val="none"/>
        </w:rPr>
        <w:t>（款</w:t>
      </w:r>
      <w:r>
        <w:rPr>
          <w:rFonts w:hint="eastAsia" w:ascii="仿宋_GB2312" w:eastAsia="仿宋_GB2312"/>
          <w:color w:val="auto"/>
          <w:sz w:val="32"/>
          <w:szCs w:val="32"/>
          <w:highlight w:val="none"/>
          <w:lang w:eastAsia="zh-CN"/>
        </w:rPr>
        <w:t>）科技成果转化与扩散（项）：反映促进科技成果转化为现实生产力的应用、推广和引导性支出，以及基本建设支出中用于支持企业科技自主创新的支出。</w:t>
      </w:r>
    </w:p>
    <w:p>
      <w:pPr>
        <w:pStyle w:val="7"/>
        <w:numPr>
          <w:ilvl w:val="0"/>
          <w:numId w:val="5"/>
        </w:numPr>
        <w:shd w:val="clear"/>
        <w:spacing w:line="360" w:lineRule="auto"/>
        <w:ind w:left="0" w:leftChars="0" w:firstLine="400" w:firstLineChars="0"/>
        <w:rPr>
          <w:rFonts w:hint="eastAsia"/>
          <w:color w:val="auto"/>
          <w:highlight w:val="none"/>
          <w:lang w:eastAsia="zh-CN"/>
        </w:rPr>
      </w:pPr>
      <w:r>
        <w:rPr>
          <w:rFonts w:hint="eastAsia" w:ascii="仿宋_GB2312" w:eastAsia="仿宋_GB2312"/>
          <w:color w:val="auto"/>
          <w:sz w:val="32"/>
          <w:szCs w:val="32"/>
          <w:highlight w:val="none"/>
          <w:lang w:val="en-US" w:eastAsia="zh-CN"/>
        </w:rPr>
        <w:t>科学技术支出</w:t>
      </w:r>
      <w:r>
        <w:rPr>
          <w:rFonts w:hint="eastAsia" w:ascii="仿宋_GB2312" w:eastAsia="仿宋_GB2312"/>
          <w:color w:val="auto"/>
          <w:sz w:val="32"/>
          <w:szCs w:val="32"/>
          <w:highlight w:val="none"/>
        </w:rPr>
        <w:t>（类）</w:t>
      </w:r>
      <w:r>
        <w:rPr>
          <w:rFonts w:hint="eastAsia" w:ascii="仿宋_GB2312" w:eastAsia="仿宋_GB2312"/>
          <w:color w:val="auto"/>
          <w:sz w:val="32"/>
          <w:szCs w:val="32"/>
          <w:highlight w:val="none"/>
          <w:lang w:eastAsia="zh-CN"/>
        </w:rPr>
        <w:t>其他</w:t>
      </w:r>
      <w:r>
        <w:rPr>
          <w:rFonts w:hint="eastAsia" w:ascii="仿宋_GB2312" w:eastAsia="仿宋_GB2312"/>
          <w:color w:val="auto"/>
          <w:sz w:val="32"/>
          <w:szCs w:val="32"/>
          <w:highlight w:val="none"/>
          <w:lang w:val="en-US" w:eastAsia="zh-CN"/>
        </w:rPr>
        <w:t>科学技术支出</w:t>
      </w:r>
      <w:r>
        <w:rPr>
          <w:rFonts w:hint="eastAsia" w:ascii="仿宋_GB2312" w:eastAsia="仿宋_GB2312"/>
          <w:color w:val="auto"/>
          <w:sz w:val="32"/>
          <w:szCs w:val="32"/>
          <w:highlight w:val="none"/>
        </w:rPr>
        <w:t>（款</w:t>
      </w:r>
      <w:r>
        <w:rPr>
          <w:rFonts w:hint="eastAsia" w:ascii="仿宋_GB2312" w:eastAsia="仿宋_GB2312"/>
          <w:color w:val="auto"/>
          <w:sz w:val="32"/>
          <w:szCs w:val="32"/>
          <w:highlight w:val="none"/>
          <w:lang w:eastAsia="zh-CN"/>
        </w:rPr>
        <w:t>）其他</w:t>
      </w:r>
      <w:r>
        <w:rPr>
          <w:rFonts w:hint="eastAsia" w:ascii="仿宋_GB2312" w:eastAsia="仿宋_GB2312"/>
          <w:color w:val="auto"/>
          <w:sz w:val="32"/>
          <w:szCs w:val="32"/>
          <w:highlight w:val="none"/>
          <w:lang w:val="en-US" w:eastAsia="zh-CN"/>
        </w:rPr>
        <w:t>科学技术支出</w:t>
      </w:r>
      <w:r>
        <w:rPr>
          <w:rFonts w:hint="eastAsia" w:ascii="仿宋_GB2312" w:eastAsia="仿宋_GB2312"/>
          <w:color w:val="auto"/>
          <w:sz w:val="32"/>
          <w:szCs w:val="32"/>
          <w:highlight w:val="none"/>
          <w:lang w:eastAsia="zh-CN"/>
        </w:rPr>
        <w:t>（项）：反映其他科学技术支出中除以上各项外用于科技方面的支出。</w:t>
      </w:r>
    </w:p>
    <w:p>
      <w:pPr>
        <w:numPr>
          <w:ilvl w:val="0"/>
          <w:numId w:val="5"/>
        </w:numPr>
        <w:shd w:val="clear"/>
        <w:spacing w:line="360" w:lineRule="auto"/>
        <w:ind w:left="0" w:leftChars="0" w:firstLine="400" w:firstLineChars="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10.社会保障和就业支出</w:t>
      </w:r>
      <w:r>
        <w:rPr>
          <w:rFonts w:hint="eastAsia" w:ascii="仿宋_GB2312" w:eastAsia="仿宋_GB2312"/>
          <w:color w:val="auto"/>
          <w:sz w:val="32"/>
          <w:szCs w:val="32"/>
          <w:highlight w:val="none"/>
        </w:rPr>
        <w:t>（类）行政事业单位养老支出（款</w:t>
      </w:r>
      <w:r>
        <w:rPr>
          <w:rFonts w:hint="eastAsia" w:ascii="仿宋_GB2312" w:eastAsia="仿宋_GB2312"/>
          <w:color w:val="auto"/>
          <w:sz w:val="32"/>
          <w:szCs w:val="32"/>
          <w:highlight w:val="none"/>
          <w:lang w:eastAsia="zh-CN"/>
        </w:rPr>
        <w:t>）事业单位离退休（项）：反映事业单位开支的离退休经费。</w:t>
      </w:r>
    </w:p>
    <w:p>
      <w:pPr>
        <w:numPr>
          <w:ilvl w:val="0"/>
          <w:numId w:val="5"/>
        </w:numPr>
        <w:shd w:val="clear"/>
        <w:spacing w:line="360" w:lineRule="auto"/>
        <w:ind w:left="0" w:leftChars="0" w:firstLine="400" w:firstLineChars="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社会保障和就业支出</w:t>
      </w:r>
      <w:r>
        <w:rPr>
          <w:rFonts w:hint="eastAsia" w:ascii="仿宋_GB2312" w:eastAsia="仿宋_GB2312"/>
          <w:color w:val="auto"/>
          <w:sz w:val="32"/>
          <w:szCs w:val="32"/>
          <w:highlight w:val="none"/>
        </w:rPr>
        <w:t>（类）行政事业单位养老支出（款</w:t>
      </w:r>
      <w:r>
        <w:rPr>
          <w:rFonts w:hint="eastAsia" w:ascii="仿宋_GB2312" w:eastAsia="仿宋_GB2312"/>
          <w:color w:val="auto"/>
          <w:sz w:val="32"/>
          <w:szCs w:val="32"/>
          <w:highlight w:val="none"/>
          <w:lang w:eastAsia="zh-CN"/>
        </w:rPr>
        <w:t>）机关事业单位基本养老保险缴费支出（项）：反映机关事业单位实施养老保险制度由单位缴纳的基本养老保险费支出。</w:t>
      </w:r>
    </w:p>
    <w:p>
      <w:pPr>
        <w:numPr>
          <w:ilvl w:val="0"/>
          <w:numId w:val="5"/>
        </w:numPr>
        <w:shd w:val="clear"/>
        <w:spacing w:line="360" w:lineRule="auto"/>
        <w:ind w:left="0" w:leftChars="0" w:firstLine="400" w:firstLineChars="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社会保障和就业支出</w:t>
      </w:r>
      <w:r>
        <w:rPr>
          <w:rFonts w:hint="eastAsia" w:ascii="仿宋_GB2312" w:eastAsia="仿宋_GB2312"/>
          <w:color w:val="auto"/>
          <w:sz w:val="32"/>
          <w:szCs w:val="32"/>
          <w:highlight w:val="none"/>
        </w:rPr>
        <w:t>（类）行政事业单位养老支出（款</w:t>
      </w:r>
      <w:r>
        <w:rPr>
          <w:rFonts w:hint="eastAsia" w:ascii="仿宋_GB2312" w:eastAsia="仿宋_GB2312"/>
          <w:color w:val="auto"/>
          <w:sz w:val="32"/>
          <w:szCs w:val="32"/>
          <w:highlight w:val="none"/>
          <w:lang w:eastAsia="zh-CN"/>
        </w:rPr>
        <w:t>）机关事业单位职业年金缴费支出（项）：反映机关事业单位实施养老保险制度由单位实际缴纳的职业年金支出。</w:t>
      </w:r>
    </w:p>
    <w:p>
      <w:pPr>
        <w:numPr>
          <w:ilvl w:val="0"/>
          <w:numId w:val="5"/>
        </w:numPr>
        <w:shd w:val="clear"/>
        <w:spacing w:line="360" w:lineRule="auto"/>
        <w:ind w:left="0" w:leftChars="0" w:firstLine="400" w:firstLineChars="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社会保障和就业支出</w:t>
      </w:r>
      <w:r>
        <w:rPr>
          <w:rFonts w:hint="eastAsia" w:ascii="仿宋_GB2312" w:eastAsia="仿宋_GB2312"/>
          <w:color w:val="auto"/>
          <w:sz w:val="32"/>
          <w:szCs w:val="32"/>
          <w:highlight w:val="none"/>
        </w:rPr>
        <w:t>（类）</w:t>
      </w:r>
      <w:r>
        <w:rPr>
          <w:rFonts w:hint="eastAsia" w:ascii="仿宋_GB2312" w:eastAsia="仿宋_GB2312"/>
          <w:color w:val="auto"/>
          <w:sz w:val="32"/>
          <w:szCs w:val="32"/>
          <w:highlight w:val="none"/>
          <w:lang w:eastAsia="zh-CN"/>
        </w:rPr>
        <w:t>抚恤（款）死亡抚恤（项）：反映按规定用于烈士和牺牲、病故人员家属的一次性和定期抚恤金以及丧葬费补助费。</w:t>
      </w:r>
    </w:p>
    <w:p>
      <w:pPr>
        <w:numPr>
          <w:ilvl w:val="0"/>
          <w:numId w:val="5"/>
        </w:numPr>
        <w:shd w:val="clear"/>
        <w:spacing w:line="360" w:lineRule="auto"/>
        <w:ind w:left="0" w:leftChars="0" w:firstLine="400" w:firstLineChars="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val="en-US" w:eastAsia="zh-CN"/>
        </w:rPr>
        <w:t>社会保障和就业支出</w:t>
      </w:r>
      <w:r>
        <w:rPr>
          <w:rFonts w:hint="eastAsia" w:ascii="仿宋_GB2312" w:eastAsia="仿宋_GB2312"/>
          <w:color w:val="auto"/>
          <w:sz w:val="32"/>
          <w:szCs w:val="32"/>
          <w:highlight w:val="none"/>
        </w:rPr>
        <w:t>（类）</w:t>
      </w:r>
      <w:r>
        <w:rPr>
          <w:rFonts w:hint="eastAsia" w:ascii="仿宋_GB2312" w:eastAsia="仿宋_GB2312"/>
          <w:color w:val="auto"/>
          <w:sz w:val="32"/>
          <w:szCs w:val="32"/>
          <w:highlight w:val="none"/>
          <w:lang w:eastAsia="zh-CN"/>
        </w:rPr>
        <w:t>其他社会保障的就业支出（款）其他社会保障的就业支出（项）：反映除上述项目以外其他用于社会保障和就业方面的支出。</w:t>
      </w:r>
    </w:p>
    <w:p>
      <w:pPr>
        <w:numPr>
          <w:ilvl w:val="0"/>
          <w:numId w:val="5"/>
        </w:numPr>
        <w:shd w:val="clear"/>
        <w:spacing w:line="360" w:lineRule="auto"/>
        <w:ind w:left="0" w:leftChars="0" w:firstLine="400" w:firstLineChars="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卫生健康支出（类）行政事业单位医疗（款</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行政单位医疗（项）：</w:t>
      </w:r>
      <w:r>
        <w:rPr>
          <w:rFonts w:hint="eastAsia" w:ascii="仿宋_GB2312" w:eastAsia="仿宋_GB2312"/>
          <w:color w:val="auto"/>
          <w:sz w:val="32"/>
          <w:szCs w:val="32"/>
          <w:highlight w:val="none"/>
          <w:lang w:eastAsia="zh-CN"/>
        </w:rPr>
        <w:t>反映财政部门安排的行政单位（包括实行公务员管理的事业单位，下同）基本医疗缴纳经费，未参加医疗保险的行政单位的公费医疗经费，按国家规定享受离休人员、红军老战士待遇人员的医疗经费。</w:t>
      </w:r>
    </w:p>
    <w:p>
      <w:pPr>
        <w:numPr>
          <w:ilvl w:val="0"/>
          <w:numId w:val="5"/>
        </w:numPr>
        <w:shd w:val="clear"/>
        <w:spacing w:line="360" w:lineRule="auto"/>
        <w:ind w:left="0" w:leftChars="0" w:firstLine="400" w:firstLineChars="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卫生健康支出（类）行政事业单位医疗（款</w:t>
      </w:r>
      <w:r>
        <w:rPr>
          <w:rFonts w:hint="eastAsia" w:ascii="仿宋_GB2312" w:eastAsia="仿宋_GB2312"/>
          <w:color w:val="auto"/>
          <w:sz w:val="32"/>
          <w:szCs w:val="32"/>
          <w:highlight w:val="none"/>
          <w:lang w:eastAsia="zh-CN"/>
        </w:rPr>
        <w:t>）事业单位医疗</w:t>
      </w:r>
      <w:r>
        <w:rPr>
          <w:rFonts w:hint="eastAsia" w:ascii="仿宋_GB2312" w:eastAsia="仿宋_GB2312"/>
          <w:color w:val="auto"/>
          <w:sz w:val="32"/>
          <w:szCs w:val="32"/>
          <w:highlight w:val="none"/>
        </w:rPr>
        <w:t>（项）</w:t>
      </w:r>
      <w:r>
        <w:rPr>
          <w:rFonts w:hint="eastAsia" w:ascii="仿宋_GB2312" w:eastAsia="仿宋_GB2312"/>
          <w:color w:val="auto"/>
          <w:sz w:val="32"/>
          <w:szCs w:val="32"/>
          <w:highlight w:val="none"/>
          <w:lang w:eastAsia="zh-CN"/>
        </w:rPr>
        <w:t>：反映财政部门安排的事业单位基本医疗缴纳经费，未参加医疗保险的行政单位的公费医疗经费，按国家规定享受离休人员、红军老战士待遇人员的医疗经费。</w:t>
      </w:r>
    </w:p>
    <w:p>
      <w:pPr>
        <w:numPr>
          <w:ilvl w:val="0"/>
          <w:numId w:val="5"/>
        </w:numPr>
        <w:shd w:val="clear"/>
        <w:spacing w:line="360" w:lineRule="auto"/>
        <w:ind w:left="0" w:leftChars="0" w:firstLine="400" w:firstLineChars="0"/>
        <w:rPr>
          <w:rFonts w:hint="eastAsia" w:ascii="仿宋_GB2312" w:eastAsia="仿宋_GB2312"/>
          <w:b/>
          <w:bCs/>
          <w:color w:val="auto"/>
          <w:sz w:val="32"/>
          <w:szCs w:val="32"/>
          <w:highlight w:val="none"/>
          <w:lang w:eastAsia="zh-CN"/>
        </w:rPr>
      </w:pPr>
      <w:r>
        <w:rPr>
          <w:rFonts w:hint="eastAsia" w:ascii="仿宋_GB2312" w:eastAsia="仿宋_GB2312"/>
          <w:color w:val="auto"/>
          <w:sz w:val="32"/>
          <w:szCs w:val="32"/>
          <w:highlight w:val="none"/>
        </w:rPr>
        <w:t>节能环保支出（类）天然林保护（款）</w:t>
      </w:r>
      <w:r>
        <w:rPr>
          <w:rFonts w:hint="eastAsia" w:ascii="仿宋_GB2312" w:eastAsia="仿宋_GB2312"/>
          <w:color w:val="auto"/>
          <w:sz w:val="32"/>
          <w:szCs w:val="32"/>
          <w:highlight w:val="none"/>
          <w:lang w:eastAsia="zh-CN"/>
        </w:rPr>
        <w:t>森林管护（项）：反映专项用于森林资源管护所发生的各项补助支出。</w:t>
      </w:r>
    </w:p>
    <w:p>
      <w:pPr>
        <w:numPr>
          <w:ilvl w:val="0"/>
          <w:numId w:val="5"/>
        </w:numPr>
        <w:shd w:val="clear"/>
        <w:spacing w:line="360" w:lineRule="auto"/>
        <w:ind w:left="0" w:leftChars="0" w:firstLine="400" w:firstLineChars="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节能环保支出（类）天然林保护（款）</w:t>
      </w:r>
      <w:r>
        <w:rPr>
          <w:rFonts w:hint="eastAsia" w:ascii="仿宋_GB2312" w:eastAsia="仿宋_GB2312"/>
          <w:color w:val="auto"/>
          <w:sz w:val="32"/>
          <w:szCs w:val="32"/>
          <w:highlight w:val="none"/>
          <w:lang w:eastAsia="zh-CN"/>
        </w:rPr>
        <w:t>社会保险补助</w:t>
      </w:r>
      <w:r>
        <w:rPr>
          <w:rFonts w:hint="eastAsia" w:ascii="仿宋_GB2312" w:eastAsia="仿宋_GB2312"/>
          <w:color w:val="auto"/>
          <w:sz w:val="32"/>
          <w:szCs w:val="32"/>
          <w:highlight w:val="none"/>
        </w:rPr>
        <w:t>（项）</w:t>
      </w:r>
      <w:r>
        <w:rPr>
          <w:rFonts w:hint="eastAsia" w:ascii="仿宋_GB2312" w:eastAsia="仿宋_GB2312"/>
          <w:color w:val="auto"/>
          <w:sz w:val="32"/>
          <w:szCs w:val="32"/>
          <w:highlight w:val="none"/>
          <w:lang w:eastAsia="zh-CN"/>
        </w:rPr>
        <w:t>：反映专项用于木材减少或停产造成实施单位应缴纳社会保险补助缺口的补助支出。</w:t>
      </w:r>
    </w:p>
    <w:p>
      <w:pPr>
        <w:numPr>
          <w:ilvl w:val="0"/>
          <w:numId w:val="5"/>
        </w:numPr>
        <w:shd w:val="clear"/>
        <w:spacing w:line="360" w:lineRule="auto"/>
        <w:ind w:left="0" w:leftChars="0" w:firstLine="400" w:firstLineChars="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农林水支出（类）林业和草原（款）行政运行（项）：</w:t>
      </w:r>
      <w:r>
        <w:rPr>
          <w:rFonts w:hint="eastAsia" w:ascii="仿宋_GB2312" w:eastAsia="仿宋_GB2312"/>
          <w:color w:val="auto"/>
          <w:sz w:val="32"/>
          <w:szCs w:val="32"/>
          <w:highlight w:val="none"/>
          <w:lang w:eastAsia="zh-CN"/>
        </w:rPr>
        <w:t>指反映行政单位（ 包括实行公务员管理的事业单位）的基本支出。</w:t>
      </w:r>
    </w:p>
    <w:p>
      <w:pPr>
        <w:numPr>
          <w:ilvl w:val="0"/>
          <w:numId w:val="5"/>
        </w:numPr>
        <w:shd w:val="clear"/>
        <w:spacing w:line="360" w:lineRule="auto"/>
        <w:ind w:left="0" w:leftChars="0" w:firstLine="400" w:firstLineChars="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农林水支出（类）林业和草原（款）</w:t>
      </w:r>
      <w:r>
        <w:rPr>
          <w:rFonts w:hint="eastAsia" w:ascii="仿宋_GB2312" w:eastAsia="仿宋_GB2312"/>
          <w:color w:val="auto"/>
          <w:sz w:val="32"/>
          <w:szCs w:val="32"/>
          <w:highlight w:val="none"/>
          <w:lang w:eastAsia="zh-CN"/>
        </w:rPr>
        <w:t>一般行政管理事务（项）：反映行政单位（包括实行公务员管理的事业单位）未单独设置项级科目的其他项目支出。</w:t>
      </w:r>
    </w:p>
    <w:p>
      <w:pPr>
        <w:numPr>
          <w:ilvl w:val="0"/>
          <w:numId w:val="5"/>
        </w:numPr>
        <w:shd w:val="clear"/>
        <w:spacing w:line="360" w:lineRule="auto"/>
        <w:ind w:left="0" w:leftChars="0" w:firstLine="400" w:firstLineChars="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农林水支出（类）林业和草原（款）</w:t>
      </w:r>
      <w:r>
        <w:rPr>
          <w:rFonts w:hint="eastAsia" w:ascii="仿宋_GB2312" w:eastAsia="仿宋_GB2312"/>
          <w:color w:val="auto"/>
          <w:sz w:val="32"/>
          <w:szCs w:val="32"/>
          <w:highlight w:val="none"/>
          <w:lang w:eastAsia="zh-CN"/>
        </w:rPr>
        <w:t>事业机构（项）：反映事业单位的基本支出，不包括行政单位（含实行公务员管理的事业单位）后勤服务中心等附属事业单位的支出。</w:t>
      </w:r>
    </w:p>
    <w:p>
      <w:pPr>
        <w:numPr>
          <w:ilvl w:val="0"/>
          <w:numId w:val="5"/>
        </w:numPr>
        <w:shd w:val="clear"/>
        <w:spacing w:line="360" w:lineRule="auto"/>
        <w:ind w:left="0" w:leftChars="0" w:firstLine="400" w:firstLineChars="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农林水支出（类）林业和草原（款）</w:t>
      </w:r>
      <w:r>
        <w:rPr>
          <w:rFonts w:hint="eastAsia" w:ascii="仿宋_GB2312" w:eastAsia="仿宋_GB2312"/>
          <w:color w:val="auto"/>
          <w:sz w:val="32"/>
          <w:szCs w:val="32"/>
          <w:highlight w:val="none"/>
          <w:lang w:eastAsia="zh-CN"/>
        </w:rPr>
        <w:t>森林资源培育（项）：反映育苗（种）、造林、抚育、退化林修复、义务植树以及生物质能源建设等方面的支出。</w:t>
      </w:r>
    </w:p>
    <w:p>
      <w:pPr>
        <w:numPr>
          <w:ilvl w:val="0"/>
          <w:numId w:val="5"/>
        </w:numPr>
        <w:shd w:val="clear"/>
        <w:spacing w:line="360" w:lineRule="auto"/>
        <w:ind w:left="0" w:leftChars="0" w:firstLine="400" w:firstLineChars="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农林水支出（类）林业和草原（款）</w:t>
      </w:r>
      <w:r>
        <w:rPr>
          <w:rFonts w:hint="eastAsia" w:ascii="仿宋_GB2312" w:eastAsia="仿宋_GB2312"/>
          <w:color w:val="auto"/>
          <w:sz w:val="32"/>
          <w:szCs w:val="32"/>
          <w:highlight w:val="none"/>
          <w:lang w:eastAsia="zh-CN"/>
        </w:rPr>
        <w:t>技术推广与转化（项）：反映良种繁育、新技术引进、区域化试验、示范、技术推广、成果转化科学普及等方面的支出。</w:t>
      </w:r>
    </w:p>
    <w:p>
      <w:pPr>
        <w:numPr>
          <w:ilvl w:val="0"/>
          <w:numId w:val="5"/>
        </w:numPr>
        <w:shd w:val="clear"/>
        <w:spacing w:line="360" w:lineRule="auto"/>
        <w:ind w:left="0" w:leftChars="0" w:firstLine="400" w:firstLineChars="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农林水支出（类）林业和草原（款）</w:t>
      </w:r>
      <w:r>
        <w:rPr>
          <w:rFonts w:hint="eastAsia" w:ascii="仿宋_GB2312" w:eastAsia="仿宋_GB2312"/>
          <w:color w:val="auto"/>
          <w:sz w:val="32"/>
          <w:szCs w:val="32"/>
          <w:highlight w:val="none"/>
          <w:lang w:eastAsia="zh-CN"/>
        </w:rPr>
        <w:t>森林资源管理（项）：反映森林资源核查、监测、评估、经营利用、林地保护等方面的支出。</w:t>
      </w:r>
    </w:p>
    <w:p>
      <w:pPr>
        <w:numPr>
          <w:ilvl w:val="0"/>
          <w:numId w:val="5"/>
        </w:numPr>
        <w:shd w:val="clear"/>
        <w:spacing w:line="360" w:lineRule="auto"/>
        <w:ind w:left="0" w:leftChars="0" w:firstLine="400" w:firstLineChars="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农林水支出（类）林业和草原（款）</w:t>
      </w:r>
      <w:r>
        <w:rPr>
          <w:rFonts w:hint="eastAsia" w:ascii="仿宋_GB2312" w:eastAsia="仿宋_GB2312"/>
          <w:color w:val="auto"/>
          <w:sz w:val="32"/>
          <w:szCs w:val="32"/>
          <w:highlight w:val="none"/>
          <w:lang w:eastAsia="zh-CN"/>
        </w:rPr>
        <w:t>森林生态效益补偿（</w:t>
      </w:r>
      <w:r>
        <w:rPr>
          <w:rFonts w:hint="eastAsia" w:ascii="仿宋_GB2312" w:eastAsia="仿宋_GB2312"/>
          <w:color w:val="auto"/>
          <w:sz w:val="32"/>
          <w:szCs w:val="32"/>
          <w:highlight w:val="none"/>
          <w:lang w:val="en-US" w:eastAsia="zh-CN"/>
        </w:rPr>
        <w:t>项）：反映用于公益林保护和管理等方面的支出。</w:t>
      </w:r>
    </w:p>
    <w:p>
      <w:pPr>
        <w:numPr>
          <w:ilvl w:val="0"/>
          <w:numId w:val="5"/>
        </w:numPr>
        <w:shd w:val="clear"/>
        <w:spacing w:line="360" w:lineRule="auto"/>
        <w:ind w:left="0" w:leftChars="0" w:firstLine="400" w:firstLineChars="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农林水支出（类）林业和草原（款）</w:t>
      </w:r>
      <w:r>
        <w:rPr>
          <w:rFonts w:hint="eastAsia" w:ascii="仿宋_GB2312" w:eastAsia="仿宋_GB2312"/>
          <w:color w:val="auto"/>
          <w:sz w:val="32"/>
          <w:szCs w:val="32"/>
          <w:highlight w:val="none"/>
          <w:lang w:eastAsia="zh-CN"/>
        </w:rPr>
        <w:t>动植物保护（项）：反映动植物资源生存环境调查、监测、保护管理、野外放（回）归、巡护、野生动物疫源疫病监测防控、濒危野生动植拯救、繁育及进口管理等方面的支出。</w:t>
      </w:r>
    </w:p>
    <w:p>
      <w:pPr>
        <w:numPr>
          <w:ilvl w:val="0"/>
          <w:numId w:val="5"/>
        </w:numPr>
        <w:shd w:val="clear"/>
        <w:spacing w:line="360" w:lineRule="auto"/>
        <w:ind w:left="0" w:leftChars="0" w:firstLine="400" w:firstLineChars="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农林水支出（类）林业和草原（款）</w:t>
      </w:r>
      <w:r>
        <w:rPr>
          <w:rFonts w:hint="eastAsia" w:ascii="仿宋_GB2312" w:eastAsia="仿宋_GB2312"/>
          <w:color w:val="auto"/>
          <w:sz w:val="32"/>
          <w:szCs w:val="32"/>
          <w:highlight w:val="none"/>
          <w:lang w:eastAsia="zh-CN"/>
        </w:rPr>
        <w:t>林业草原防灾减灾（项）：反映用于病虫害等有害生物灾害、森林草原防火、野生动物疫病灾害等方面的支出。</w:t>
      </w:r>
    </w:p>
    <w:p>
      <w:pPr>
        <w:numPr>
          <w:ilvl w:val="0"/>
          <w:numId w:val="5"/>
        </w:numPr>
        <w:shd w:val="clear"/>
        <w:spacing w:line="360" w:lineRule="auto"/>
        <w:ind w:left="0" w:leftChars="0" w:firstLine="400" w:firstLineChars="0"/>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农林水支出（类）林业和草原（款）</w:t>
      </w:r>
      <w:r>
        <w:rPr>
          <w:rFonts w:hint="eastAsia" w:ascii="仿宋_GB2312" w:eastAsia="仿宋_GB2312"/>
          <w:color w:val="auto"/>
          <w:sz w:val="32"/>
          <w:szCs w:val="32"/>
          <w:highlight w:val="none"/>
          <w:lang w:eastAsia="zh-CN"/>
        </w:rPr>
        <w:t>其他林业和草原支出（项）：指反映上述项目以外其他用于林业和草原方面的支出。</w:t>
      </w:r>
    </w:p>
    <w:p>
      <w:pPr>
        <w:numPr>
          <w:ilvl w:val="0"/>
          <w:numId w:val="5"/>
        </w:numPr>
        <w:shd w:val="clear"/>
        <w:spacing w:line="360" w:lineRule="auto"/>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交通运输支出（类）车辆购置税支出（款</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车辆购置税用于公路等基础设施建设支出（项）：指</w:t>
      </w:r>
      <w:r>
        <w:rPr>
          <w:rFonts w:hint="eastAsia" w:ascii="仿宋_GB2312" w:eastAsia="仿宋_GB2312"/>
          <w:color w:val="auto"/>
          <w:sz w:val="32"/>
          <w:szCs w:val="32"/>
          <w:highlight w:val="none"/>
          <w:lang w:eastAsia="zh-CN"/>
        </w:rPr>
        <w:t>反映车辆购置税收入安排用于公路等基础设施建设的支出</w:t>
      </w:r>
      <w:r>
        <w:rPr>
          <w:rFonts w:hint="eastAsia" w:ascii="仿宋_GB2312" w:eastAsia="仿宋_GB2312"/>
          <w:color w:val="auto"/>
          <w:sz w:val="32"/>
          <w:szCs w:val="32"/>
          <w:highlight w:val="none"/>
        </w:rPr>
        <w:t>。</w:t>
      </w:r>
    </w:p>
    <w:p>
      <w:pPr>
        <w:numPr>
          <w:ilvl w:val="0"/>
          <w:numId w:val="5"/>
        </w:numPr>
        <w:shd w:val="clear"/>
        <w:spacing w:line="360" w:lineRule="auto"/>
        <w:ind w:left="0" w:leftChars="0" w:firstLine="400" w:firstLineChars="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住房保障支出（类）住房改革支出（款）住房公积金（项）：指</w:t>
      </w:r>
      <w:r>
        <w:rPr>
          <w:rFonts w:hint="eastAsia" w:ascii="仿宋_GB2312" w:eastAsia="仿宋_GB2312"/>
          <w:color w:val="auto"/>
          <w:sz w:val="32"/>
          <w:szCs w:val="32"/>
          <w:highlight w:val="none"/>
          <w:lang w:eastAsia="zh-CN"/>
        </w:rPr>
        <w:t>反映事业单位按人力资源和社会保障部、财政部规定的基本工资和津贴补贴以及规定比例为职工缴纳的住房公积金</w:t>
      </w:r>
      <w:r>
        <w:rPr>
          <w:rFonts w:hint="eastAsia" w:ascii="仿宋_GB2312" w:eastAsia="仿宋_GB2312"/>
          <w:color w:val="auto"/>
          <w:sz w:val="32"/>
          <w:szCs w:val="32"/>
          <w:highlight w:val="none"/>
        </w:rPr>
        <w:t>。</w:t>
      </w:r>
    </w:p>
    <w:p>
      <w:pPr>
        <w:numPr>
          <w:ilvl w:val="0"/>
          <w:numId w:val="5"/>
        </w:numPr>
        <w:shd w:val="clear"/>
        <w:spacing w:line="360" w:lineRule="auto"/>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基本支出：指为保障机构正常运转、完成日常工作任务而发生的人员支出和公用支出。</w:t>
      </w:r>
    </w:p>
    <w:p>
      <w:pPr>
        <w:numPr>
          <w:ilvl w:val="0"/>
          <w:numId w:val="5"/>
        </w:numPr>
        <w:shd w:val="clear"/>
        <w:spacing w:line="360" w:lineRule="auto"/>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pPr>
        <w:pStyle w:val="29"/>
        <w:numPr>
          <w:ilvl w:val="0"/>
          <w:numId w:val="5"/>
        </w:numPr>
        <w:shd w:val="clear"/>
        <w:spacing w:line="360" w:lineRule="auto"/>
        <w:ind w:left="0" w:leftChars="0" w:firstLine="400" w:firstLineChars="0"/>
        <w:rPr>
          <w:rFonts w:ascii="仿宋_GB2312" w:eastAsia="仿宋_GB2312"/>
          <w:color w:val="auto"/>
          <w:sz w:val="32"/>
          <w:szCs w:val="32"/>
          <w:highlight w:val="none"/>
        </w:rPr>
      </w:pPr>
      <w:r>
        <w:rPr>
          <w:rFonts w:hint="eastAsia" w:ascii="仿宋_GB2312" w:eastAsia="仿宋_GB2312"/>
          <w:color w:val="auto"/>
          <w:sz w:val="32"/>
          <w:szCs w:val="32"/>
          <w:highlight w:val="none"/>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numPr>
          <w:ilvl w:val="0"/>
          <w:numId w:val="5"/>
        </w:numPr>
        <w:shd w:val="clear"/>
        <w:spacing w:line="360" w:lineRule="auto"/>
        <w:ind w:left="0" w:leftChars="0" w:firstLine="400" w:firstLineChars="0"/>
        <w:rPr>
          <w:rFonts w:hint="eastAsia" w:ascii="黑体" w:hAnsi="黑体" w:eastAsia="黑体"/>
          <w:color w:val="auto"/>
          <w:sz w:val="44"/>
          <w:szCs w:val="44"/>
          <w:highlight w:val="none"/>
        </w:rPr>
        <w:sectPr>
          <w:headerReference r:id="rId8" w:type="default"/>
          <w:footerReference r:id="rId9" w:type="default"/>
          <w:pgSz w:w="11906" w:h="16838"/>
          <w:pgMar w:top="1440" w:right="1800" w:bottom="1440" w:left="1800" w:header="851" w:footer="992" w:gutter="0"/>
          <w:pgNumType w:fmt="decimal"/>
          <w:cols w:space="425" w:num="1"/>
          <w:docGrid w:type="lines" w:linePitch="312" w:charSpace="0"/>
        </w:sectPr>
      </w:pPr>
      <w:r>
        <w:rPr>
          <w:rFonts w:hint="eastAsia" w:ascii="仿宋_GB2312" w:eastAsia="仿宋_GB2312"/>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600" w:lineRule="exact"/>
        <w:jc w:val="center"/>
        <w:outlineLvl w:val="0"/>
        <w:rPr>
          <w:rStyle w:val="31"/>
          <w:rFonts w:ascii="黑体" w:hAnsi="黑体" w:eastAsia="黑体"/>
          <w:b w:val="0"/>
          <w:color w:val="auto"/>
          <w:highlight w:val="none"/>
        </w:rPr>
      </w:pPr>
      <w:r>
        <w:rPr>
          <w:rFonts w:hint="eastAsia" w:ascii="黑体" w:hAnsi="黑体" w:eastAsia="黑体"/>
          <w:color w:val="auto"/>
          <w:sz w:val="44"/>
          <w:szCs w:val="44"/>
          <w:highlight w:val="none"/>
        </w:rPr>
        <w:t>第</w:t>
      </w:r>
      <w:r>
        <w:rPr>
          <w:rStyle w:val="31"/>
          <w:rFonts w:hint="eastAsia" w:ascii="黑体" w:hAnsi="黑体" w:eastAsia="黑体"/>
          <w:b w:val="0"/>
          <w:color w:val="auto"/>
          <w:highlight w:val="none"/>
        </w:rPr>
        <w:t>四部分 附件</w:t>
      </w:r>
      <w:bookmarkEnd w:id="53"/>
    </w:p>
    <w:p>
      <w:pPr>
        <w:keepNext w:val="0"/>
        <w:keepLines w:val="0"/>
        <w:pageBreakBefore w:val="0"/>
        <w:kinsoku/>
        <w:wordWrap/>
        <w:overflowPunct/>
        <w:topLinePunct w:val="0"/>
        <w:autoSpaceDE/>
        <w:autoSpaceDN/>
        <w:bidi w:val="0"/>
        <w:spacing w:line="572" w:lineRule="exact"/>
        <w:jc w:val="left"/>
        <w:textAlignment w:val="auto"/>
        <w:outlineLvl w:val="0"/>
        <w:rPr>
          <w:rFonts w:ascii="仿宋_GB2312" w:hAnsi="仿宋_GB2312" w:eastAsia="仿宋_GB2312" w:cs="仿宋_GB2312"/>
          <w:color w:val="auto"/>
          <w:sz w:val="32"/>
          <w:szCs w:val="32"/>
          <w:highlight w:val="red"/>
        </w:rPr>
      </w:pPr>
    </w:p>
    <w:tbl>
      <w:tblPr>
        <w:tblStyle w:val="1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49"/>
        <w:gridCol w:w="2673"/>
        <w:gridCol w:w="941"/>
        <w:gridCol w:w="3612"/>
        <w:gridCol w:w="465"/>
        <w:gridCol w:w="530"/>
        <w:gridCol w:w="1834"/>
        <w:gridCol w:w="448"/>
        <w:gridCol w:w="794"/>
        <w:gridCol w:w="777"/>
        <w:gridCol w:w="578"/>
        <w:gridCol w:w="5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7" w:hRule="atLeast"/>
        </w:trPr>
        <w:tc>
          <w:tcPr>
            <w:tcW w:w="5000" w:type="pct"/>
            <w:gridSpan w:val="12"/>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黑体" w:hAnsi="黑体" w:eastAsia="黑体" w:cs="黑体"/>
                <w:b/>
                <w:bCs/>
                <w:i w:val="0"/>
                <w:iCs w:val="0"/>
                <w:color w:val="000000"/>
                <w:sz w:val="30"/>
                <w:szCs w:val="30"/>
                <w:u w:val="none"/>
              </w:rPr>
            </w:pPr>
            <w:bookmarkStart w:id="56" w:name="_Toc15396618"/>
            <w:bookmarkStart w:id="70" w:name="_GoBack"/>
            <w:r>
              <w:rPr>
                <w:rFonts w:hint="eastAsia" w:ascii="黑体" w:hAnsi="黑体" w:eastAsia="黑体" w:cs="黑体"/>
                <w:b/>
                <w:bCs/>
                <w:i w:val="0"/>
                <w:iCs w:val="0"/>
                <w:color w:val="000000"/>
                <w:kern w:val="0"/>
                <w:sz w:val="30"/>
                <w:szCs w:val="30"/>
                <w:u w:val="none"/>
                <w:lang w:val="en-US" w:eastAsia="zh-CN" w:bidi="ar"/>
              </w:rPr>
              <w:t>部门项目支出绩效目标表（2022年度）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tcBorders>
              <w:top w:val="nil"/>
              <w:left w:val="nil"/>
              <w:bottom w:val="nil"/>
              <w:right w:val="nil"/>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16" w:lineRule="exact"/>
              <w:rPr>
                <w:rFonts w:hint="eastAsia" w:ascii="宋体" w:hAnsi="宋体" w:eastAsia="宋体" w:cs="宋体"/>
                <w:i w:val="0"/>
                <w:iCs w:val="0"/>
                <w:color w:val="000000"/>
                <w:sz w:val="22"/>
                <w:szCs w:val="22"/>
                <w:u w:val="none"/>
              </w:rPr>
            </w:pPr>
          </w:p>
        </w:tc>
        <w:tc>
          <w:tcPr>
            <w:tcW w:w="943" w:type="pct"/>
            <w:tcBorders>
              <w:top w:val="nil"/>
              <w:left w:val="nil"/>
              <w:bottom w:val="nil"/>
              <w:right w:val="nil"/>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22"/>
                <w:szCs w:val="22"/>
                <w:u w:val="none"/>
              </w:rPr>
            </w:pPr>
          </w:p>
        </w:tc>
        <w:tc>
          <w:tcPr>
            <w:tcW w:w="332" w:type="pct"/>
            <w:tcBorders>
              <w:top w:val="nil"/>
              <w:left w:val="nil"/>
              <w:bottom w:val="nil"/>
              <w:right w:val="nil"/>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22"/>
                <w:szCs w:val="22"/>
                <w:u w:val="none"/>
              </w:rPr>
            </w:pPr>
          </w:p>
        </w:tc>
        <w:tc>
          <w:tcPr>
            <w:tcW w:w="1274" w:type="pct"/>
            <w:tcBorders>
              <w:top w:val="nil"/>
              <w:left w:val="nil"/>
              <w:bottom w:val="nil"/>
              <w:right w:val="nil"/>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22"/>
                <w:szCs w:val="22"/>
                <w:u w:val="none"/>
              </w:rPr>
            </w:pPr>
          </w:p>
        </w:tc>
        <w:tc>
          <w:tcPr>
            <w:tcW w:w="164" w:type="pct"/>
            <w:tcBorders>
              <w:top w:val="nil"/>
              <w:left w:val="nil"/>
              <w:bottom w:val="nil"/>
              <w:right w:val="nil"/>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22"/>
                <w:szCs w:val="22"/>
                <w:u w:val="none"/>
              </w:rPr>
            </w:pPr>
          </w:p>
        </w:tc>
        <w:tc>
          <w:tcPr>
            <w:tcW w:w="187" w:type="pct"/>
            <w:tcBorders>
              <w:top w:val="nil"/>
              <w:left w:val="nil"/>
              <w:bottom w:val="nil"/>
              <w:right w:val="nil"/>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22"/>
                <w:szCs w:val="22"/>
                <w:u w:val="none"/>
              </w:rPr>
            </w:pPr>
          </w:p>
        </w:tc>
        <w:tc>
          <w:tcPr>
            <w:tcW w:w="647" w:type="pct"/>
            <w:tcBorders>
              <w:top w:val="nil"/>
              <w:left w:val="nil"/>
              <w:bottom w:val="nil"/>
              <w:right w:val="nil"/>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16" w:lineRule="exact"/>
              <w:rPr>
                <w:rFonts w:hint="eastAsia" w:ascii="宋体" w:hAnsi="宋体" w:eastAsia="宋体" w:cs="宋体"/>
                <w:i w:val="0"/>
                <w:iCs w:val="0"/>
                <w:color w:val="000000"/>
                <w:sz w:val="22"/>
                <w:szCs w:val="22"/>
                <w:u w:val="none"/>
              </w:rPr>
            </w:pPr>
          </w:p>
        </w:tc>
        <w:tc>
          <w:tcPr>
            <w:tcW w:w="158" w:type="pct"/>
            <w:tcBorders>
              <w:top w:val="nil"/>
              <w:left w:val="nil"/>
              <w:bottom w:val="nil"/>
              <w:right w:val="nil"/>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16" w:lineRule="exact"/>
              <w:rPr>
                <w:rFonts w:hint="eastAsia" w:ascii="宋体" w:hAnsi="宋体" w:eastAsia="宋体" w:cs="宋体"/>
                <w:i w:val="0"/>
                <w:iCs w:val="0"/>
                <w:color w:val="000000"/>
                <w:sz w:val="22"/>
                <w:szCs w:val="22"/>
                <w:u w:val="none"/>
              </w:rPr>
            </w:pPr>
          </w:p>
        </w:tc>
        <w:tc>
          <w:tcPr>
            <w:tcW w:w="280" w:type="pct"/>
            <w:tcBorders>
              <w:top w:val="nil"/>
              <w:left w:val="nil"/>
              <w:bottom w:val="nil"/>
              <w:right w:val="nil"/>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16" w:lineRule="exact"/>
              <w:rPr>
                <w:rFonts w:hint="eastAsia" w:ascii="宋体" w:hAnsi="宋体" w:eastAsia="宋体" w:cs="宋体"/>
                <w:i w:val="0"/>
                <w:iCs w:val="0"/>
                <w:color w:val="000000"/>
                <w:sz w:val="22"/>
                <w:szCs w:val="22"/>
                <w:u w:val="none"/>
              </w:rPr>
            </w:pPr>
          </w:p>
        </w:tc>
        <w:tc>
          <w:tcPr>
            <w:tcW w:w="274" w:type="pct"/>
            <w:tcBorders>
              <w:top w:val="nil"/>
              <w:left w:val="nil"/>
              <w:bottom w:val="nil"/>
              <w:right w:val="nil"/>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16" w:lineRule="exact"/>
              <w:rPr>
                <w:rFonts w:hint="eastAsia" w:ascii="宋体" w:hAnsi="宋体" w:eastAsia="宋体" w:cs="宋体"/>
                <w:i w:val="0"/>
                <w:iCs w:val="0"/>
                <w:color w:val="000000"/>
                <w:sz w:val="22"/>
                <w:szCs w:val="22"/>
                <w:u w:val="none"/>
              </w:rPr>
            </w:pPr>
          </w:p>
        </w:tc>
        <w:tc>
          <w:tcPr>
            <w:tcW w:w="204" w:type="pct"/>
            <w:tcBorders>
              <w:top w:val="nil"/>
              <w:left w:val="nil"/>
              <w:bottom w:val="nil"/>
              <w:right w:val="nil"/>
            </w:tcBorders>
            <w:shd w:val="clear" w:color="auto" w:fill="auto"/>
            <w:noWrap/>
            <w:vAlign w:val="center"/>
          </w:tcPr>
          <w:p>
            <w:pPr>
              <w:keepNext w:val="0"/>
              <w:keepLines w:val="0"/>
              <w:pageBreakBefore w:val="0"/>
              <w:kinsoku/>
              <w:wordWrap/>
              <w:overflowPunct/>
              <w:topLinePunct w:val="0"/>
              <w:autoSpaceDE/>
              <w:autoSpaceDN/>
              <w:bidi w:val="0"/>
              <w:adjustRightInd/>
              <w:snapToGrid/>
              <w:spacing w:line="216" w:lineRule="exact"/>
              <w:rPr>
                <w:rFonts w:hint="eastAsia" w:ascii="宋体" w:hAnsi="宋体" w:eastAsia="宋体" w:cs="宋体"/>
                <w:i w:val="0"/>
                <w:iCs w:val="0"/>
                <w:color w:val="000000"/>
                <w:sz w:val="22"/>
                <w:szCs w:val="22"/>
                <w:u w:val="none"/>
              </w:rPr>
            </w:pPr>
          </w:p>
        </w:tc>
        <w:tc>
          <w:tcPr>
            <w:tcW w:w="197" w:type="pct"/>
            <w:tcBorders>
              <w:top w:val="nil"/>
              <w:left w:val="nil"/>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right"/>
              <w:textAlignment w:val="center"/>
              <w:rPr>
                <w:rFonts w:hint="eastAsia" w:ascii="宋体" w:hAnsi="宋体" w:eastAsia="宋体" w:cs="宋体"/>
                <w:i w:val="0"/>
                <w:iCs w:val="0"/>
                <w:color w:val="000000"/>
                <w:sz w:val="14"/>
                <w:szCs w:val="14"/>
                <w:u w:val="none"/>
              </w:rPr>
            </w:pPr>
            <w:r>
              <w:rPr>
                <w:rFonts w:hint="eastAsia" w:ascii="宋体" w:hAnsi="宋体" w:eastAsia="宋体" w:cs="宋体"/>
                <w:i w:val="0"/>
                <w:iCs w:val="0"/>
                <w:color w:val="000000"/>
                <w:kern w:val="0"/>
                <w:sz w:val="14"/>
                <w:szCs w:val="14"/>
                <w:u w:val="none"/>
                <w:lang w:val="en-US" w:eastAsia="zh-CN" w:bidi="ar"/>
              </w:rPr>
              <w:t>金额：万元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335" w:type="pct"/>
            <w:tcBorders>
              <w:top w:val="single" w:color="000000" w:sz="4" w:space="0"/>
              <w:left w:val="single" w:color="000000" w:sz="4" w:space="0"/>
              <w:bottom w:val="single" w:color="000000" w:sz="4" w:space="0"/>
              <w:right w:val="single" w:color="000000" w:sz="4" w:space="0"/>
            </w:tcBorders>
            <w:shd w:val="clear" w:color="F7F7F7" w:fill="F7F7F7"/>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单位名称</w:t>
            </w:r>
          </w:p>
        </w:tc>
        <w:tc>
          <w:tcPr>
            <w:tcW w:w="943" w:type="pct"/>
            <w:tcBorders>
              <w:top w:val="single" w:color="000000" w:sz="4" w:space="0"/>
              <w:left w:val="single" w:color="000000" w:sz="4" w:space="0"/>
              <w:bottom w:val="single" w:color="000000" w:sz="4" w:space="0"/>
              <w:right w:val="single" w:color="000000" w:sz="4" w:space="0"/>
            </w:tcBorders>
            <w:shd w:val="clear" w:color="F7F7F7" w:fill="F7F7F7"/>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项目名称</w:t>
            </w:r>
          </w:p>
        </w:tc>
        <w:tc>
          <w:tcPr>
            <w:tcW w:w="332" w:type="pct"/>
            <w:tcBorders>
              <w:top w:val="single" w:color="000000" w:sz="4" w:space="0"/>
              <w:left w:val="single" w:color="000000" w:sz="4" w:space="0"/>
              <w:bottom w:val="single" w:color="000000" w:sz="4" w:space="0"/>
              <w:right w:val="single" w:color="000000" w:sz="4" w:space="0"/>
            </w:tcBorders>
            <w:shd w:val="clear" w:color="F7F7F7" w:fill="F7F7F7"/>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预算数</w:t>
            </w:r>
          </w:p>
        </w:tc>
        <w:tc>
          <w:tcPr>
            <w:tcW w:w="1274" w:type="pct"/>
            <w:tcBorders>
              <w:top w:val="single" w:color="000000" w:sz="4" w:space="0"/>
              <w:left w:val="single" w:color="000000" w:sz="4" w:space="0"/>
              <w:bottom w:val="single" w:color="000000" w:sz="4" w:space="0"/>
              <w:right w:val="single" w:color="000000" w:sz="4" w:space="0"/>
            </w:tcBorders>
            <w:shd w:val="clear" w:color="F7F7F7" w:fill="F7F7F7"/>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年度目标</w:t>
            </w:r>
          </w:p>
        </w:tc>
        <w:tc>
          <w:tcPr>
            <w:tcW w:w="164" w:type="pct"/>
            <w:tcBorders>
              <w:top w:val="single" w:color="000000" w:sz="4" w:space="0"/>
              <w:left w:val="single" w:color="000000" w:sz="4" w:space="0"/>
              <w:bottom w:val="single" w:color="000000" w:sz="4" w:space="0"/>
              <w:right w:val="single" w:color="000000" w:sz="4" w:space="0"/>
            </w:tcBorders>
            <w:shd w:val="clear" w:color="F7F7F7" w:fill="F7F7F7"/>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一级指标</w:t>
            </w:r>
          </w:p>
        </w:tc>
        <w:tc>
          <w:tcPr>
            <w:tcW w:w="187" w:type="pct"/>
            <w:tcBorders>
              <w:top w:val="single" w:color="000000" w:sz="4" w:space="0"/>
              <w:left w:val="single" w:color="000000" w:sz="4" w:space="0"/>
              <w:bottom w:val="single" w:color="000000" w:sz="4" w:space="0"/>
              <w:right w:val="single" w:color="000000" w:sz="4" w:space="0"/>
            </w:tcBorders>
            <w:shd w:val="clear" w:color="F7F7F7" w:fill="F7F7F7"/>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二级指标</w:t>
            </w:r>
          </w:p>
        </w:tc>
        <w:tc>
          <w:tcPr>
            <w:tcW w:w="647" w:type="pct"/>
            <w:tcBorders>
              <w:top w:val="single" w:color="000000" w:sz="4" w:space="0"/>
              <w:left w:val="single" w:color="000000" w:sz="4" w:space="0"/>
              <w:bottom w:val="single" w:color="000000" w:sz="4" w:space="0"/>
              <w:right w:val="single" w:color="000000" w:sz="4" w:space="0"/>
            </w:tcBorders>
            <w:shd w:val="clear" w:color="F7F7F7" w:fill="F7F7F7"/>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三级指标</w:t>
            </w:r>
          </w:p>
        </w:tc>
        <w:tc>
          <w:tcPr>
            <w:tcW w:w="158" w:type="pct"/>
            <w:tcBorders>
              <w:top w:val="single" w:color="000000" w:sz="4" w:space="0"/>
              <w:left w:val="single" w:color="000000" w:sz="4" w:space="0"/>
              <w:bottom w:val="single" w:color="000000" w:sz="4" w:space="0"/>
              <w:right w:val="single" w:color="000000" w:sz="4" w:space="0"/>
            </w:tcBorders>
            <w:shd w:val="clear" w:color="F7F7F7" w:fill="F7F7F7"/>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指标性质</w:t>
            </w:r>
          </w:p>
        </w:tc>
        <w:tc>
          <w:tcPr>
            <w:tcW w:w="280" w:type="pct"/>
            <w:tcBorders>
              <w:top w:val="single" w:color="000000" w:sz="4" w:space="0"/>
              <w:left w:val="single" w:color="000000" w:sz="4" w:space="0"/>
              <w:bottom w:val="single" w:color="000000" w:sz="4" w:space="0"/>
              <w:right w:val="single" w:color="000000" w:sz="4" w:space="0"/>
            </w:tcBorders>
            <w:shd w:val="clear" w:color="F7F7F7" w:fill="F7F7F7"/>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指标值</w:t>
            </w:r>
          </w:p>
        </w:tc>
        <w:tc>
          <w:tcPr>
            <w:tcW w:w="274" w:type="pct"/>
            <w:tcBorders>
              <w:top w:val="single" w:color="000000" w:sz="4" w:space="0"/>
              <w:left w:val="single" w:color="000000" w:sz="4" w:space="0"/>
              <w:bottom w:val="single" w:color="000000" w:sz="4" w:space="0"/>
              <w:right w:val="single" w:color="000000" w:sz="4" w:space="0"/>
            </w:tcBorders>
            <w:shd w:val="clear" w:color="F7F7F7" w:fill="F7F7F7"/>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度量单位</w:t>
            </w:r>
          </w:p>
        </w:tc>
        <w:tc>
          <w:tcPr>
            <w:tcW w:w="204" w:type="pct"/>
            <w:tcBorders>
              <w:top w:val="single" w:color="000000" w:sz="4" w:space="0"/>
              <w:left w:val="single" w:color="000000" w:sz="4" w:space="0"/>
              <w:bottom w:val="single" w:color="000000" w:sz="4" w:space="0"/>
              <w:right w:val="single" w:color="000000" w:sz="4" w:space="0"/>
            </w:tcBorders>
            <w:shd w:val="clear" w:color="F7F7F7" w:fill="F7F7F7"/>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权重</w:t>
            </w:r>
          </w:p>
        </w:tc>
        <w:tc>
          <w:tcPr>
            <w:tcW w:w="197" w:type="pct"/>
            <w:tcBorders>
              <w:top w:val="single" w:color="000000" w:sz="4" w:space="0"/>
              <w:left w:val="single" w:color="000000" w:sz="4" w:space="0"/>
              <w:bottom w:val="single" w:color="000000" w:sz="4" w:space="0"/>
              <w:right w:val="single" w:color="000000" w:sz="4" w:space="0"/>
            </w:tcBorders>
            <w:shd w:val="clear" w:color="F7F7F7" w:fill="F7F7F7"/>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b/>
                <w:bCs/>
                <w:i w:val="0"/>
                <w:iCs w:val="0"/>
                <w:color w:val="000000"/>
                <w:sz w:val="18"/>
                <w:szCs w:val="18"/>
                <w:u w:val="none"/>
              </w:rPr>
            </w:pPr>
            <w:r>
              <w:rPr>
                <w:rFonts w:ascii="宋体" w:hAnsi="宋体" w:eastAsia="宋体" w:cs="宋体"/>
                <w:b/>
                <w:bCs/>
                <w:i w:val="0"/>
                <w:iCs w:val="0"/>
                <w:color w:val="000000"/>
                <w:kern w:val="0"/>
                <w:sz w:val="18"/>
                <w:szCs w:val="18"/>
                <w:u w:val="none"/>
                <w:lang w:val="en-US" w:eastAsia="zh-CN" w:bidi="ar"/>
              </w:rPr>
              <w:t>指标方向性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5" w:type="pct"/>
            <w:tcBorders>
              <w:top w:val="single" w:color="000000" w:sz="4" w:space="0"/>
              <w:left w:val="single" w:color="000000" w:sz="4" w:space="0"/>
              <w:bottom w:val="single" w:color="000000" w:sz="4" w:space="0"/>
              <w:right w:val="single" w:color="000000" w:sz="4" w:space="0"/>
            </w:tcBorders>
            <w:shd w:val="clear" w:color="F7F7F7" w:fill="F7F7F7"/>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623001-广元市林业局</w:t>
            </w:r>
          </w:p>
        </w:tc>
        <w:tc>
          <w:tcPr>
            <w:tcW w:w="943" w:type="pct"/>
            <w:tcBorders>
              <w:top w:val="single" w:color="000000" w:sz="4" w:space="0"/>
              <w:left w:val="single" w:color="000000" w:sz="4" w:space="0"/>
              <w:bottom w:val="single" w:color="000000" w:sz="4" w:space="0"/>
              <w:right w:val="single" w:color="000000" w:sz="4" w:space="0"/>
            </w:tcBorders>
            <w:shd w:val="clear" w:color="F7F7F7" w:fill="F7F7F7"/>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黑体" w:hAnsi="黑体" w:eastAsia="黑体" w:cs="黑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F7F7F7" w:fill="F7F7F7"/>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5,881.18</w:t>
            </w:r>
          </w:p>
        </w:tc>
        <w:tc>
          <w:tcPr>
            <w:tcW w:w="1274" w:type="pct"/>
            <w:tcBorders>
              <w:top w:val="single" w:color="000000" w:sz="4" w:space="0"/>
              <w:left w:val="single" w:color="000000" w:sz="4" w:space="0"/>
              <w:bottom w:val="single" w:color="000000" w:sz="4" w:space="0"/>
              <w:right w:val="single" w:color="000000" w:sz="4" w:space="0"/>
            </w:tcBorders>
            <w:shd w:val="clear" w:color="F7F7F7" w:fill="F7F7F7"/>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黑体" w:hAnsi="黑体" w:eastAsia="黑体" w:cs="黑体"/>
                <w:i w:val="0"/>
                <w:iCs w:val="0"/>
                <w:color w:val="000000"/>
                <w:sz w:val="18"/>
                <w:szCs w:val="18"/>
                <w:u w:val="none"/>
              </w:rPr>
            </w:pPr>
          </w:p>
        </w:tc>
        <w:tc>
          <w:tcPr>
            <w:tcW w:w="164" w:type="pct"/>
            <w:tcBorders>
              <w:top w:val="single" w:color="000000" w:sz="4" w:space="0"/>
              <w:left w:val="single" w:color="000000" w:sz="4" w:space="0"/>
              <w:bottom w:val="single" w:color="000000" w:sz="4" w:space="0"/>
              <w:right w:val="single" w:color="000000" w:sz="4" w:space="0"/>
            </w:tcBorders>
            <w:shd w:val="clear" w:color="F7F7F7" w:fill="F7F7F7"/>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黑体" w:hAnsi="黑体" w:eastAsia="黑体" w:cs="黑体"/>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F7F7F7" w:fill="F7F7F7"/>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黑体" w:hAnsi="黑体" w:eastAsia="黑体" w:cs="黑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F7F7F7" w:fill="F7F7F7"/>
            <w:vAlign w:val="center"/>
          </w:tcPr>
          <w:p>
            <w:pPr>
              <w:keepNext w:val="0"/>
              <w:keepLines w:val="0"/>
              <w:pageBreakBefore w:val="0"/>
              <w:kinsoku/>
              <w:wordWrap/>
              <w:overflowPunct/>
              <w:topLinePunct w:val="0"/>
              <w:autoSpaceDE/>
              <w:autoSpaceDN/>
              <w:bidi w:val="0"/>
              <w:adjustRightInd/>
              <w:snapToGrid/>
              <w:spacing w:line="216" w:lineRule="exact"/>
              <w:rPr>
                <w:rFonts w:hint="eastAsia" w:ascii="黑体" w:hAnsi="黑体" w:eastAsia="黑体" w:cs="黑体"/>
                <w:i w:val="0"/>
                <w:iCs w:val="0"/>
                <w:color w:val="000000"/>
                <w:sz w:val="18"/>
                <w:szCs w:val="18"/>
                <w:u w:val="none"/>
              </w:rPr>
            </w:pPr>
          </w:p>
        </w:tc>
        <w:tc>
          <w:tcPr>
            <w:tcW w:w="158" w:type="pct"/>
            <w:tcBorders>
              <w:top w:val="single" w:color="000000" w:sz="4" w:space="0"/>
              <w:left w:val="single" w:color="000000" w:sz="4" w:space="0"/>
              <w:bottom w:val="single" w:color="000000" w:sz="4" w:space="0"/>
              <w:right w:val="single" w:color="000000" w:sz="4" w:space="0"/>
            </w:tcBorders>
            <w:shd w:val="clear" w:color="F7F7F7" w:fill="F7F7F7"/>
            <w:vAlign w:val="center"/>
          </w:tcPr>
          <w:p>
            <w:pPr>
              <w:keepNext w:val="0"/>
              <w:keepLines w:val="0"/>
              <w:pageBreakBefore w:val="0"/>
              <w:kinsoku/>
              <w:wordWrap/>
              <w:overflowPunct/>
              <w:topLinePunct w:val="0"/>
              <w:autoSpaceDE/>
              <w:autoSpaceDN/>
              <w:bidi w:val="0"/>
              <w:adjustRightInd/>
              <w:snapToGrid/>
              <w:spacing w:line="216" w:lineRule="exact"/>
              <w:rPr>
                <w:rFonts w:hint="eastAsia" w:ascii="黑体" w:hAnsi="黑体" w:eastAsia="黑体" w:cs="黑体"/>
                <w:i w:val="0"/>
                <w:iCs w:val="0"/>
                <w:color w:val="000000"/>
                <w:sz w:val="18"/>
                <w:szCs w:val="18"/>
                <w:u w:val="none"/>
              </w:rPr>
            </w:pPr>
          </w:p>
        </w:tc>
        <w:tc>
          <w:tcPr>
            <w:tcW w:w="280" w:type="pct"/>
            <w:tcBorders>
              <w:top w:val="single" w:color="000000" w:sz="4" w:space="0"/>
              <w:left w:val="single" w:color="000000" w:sz="4" w:space="0"/>
              <w:bottom w:val="single" w:color="000000" w:sz="4" w:space="0"/>
              <w:right w:val="single" w:color="000000" w:sz="4" w:space="0"/>
            </w:tcBorders>
            <w:shd w:val="clear" w:color="F7F7F7" w:fill="F7F7F7"/>
            <w:vAlign w:val="center"/>
          </w:tcPr>
          <w:p>
            <w:pPr>
              <w:keepNext w:val="0"/>
              <w:keepLines w:val="0"/>
              <w:pageBreakBefore w:val="0"/>
              <w:kinsoku/>
              <w:wordWrap/>
              <w:overflowPunct/>
              <w:topLinePunct w:val="0"/>
              <w:autoSpaceDE/>
              <w:autoSpaceDN/>
              <w:bidi w:val="0"/>
              <w:adjustRightInd/>
              <w:snapToGrid/>
              <w:spacing w:line="216" w:lineRule="exact"/>
              <w:rPr>
                <w:rFonts w:hint="eastAsia" w:ascii="黑体" w:hAnsi="黑体" w:eastAsia="黑体" w:cs="黑体"/>
                <w:i w:val="0"/>
                <w:iCs w:val="0"/>
                <w:color w:val="000000"/>
                <w:sz w:val="18"/>
                <w:szCs w:val="18"/>
                <w:u w:val="none"/>
              </w:rPr>
            </w:pPr>
          </w:p>
        </w:tc>
        <w:tc>
          <w:tcPr>
            <w:tcW w:w="274" w:type="pct"/>
            <w:tcBorders>
              <w:top w:val="single" w:color="000000" w:sz="4" w:space="0"/>
              <w:left w:val="single" w:color="000000" w:sz="4" w:space="0"/>
              <w:bottom w:val="single" w:color="000000" w:sz="4" w:space="0"/>
              <w:right w:val="single" w:color="000000" w:sz="4" w:space="0"/>
            </w:tcBorders>
            <w:shd w:val="clear" w:color="F7F7F7" w:fill="F7F7F7"/>
            <w:vAlign w:val="center"/>
          </w:tcPr>
          <w:p>
            <w:pPr>
              <w:keepNext w:val="0"/>
              <w:keepLines w:val="0"/>
              <w:pageBreakBefore w:val="0"/>
              <w:kinsoku/>
              <w:wordWrap/>
              <w:overflowPunct/>
              <w:topLinePunct w:val="0"/>
              <w:autoSpaceDE/>
              <w:autoSpaceDN/>
              <w:bidi w:val="0"/>
              <w:adjustRightInd/>
              <w:snapToGrid/>
              <w:spacing w:line="216" w:lineRule="exact"/>
              <w:rPr>
                <w:rFonts w:hint="eastAsia" w:ascii="黑体" w:hAnsi="黑体" w:eastAsia="黑体" w:cs="黑体"/>
                <w:i w:val="0"/>
                <w:iCs w:val="0"/>
                <w:color w:val="000000"/>
                <w:sz w:val="18"/>
                <w:szCs w:val="18"/>
                <w:u w:val="none"/>
              </w:rPr>
            </w:pPr>
          </w:p>
        </w:tc>
        <w:tc>
          <w:tcPr>
            <w:tcW w:w="204" w:type="pct"/>
            <w:tcBorders>
              <w:top w:val="single" w:color="000000" w:sz="4" w:space="0"/>
              <w:left w:val="single" w:color="000000" w:sz="4" w:space="0"/>
              <w:bottom w:val="single" w:color="000000" w:sz="4" w:space="0"/>
              <w:right w:val="single" w:color="000000" w:sz="4" w:space="0"/>
            </w:tcBorders>
            <w:shd w:val="clear" w:color="F7F7F7" w:fill="F7F7F7"/>
            <w:vAlign w:val="center"/>
          </w:tcPr>
          <w:p>
            <w:pPr>
              <w:keepNext w:val="0"/>
              <w:keepLines w:val="0"/>
              <w:pageBreakBefore w:val="0"/>
              <w:kinsoku/>
              <w:wordWrap/>
              <w:overflowPunct/>
              <w:topLinePunct w:val="0"/>
              <w:autoSpaceDE/>
              <w:autoSpaceDN/>
              <w:bidi w:val="0"/>
              <w:adjustRightInd/>
              <w:snapToGrid/>
              <w:spacing w:line="216" w:lineRule="exact"/>
              <w:rPr>
                <w:rFonts w:hint="eastAsia" w:ascii="黑体" w:hAnsi="黑体" w:eastAsia="黑体" w:cs="黑体"/>
                <w:i w:val="0"/>
                <w:iCs w:val="0"/>
                <w:color w:val="000000"/>
                <w:sz w:val="18"/>
                <w:szCs w:val="18"/>
                <w:u w:val="none"/>
              </w:rPr>
            </w:pPr>
          </w:p>
        </w:tc>
        <w:tc>
          <w:tcPr>
            <w:tcW w:w="197" w:type="pct"/>
            <w:tcBorders>
              <w:top w:val="single" w:color="000000" w:sz="4" w:space="0"/>
              <w:left w:val="single" w:color="000000" w:sz="4" w:space="0"/>
              <w:bottom w:val="single" w:color="000000" w:sz="4" w:space="0"/>
              <w:right w:val="single" w:color="000000" w:sz="4" w:space="0"/>
            </w:tcBorders>
            <w:shd w:val="clear" w:color="F7F7F7" w:fill="F7F7F7"/>
            <w:vAlign w:val="center"/>
          </w:tcPr>
          <w:p>
            <w:pPr>
              <w:keepNext w:val="0"/>
              <w:keepLines w:val="0"/>
              <w:pageBreakBefore w:val="0"/>
              <w:kinsoku/>
              <w:wordWrap/>
              <w:overflowPunct/>
              <w:topLinePunct w:val="0"/>
              <w:autoSpaceDE/>
              <w:autoSpaceDN/>
              <w:bidi w:val="0"/>
              <w:adjustRightInd/>
              <w:snapToGrid/>
              <w:spacing w:line="216" w:lineRule="exact"/>
              <w:rPr>
                <w:rFonts w:hint="eastAsia" w:ascii="黑体" w:hAnsi="黑体" w:eastAsia="黑体" w:cs="黑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623001-广元市林业局</w:t>
            </w:r>
          </w:p>
        </w:tc>
        <w:tc>
          <w:tcPr>
            <w:tcW w:w="9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51000021R000000019951-工资性支出</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1,202.76</w:t>
            </w:r>
          </w:p>
        </w:tc>
        <w:tc>
          <w:tcPr>
            <w:tcW w:w="12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1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51000021R000000019952-其他人员支出</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2.10</w:t>
            </w:r>
          </w:p>
        </w:tc>
        <w:tc>
          <w:tcPr>
            <w:tcW w:w="1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rPr>
                <w:rFonts w:hint="eastAsia" w:ascii="宋体" w:hAnsi="宋体" w:eastAsia="宋体" w:cs="宋体"/>
                <w:i w:val="0"/>
                <w:iCs w:val="0"/>
                <w:color w:val="000000"/>
                <w:sz w:val="18"/>
                <w:szCs w:val="18"/>
                <w:u w:val="none"/>
              </w:rPr>
            </w:pP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rPr>
                <w:rFonts w:hint="eastAsia" w:ascii="宋体" w:hAnsi="宋体" w:eastAsia="宋体" w:cs="宋体"/>
                <w:i w:val="0"/>
                <w:iCs w:val="0"/>
                <w:color w:val="000000"/>
                <w:sz w:val="18"/>
                <w:szCs w:val="18"/>
                <w:u w:val="none"/>
              </w:rPr>
            </w:pP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rPr>
                <w:rFonts w:hint="eastAsia" w:ascii="宋体" w:hAnsi="宋体" w:eastAsia="宋体" w:cs="宋体"/>
                <w:i w:val="0"/>
                <w:iCs w:val="0"/>
                <w:color w:val="000000"/>
                <w:sz w:val="18"/>
                <w:szCs w:val="18"/>
                <w:u w:val="none"/>
              </w:rPr>
            </w:pP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51000021R000000019956-离退休费支出</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61.60</w:t>
            </w:r>
          </w:p>
        </w:tc>
        <w:tc>
          <w:tcPr>
            <w:tcW w:w="12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1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51000021R000000019958-其他支出</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33.35</w:t>
            </w:r>
          </w:p>
        </w:tc>
        <w:tc>
          <w:tcPr>
            <w:tcW w:w="12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1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51000021Y000000011490-定额公用经费</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50.40</w:t>
            </w:r>
          </w:p>
        </w:tc>
        <w:tc>
          <w:tcPr>
            <w:tcW w:w="12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w:t>
            </w:r>
          </w:p>
        </w:tc>
        <w:tc>
          <w:tcPr>
            <w:tcW w:w="1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0"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51080021T000000056062-现代林业产业发展</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33.00</w:t>
            </w:r>
          </w:p>
        </w:tc>
        <w:tc>
          <w:tcPr>
            <w:tcW w:w="12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指导和督导全市林业产业化经营、产业结构调整。推进全市以核桃、油橄榄为主的林业产业发展，统筹推进森林蔬菜（含笋用竹）、林下经济、珍稀林木花卉、林板加工等特色产业，构建完善现代林业产业体系，助推全市林业高质量发展。</w:t>
            </w:r>
          </w:p>
        </w:tc>
        <w:tc>
          <w:tcPr>
            <w:tcW w:w="1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木本油料基地提质增效</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万亩</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笋用竹基地建设（管护提升）</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万亩</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召开推进会 </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场次</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核桃初加工厂建设</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个（套）</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木本油料高截换优</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万亩</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开展林业产业发展督导工作</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场次</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林业园区改造提升</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个（套）</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争创省级星际园区</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个（套）</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品种改良成活率</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核桃初加工厂建设建成投产率</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宣传费</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专家咨询费</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差旅费及公务用车维护费</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210000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会议及培训费</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助力全市林业综合产值增加</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亿元</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助推乡村振兴，带动群众增收</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元/户</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帮扶对象满意度指标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林农对发展林业产业满意率</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92</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51080021T000000056413-生态保护修复</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32.00</w:t>
            </w:r>
          </w:p>
        </w:tc>
        <w:tc>
          <w:tcPr>
            <w:tcW w:w="12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指导和督促各县区及直属单位完成林业生态保护修复工作。推进国土绿化，开展全民义务植树活动，做好国有林管护、退耕还林成果巩固、涉林惠民补助资金兑现、生态护林员选聘和管理、古树名木抢救复壮、基层林业站建设等。指导全市开展自然保护地保护管理、野生动植物保护、有害生物防治等工作，加强森林资源管护，坚守生态安全，全面完成“双增长”年度目标任务。  </w:t>
            </w:r>
          </w:p>
        </w:tc>
        <w:tc>
          <w:tcPr>
            <w:tcW w:w="1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督促完成全市集体公益林森林生态效益补偿兑现</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623.38</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万亩</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督促巩固退耕还林成果</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104.11</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万亩</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督促完成营造林</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万亩</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督促管护国有林</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80.11</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万亩</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开展全民义务植树活动</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场次</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督促全市集体和个人所有天然商品林停伐管护补助兑现</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175.6</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万亩</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年度涉林惠民补助资金兑现率</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当期任务完成率</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林业有害生物成灾率</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0.3</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车辆租用、维护运行费</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80000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会议及培训费</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检查验收、督促指导、督查、调研差旅费</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150000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印刷费</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宣传费</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维护森林资源安全，筑牢嘉陵江上游生态屏障，维护生物多样性和生态平衡。</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0"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自然保护地得到有效保护，自然保护地无重大破坏事故发生，生态良好。</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好坏</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生态效益指标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森林面积、森林蓄积持续增长。</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好坏</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补贴对象满意度</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读者满意度指标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社会满意度</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51080021T000000057442-世界银行贷款长江流域上游森林生态系统恢复项目管理工作经费</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w:t>
            </w:r>
          </w:p>
        </w:tc>
        <w:tc>
          <w:tcPr>
            <w:tcW w:w="12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协调推进我市3县1区（剑阁、旺苍、青川、朝天）开展世行贷款工作 。一是按照贷款方或赠款方及国内相关制度要求，组织项目实施单位进行项目准备，协调解决有关问题;二是按照贷款方或赠款方及国内相关制度要求，协调推进项目执行;三是配合协助贷款方或赠款方及国内相关部门开展项目检查、绩效管理等工作。</w:t>
            </w:r>
          </w:p>
        </w:tc>
        <w:tc>
          <w:tcPr>
            <w:tcW w:w="1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协调推进县区世行贷款工作（县区个数））</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个（套）</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任务完成率</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会议及培训费</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差旅费</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车辆运行费</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资料费</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生态效益指标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提高森林质量，培育多功能混交林</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部门满意度</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51080021Y000000176770-其他公用经费（福利、工会、公车补贴、党建、退休活动）</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75.79</w:t>
            </w:r>
          </w:p>
        </w:tc>
        <w:tc>
          <w:tcPr>
            <w:tcW w:w="12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w:t>
            </w:r>
          </w:p>
        </w:tc>
        <w:tc>
          <w:tcPr>
            <w:tcW w:w="1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0"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51080022R000000267546-工资性支出（事业）</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575.27</w:t>
            </w:r>
          </w:p>
        </w:tc>
        <w:tc>
          <w:tcPr>
            <w:tcW w:w="12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1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51080022T000004929379-乡村振兴工作经费</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7.28</w:t>
            </w:r>
          </w:p>
        </w:tc>
        <w:tc>
          <w:tcPr>
            <w:tcW w:w="12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认真履行“建强村党组织、推进强村富民、提升治理水平、为民办事服务”4项职责任务，充分发挥支持和帮助作用，与村“两委”共同做好各项工作，圆满完成年度驻村帮扶任务</w:t>
            </w:r>
          </w:p>
        </w:tc>
        <w:tc>
          <w:tcPr>
            <w:tcW w:w="1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重点村</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个（套）</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完成率</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工作经费</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72800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脱贫攻坚与乡村振兴有效衔接</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优良中低差</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村民满意度、当地党委政府满意度</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51080022T000004940359-林业行政执法保障</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12.20</w:t>
            </w:r>
          </w:p>
        </w:tc>
        <w:tc>
          <w:tcPr>
            <w:tcW w:w="12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指导和督促全市林业行政执法工作。开展林业行政案件查处、挂牌督办、机动抽查、案卷评查等工作；开展林业执法培训，规范执法行为，提高执法能力；开展林地使用、林木采伐、木材经营加工监督检查，规范建设项目使用林地审核和审批，加强长期使用林地二次核查和临时占用林地的监督管理。案件查处率达到85%，有效保护森林资源和生态安全，促进我市林业事业发展。</w:t>
            </w:r>
          </w:p>
        </w:tc>
        <w:tc>
          <w:tcPr>
            <w:tcW w:w="1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林业执法能力提升</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指导和督促县区林业行政执法工作 </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场次</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案件查处率</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85</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培训费</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22000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车辆运行费</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差率费</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70000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鉴定费</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有效提升民众林业法律意识</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高中低</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生态效益指标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保护森林资源</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好坏</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读者满意度指标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部门满意度</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51080022T000004940367-林长制专项工作经费</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15.00</w:t>
            </w:r>
          </w:p>
        </w:tc>
        <w:tc>
          <w:tcPr>
            <w:tcW w:w="12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全市推行林长制。一是日常工作。负责文电管理，市林长会议、市林长制办公室会议筹备，工作简报、专报及网络信息发布工作。二是林长制的组织实施。负责各级林长和网格员履职能力培训，协助市林长制定年度工作要点或工作方案。三是督导考核。负责各级林长和网格员履职情况考核，通报全市各级林长和网格员履职情况，落实奖惩制度。四是沟通协调。负责横向和纵向的沟通协调工作，确保林长制全面顺利落地落实。</w:t>
            </w:r>
          </w:p>
        </w:tc>
        <w:tc>
          <w:tcPr>
            <w:tcW w:w="1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市林长会议</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场次</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林长和网格员履职能力培训</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期</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督导考核</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场次</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市林长制办公室会议</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场次</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林长制工作在全市8个县（区）得到全面落实</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好坏</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林长制工作在全市得到全面落实（县区个数））</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个（套）</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林长制学习考察</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资料宣传费</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督导考核</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会议培训</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森林资源保护、发展和安全工作</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好坏</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生态效益指标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筑牢嘉陵江上游生态屏障，维护生物多样性和生态平衡</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好坏</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林农满意度</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51080022T000004940375-争取项目资金工作经费</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12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一是按照“规划跟着战略走、项目跟着规划走、资金和要素跟着项目走”的要求，抢抓国家、省、市“十四五”规划成渝地区双城经济圈、地方国债发行、新时代老区振兴等重大战略机遇期、政策窗口期，找准与广元林业事业发展的结合点，谋划符合林业高质量发展要求的重大项目，实现储备项目60个以上，形成“储备一批、开工一批、建设一批、竣工一批”的良性循环。二是做好项目申报。加强与国家相关部委，省级相关部门沟通汇报，及时了解国家、省级项目资金投向，明确林业建设资金争取重点和优惠政策支持，力争实现全市完成央省资金到位3.5亿元以上；三是做好重点项目的调度、实施、管理等工作。</w:t>
            </w:r>
          </w:p>
        </w:tc>
        <w:tc>
          <w:tcPr>
            <w:tcW w:w="1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储备项目</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个（套）</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全市完成央省资金到位</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35000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其它费用</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咨询费</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差旅费</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140000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车辆运行费</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有效增加林业行业投资</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高中低</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项目实施单位满意度</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51080022T000004941588-森林防火专项经费1</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31.00</w:t>
            </w:r>
          </w:p>
        </w:tc>
        <w:tc>
          <w:tcPr>
            <w:tcW w:w="12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指导和督促各县（区）开展森林防火工作。包括隐患排查整治、日常巡护、森林防灭火等工作，加强全市防灭火能力建设，把森林火灾损失率控制在0.1‰以内，保护人民群众生命财产和森林资源安全。</w:t>
            </w:r>
          </w:p>
        </w:tc>
        <w:tc>
          <w:tcPr>
            <w:tcW w:w="1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森林火灾损失率</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0.01</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指导、督促县（区）森林防火</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个（套）</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防灭火能力提升</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高中低</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任务完成时间</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车辆运行维护费</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防灭火能力提升</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60000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会议及培训</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宣传费</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40000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工作督查、检查、普查差旅费</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120000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资料费</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提升公众森林防火意识；发现隐患并督促整改隐患，维护全市森林资源安全，巩固生态建设成果。</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高中低</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读者满意度指标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群众满意度</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17"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51080022T000004941591-防火物质储备1</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12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购买背负式风力灭火机10台、风水灭火机10台、移动蓄水池10个等防火物资，为高效处置森林火灾及扑火人员安全提供保护支撑。</w:t>
            </w:r>
          </w:p>
        </w:tc>
        <w:tc>
          <w:tcPr>
            <w:tcW w:w="1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移动蓄水池</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个（套）</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背负式风力灭火机</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台</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风水灭火机</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台</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货物质量合格率</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背负式风力灭火机*3500元/台*10台</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35000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移动蓄水池*2000元/个*10个</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风水灭火机*4500元/台*10台</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45000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为处置森林火灾及扑火人员安全提供保护支撑。</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高中低</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部门满意度</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51080022Y000000267568-定额公用经费（事业）</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149.05</w:t>
            </w:r>
          </w:p>
        </w:tc>
        <w:tc>
          <w:tcPr>
            <w:tcW w:w="12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w:t>
            </w:r>
          </w:p>
        </w:tc>
        <w:tc>
          <w:tcPr>
            <w:tcW w:w="1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18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反向指标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8"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94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18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216" w:lineRule="exact"/>
              <w:jc w:val="center"/>
              <w:rPr>
                <w:rFonts w:hint="eastAsia" w:ascii="宋体" w:hAnsi="宋体" w:eastAsia="宋体" w:cs="宋体"/>
                <w:i w:val="0"/>
                <w:iCs w:val="0"/>
                <w:color w:val="000000"/>
                <w:sz w:val="18"/>
                <w:szCs w:val="18"/>
                <w:u w:val="none"/>
              </w:rPr>
            </w:pPr>
          </w:p>
        </w:tc>
        <w:tc>
          <w:tcPr>
            <w:tcW w:w="6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15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20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1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16" w:lineRule="exact"/>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正向指标</w:t>
            </w:r>
          </w:p>
        </w:tc>
      </w:tr>
      <w:bookmarkEnd w:id="70"/>
    </w:tbl>
    <w:p>
      <w:pPr>
        <w:pStyle w:val="8"/>
        <w:rPr>
          <w:rFonts w:hint="eastAsia" w:ascii="仿宋_GB2312" w:hAnsi="Calibri" w:eastAsia="仿宋_GB2312" w:cs="仿宋"/>
          <w:color w:val="auto"/>
          <w:kern w:val="0"/>
          <w:sz w:val="32"/>
          <w:szCs w:val="32"/>
          <w:highlight w:val="red"/>
          <w:lang w:val="en-US" w:eastAsia="zh-CN" w:bidi="ar-SA"/>
        </w:rPr>
      </w:pPr>
    </w:p>
    <w:p>
      <w:pPr>
        <w:spacing w:line="600" w:lineRule="exact"/>
        <w:jc w:val="center"/>
        <w:outlineLvl w:val="0"/>
        <w:rPr>
          <w:rFonts w:hint="eastAsia" w:ascii="黑体" w:hAnsi="黑体" w:eastAsia="黑体"/>
          <w:color w:val="auto"/>
          <w:sz w:val="44"/>
          <w:szCs w:val="44"/>
          <w:highlight w:val="none"/>
        </w:rPr>
        <w:sectPr>
          <w:pgSz w:w="16838" w:h="11906" w:orient="landscape"/>
          <w:pgMar w:top="1800" w:right="1440" w:bottom="1800" w:left="1440" w:header="851" w:footer="992" w:gutter="0"/>
          <w:pgNumType w:fmt="decimal"/>
          <w:cols w:space="425" w:num="1"/>
          <w:docGrid w:type="lines" w:linePitch="312" w:charSpace="0"/>
        </w:sectPr>
      </w:pPr>
    </w:p>
    <w:p>
      <w:pPr>
        <w:spacing w:line="600" w:lineRule="exact"/>
        <w:jc w:val="center"/>
        <w:outlineLvl w:val="0"/>
        <w:rPr>
          <w:rFonts w:hint="eastAsia" w:ascii="仿宋" w:hAnsi="仿宋" w:eastAsia="仿宋"/>
          <w:b w:val="0"/>
          <w:color w:val="auto"/>
          <w:highlight w:val="none"/>
        </w:rPr>
      </w:pPr>
      <w:r>
        <w:rPr>
          <w:rFonts w:hint="eastAsia" w:ascii="黑体" w:hAnsi="黑体" w:eastAsia="黑体"/>
          <w:color w:val="auto"/>
          <w:sz w:val="44"/>
          <w:szCs w:val="44"/>
          <w:highlight w:val="none"/>
        </w:rPr>
        <w:t>第</w:t>
      </w:r>
      <w:r>
        <w:rPr>
          <w:rStyle w:val="31"/>
          <w:rFonts w:hint="eastAsia" w:ascii="黑体" w:hAnsi="黑体" w:eastAsia="黑体"/>
          <w:b w:val="0"/>
          <w:color w:val="auto"/>
          <w:highlight w:val="none"/>
        </w:rPr>
        <w:t>五部分 附表</w:t>
      </w:r>
      <w:bookmarkEnd w:id="54"/>
      <w:bookmarkEnd w:id="56"/>
      <w:bookmarkStart w:id="57" w:name="_Toc15396619"/>
    </w:p>
    <w:p>
      <w:pPr>
        <w:pStyle w:val="5"/>
        <w:rPr>
          <w:rFonts w:ascii="仿宋" w:hAnsi="仿宋" w:eastAsia="仿宋"/>
          <w:color w:val="auto"/>
          <w:highlight w:val="none"/>
        </w:rPr>
      </w:pPr>
      <w:r>
        <w:rPr>
          <w:rFonts w:hint="eastAsia" w:ascii="仿宋" w:hAnsi="仿宋" w:eastAsia="仿宋"/>
          <w:b w:val="0"/>
          <w:color w:val="auto"/>
          <w:highlight w:val="none"/>
        </w:rPr>
        <w:t>一、收</w:t>
      </w:r>
      <w:r>
        <w:rPr>
          <w:rStyle w:val="32"/>
          <w:rFonts w:hint="eastAsia" w:ascii="仿宋" w:hAnsi="仿宋" w:eastAsia="仿宋"/>
          <w:b w:val="0"/>
          <w:bCs w:val="0"/>
          <w:color w:val="auto"/>
          <w:highlight w:val="none"/>
        </w:rPr>
        <w:t>入支出决算总表</w:t>
      </w:r>
      <w:bookmarkEnd w:id="57"/>
    </w:p>
    <w:p>
      <w:pPr>
        <w:pStyle w:val="5"/>
        <w:rPr>
          <w:rFonts w:ascii="仿宋" w:hAnsi="仿宋" w:eastAsia="仿宋"/>
          <w:color w:val="auto"/>
          <w:highlight w:val="none"/>
        </w:rPr>
      </w:pPr>
      <w:bookmarkStart w:id="58" w:name="_Toc15396620"/>
      <w:r>
        <w:rPr>
          <w:rFonts w:hint="eastAsia" w:ascii="仿宋" w:hAnsi="仿宋" w:eastAsia="仿宋"/>
          <w:b w:val="0"/>
          <w:color w:val="auto"/>
          <w:highlight w:val="none"/>
        </w:rPr>
        <w:t>二、收</w:t>
      </w:r>
      <w:r>
        <w:rPr>
          <w:rStyle w:val="32"/>
          <w:rFonts w:hint="eastAsia" w:ascii="仿宋" w:hAnsi="仿宋" w:eastAsia="仿宋"/>
          <w:b w:val="0"/>
          <w:bCs w:val="0"/>
          <w:color w:val="auto"/>
          <w:highlight w:val="none"/>
        </w:rPr>
        <w:t>入决算表</w:t>
      </w:r>
      <w:bookmarkEnd w:id="58"/>
    </w:p>
    <w:p>
      <w:pPr>
        <w:pStyle w:val="5"/>
        <w:rPr>
          <w:rFonts w:ascii="仿宋" w:hAnsi="仿宋" w:eastAsia="仿宋"/>
          <w:color w:val="auto"/>
          <w:highlight w:val="none"/>
        </w:rPr>
      </w:pPr>
      <w:bookmarkStart w:id="59" w:name="_Toc15396621"/>
      <w:r>
        <w:rPr>
          <w:rStyle w:val="32"/>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32"/>
          <w:rFonts w:hint="eastAsia" w:ascii="仿宋" w:hAnsi="仿宋" w:eastAsia="仿宋"/>
          <w:b w:val="0"/>
          <w:bCs w:val="0"/>
          <w:color w:val="auto"/>
          <w:highlight w:val="none"/>
        </w:rPr>
        <w:t>出决算表</w:t>
      </w:r>
      <w:bookmarkEnd w:id="59"/>
    </w:p>
    <w:p>
      <w:pPr>
        <w:pStyle w:val="5"/>
        <w:rPr>
          <w:rFonts w:ascii="仿宋" w:hAnsi="仿宋" w:eastAsia="仿宋"/>
          <w:b w:val="0"/>
          <w:color w:val="auto"/>
          <w:highlight w:val="none"/>
        </w:rPr>
      </w:pPr>
      <w:bookmarkStart w:id="60" w:name="_Toc15396622"/>
      <w:r>
        <w:rPr>
          <w:rStyle w:val="32"/>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32"/>
          <w:rFonts w:hint="eastAsia" w:ascii="仿宋" w:hAnsi="仿宋" w:eastAsia="仿宋"/>
          <w:b w:val="0"/>
          <w:bCs w:val="0"/>
          <w:color w:val="auto"/>
          <w:highlight w:val="none"/>
        </w:rPr>
        <w:t>政拨款收入支出决算总表</w:t>
      </w:r>
      <w:bookmarkEnd w:id="60"/>
    </w:p>
    <w:p>
      <w:pPr>
        <w:pStyle w:val="5"/>
        <w:rPr>
          <w:rStyle w:val="32"/>
          <w:rFonts w:ascii="仿宋" w:hAnsi="仿宋" w:eastAsia="仿宋"/>
          <w:b w:val="0"/>
          <w:bCs w:val="0"/>
          <w:color w:val="auto"/>
          <w:highlight w:val="none"/>
        </w:rPr>
      </w:pPr>
      <w:bookmarkStart w:id="61" w:name="_Toc15396623"/>
      <w:r>
        <w:rPr>
          <w:rStyle w:val="32"/>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32"/>
          <w:rFonts w:hint="eastAsia" w:ascii="仿宋" w:hAnsi="仿宋" w:eastAsia="仿宋"/>
          <w:b w:val="0"/>
          <w:bCs w:val="0"/>
          <w:color w:val="auto"/>
          <w:highlight w:val="none"/>
        </w:rPr>
        <w:t>政拨款支出决算明细表</w:t>
      </w:r>
      <w:bookmarkEnd w:id="61"/>
      <w:bookmarkStart w:id="62" w:name="_Toc15396624"/>
    </w:p>
    <w:p>
      <w:pPr>
        <w:pStyle w:val="5"/>
        <w:rPr>
          <w:rFonts w:ascii="仿宋" w:hAnsi="仿宋" w:eastAsia="仿宋"/>
          <w:color w:val="auto"/>
          <w:highlight w:val="none"/>
        </w:rPr>
      </w:pPr>
      <w:r>
        <w:rPr>
          <w:rStyle w:val="32"/>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32"/>
          <w:rFonts w:hint="eastAsia" w:ascii="仿宋" w:hAnsi="仿宋" w:eastAsia="仿宋"/>
          <w:b w:val="0"/>
          <w:bCs w:val="0"/>
          <w:color w:val="auto"/>
          <w:highlight w:val="none"/>
        </w:rPr>
        <w:t>般公共预算财政拨款支出决算表</w:t>
      </w:r>
      <w:bookmarkEnd w:id="62"/>
    </w:p>
    <w:p>
      <w:pPr>
        <w:pStyle w:val="5"/>
        <w:rPr>
          <w:rFonts w:ascii="仿宋" w:hAnsi="仿宋" w:eastAsia="仿宋"/>
          <w:color w:val="auto"/>
          <w:highlight w:val="none"/>
        </w:rPr>
      </w:pPr>
      <w:bookmarkStart w:id="63" w:name="_Toc15396625"/>
      <w:r>
        <w:rPr>
          <w:rStyle w:val="32"/>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32"/>
          <w:rFonts w:hint="eastAsia" w:ascii="仿宋" w:hAnsi="仿宋" w:eastAsia="仿宋"/>
          <w:b w:val="0"/>
          <w:bCs w:val="0"/>
          <w:color w:val="auto"/>
          <w:highlight w:val="none"/>
        </w:rPr>
        <w:t>般公共预算财政拨款支出决算明细表</w:t>
      </w:r>
      <w:bookmarkEnd w:id="63"/>
    </w:p>
    <w:p>
      <w:pPr>
        <w:pStyle w:val="5"/>
        <w:rPr>
          <w:rFonts w:ascii="仿宋" w:hAnsi="仿宋" w:eastAsia="仿宋"/>
          <w:color w:val="auto"/>
          <w:highlight w:val="none"/>
        </w:rPr>
      </w:pPr>
      <w:bookmarkStart w:id="64" w:name="_Toc15396626"/>
      <w:r>
        <w:rPr>
          <w:rStyle w:val="32"/>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32"/>
          <w:rFonts w:hint="eastAsia" w:ascii="仿宋" w:hAnsi="仿宋" w:eastAsia="仿宋"/>
          <w:b w:val="0"/>
          <w:bCs w:val="0"/>
          <w:color w:val="auto"/>
          <w:highlight w:val="none"/>
        </w:rPr>
        <w:t>般公共预算财政拨款基本支出决算表</w:t>
      </w:r>
      <w:bookmarkEnd w:id="64"/>
    </w:p>
    <w:p>
      <w:pPr>
        <w:pStyle w:val="5"/>
        <w:rPr>
          <w:rFonts w:ascii="仿宋" w:hAnsi="仿宋" w:eastAsia="仿宋"/>
          <w:color w:val="auto"/>
          <w:highlight w:val="none"/>
        </w:rPr>
      </w:pPr>
      <w:bookmarkStart w:id="65" w:name="_Toc15396627"/>
      <w:r>
        <w:rPr>
          <w:rStyle w:val="32"/>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32"/>
          <w:rFonts w:hint="eastAsia" w:ascii="仿宋" w:hAnsi="仿宋" w:eastAsia="仿宋"/>
          <w:b w:val="0"/>
          <w:bCs w:val="0"/>
          <w:color w:val="auto"/>
          <w:highlight w:val="none"/>
        </w:rPr>
        <w:t>般公共预算财政拨款项目支出决算表</w:t>
      </w:r>
      <w:bookmarkEnd w:id="65"/>
    </w:p>
    <w:p>
      <w:pPr>
        <w:pStyle w:val="5"/>
        <w:rPr>
          <w:rFonts w:ascii="仿宋" w:hAnsi="仿宋" w:eastAsia="仿宋"/>
          <w:color w:val="auto"/>
          <w:highlight w:val="none"/>
        </w:rPr>
      </w:pPr>
      <w:bookmarkStart w:id="66" w:name="_Toc15396628"/>
      <w:r>
        <w:rPr>
          <w:rStyle w:val="32"/>
          <w:rFonts w:hint="eastAsia" w:ascii="仿宋" w:hAnsi="仿宋" w:eastAsia="仿宋"/>
          <w:b w:val="0"/>
          <w:bCs w:val="0"/>
          <w:color w:val="auto"/>
          <w:highlight w:val="none"/>
        </w:rPr>
        <w:t>十、</w:t>
      </w:r>
      <w:bookmarkEnd w:id="66"/>
      <w:r>
        <w:rPr>
          <w:rFonts w:hint="eastAsia" w:ascii="仿宋" w:hAnsi="仿宋" w:eastAsia="仿宋"/>
          <w:b w:val="0"/>
          <w:color w:val="auto"/>
          <w:highlight w:val="none"/>
        </w:rPr>
        <w:t>政</w:t>
      </w:r>
      <w:r>
        <w:rPr>
          <w:rStyle w:val="32"/>
          <w:rFonts w:hint="eastAsia" w:ascii="仿宋" w:hAnsi="仿宋" w:eastAsia="仿宋"/>
          <w:b w:val="0"/>
          <w:bCs w:val="0"/>
          <w:color w:val="auto"/>
          <w:highlight w:val="none"/>
        </w:rPr>
        <w:t>府性基金预算财政拨款收入支出决算表</w:t>
      </w:r>
    </w:p>
    <w:p>
      <w:pPr>
        <w:pStyle w:val="5"/>
        <w:rPr>
          <w:rFonts w:ascii="仿宋" w:hAnsi="仿宋" w:eastAsia="仿宋"/>
          <w:color w:val="auto"/>
          <w:highlight w:val="none"/>
        </w:rPr>
      </w:pPr>
      <w:bookmarkStart w:id="67" w:name="_Toc15396629"/>
      <w:r>
        <w:rPr>
          <w:rStyle w:val="32"/>
          <w:rFonts w:hint="eastAsia" w:ascii="仿宋" w:hAnsi="仿宋" w:eastAsia="仿宋"/>
          <w:b w:val="0"/>
          <w:bCs w:val="0"/>
          <w:color w:val="auto"/>
          <w:highlight w:val="none"/>
        </w:rPr>
        <w:t>十一、</w:t>
      </w:r>
      <w:bookmarkEnd w:id="67"/>
      <w:r>
        <w:rPr>
          <w:rFonts w:hint="eastAsia" w:ascii="仿宋" w:hAnsi="仿宋" w:eastAsia="仿宋"/>
          <w:b w:val="0"/>
          <w:color w:val="auto"/>
          <w:highlight w:val="none"/>
        </w:rPr>
        <w:t>国</w:t>
      </w:r>
      <w:r>
        <w:rPr>
          <w:rStyle w:val="32"/>
          <w:rFonts w:hint="eastAsia" w:ascii="仿宋" w:hAnsi="仿宋" w:eastAsia="仿宋"/>
          <w:b w:val="0"/>
          <w:bCs w:val="0"/>
          <w:color w:val="auto"/>
          <w:highlight w:val="none"/>
        </w:rPr>
        <w:t>有资本经营预算</w:t>
      </w:r>
      <w:r>
        <w:rPr>
          <w:rStyle w:val="32"/>
          <w:rFonts w:hint="eastAsia" w:ascii="仿宋" w:hAnsi="仿宋" w:eastAsia="仿宋"/>
          <w:b w:val="0"/>
          <w:bCs w:val="0"/>
          <w:color w:val="auto"/>
          <w:highlight w:val="none"/>
          <w:lang w:eastAsia="zh-CN"/>
        </w:rPr>
        <w:t>财政拨款收入</w:t>
      </w:r>
      <w:r>
        <w:rPr>
          <w:rStyle w:val="32"/>
          <w:rFonts w:hint="eastAsia" w:ascii="仿宋" w:hAnsi="仿宋" w:eastAsia="仿宋"/>
          <w:b w:val="0"/>
          <w:bCs w:val="0"/>
          <w:color w:val="auto"/>
          <w:highlight w:val="none"/>
        </w:rPr>
        <w:t>支出决算表</w:t>
      </w:r>
    </w:p>
    <w:p>
      <w:pPr>
        <w:pStyle w:val="5"/>
        <w:rPr>
          <w:rFonts w:ascii="仿宋" w:hAnsi="仿宋" w:eastAsia="仿宋"/>
          <w:color w:val="auto"/>
          <w:highlight w:val="none"/>
        </w:rPr>
      </w:pPr>
      <w:bookmarkStart w:id="68" w:name="_Toc15396630"/>
      <w:r>
        <w:rPr>
          <w:rStyle w:val="32"/>
          <w:rFonts w:hint="eastAsia" w:ascii="仿宋" w:hAnsi="仿宋" w:eastAsia="仿宋"/>
          <w:b w:val="0"/>
          <w:bCs w:val="0"/>
          <w:color w:val="auto"/>
          <w:highlight w:val="none"/>
        </w:rPr>
        <w:t>十二、</w:t>
      </w:r>
      <w:bookmarkEnd w:id="68"/>
      <w:r>
        <w:rPr>
          <w:rStyle w:val="32"/>
          <w:rFonts w:hint="eastAsia" w:ascii="仿宋" w:hAnsi="仿宋" w:eastAsia="仿宋"/>
          <w:b w:val="0"/>
          <w:bCs w:val="0"/>
          <w:color w:val="auto"/>
          <w:highlight w:val="none"/>
          <w:lang w:eastAsia="zh-CN"/>
        </w:rPr>
        <w:t>国有资本经营预算财政拨款支出决算表</w:t>
      </w:r>
    </w:p>
    <w:p>
      <w:pPr>
        <w:pStyle w:val="5"/>
        <w:rPr>
          <w:rFonts w:hint="eastAsia" w:eastAsia="仿宋"/>
          <w:color w:val="auto"/>
          <w:highlight w:val="none"/>
          <w:lang w:eastAsia="zh-CN"/>
        </w:rPr>
      </w:pPr>
      <w:bookmarkStart w:id="69" w:name="_Toc15396631"/>
      <w:r>
        <w:rPr>
          <w:rStyle w:val="32"/>
          <w:rFonts w:hint="eastAsia" w:ascii="仿宋" w:hAnsi="仿宋" w:eastAsia="仿宋"/>
          <w:b w:val="0"/>
          <w:bCs w:val="0"/>
          <w:color w:val="auto"/>
          <w:highlight w:val="none"/>
        </w:rPr>
        <w:t>十三、</w:t>
      </w:r>
      <w:bookmarkEnd w:id="69"/>
      <w:r>
        <w:rPr>
          <w:rStyle w:val="32"/>
          <w:rFonts w:hint="eastAsia" w:ascii="仿宋" w:hAnsi="仿宋" w:eastAsia="仿宋"/>
          <w:b w:val="0"/>
          <w:bCs w:val="0"/>
          <w:color w:val="auto"/>
          <w:highlight w:val="none"/>
          <w:lang w:eastAsia="zh-CN"/>
        </w:rPr>
        <w:t>财政拨款“三公”经费支出决算表</w: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黑体"/>
    <w:panose1 w:val="02010601030101010101"/>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994781956"/>
                          </w:sdtPr>
                          <w:sdtContent>
                            <w:p>
                              <w:pPr>
                                <w:pStyle w:val="11"/>
                                <w:jc w:val="center"/>
                              </w:pPr>
                              <w:r>
                                <w:fldChar w:fldCharType="begin"/>
                              </w:r>
                              <w:r>
                                <w:instrText xml:space="preserve">PAGE   \* MERGEFORMAT</w:instrText>
                              </w:r>
                              <w:r>
                                <w:fldChar w:fldCharType="separate"/>
                              </w:r>
                              <w:r>
                                <w:rPr>
                                  <w:lang w:val="zh-CN"/>
                                </w:rPr>
                                <w:t>8</w:t>
                              </w:r>
                              <w:r>
                                <w:fldChar w:fldCharType="end"/>
                              </w:r>
                            </w:p>
                          </w:sdtContent>
                        </w:sdt>
                        <w:p>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sdt>
                    <w:sdtPr>
                      <w:id w:val="-1994781956"/>
                    </w:sdtPr>
                    <w:sdtContent>
                      <w:p>
                        <w:pPr>
                          <w:pStyle w:val="11"/>
                          <w:jc w:val="center"/>
                        </w:pPr>
                        <w:r>
                          <w:fldChar w:fldCharType="begin"/>
                        </w:r>
                        <w:r>
                          <w:instrText xml:space="preserve">PAGE   \* MERGEFORMAT</w:instrText>
                        </w:r>
                        <w:r>
                          <w:fldChar w:fldCharType="separate"/>
                        </w:r>
                        <w:r>
                          <w:rPr>
                            <w:lang w:val="zh-CN"/>
                          </w:rPr>
                          <w:t>8</w:t>
                        </w:r>
                        <w:r>
                          <w:fldChar w:fldCharType="end"/>
                        </w:r>
                      </w:p>
                    </w:sdtContent>
                  </w:sdt>
                  <w:p>
                    <w:pPr>
                      <w:pStyle w:val="2"/>
                    </w:pPr>
                  </w:p>
                </w:txbxContent>
              </v:textbox>
            </v:shape>
          </w:pict>
        </mc:Fallback>
      </mc:AlternateContent>
    </w: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994781956"/>
                          </w:sdtPr>
                          <w:sdtContent>
                            <w:p>
                              <w:pPr>
                                <w:pStyle w:val="11"/>
                                <w:jc w:val="center"/>
                              </w:pPr>
                              <w:r>
                                <w:fldChar w:fldCharType="begin"/>
                              </w:r>
                              <w:r>
                                <w:instrText xml:space="preserve">PAGE   \* MERGEFORMAT</w:instrText>
                              </w:r>
                              <w:r>
                                <w:fldChar w:fldCharType="separate"/>
                              </w:r>
                              <w:r>
                                <w:rPr>
                                  <w:lang w:val="zh-CN"/>
                                </w:rPr>
                                <w:t>8</w:t>
                              </w:r>
                              <w:r>
                                <w:fldChar w:fldCharType="end"/>
                              </w:r>
                            </w:p>
                          </w:sdtContent>
                        </w:sdt>
                        <w:p>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sdt>
                    <w:sdtPr>
                      <w:id w:val="-1994781956"/>
                    </w:sdtPr>
                    <w:sdtContent>
                      <w:p>
                        <w:pPr>
                          <w:pStyle w:val="11"/>
                          <w:jc w:val="center"/>
                        </w:pPr>
                        <w:r>
                          <w:fldChar w:fldCharType="begin"/>
                        </w:r>
                        <w:r>
                          <w:instrText xml:space="preserve">PAGE   \* MERGEFORMAT</w:instrText>
                        </w:r>
                        <w:r>
                          <w:fldChar w:fldCharType="separate"/>
                        </w:r>
                        <w:r>
                          <w:rPr>
                            <w:lang w:val="zh-CN"/>
                          </w:rPr>
                          <w:t>8</w:t>
                        </w:r>
                        <w:r>
                          <w:fldChar w:fldCharType="end"/>
                        </w:r>
                      </w:p>
                    </w:sdtContent>
                  </w:sdt>
                  <w:p>
                    <w:pPr>
                      <w:pStyle w:val="2"/>
                    </w:pPr>
                  </w:p>
                </w:txbxContent>
              </v:textbox>
            </v:shape>
          </w:pict>
        </mc:Fallback>
      </mc:AlternateContent>
    </w:r>
  </w:p>
  <w:p>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pPr>
                      <w:pStyle w:val="11"/>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994781956"/>
                          </w:sdtPr>
                          <w:sdtContent>
                            <w:p>
                              <w:pPr>
                                <w:pStyle w:val="11"/>
                                <w:jc w:val="center"/>
                              </w:pPr>
                              <w:r>
                                <w:fldChar w:fldCharType="begin"/>
                              </w:r>
                              <w:r>
                                <w:instrText xml:space="preserve">PAGE   \* MERGEFORMAT</w:instrText>
                              </w:r>
                              <w:r>
                                <w:fldChar w:fldCharType="separate"/>
                              </w:r>
                              <w:r>
                                <w:rPr>
                                  <w:lang w:val="zh-CN"/>
                                </w:rPr>
                                <w:t>8</w:t>
                              </w:r>
                              <w:r>
                                <w:fldChar w:fldCharType="end"/>
                              </w:r>
                            </w:p>
                          </w:sdtContent>
                        </w:sdt>
                        <w:p>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sdt>
                    <w:sdtPr>
                      <w:id w:val="-1994781956"/>
                    </w:sdtPr>
                    <w:sdtContent>
                      <w:p>
                        <w:pPr>
                          <w:pStyle w:val="11"/>
                          <w:jc w:val="center"/>
                        </w:pPr>
                        <w:r>
                          <w:fldChar w:fldCharType="begin"/>
                        </w:r>
                        <w:r>
                          <w:instrText xml:space="preserve">PAGE   \* MERGEFORMAT</w:instrText>
                        </w:r>
                        <w:r>
                          <w:fldChar w:fldCharType="separate"/>
                        </w:r>
                        <w:r>
                          <w:rPr>
                            <w:lang w:val="zh-CN"/>
                          </w:rPr>
                          <w:t>8</w:t>
                        </w:r>
                        <w:r>
                          <w:fldChar w:fldCharType="end"/>
                        </w:r>
                      </w:p>
                    </w:sdtContent>
                  </w:sdt>
                  <w:p>
                    <w:pPr>
                      <w:pStyle w:val="2"/>
                    </w:pPr>
                  </w:p>
                </w:txbxContent>
              </v:textbox>
            </v:shape>
          </w:pict>
        </mc:Fallback>
      </mc:AlternateContent>
    </w:r>
  </w:p>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5BF8D2"/>
    <w:multiLevelType w:val="singleLevel"/>
    <w:tmpl w:val="A75BF8D2"/>
    <w:lvl w:ilvl="0" w:tentative="0">
      <w:start w:val="1"/>
      <w:numFmt w:val="decimal"/>
      <w:suff w:val="nothing"/>
      <w:lvlText w:val="%1．"/>
      <w:lvlJc w:val="left"/>
      <w:pPr>
        <w:ind w:left="0" w:firstLine="400"/>
      </w:pPr>
      <w:rPr>
        <w:rFonts w:hint="default" w:ascii="Times New Roman" w:hAnsi="Times New Roman" w:cs="Times New Roman"/>
        <w:b w:val="0"/>
        <w:bCs w:val="0"/>
        <w:sz w:val="32"/>
        <w:szCs w:val="32"/>
      </w:rPr>
    </w:lvl>
  </w:abstractNum>
  <w:abstractNum w:abstractNumId="1">
    <w:nsid w:val="CF652CEC"/>
    <w:multiLevelType w:val="singleLevel"/>
    <w:tmpl w:val="CF652CEC"/>
    <w:lvl w:ilvl="0" w:tentative="0">
      <w:start w:val="9"/>
      <w:numFmt w:val="chineseCounting"/>
      <w:suff w:val="nothing"/>
      <w:lvlText w:val="%1、"/>
      <w:lvlJc w:val="left"/>
      <w:rPr>
        <w:rFonts w:hint="eastAsia"/>
      </w:rPr>
    </w:lvl>
  </w:abstractNum>
  <w:abstractNum w:abstractNumId="2">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4">
    <w:nsid w:val="3818A09A"/>
    <w:multiLevelType w:val="singleLevel"/>
    <w:tmpl w:val="3818A09A"/>
    <w:lvl w:ilvl="0" w:tentative="0">
      <w:start w:val="1"/>
      <w:numFmt w:val="chineseCounting"/>
      <w:suff w:val="nothing"/>
      <w:lvlText w:val="%1、"/>
      <w:lvlJc w:val="left"/>
      <w:rPr>
        <w:rFonts w:hint="eastAsia"/>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xMTkzN2IwYzQzNThjODZlMGJhZTM2ZTI1YzJjMTU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3390E44"/>
    <w:rsid w:val="053A62B5"/>
    <w:rsid w:val="0A2032A3"/>
    <w:rsid w:val="0B8A37D8"/>
    <w:rsid w:val="10C055FF"/>
    <w:rsid w:val="118107EC"/>
    <w:rsid w:val="11DD6519"/>
    <w:rsid w:val="14FD01B0"/>
    <w:rsid w:val="16BB723D"/>
    <w:rsid w:val="17D34C32"/>
    <w:rsid w:val="18015F3F"/>
    <w:rsid w:val="1859432B"/>
    <w:rsid w:val="1BE8440E"/>
    <w:rsid w:val="1C257BD0"/>
    <w:rsid w:val="1CF527BE"/>
    <w:rsid w:val="1D155CEE"/>
    <w:rsid w:val="20F57F95"/>
    <w:rsid w:val="214D6C17"/>
    <w:rsid w:val="240371BF"/>
    <w:rsid w:val="25711CC6"/>
    <w:rsid w:val="25C741E6"/>
    <w:rsid w:val="27842671"/>
    <w:rsid w:val="29FD04D3"/>
    <w:rsid w:val="2ABE7A3E"/>
    <w:rsid w:val="2CA234A8"/>
    <w:rsid w:val="2EFA178C"/>
    <w:rsid w:val="30B46D73"/>
    <w:rsid w:val="319F7F4E"/>
    <w:rsid w:val="33797E3B"/>
    <w:rsid w:val="33C236D2"/>
    <w:rsid w:val="383D272C"/>
    <w:rsid w:val="38F23754"/>
    <w:rsid w:val="39082DE2"/>
    <w:rsid w:val="39386A66"/>
    <w:rsid w:val="39AE70AB"/>
    <w:rsid w:val="3C0C0783"/>
    <w:rsid w:val="3F9F3A96"/>
    <w:rsid w:val="41085755"/>
    <w:rsid w:val="413F3EB4"/>
    <w:rsid w:val="416D7ED3"/>
    <w:rsid w:val="48BF60AB"/>
    <w:rsid w:val="493C27E9"/>
    <w:rsid w:val="496F39ED"/>
    <w:rsid w:val="49FF41D3"/>
    <w:rsid w:val="4A0F71F4"/>
    <w:rsid w:val="4BE068DB"/>
    <w:rsid w:val="4BF6002B"/>
    <w:rsid w:val="4ECE2238"/>
    <w:rsid w:val="51DB4B86"/>
    <w:rsid w:val="55333C3E"/>
    <w:rsid w:val="596C317A"/>
    <w:rsid w:val="64CA39A1"/>
    <w:rsid w:val="69630ADE"/>
    <w:rsid w:val="6C4A05C8"/>
    <w:rsid w:val="6D3B1A89"/>
    <w:rsid w:val="71BF4EC2"/>
    <w:rsid w:val="72082BF1"/>
    <w:rsid w:val="72734D90"/>
    <w:rsid w:val="7412278C"/>
    <w:rsid w:val="7904082E"/>
    <w:rsid w:val="79E7B28D"/>
    <w:rsid w:val="7F9F20EE"/>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99" w:semiHidden="0" w:name="Salutation"/>
    <w:lsdException w:uiPriority="99" w:name="Date"/>
    <w:lsdException w:qFormat="1" w:unhideWhenUsed="0"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31"/>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3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35"/>
    <w:unhideWhenUsed/>
    <w:qFormat/>
    <w:uiPriority w:val="9"/>
    <w:pPr>
      <w:keepNext/>
      <w:keepLines/>
      <w:spacing w:before="260" w:after="260" w:line="416" w:lineRule="auto"/>
      <w:outlineLvl w:val="2"/>
    </w:pPr>
    <w:rPr>
      <w:b/>
      <w:bCs/>
      <w:sz w:val="32"/>
      <w:szCs w:val="32"/>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style>
  <w:style w:type="paragraph" w:styleId="3">
    <w:name w:val="Body Text Indent"/>
    <w:basedOn w:val="1"/>
    <w:qFormat/>
    <w:uiPriority w:val="0"/>
    <w:pPr>
      <w:spacing w:after="120"/>
      <w:ind w:leftChars="200"/>
    </w:pPr>
    <w:rPr>
      <w:rFonts w:ascii="仿宋_GB2312"/>
      <w:szCs w:val="32"/>
    </w:rPr>
  </w:style>
  <w:style w:type="paragraph" w:styleId="7">
    <w:name w:val="Salutation"/>
    <w:basedOn w:val="1"/>
    <w:next w:val="1"/>
    <w:qFormat/>
    <w:uiPriority w:val="99"/>
  </w:style>
  <w:style w:type="paragraph" w:styleId="8">
    <w:name w:val="Body Text"/>
    <w:basedOn w:val="1"/>
    <w:link w:val="28"/>
    <w:qFormat/>
    <w:uiPriority w:val="99"/>
    <w:pPr>
      <w:spacing w:beforeLines="30"/>
    </w:pPr>
    <w:rPr>
      <w:rFonts w:ascii="仿宋_GB2312" w:eastAsia="仿宋_GB2312"/>
      <w:kern w:val="0"/>
      <w:sz w:val="30"/>
    </w:r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4"/>
    <w:semiHidden/>
    <w:unhideWhenUsed/>
    <w:qFormat/>
    <w:uiPriority w:val="99"/>
    <w:rPr>
      <w:sz w:val="18"/>
      <w:szCs w:val="18"/>
    </w:rPr>
  </w:style>
  <w:style w:type="paragraph" w:styleId="11">
    <w:name w:val="footer"/>
    <w:basedOn w:val="1"/>
    <w:link w:val="26"/>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4"/>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Subtitle"/>
    <w:basedOn w:val="1"/>
    <w:next w:val="1"/>
    <w:qFormat/>
    <w:uiPriority w:val="0"/>
    <w:pPr>
      <w:spacing w:line="312" w:lineRule="auto"/>
      <w:jc w:val="left"/>
      <w:outlineLvl w:val="1"/>
    </w:pPr>
    <w:rPr>
      <w:rFonts w:ascii="Cambria" w:hAnsi="Cambria" w:cs="Times New Roman"/>
      <w:b/>
      <w:bCs/>
      <w:color w:val="auto"/>
      <w:kern w:val="28"/>
      <w:sz w:val="21"/>
      <w:szCs w:val="32"/>
    </w:rPr>
  </w:style>
  <w:style w:type="paragraph" w:styleId="15">
    <w:name w:val="table of figures"/>
    <w:basedOn w:val="1"/>
    <w:next w:val="1"/>
    <w:qFormat/>
    <w:uiPriority w:val="0"/>
    <w:pPr>
      <w:ind w:left="200" w:leftChars="200" w:hanging="200" w:hangingChars="200"/>
    </w:pPr>
  </w:style>
  <w:style w:type="paragraph" w:styleId="16">
    <w:name w:val="toc 2"/>
    <w:basedOn w:val="1"/>
    <w:next w:val="1"/>
    <w:unhideWhenUsed/>
    <w:qFormat/>
    <w:uiPriority w:val="39"/>
    <w:pPr>
      <w:tabs>
        <w:tab w:val="right" w:leader="dot" w:pos="8296"/>
      </w:tabs>
      <w:ind w:left="420" w:leftChars="200"/>
    </w:pPr>
  </w:style>
  <w:style w:type="paragraph" w:styleId="17">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18">
    <w:name w:val="Body Text First Indent"/>
    <w:basedOn w:val="8"/>
    <w:qFormat/>
    <w:uiPriority w:val="0"/>
    <w:pPr>
      <w:ind w:firstLine="420" w:firstLineChars="100"/>
    </w:pPr>
  </w:style>
  <w:style w:type="character" w:styleId="21">
    <w:name w:val="Strong"/>
    <w:basedOn w:val="20"/>
    <w:qFormat/>
    <w:uiPriority w:val="99"/>
    <w:rPr>
      <w:b/>
    </w:rPr>
  </w:style>
  <w:style w:type="character" w:styleId="22">
    <w:name w:val="Hyperlink"/>
    <w:basedOn w:val="20"/>
    <w:unhideWhenUsed/>
    <w:qFormat/>
    <w:uiPriority w:val="99"/>
    <w:rPr>
      <w:color w:val="0000FF" w:themeColor="hyperlink"/>
      <w:u w:val="single"/>
      <w14:textFill>
        <w14:solidFill>
          <w14:schemeClr w14:val="hlink"/>
        </w14:solidFill>
      </w14:textFill>
    </w:rPr>
  </w:style>
  <w:style w:type="character" w:customStyle="1" w:styleId="23">
    <w:name w:val="Header Char"/>
    <w:basedOn w:val="20"/>
    <w:semiHidden/>
    <w:qFormat/>
    <w:uiPriority w:val="99"/>
    <w:rPr>
      <w:rFonts w:ascii="Times New Roman" w:hAnsi="Times New Roman"/>
      <w:sz w:val="18"/>
      <w:szCs w:val="18"/>
    </w:rPr>
  </w:style>
  <w:style w:type="character" w:customStyle="1" w:styleId="24">
    <w:name w:val="页眉 Char"/>
    <w:link w:val="12"/>
    <w:semiHidden/>
    <w:qFormat/>
    <w:locked/>
    <w:uiPriority w:val="99"/>
    <w:rPr>
      <w:sz w:val="18"/>
    </w:rPr>
  </w:style>
  <w:style w:type="character" w:customStyle="1" w:styleId="25">
    <w:name w:val="Footer Char"/>
    <w:basedOn w:val="20"/>
    <w:semiHidden/>
    <w:qFormat/>
    <w:uiPriority w:val="99"/>
    <w:rPr>
      <w:rFonts w:ascii="Times New Roman" w:hAnsi="Times New Roman"/>
      <w:sz w:val="18"/>
      <w:szCs w:val="18"/>
    </w:rPr>
  </w:style>
  <w:style w:type="character" w:customStyle="1" w:styleId="26">
    <w:name w:val="页脚 Char"/>
    <w:link w:val="11"/>
    <w:qFormat/>
    <w:locked/>
    <w:uiPriority w:val="99"/>
    <w:rPr>
      <w:sz w:val="18"/>
    </w:rPr>
  </w:style>
  <w:style w:type="character" w:customStyle="1" w:styleId="27">
    <w:name w:val="Body Text Char"/>
    <w:basedOn w:val="20"/>
    <w:semiHidden/>
    <w:qFormat/>
    <w:uiPriority w:val="99"/>
    <w:rPr>
      <w:rFonts w:ascii="Times New Roman" w:hAnsi="Times New Roman"/>
      <w:szCs w:val="24"/>
    </w:rPr>
  </w:style>
  <w:style w:type="character" w:customStyle="1" w:styleId="28">
    <w:name w:val="正文文本 Char"/>
    <w:link w:val="8"/>
    <w:qFormat/>
    <w:locked/>
    <w:uiPriority w:val="99"/>
    <w:rPr>
      <w:rFonts w:ascii="仿宋_GB2312" w:hAnsi="Times New Roman" w:eastAsia="仿宋_GB2312"/>
      <w:sz w:val="24"/>
    </w:rPr>
  </w:style>
  <w:style w:type="paragraph" w:customStyle="1" w:styleId="29">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0">
    <w:name w:val="List Paragraph"/>
    <w:basedOn w:val="1"/>
    <w:qFormat/>
    <w:uiPriority w:val="34"/>
    <w:pPr>
      <w:ind w:firstLine="420" w:firstLineChars="200"/>
    </w:pPr>
  </w:style>
  <w:style w:type="character" w:customStyle="1" w:styleId="31">
    <w:name w:val="标题 1 Char"/>
    <w:basedOn w:val="20"/>
    <w:link w:val="4"/>
    <w:qFormat/>
    <w:uiPriority w:val="9"/>
    <w:rPr>
      <w:rFonts w:ascii="Times New Roman" w:hAnsi="Times New Roman"/>
      <w:b/>
      <w:bCs/>
      <w:kern w:val="44"/>
      <w:sz w:val="44"/>
      <w:szCs w:val="44"/>
    </w:rPr>
  </w:style>
  <w:style w:type="character" w:customStyle="1" w:styleId="32">
    <w:name w:val="标题 2 Char"/>
    <w:basedOn w:val="20"/>
    <w:link w:val="5"/>
    <w:qFormat/>
    <w:uiPriority w:val="9"/>
    <w:rPr>
      <w:rFonts w:asciiTheme="majorHAnsi" w:hAnsiTheme="majorHAnsi" w:eastAsiaTheme="majorEastAsia" w:cstheme="majorBidi"/>
      <w:b/>
      <w:bCs/>
      <w:kern w:val="2"/>
      <w:sz w:val="32"/>
      <w:szCs w:val="32"/>
    </w:rPr>
  </w:style>
  <w:style w:type="paragraph" w:customStyle="1" w:styleId="33">
    <w:name w:val="TOC 标题1"/>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4">
    <w:name w:val="批注框文本 Char"/>
    <w:basedOn w:val="20"/>
    <w:link w:val="10"/>
    <w:semiHidden/>
    <w:qFormat/>
    <w:uiPriority w:val="99"/>
    <w:rPr>
      <w:rFonts w:ascii="Times New Roman" w:hAnsi="Times New Roman"/>
      <w:kern w:val="2"/>
      <w:sz w:val="18"/>
      <w:szCs w:val="18"/>
    </w:rPr>
  </w:style>
  <w:style w:type="character" w:customStyle="1" w:styleId="35">
    <w:name w:val="标题 3 Char"/>
    <w:basedOn w:val="20"/>
    <w:link w:val="6"/>
    <w:qFormat/>
    <w:uiPriority w:val="9"/>
    <w:rPr>
      <w:rFonts w:ascii="Times New Roman" w:hAnsi="Times New Roman"/>
      <w:b/>
      <w:bCs/>
      <w:kern w:val="2"/>
      <w:sz w:val="32"/>
      <w:szCs w:val="32"/>
    </w:rPr>
  </w:style>
  <w:style w:type="paragraph" w:customStyle="1" w:styleId="36">
    <w:name w:val="TOC Heading"/>
    <w:basedOn w:val="4"/>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7">
    <w:name w:val="四号正文"/>
    <w:basedOn w:val="1"/>
    <w:qFormat/>
    <w:uiPriority w:val="0"/>
    <w:pPr>
      <w:spacing w:line="360" w:lineRule="auto"/>
    </w:pPr>
    <w:rPr>
      <w:rFonts w:ascii="??" w:hAnsi="??" w:eastAsia="宋体"/>
      <w:color w:val="000000"/>
      <w:kern w:val="0"/>
      <w:sz w:val="28"/>
      <w:szCs w:val="21"/>
      <w:lang w:val="zh-CN" w:eastAsia="zh-CN"/>
    </w:rPr>
  </w:style>
  <w:style w:type="character" w:customStyle="1" w:styleId="38">
    <w:name w:val="font71"/>
    <w:basedOn w:val="20"/>
    <w:qFormat/>
    <w:uiPriority w:val="0"/>
    <w:rPr>
      <w:rFonts w:hint="eastAsia" w:ascii="宋体" w:hAnsi="宋体" w:eastAsia="宋体" w:cs="宋体"/>
      <w:color w:val="000000"/>
      <w:sz w:val="16"/>
      <w:szCs w:val="16"/>
      <w:u w:val="none"/>
    </w:rPr>
  </w:style>
  <w:style w:type="character" w:customStyle="1" w:styleId="39">
    <w:name w:val="font01"/>
    <w:basedOn w:val="20"/>
    <w:qFormat/>
    <w:uiPriority w:val="0"/>
    <w:rPr>
      <w:rFonts w:hint="eastAsia" w:ascii="宋体" w:hAnsi="宋体" w:eastAsia="宋体" w:cs="宋体"/>
      <w:b/>
      <w:color w:val="000000"/>
      <w:sz w:val="16"/>
      <w:szCs w:val="16"/>
      <w:u w:val="none"/>
    </w:rPr>
  </w:style>
  <w:style w:type="character" w:customStyle="1" w:styleId="40">
    <w:name w:val="NormalCharacter"/>
    <w:qFormat/>
    <w:uiPriority w:val="0"/>
    <w:rPr>
      <w:rFonts w:ascii="Calibri" w:hAnsi="Calibri" w:eastAsia="宋体" w:cs="Times New Roman"/>
    </w:rPr>
  </w:style>
  <w:style w:type="character" w:customStyle="1" w:styleId="41">
    <w:name w:val="font31"/>
    <w:basedOn w:val="20"/>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chart" Target="charts/chart7.xml"/><Relationship Id="rId16" Type="http://schemas.openxmlformats.org/officeDocument/2006/relationships/chart" Target="charts/chart6.xml"/><Relationship Id="rId15" Type="http://schemas.openxmlformats.org/officeDocument/2006/relationships/chart" Target="charts/chart5.xml"/><Relationship Id="rId14" Type="http://schemas.openxmlformats.org/officeDocument/2006/relationships/chart" Target="charts/chart4.xml"/><Relationship Id="rId13" Type="http://schemas.openxmlformats.org/officeDocument/2006/relationships/chart" Target="charts/chart3.xml"/><Relationship Id="rId12" Type="http://schemas.openxmlformats.org/officeDocument/2006/relationships/chart" Target="charts/chart2.xml"/><Relationship Id="rId11" Type="http://schemas.openxmlformats.org/officeDocument/2006/relationships/chart" Target="charts/chart1.xml"/><Relationship Id="rId10" Type="http://schemas.openxmlformats.org/officeDocument/2006/relationships/theme" Target="theme/theme1.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E:\&#23616;&#26426;&#20851;&#36130;&#21153;&#36164;&#26009;\&#21382;&#24180;&#24066;&#32423;&#20915;&#31639;\2022&#20915;&#31639;&#36164;&#26009;\2022&#24180;&#20915;&#31639;&#20010;&#20844;&#24320;\2022&#24180;&#20915;&#31639;&#32534;&#21046;&#35828;&#26126;&#36741;&#34920;&#26426;&#20851;.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E:\&#23616;&#26426;&#20851;&#36130;&#21153;&#36164;&#26009;\&#21382;&#24180;&#24066;&#32423;&#20915;&#31639;\2022&#20915;&#31639;&#36164;&#26009;\2022&#24180;&#20915;&#31639;&#20010;&#20844;&#24320;\2022&#24180;&#20915;&#31639;&#32534;&#21046;&#35828;&#26126;&#36741;&#34920;&#26426;&#20851;.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E:\&#23616;&#26426;&#20851;&#36130;&#21153;&#36164;&#26009;\&#21382;&#24180;&#24066;&#32423;&#20915;&#31639;\2022&#20915;&#31639;&#36164;&#26009;\2022&#24180;&#20915;&#31639;&#20010;&#20844;&#24320;\2022&#24180;&#20915;&#31639;&#32534;&#21046;&#35828;&#26126;&#36741;&#34920;&#26426;&#20851;.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E:\&#23616;&#26426;&#20851;&#36130;&#21153;&#36164;&#26009;\&#21382;&#24180;&#24066;&#32423;&#20915;&#31639;\2022&#20915;&#31639;&#36164;&#26009;\2022&#24180;&#20915;&#31639;&#20010;&#20844;&#24320;\2022&#24180;&#20915;&#31639;&#32534;&#21046;&#35828;&#26126;&#36741;&#34920;&#26426;&#20851;.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E:\&#23616;&#26426;&#20851;&#36130;&#21153;&#36164;&#26009;\&#21382;&#24180;&#24066;&#32423;&#20915;&#31639;\2022&#20915;&#31639;&#36164;&#26009;\2022&#24180;&#20915;&#31639;&#20010;&#20844;&#24320;\2022&#24180;&#20915;&#31639;&#32534;&#21046;&#35828;&#26126;&#36741;&#34920;&#26426;&#20851;.xlsx"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E:\&#23616;&#26426;&#20851;&#36130;&#21153;&#36164;&#26009;\&#21382;&#24180;&#24066;&#32423;&#20915;&#31639;\2022&#20915;&#31639;&#36164;&#26009;\2022&#24180;&#20915;&#31639;&#20010;&#20844;&#24320;\2022&#24180;&#20915;&#31639;&#32534;&#21046;&#35828;&#26126;&#36741;&#34920;&#26426;&#20851;.xlsx"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file:///E:\&#23616;&#26426;&#20851;&#36130;&#21153;&#36164;&#26009;\&#21382;&#24180;&#24066;&#32423;&#20915;&#31639;\2022&#20915;&#31639;&#36164;&#26009;\2022&#24180;&#20915;&#31639;&#20010;&#20844;&#24320;\2022&#24180;&#20915;&#31639;&#32534;&#21046;&#35828;&#26126;&#36741;&#34920;&#26426;&#2085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en-US" sz="1000"/>
              <a:t>图</a:t>
            </a:r>
            <a:r>
              <a:rPr lang="en-US" altLang="zh-CN" sz="1000"/>
              <a:t>1</a:t>
            </a:r>
            <a:r>
              <a:rPr lang="zh-CN" altLang="en-US" sz="1000"/>
              <a:t>：</a:t>
            </a:r>
            <a:r>
              <a:rPr lang="zh-CN" altLang="zh-CN" sz="1100" b="0" i="0" u="none" strike="noStrike" baseline="0">
                <a:effectLst/>
              </a:rPr>
              <a:t>收、支决算总计变动情况图</a:t>
            </a:r>
            <a:endParaRPr lang="zh-CN" altLang="en-US" sz="1100"/>
          </a:p>
        </c:rich>
      </c:tx>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delete val="1"/>
          </c:dLbls>
          <c:cat>
            <c:strRef>
              <c:f>[2022年决算编制说明辅表机关.xlsx]机关1!$B$14:$B$15</c:f>
              <c:strCache>
                <c:ptCount val="2"/>
                <c:pt idx="0">
                  <c:v>2021年收支总计</c:v>
                </c:pt>
                <c:pt idx="1">
                  <c:v>2022年收支总计</c:v>
                </c:pt>
              </c:strCache>
            </c:strRef>
          </c:cat>
          <c:val>
            <c:numRef>
              <c:f>[2022年决算编制说明辅表机关.xlsx]机关1!$C$14:$C$15</c:f>
              <c:numCache>
                <c:formatCode>#,##0.00</c:formatCode>
                <c:ptCount val="2"/>
                <c:pt idx="0">
                  <c:v>8009.98</c:v>
                </c:pt>
                <c:pt idx="1">
                  <c:v>4609.43</c:v>
                </c:pt>
              </c:numCache>
            </c:numRef>
          </c:val>
        </c:ser>
        <c:dLbls>
          <c:showLegendKey val="0"/>
          <c:showVal val="0"/>
          <c:showCatName val="0"/>
          <c:showSerName val="0"/>
          <c:showPercent val="0"/>
          <c:showBubbleSize val="0"/>
        </c:dLbls>
        <c:gapWidth val="219"/>
        <c:overlap val="-27"/>
        <c:axId val="242179848"/>
        <c:axId val="242180232"/>
      </c:barChart>
      <c:catAx>
        <c:axId val="2421798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42180232"/>
        <c:crosses val="autoZero"/>
        <c:auto val="1"/>
        <c:lblAlgn val="ctr"/>
        <c:lblOffset val="100"/>
        <c:noMultiLvlLbl val="0"/>
      </c:catAx>
      <c:valAx>
        <c:axId val="24218023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4217984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en-US" sz="1000"/>
              <a:t>图</a:t>
            </a:r>
            <a:r>
              <a:rPr lang="en-US" altLang="zh-CN" sz="1000"/>
              <a:t>2</a:t>
            </a:r>
            <a:r>
              <a:rPr lang="zh-CN" altLang="en-US" sz="1000"/>
              <a:t>：收入决算结构图</a:t>
            </a:r>
            <a:endParaRPr lang="zh-CN" altLang="en-US" sz="1000"/>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elete val="1"/>
          </c:dLbls>
          <c:cat>
            <c:strRef>
              <c:f>[2022年决算编制说明辅表机关.xlsx]机关1!$B$1:$B$3</c:f>
              <c:strCache>
                <c:ptCount val="3"/>
                <c:pt idx="0">
                  <c:v>一般公共预算</c:v>
                </c:pt>
                <c:pt idx="1">
                  <c:v>其他收入</c:v>
                </c:pt>
                <c:pt idx="2">
                  <c:v>政府性基金预算</c:v>
                </c:pt>
              </c:strCache>
            </c:strRef>
          </c:cat>
          <c:val>
            <c:numRef>
              <c:f>[2022年决算编制说明辅表机关.xlsx]机关1!$C$1:$C$3</c:f>
              <c:numCache>
                <c:formatCode>#,##0.00</c:formatCode>
                <c:ptCount val="3"/>
                <c:pt idx="0">
                  <c:v>2615.81</c:v>
                </c:pt>
                <c:pt idx="1">
                  <c:v>0.09</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en-US" sz="1000"/>
              <a:t>图</a:t>
            </a:r>
            <a:r>
              <a:rPr lang="en-US" altLang="zh-CN" sz="1000"/>
              <a:t>3</a:t>
            </a:r>
            <a:r>
              <a:rPr lang="zh-CN" altLang="en-US" sz="1000"/>
              <a:t>：支出决算结构图</a:t>
            </a:r>
            <a:endParaRPr lang="zh-CN" altLang="en-US" sz="1000"/>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elete val="1"/>
          </c:dLbls>
          <c:cat>
            <c:strRef>
              <c:f>[2022年决算编制说明辅表机关.xlsx]机关1!$B$10:$B$11</c:f>
              <c:strCache>
                <c:ptCount val="2"/>
                <c:pt idx="0">
                  <c:v>基本支出</c:v>
                </c:pt>
                <c:pt idx="1">
                  <c:v>项目支出</c:v>
                </c:pt>
              </c:strCache>
            </c:strRef>
          </c:cat>
          <c:val>
            <c:numRef>
              <c:f>[2022年决算编制说明辅表机关.xlsx]机关1!$C$10:$C$11</c:f>
              <c:numCache>
                <c:formatCode>#,##0.00</c:formatCode>
                <c:ptCount val="2"/>
                <c:pt idx="0">
                  <c:v>2239.79</c:v>
                </c:pt>
                <c:pt idx="1">
                  <c:v>2018.74</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zh-CN" sz="1400" b="0" i="0" u="none" strike="noStrike" baseline="0">
                <a:effectLst/>
              </a:rPr>
              <a:t>图</a:t>
            </a:r>
            <a:r>
              <a:rPr lang="en-US" altLang="zh-CN" sz="1400" b="0" i="0" u="none" strike="noStrike" baseline="0">
                <a:effectLst/>
              </a:rPr>
              <a:t>4</a:t>
            </a:r>
            <a:r>
              <a:rPr lang="zh-CN" altLang="zh-CN" sz="1400" b="0" i="0" u="none" strike="noStrike" baseline="0">
                <a:effectLst/>
              </a:rPr>
              <a:t>：财政拨款收、支决算总计变动情况</a:t>
            </a:r>
            <a:endParaRPr lang="zh-CN" altLang="en-US"/>
          </a:p>
        </c:rich>
      </c:tx>
      <c:layout>
        <c:manualLayout>
          <c:xMode val="edge"/>
          <c:yMode val="edge"/>
          <c:x val="0.166342078654103"/>
          <c:y val="0.0516836380135196"/>
        </c:manualLayout>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delete val="1"/>
          </c:dLbls>
          <c:cat>
            <c:strRef>
              <c:f>[2022年决算编制说明辅表机关.xlsx]机关1!$B$36:$B$37</c:f>
              <c:strCache>
                <c:ptCount val="2"/>
                <c:pt idx="0">
                  <c:v>2021年财政拨款收支总计</c:v>
                </c:pt>
                <c:pt idx="1">
                  <c:v>2022年财政拨款收支总计</c:v>
                </c:pt>
              </c:strCache>
            </c:strRef>
          </c:cat>
          <c:val>
            <c:numRef>
              <c:f>[2022年决算编制说明辅表机关.xlsx]机关1!$C$36:$C$37</c:f>
              <c:numCache>
                <c:formatCode>#,##0.00</c:formatCode>
                <c:ptCount val="2"/>
                <c:pt idx="0">
                  <c:v>7759.91</c:v>
                </c:pt>
                <c:pt idx="1">
                  <c:v>4359.48</c:v>
                </c:pt>
              </c:numCache>
            </c:numRef>
          </c:val>
        </c:ser>
        <c:dLbls>
          <c:showLegendKey val="0"/>
          <c:showVal val="0"/>
          <c:showCatName val="0"/>
          <c:showSerName val="0"/>
          <c:showPercent val="0"/>
          <c:showBubbleSize val="0"/>
        </c:dLbls>
        <c:gapWidth val="219"/>
        <c:overlap val="-27"/>
        <c:axId val="371911240"/>
        <c:axId val="371908288"/>
      </c:barChart>
      <c:catAx>
        <c:axId val="3719112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71908288"/>
        <c:crosses val="autoZero"/>
        <c:auto val="1"/>
        <c:lblAlgn val="ctr"/>
        <c:lblOffset val="100"/>
        <c:noMultiLvlLbl val="0"/>
      </c:catAx>
      <c:valAx>
        <c:axId val="371908288"/>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7191124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en-US" sz="1000"/>
              <a:t>图</a:t>
            </a:r>
            <a:r>
              <a:rPr lang="en-US" altLang="zh-CN" sz="1000"/>
              <a:t>5</a:t>
            </a:r>
            <a:r>
              <a:rPr lang="zh-CN" altLang="en-US" sz="1000"/>
              <a:t>：一般公共预算财政拨款支出决算变动情况</a:t>
            </a:r>
            <a:endParaRPr lang="zh-CN" altLang="en-US" sz="1000"/>
          </a:p>
        </c:rich>
      </c:tx>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delete val="1"/>
          </c:dLbls>
          <c:cat>
            <c:strRef>
              <c:f>[2022年决算编制说明辅表机关.xlsx]机关1!$B$18:$B$19</c:f>
              <c:strCache>
                <c:ptCount val="2"/>
                <c:pt idx="0">
                  <c:v>2021年一般公共预算财政拨款支出</c:v>
                </c:pt>
                <c:pt idx="1">
                  <c:v>2022年一般公共预算财政拨款支出</c:v>
                </c:pt>
              </c:strCache>
            </c:strRef>
          </c:cat>
          <c:val>
            <c:numRef>
              <c:f>[2022年决算编制说明辅表机关.xlsx]机关1!$C$18:$C$19</c:f>
              <c:numCache>
                <c:formatCode>#,##0.00</c:formatCode>
                <c:ptCount val="2"/>
                <c:pt idx="0">
                  <c:v>5260.15</c:v>
                </c:pt>
                <c:pt idx="1">
                  <c:v>4258.45</c:v>
                </c:pt>
              </c:numCache>
            </c:numRef>
          </c:val>
        </c:ser>
        <c:dLbls>
          <c:showLegendKey val="0"/>
          <c:showVal val="0"/>
          <c:showCatName val="0"/>
          <c:showSerName val="0"/>
          <c:showPercent val="0"/>
          <c:showBubbleSize val="0"/>
        </c:dLbls>
        <c:gapWidth val="219"/>
        <c:overlap val="-27"/>
        <c:axId val="242232136"/>
        <c:axId val="242232520"/>
      </c:barChart>
      <c:catAx>
        <c:axId val="24223213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42232520"/>
        <c:crosses val="autoZero"/>
        <c:auto val="1"/>
        <c:lblAlgn val="ctr"/>
        <c:lblOffset val="100"/>
        <c:noMultiLvlLbl val="0"/>
      </c:catAx>
      <c:valAx>
        <c:axId val="24223252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4223213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en-US" sz="1000"/>
              <a:t>图</a:t>
            </a:r>
            <a:r>
              <a:rPr lang="en-US" altLang="zh-CN" sz="1000"/>
              <a:t>6</a:t>
            </a:r>
            <a:r>
              <a:rPr lang="zh-CN" altLang="en-US" sz="1000"/>
              <a:t>：一般公共预算财政拨款支出决算结构</a:t>
            </a:r>
            <a:endParaRPr lang="zh-CN" altLang="en-US" sz="1000"/>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Pt>
            <c:idx val="5"/>
            <c:bubble3D val="0"/>
            <c:spPr>
              <a:solidFill>
                <a:schemeClr val="accent6"/>
              </a:solidFill>
              <a:ln w="19050">
                <a:solidFill>
                  <a:schemeClr val="lt1"/>
                </a:solidFill>
              </a:ln>
              <a:effectLst/>
            </c:spPr>
          </c:dPt>
          <c:dPt>
            <c:idx val="6"/>
            <c:bubble3D val="0"/>
            <c:spPr>
              <a:solidFill>
                <a:schemeClr val="accent1">
                  <a:lumMod val="60000"/>
                </a:schemeClr>
              </a:solidFill>
              <a:ln w="19050">
                <a:solidFill>
                  <a:schemeClr val="lt1"/>
                </a:solidFill>
              </a:ln>
              <a:effectLst/>
            </c:spPr>
          </c:dPt>
          <c:dLbls>
            <c:delete val="1"/>
          </c:dLbls>
          <c:cat>
            <c:strRef>
              <c:f>[2022年决算编制说明辅表机关.xlsx]机关2!$A$2:$A$8</c:f>
              <c:strCache>
                <c:ptCount val="7"/>
                <c:pt idx="0">
                  <c:v>社会保障和就业支出</c:v>
                </c:pt>
                <c:pt idx="1">
                  <c:v>一般公共服务支出</c:v>
                </c:pt>
                <c:pt idx="2">
                  <c:v>科学技术支出</c:v>
                </c:pt>
                <c:pt idx="3">
                  <c:v>卫生健康支出</c:v>
                </c:pt>
                <c:pt idx="4">
                  <c:v>农林水支出</c:v>
                </c:pt>
                <c:pt idx="5">
                  <c:v>交通运输支出</c:v>
                </c:pt>
                <c:pt idx="6">
                  <c:v>住房保障支出</c:v>
                </c:pt>
              </c:strCache>
            </c:strRef>
          </c:cat>
          <c:val>
            <c:numRef>
              <c:f>[2022年决算编制说明辅表机关.xlsx]机关2!$B$2:$B$8</c:f>
              <c:numCache>
                <c:formatCode>General</c:formatCode>
                <c:ptCount val="7"/>
                <c:pt idx="0">
                  <c:v>165.03</c:v>
                </c:pt>
                <c:pt idx="1">
                  <c:v>0.71</c:v>
                </c:pt>
                <c:pt idx="2">
                  <c:v>4.58</c:v>
                </c:pt>
                <c:pt idx="3">
                  <c:v>66.49</c:v>
                </c:pt>
                <c:pt idx="4" c:formatCode="#,##0.00">
                  <c:v>2587.06</c:v>
                </c:pt>
                <c:pt idx="5" c:formatCode="#,##0.00">
                  <c:v>1265.51</c:v>
                </c:pt>
                <c:pt idx="6">
                  <c:v>169.08</c:v>
                </c:pt>
              </c:numCache>
            </c:numRef>
          </c:val>
        </c:ser>
        <c:ser>
          <c:idx val="1"/>
          <c:order val="1"/>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Pt>
            <c:idx val="5"/>
            <c:bubble3D val="0"/>
            <c:spPr>
              <a:solidFill>
                <a:schemeClr val="accent6"/>
              </a:solidFill>
              <a:ln w="19050">
                <a:solidFill>
                  <a:schemeClr val="lt1"/>
                </a:solidFill>
              </a:ln>
              <a:effectLst/>
            </c:spPr>
          </c:dPt>
          <c:dPt>
            <c:idx val="6"/>
            <c:bubble3D val="0"/>
            <c:spPr>
              <a:solidFill>
                <a:schemeClr val="accent1">
                  <a:lumMod val="60000"/>
                </a:schemeClr>
              </a:solidFill>
              <a:ln w="19050">
                <a:solidFill>
                  <a:schemeClr val="lt1"/>
                </a:solidFill>
              </a:ln>
              <a:effectLst/>
            </c:spPr>
          </c:dPt>
          <c:dLbls>
            <c:delete val="1"/>
          </c:dLbls>
          <c:cat>
            <c:strRef>
              <c:f>[2022年决算编制说明辅表机关.xlsx]机关2!$A$2:$A$8</c:f>
              <c:strCache>
                <c:ptCount val="7"/>
                <c:pt idx="0">
                  <c:v>社会保障和就业支出</c:v>
                </c:pt>
                <c:pt idx="1">
                  <c:v>一般公共服务支出</c:v>
                </c:pt>
                <c:pt idx="2">
                  <c:v>科学技术支出</c:v>
                </c:pt>
                <c:pt idx="3">
                  <c:v>卫生健康支出</c:v>
                </c:pt>
                <c:pt idx="4">
                  <c:v>农林水支出</c:v>
                </c:pt>
                <c:pt idx="5">
                  <c:v>交通运输支出</c:v>
                </c:pt>
                <c:pt idx="6">
                  <c:v>住房保障支出</c:v>
                </c:pt>
              </c:strCache>
            </c:strRef>
          </c:cat>
          <c:val>
            <c:numRef>
              <c:f>[2022年决算编制说明辅表机关.xlsx]机关2!$C$2:$C$8</c:f>
              <c:numCache>
                <c:formatCode>0.00%</c:formatCode>
                <c:ptCount val="7"/>
                <c:pt idx="0">
                  <c:v>0.0387534460814473</c:v>
                </c:pt>
                <c:pt idx="1">
                  <c:v>0.000166726938846437</c:v>
                </c:pt>
                <c:pt idx="2">
                  <c:v>0.00107550616889674</c:v>
                </c:pt>
                <c:pt idx="3">
                  <c:v>0.0156136255829572</c:v>
                </c:pt>
                <c:pt idx="4">
                  <c:v>0.60751069635502</c:v>
                </c:pt>
                <c:pt idx="5">
                  <c:v>0.297175504759937</c:v>
                </c:pt>
                <c:pt idx="6">
                  <c:v>0.0397044941128953</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en-US" sz="1000"/>
              <a:t>图</a:t>
            </a:r>
            <a:r>
              <a:rPr lang="en-US" altLang="zh-CN" sz="1000"/>
              <a:t>7</a:t>
            </a:r>
            <a:r>
              <a:rPr lang="zh-CN" altLang="en-US" sz="1000"/>
              <a:t>：“三公”经费财政拨款支出结构</a:t>
            </a:r>
            <a:endParaRPr lang="zh-CN" altLang="en-US" sz="1000"/>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elete val="1"/>
          </c:dLbls>
          <c:cat>
            <c:strRef>
              <c:f>[2022年决算编制说明辅表机关.xlsx]机关2!$A$26:$A$28</c:f>
              <c:strCache>
                <c:ptCount val="3"/>
                <c:pt idx="0">
                  <c:v>因公出国（境）费</c:v>
                </c:pt>
                <c:pt idx="1">
                  <c:v>公务用车购置及运行维护费</c:v>
                </c:pt>
                <c:pt idx="2">
                  <c:v>公务接待费</c:v>
                </c:pt>
              </c:strCache>
            </c:strRef>
          </c:cat>
          <c:val>
            <c:numRef>
              <c:f>[2022年决算编制说明辅表机关.xlsx]机关2!$B$26:$B$28</c:f>
              <c:numCache>
                <c:formatCode>General</c:formatCode>
                <c:ptCount val="3"/>
                <c:pt idx="0">
                  <c:v>0</c:v>
                </c:pt>
                <c:pt idx="1">
                  <c:v>75.82</c:v>
                </c:pt>
                <c:pt idx="2">
                  <c:v>3.58</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24</Pages>
  <Words>1299</Words>
  <Characters>7410</Characters>
  <Lines>61</Lines>
  <Paragraphs>17</Paragraphs>
  <TotalTime>25</TotalTime>
  <ScaleCrop>false</ScaleCrop>
  <LinksUpToDate>false</LinksUpToDate>
  <CharactersWithSpaces>8692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CW</cp:lastModifiedBy>
  <cp:lastPrinted>2023-07-31T02:35:00Z</cp:lastPrinted>
  <dcterms:modified xsi:type="dcterms:W3CDTF">2023-10-19T08:32:06Z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9B57A6E686394AB4B97F94B8C6868676_13</vt:lpwstr>
  </property>
</Properties>
</file>