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left"/>
        <w:outlineLvl w:val="9"/>
        <w:rPr>
          <w:rFonts w:ascii="方正小标宋简体" w:hAnsi="宋体" w:eastAsia="方正小标宋简体"/>
          <w:color w:val="auto"/>
          <w:sz w:val="21"/>
          <w:szCs w:val="21"/>
          <w:highlight w:val="none"/>
        </w:rPr>
      </w:pPr>
      <w:bookmarkStart w:id="0"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3465"/>
      <w:bookmarkStart w:id="2" w:name="_Toc15396475"/>
      <w:bookmarkStart w:id="3" w:name="_Toc15378441"/>
      <w:bookmarkStart w:id="4" w:name="_Toc15377425"/>
      <w:bookmarkStart w:id="5" w:name="_Toc15396597"/>
      <w:bookmarkStart w:id="6" w:name="_Toc15377193"/>
      <w:bookmarkStart w:id="7" w:name="_Toc20730"/>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val="en-US" w:eastAsia="zh-CN"/>
        </w:rPr>
      </w:pPr>
      <w:bookmarkStart w:id="8" w:name="_Toc14949"/>
      <w:bookmarkStart w:id="9" w:name="_Toc12355"/>
      <w:bookmarkStart w:id="10" w:name="_Toc15378442"/>
      <w:bookmarkStart w:id="11" w:name="_Toc15377426"/>
      <w:bookmarkStart w:id="12" w:name="_Toc15377194"/>
      <w:bookmarkStart w:id="13" w:name="_Toc15396598"/>
      <w:bookmarkStart w:id="14" w:name="_Toc1539647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5" w:name="_Toc15306268"/>
      <w:r>
        <w:rPr>
          <w:rFonts w:hint="eastAsia" w:ascii="方正小标宋简体" w:hAnsi="方正小标宋简体" w:eastAsia="方正小标宋简体" w:cs="方正小标宋简体"/>
          <w:color w:val="auto"/>
          <w:sz w:val="72"/>
          <w:szCs w:val="72"/>
          <w:highlight w:val="none"/>
          <w:lang w:val="en-US" w:eastAsia="zh-CN"/>
        </w:rPr>
        <w:t>林业科学研究院</w:t>
      </w:r>
      <w:bookmarkEnd w:id="8"/>
      <w:bookmarkEnd w:id="9"/>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6" w:name="_Toc28881"/>
      <w:bookmarkStart w:id="17" w:name="_Toc31520"/>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10"/>
      <w:bookmarkEnd w:id="11"/>
      <w:bookmarkEnd w:id="12"/>
      <w:bookmarkEnd w:id="13"/>
      <w:bookmarkEnd w:id="14"/>
      <w:bookmarkEnd w:id="15"/>
      <w:bookmarkEnd w:id="16"/>
      <w:bookmarkEnd w:id="17"/>
    </w:p>
    <w:p>
      <w:pPr>
        <w:shd w:val="clear"/>
        <w:adjustRightInd w:val="0"/>
        <w:snapToGrid w:val="0"/>
        <w:spacing w:line="360" w:lineRule="auto"/>
        <w:jc w:val="center"/>
        <w:outlineLvl w:val="9"/>
        <w:rPr>
          <w:rFonts w:ascii="方正小标宋简体" w:hAnsi="宋体" w:eastAsia="方正小标宋简体"/>
          <w:color w:val="auto"/>
          <w:sz w:val="52"/>
          <w:szCs w:val="52"/>
          <w:highlight w:val="none"/>
        </w:rPr>
      </w:pPr>
    </w:p>
    <w:p>
      <w:pPr>
        <w:widowControl/>
        <w:shd w:val="clear"/>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0"/>
        <w:shd w:val="clear"/>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 xml:space="preserve">  </w:t>
      </w:r>
      <w:r>
        <w:rPr>
          <w:rFonts w:hint="eastAsia"/>
          <w:color w:val="auto"/>
          <w:highlight w:val="none"/>
        </w:rPr>
        <w:t>日</w:t>
      </w:r>
    </w:p>
    <w:sdt>
      <w:sdtPr>
        <w:rPr>
          <w:rFonts w:ascii="宋体" w:hAnsi="宋体" w:eastAsia="宋体" w:cs="Times New Roman"/>
          <w:color w:val="auto"/>
          <w:kern w:val="2"/>
          <w:sz w:val="21"/>
          <w:szCs w:val="24"/>
          <w:highlight w:val="none"/>
          <w:lang w:val="en-US" w:eastAsia="zh-CN" w:bidi="ar-SA"/>
        </w:rPr>
        <w:id w:val="147473813"/>
        <w15:color w:val="DBDBDB"/>
        <w:docPartObj>
          <w:docPartGallery w:val="Table of Contents"/>
          <w:docPartUnique/>
        </w:docPartObj>
      </w:sdtPr>
      <w:sdtEndPr>
        <w:rPr>
          <w:rFonts w:hint="eastAsia" w:ascii="仿宋_GB2312" w:hAnsi="Times New Roman" w:eastAsia="仿宋_GB2312" w:cs="Times New Roman"/>
          <w:b/>
          <w:bCs w:val="0"/>
          <w:color w:val="auto"/>
          <w:kern w:val="2"/>
          <w:sz w:val="21"/>
          <w:szCs w:val="32"/>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b/>
              <w:color w:val="auto"/>
              <w:highlight w:val="none"/>
            </w:rPr>
          </w:pPr>
          <w:r>
            <w:rPr>
              <w:rFonts w:hint="eastAsia" w:ascii="仿宋_GB2312" w:hAnsi="Times New Roman" w:eastAsia="仿宋_GB2312" w:cs="Times New Roman"/>
              <w:b w:val="0"/>
              <w:bCs w:val="0"/>
              <w:color w:val="auto"/>
              <w:kern w:val="2"/>
              <w:sz w:val="32"/>
              <w:szCs w:val="32"/>
              <w:highlight w:val="none"/>
              <w:lang w:val="en-US" w:eastAsia="zh-CN" w:bidi="ar-SA"/>
            </w:rPr>
            <w:fldChar w:fldCharType="begin"/>
          </w:r>
          <w:r>
            <w:rPr>
              <w:rFonts w:hint="eastAsia" w:ascii="仿宋_GB2312" w:hAnsi="Times New Roman" w:eastAsia="仿宋_GB2312" w:cs="Times New Roman"/>
              <w:b w:val="0"/>
              <w:bCs w:val="0"/>
              <w:color w:val="auto"/>
              <w:kern w:val="2"/>
              <w:sz w:val="32"/>
              <w:szCs w:val="32"/>
              <w:highlight w:val="none"/>
              <w:lang w:val="en-US" w:eastAsia="zh-CN" w:bidi="ar-SA"/>
            </w:rPr>
            <w:instrText xml:space="preserve">TOC \o "1-2" \h \u </w:instrText>
          </w:r>
          <w:r>
            <w:rPr>
              <w:rFonts w:hint="eastAsia" w:ascii="仿宋_GB2312" w:hAnsi="Times New Roman" w:eastAsia="仿宋_GB2312" w:cs="Times New Roman"/>
              <w:b w:val="0"/>
              <w:bCs w:val="0"/>
              <w:color w:val="auto"/>
              <w:kern w:val="2"/>
              <w:sz w:val="32"/>
              <w:szCs w:val="32"/>
              <w:highlight w:val="none"/>
              <w:lang w:val="en-US" w:eastAsia="zh-CN" w:bidi="ar-SA"/>
            </w:rPr>
            <w:fldChar w:fldCharType="separate"/>
          </w:r>
        </w:p>
        <w:p>
          <w:pPr>
            <w:pStyle w:val="30"/>
            <w:shd w:val="clear"/>
            <w:tabs>
              <w:tab w:val="right" w:leader="dot" w:pos="8306"/>
            </w:tabs>
            <w:rPr>
              <w:b/>
              <w:color w:val="auto"/>
              <w:highlight w:val="none"/>
            </w:rPr>
          </w:pPr>
          <w:r>
            <w:rPr>
              <w:rFonts w:hint="eastAsia" w:ascii="仿宋_GB2312" w:hAnsi="Times New Roman" w:eastAsia="仿宋_GB2312" w:cs="Times New Roman"/>
              <w:b/>
              <w:bCs w:val="0"/>
              <w:color w:val="auto"/>
              <w:kern w:val="2"/>
              <w:szCs w:val="32"/>
              <w:highlight w:val="none"/>
              <w:lang w:val="en-US" w:eastAsia="zh-CN" w:bidi="ar-SA"/>
            </w:rPr>
            <w:fldChar w:fldCharType="begin"/>
          </w:r>
          <w:r>
            <w:rPr>
              <w:rFonts w:hint="eastAsia" w:ascii="仿宋_GB2312" w:hAnsi="Times New Roman" w:eastAsia="仿宋_GB2312" w:cs="Times New Roman"/>
              <w:b/>
              <w:bCs w:val="0"/>
              <w:color w:val="auto"/>
              <w:kern w:val="2"/>
              <w:szCs w:val="32"/>
              <w:highlight w:val="none"/>
              <w:lang w:val="en-US" w:eastAsia="zh-CN" w:bidi="ar-SA"/>
            </w:rPr>
            <w:instrText xml:space="preserve"> HYPERLINK \l _Toc12009 </w:instrText>
          </w:r>
          <w:r>
            <w:rPr>
              <w:rFonts w:hint="eastAsia" w:ascii="仿宋_GB2312" w:hAnsi="Times New Roman" w:eastAsia="仿宋_GB2312" w:cs="Times New Roman"/>
              <w:b/>
              <w:bCs w:val="0"/>
              <w:color w:val="auto"/>
              <w:kern w:val="2"/>
              <w:szCs w:val="32"/>
              <w:highlight w:val="none"/>
              <w:lang w:val="en-US" w:eastAsia="zh-CN" w:bidi="ar-SA"/>
            </w:rPr>
            <w:fldChar w:fldCharType="separate"/>
          </w:r>
          <w:r>
            <w:rPr>
              <w:rFonts w:hint="eastAsia" w:ascii="黑体" w:hAnsi="黑体" w:eastAsia="黑体"/>
              <w:b/>
              <w:color w:val="auto"/>
              <w:highlight w:val="none"/>
            </w:rPr>
            <w:t>第一部分</w:t>
          </w:r>
          <w:r>
            <w:rPr>
              <w:rFonts w:hint="eastAsia" w:ascii="黑体" w:hAnsi="黑体" w:eastAsia="黑体"/>
              <w:b/>
              <w:color w:val="auto"/>
              <w:highlight w:val="none"/>
              <w:lang w:eastAsia="zh-CN"/>
            </w:rPr>
            <w:t>单位</w:t>
          </w:r>
          <w:r>
            <w:rPr>
              <w:rFonts w:hint="eastAsia" w:ascii="黑体" w:hAnsi="黑体" w:eastAsia="黑体"/>
              <w:b/>
              <w:bCs w:val="0"/>
              <w:color w:val="auto"/>
              <w:highlight w:val="none"/>
            </w:rPr>
            <w:t>概况</w:t>
          </w:r>
          <w:r>
            <w:rPr>
              <w:b/>
              <w:color w:val="auto"/>
              <w:highlight w:val="none"/>
            </w:rPr>
            <w:tab/>
          </w:r>
          <w:r>
            <w:rPr>
              <w:b/>
              <w:color w:val="auto"/>
              <w:highlight w:val="none"/>
            </w:rPr>
            <w:fldChar w:fldCharType="begin"/>
          </w:r>
          <w:r>
            <w:rPr>
              <w:b/>
              <w:color w:val="auto"/>
              <w:highlight w:val="none"/>
            </w:rPr>
            <w:instrText xml:space="preserve"> PAGEREF _Toc12009 \h </w:instrText>
          </w:r>
          <w:r>
            <w:rPr>
              <w:b/>
              <w:color w:val="auto"/>
              <w:highlight w:val="none"/>
            </w:rPr>
            <w:fldChar w:fldCharType="separate"/>
          </w:r>
          <w:r>
            <w:rPr>
              <w:b/>
              <w:color w:val="auto"/>
              <w:highlight w:val="none"/>
            </w:rPr>
            <w:t>1</w:t>
          </w:r>
          <w:r>
            <w:rPr>
              <w:b/>
              <w:color w:val="auto"/>
              <w:highlight w:val="none"/>
            </w:rPr>
            <w:fldChar w:fldCharType="end"/>
          </w:r>
          <w:r>
            <w:rPr>
              <w:rFonts w:hint="eastAsia" w:ascii="仿宋_GB2312" w:hAnsi="Times New Roman" w:eastAsia="仿宋_GB2312" w:cs="Times New Roman"/>
              <w:b/>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_Toc11424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bCs w:val="0"/>
              <w:color w:val="auto"/>
              <w:highlight w:val="none"/>
              <w:lang w:val="en-US" w:eastAsia="zh-CN"/>
            </w:rPr>
            <w:t>一、</w:t>
          </w:r>
          <w:r>
            <w:rPr>
              <w:rFonts w:hint="eastAsia" w:ascii="黑体" w:hAnsi="黑体" w:eastAsia="黑体"/>
              <w:bCs w:val="0"/>
              <w:color w:val="auto"/>
              <w:highlight w:val="none"/>
              <w:lang w:eastAsia="zh-CN"/>
            </w:rPr>
            <w:t>主要职责</w:t>
          </w:r>
          <w:r>
            <w:rPr>
              <w:color w:val="auto"/>
              <w:highlight w:val="none"/>
            </w:rPr>
            <w:tab/>
          </w:r>
          <w:r>
            <w:rPr>
              <w:color w:val="auto"/>
              <w:highlight w:val="none"/>
            </w:rPr>
            <w:fldChar w:fldCharType="begin"/>
          </w:r>
          <w:r>
            <w:rPr>
              <w:color w:val="auto"/>
              <w:highlight w:val="none"/>
            </w:rPr>
            <w:instrText xml:space="preserve"> PAGEREF _Toc11424 \h </w:instrText>
          </w:r>
          <w:r>
            <w:rPr>
              <w:color w:val="auto"/>
              <w:highlight w:val="none"/>
            </w:rPr>
            <w:fldChar w:fldCharType="separate"/>
          </w:r>
          <w:r>
            <w:rPr>
              <w:color w:val="auto"/>
              <w:highlight w:val="none"/>
            </w:rPr>
            <w:t>1</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_Toc9656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highlight w:val="none"/>
              <w:lang w:val="en-US" w:eastAsia="zh-CN"/>
            </w:rPr>
            <w:t>二、机构设置</w:t>
          </w:r>
          <w:r>
            <w:rPr>
              <w:color w:val="auto"/>
              <w:highlight w:val="none"/>
            </w:rPr>
            <w:tab/>
          </w:r>
          <w:r>
            <w:rPr>
              <w:color w:val="auto"/>
              <w:highlight w:val="none"/>
            </w:rPr>
            <w:fldChar w:fldCharType="begin"/>
          </w:r>
          <w:r>
            <w:rPr>
              <w:color w:val="auto"/>
              <w:highlight w:val="none"/>
            </w:rPr>
            <w:instrText xml:space="preserve"> PAGEREF _Toc9656 \h </w:instrText>
          </w:r>
          <w:r>
            <w:rPr>
              <w:color w:val="auto"/>
              <w:highlight w:val="none"/>
            </w:rPr>
            <w:fldChar w:fldCharType="separate"/>
          </w:r>
          <w:r>
            <w:rPr>
              <w:color w:val="auto"/>
              <w:highlight w:val="none"/>
            </w:rPr>
            <w:t>1</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0"/>
            <w:shd w:val="clear"/>
            <w:tabs>
              <w:tab w:val="right" w:leader="dot" w:pos="8306"/>
            </w:tabs>
            <w:rPr>
              <w:b/>
              <w:color w:val="auto"/>
              <w:highlight w:val="none"/>
            </w:rPr>
          </w:pPr>
          <w:r>
            <w:rPr>
              <w:rFonts w:hint="eastAsia" w:ascii="仿宋_GB2312" w:hAnsi="Times New Roman" w:eastAsia="仿宋_GB2312" w:cs="Times New Roman"/>
              <w:b/>
              <w:bCs w:val="0"/>
              <w:color w:val="auto"/>
              <w:kern w:val="2"/>
              <w:szCs w:val="32"/>
              <w:highlight w:val="none"/>
              <w:lang w:val="en-US" w:eastAsia="zh-CN" w:bidi="ar-SA"/>
            </w:rPr>
            <w:fldChar w:fldCharType="begin"/>
          </w:r>
          <w:r>
            <w:rPr>
              <w:rFonts w:hint="eastAsia" w:ascii="仿宋_GB2312" w:hAnsi="Times New Roman" w:eastAsia="仿宋_GB2312" w:cs="Times New Roman"/>
              <w:b/>
              <w:bCs w:val="0"/>
              <w:color w:val="auto"/>
              <w:kern w:val="2"/>
              <w:szCs w:val="32"/>
              <w:highlight w:val="none"/>
              <w:lang w:val="en-US" w:eastAsia="zh-CN" w:bidi="ar-SA"/>
            </w:rPr>
            <w:instrText xml:space="preserve"> HYPERLINK \l _Toc27493 </w:instrText>
          </w:r>
          <w:r>
            <w:rPr>
              <w:rFonts w:hint="eastAsia" w:ascii="仿宋_GB2312" w:hAnsi="Times New Roman" w:eastAsia="仿宋_GB2312" w:cs="Times New Roman"/>
              <w:b/>
              <w:bCs w:val="0"/>
              <w:color w:val="auto"/>
              <w:kern w:val="2"/>
              <w:szCs w:val="32"/>
              <w:highlight w:val="none"/>
              <w:lang w:val="en-US" w:eastAsia="zh-CN" w:bidi="ar-SA"/>
            </w:rPr>
            <w:fldChar w:fldCharType="separate"/>
          </w:r>
          <w:r>
            <w:rPr>
              <w:rFonts w:hint="eastAsia" w:ascii="黑体" w:hAnsi="黑体" w:eastAsia="黑体"/>
              <w:b/>
              <w:bCs/>
              <w:color w:val="auto"/>
              <w:highlight w:val="none"/>
            </w:rPr>
            <w:t>第二部分</w:t>
          </w:r>
          <w:r>
            <w:rPr>
              <w:rFonts w:hint="eastAsia" w:ascii="黑体" w:hAnsi="黑体" w:eastAsia="黑体"/>
              <w:b/>
              <w:bCs/>
              <w:color w:val="auto"/>
              <w:highlight w:val="none"/>
              <w:lang w:val="en-US" w:eastAsia="zh-CN"/>
            </w:rPr>
            <w:t>2022年度</w:t>
          </w:r>
          <w:r>
            <w:rPr>
              <w:rFonts w:hint="eastAsia" w:ascii="黑体" w:hAnsi="黑体" w:eastAsia="黑体"/>
              <w:b/>
              <w:bCs/>
              <w:color w:val="auto"/>
              <w:highlight w:val="none"/>
              <w:lang w:eastAsia="zh-CN"/>
            </w:rPr>
            <w:t>单位</w:t>
          </w:r>
          <w:r>
            <w:rPr>
              <w:rFonts w:hint="eastAsia" w:ascii="黑体" w:hAnsi="黑体" w:eastAsia="黑体"/>
              <w:b/>
              <w:bCs/>
              <w:color w:val="auto"/>
              <w:highlight w:val="none"/>
            </w:rPr>
            <w:t>决算情况说明</w:t>
          </w:r>
          <w:r>
            <w:rPr>
              <w:b/>
              <w:color w:val="auto"/>
              <w:highlight w:val="none"/>
            </w:rPr>
            <w:tab/>
          </w:r>
          <w:r>
            <w:rPr>
              <w:b/>
              <w:color w:val="auto"/>
              <w:highlight w:val="none"/>
            </w:rPr>
            <w:fldChar w:fldCharType="begin"/>
          </w:r>
          <w:r>
            <w:rPr>
              <w:b/>
              <w:color w:val="auto"/>
              <w:highlight w:val="none"/>
            </w:rPr>
            <w:instrText xml:space="preserve"> PAGEREF _Toc27493 \h </w:instrText>
          </w:r>
          <w:r>
            <w:rPr>
              <w:b/>
              <w:color w:val="auto"/>
              <w:highlight w:val="none"/>
            </w:rPr>
            <w:fldChar w:fldCharType="separate"/>
          </w:r>
          <w:r>
            <w:rPr>
              <w:b/>
              <w:color w:val="auto"/>
              <w:highlight w:val="none"/>
            </w:rPr>
            <w:t>2</w:t>
          </w:r>
          <w:r>
            <w:rPr>
              <w:b/>
              <w:color w:val="auto"/>
              <w:highlight w:val="none"/>
            </w:rPr>
            <w:fldChar w:fldCharType="end"/>
          </w:r>
          <w:r>
            <w:rPr>
              <w:rFonts w:hint="eastAsia" w:ascii="仿宋_GB2312" w:hAnsi="Times New Roman" w:eastAsia="仿宋_GB2312" w:cs="Times New Roman"/>
              <w:b/>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_Toc12399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szCs w:val="32"/>
              <w:highlight w:val="none"/>
              <w:lang w:val="en-US" w:eastAsia="zh-CN"/>
            </w:rPr>
            <w:t>一、</w:t>
          </w:r>
          <w:r>
            <w:rPr>
              <w:rFonts w:hint="eastAsia" w:ascii="黑体" w:hAnsi="黑体" w:eastAsia="黑体"/>
              <w:color w:val="auto"/>
              <w:szCs w:val="32"/>
              <w:highlight w:val="none"/>
            </w:rPr>
            <w:t>收</w:t>
          </w:r>
          <w:r>
            <w:rPr>
              <w:rFonts w:hint="eastAsia" w:ascii="黑体" w:hAnsi="黑体" w:eastAsia="黑体"/>
              <w:color w:val="auto"/>
              <w:highlight w:val="none"/>
            </w:rPr>
            <w:t>入支出决算总体情况说明</w:t>
          </w:r>
          <w:r>
            <w:rPr>
              <w:color w:val="auto"/>
              <w:highlight w:val="none"/>
            </w:rPr>
            <w:tab/>
          </w:r>
          <w:r>
            <w:rPr>
              <w:color w:val="auto"/>
              <w:highlight w:val="none"/>
            </w:rPr>
            <w:fldChar w:fldCharType="begin"/>
          </w:r>
          <w:r>
            <w:rPr>
              <w:color w:val="auto"/>
              <w:highlight w:val="none"/>
            </w:rPr>
            <w:instrText xml:space="preserve"> PAGEREF _Toc12399 \h </w:instrText>
          </w:r>
          <w:r>
            <w:rPr>
              <w:color w:val="auto"/>
              <w:highlight w:val="none"/>
            </w:rPr>
            <w:fldChar w:fldCharType="separate"/>
          </w:r>
          <w:r>
            <w:rPr>
              <w:color w:val="auto"/>
              <w:highlight w:val="none"/>
            </w:rPr>
            <w:t>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_Toc25681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szCs w:val="32"/>
              <w:highlight w:val="none"/>
              <w:lang w:val="en-US" w:eastAsia="zh-CN"/>
            </w:rPr>
            <w:t>二、</w:t>
          </w:r>
          <w:r>
            <w:rPr>
              <w:rFonts w:hint="eastAsia" w:ascii="黑体" w:hAnsi="黑体" w:eastAsia="黑体"/>
              <w:color w:val="auto"/>
              <w:szCs w:val="32"/>
              <w:highlight w:val="none"/>
            </w:rPr>
            <w:t>收</w:t>
          </w:r>
          <w:r>
            <w:rPr>
              <w:rFonts w:hint="eastAsia" w:ascii="黑体" w:hAnsi="黑体" w:eastAsia="黑体"/>
              <w:color w:val="auto"/>
              <w:highlight w:val="none"/>
            </w:rPr>
            <w:t>入决算情况说明</w:t>
          </w:r>
          <w:r>
            <w:rPr>
              <w:color w:val="auto"/>
              <w:highlight w:val="none"/>
            </w:rPr>
            <w:tab/>
          </w:r>
          <w:r>
            <w:rPr>
              <w:color w:val="auto"/>
              <w:highlight w:val="none"/>
            </w:rPr>
            <w:fldChar w:fldCharType="begin"/>
          </w:r>
          <w:r>
            <w:rPr>
              <w:color w:val="auto"/>
              <w:highlight w:val="none"/>
            </w:rPr>
            <w:instrText xml:space="preserve"> PAGEREF _Toc25681 \h </w:instrText>
          </w:r>
          <w:r>
            <w:rPr>
              <w:color w:val="auto"/>
              <w:highlight w:val="none"/>
            </w:rPr>
            <w:fldChar w:fldCharType="separate"/>
          </w:r>
          <w:r>
            <w:rPr>
              <w:color w:val="auto"/>
              <w:highlight w:val="none"/>
            </w:rPr>
            <w:t>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_Toc1324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szCs w:val="32"/>
              <w:highlight w:val="none"/>
              <w:lang w:val="en-US" w:eastAsia="zh-CN"/>
            </w:rPr>
            <w:t>三、</w:t>
          </w:r>
          <w:r>
            <w:rPr>
              <w:rFonts w:hint="eastAsia" w:ascii="黑体" w:hAnsi="黑体" w:eastAsia="黑体"/>
              <w:color w:val="auto"/>
              <w:szCs w:val="32"/>
              <w:highlight w:val="none"/>
            </w:rPr>
            <w:t>支</w:t>
          </w:r>
          <w:r>
            <w:rPr>
              <w:rFonts w:hint="eastAsia" w:ascii="黑体" w:hAnsi="黑体" w:eastAsia="黑体"/>
              <w:color w:val="auto"/>
              <w:highlight w:val="none"/>
            </w:rPr>
            <w:t>出决算情况说明</w:t>
          </w:r>
          <w:r>
            <w:rPr>
              <w:color w:val="auto"/>
              <w:highlight w:val="none"/>
            </w:rPr>
            <w:tab/>
          </w:r>
          <w:r>
            <w:rPr>
              <w:color w:val="auto"/>
              <w:highlight w:val="none"/>
            </w:rPr>
            <w:fldChar w:fldCharType="begin"/>
          </w:r>
          <w:r>
            <w:rPr>
              <w:color w:val="auto"/>
              <w:highlight w:val="none"/>
            </w:rPr>
            <w:instrText xml:space="preserve"> PAGEREF _Toc1324 \h </w:instrText>
          </w:r>
          <w:r>
            <w:rPr>
              <w:color w:val="auto"/>
              <w:highlight w:val="none"/>
            </w:rPr>
            <w:fldChar w:fldCharType="separate"/>
          </w:r>
          <w:r>
            <w:rPr>
              <w:color w:val="auto"/>
              <w:highlight w:val="none"/>
            </w:rPr>
            <w:t>3</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_Toc29303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szCs w:val="32"/>
              <w:highlight w:val="none"/>
              <w:lang w:val="en-US" w:eastAsia="zh-CN"/>
            </w:rPr>
            <w:t>四、</w:t>
          </w:r>
          <w:r>
            <w:rPr>
              <w:rFonts w:hint="eastAsia" w:ascii="黑体" w:hAnsi="黑体" w:eastAsia="黑体"/>
              <w:color w:val="auto"/>
              <w:szCs w:val="32"/>
              <w:highlight w:val="none"/>
            </w:rPr>
            <w:t>财</w:t>
          </w:r>
          <w:r>
            <w:rPr>
              <w:rFonts w:hint="eastAsia" w:ascii="黑体" w:hAnsi="黑体" w:eastAsia="黑体"/>
              <w:color w:val="auto"/>
              <w:highlight w:val="none"/>
            </w:rPr>
            <w:t>政拨款收入支出决算总体情况说明</w:t>
          </w:r>
          <w:r>
            <w:rPr>
              <w:color w:val="auto"/>
              <w:highlight w:val="none"/>
            </w:rPr>
            <w:tab/>
          </w:r>
          <w:r>
            <w:rPr>
              <w:color w:val="auto"/>
              <w:highlight w:val="none"/>
            </w:rPr>
            <w:fldChar w:fldCharType="begin"/>
          </w:r>
          <w:r>
            <w:rPr>
              <w:color w:val="auto"/>
              <w:highlight w:val="none"/>
            </w:rPr>
            <w:instrText xml:space="preserve"> PAGEREF _Toc29303 \h </w:instrText>
          </w:r>
          <w:r>
            <w:rPr>
              <w:color w:val="auto"/>
              <w:highlight w:val="none"/>
            </w:rPr>
            <w:fldChar w:fldCharType="separate"/>
          </w:r>
          <w:r>
            <w:rPr>
              <w:color w:val="auto"/>
              <w:highlight w:val="none"/>
            </w:rPr>
            <w:t>3</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_Toc5073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szCs w:val="32"/>
              <w:highlight w:val="none"/>
            </w:rPr>
            <w:t>五、一</w:t>
          </w:r>
          <w:r>
            <w:rPr>
              <w:rFonts w:hint="eastAsia" w:ascii="黑体" w:hAnsi="黑体" w:eastAsia="黑体"/>
              <w:color w:val="auto"/>
              <w:highlight w:val="none"/>
            </w:rPr>
            <w:t>般公共预算财政拨款支出决算情况说明</w:t>
          </w:r>
          <w:r>
            <w:rPr>
              <w:color w:val="auto"/>
              <w:highlight w:val="none"/>
            </w:rPr>
            <w:tab/>
          </w:r>
          <w:r>
            <w:rPr>
              <w:color w:val="auto"/>
              <w:highlight w:val="none"/>
            </w:rPr>
            <w:fldChar w:fldCharType="begin"/>
          </w:r>
          <w:r>
            <w:rPr>
              <w:color w:val="auto"/>
              <w:highlight w:val="none"/>
            </w:rPr>
            <w:instrText xml:space="preserve"> PAGEREF _Toc5073 \h </w:instrText>
          </w:r>
          <w:r>
            <w:rPr>
              <w:color w:val="auto"/>
              <w:highlight w:val="none"/>
            </w:rPr>
            <w:fldChar w:fldCharType="separate"/>
          </w:r>
          <w:r>
            <w:rPr>
              <w:color w:val="auto"/>
              <w:highlight w:val="none"/>
            </w:rPr>
            <w:t>3</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_Toc21985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eastAsia="黑体"/>
              <w:color w:val="auto"/>
              <w:szCs w:val="32"/>
              <w:highlight w:val="none"/>
            </w:rPr>
            <w:t>六、</w:t>
          </w:r>
          <w:r>
            <w:rPr>
              <w:rFonts w:hint="eastAsia" w:ascii="黑体" w:hAnsi="黑体" w:eastAsia="黑体"/>
              <w:color w:val="auto"/>
              <w:szCs w:val="32"/>
              <w:highlight w:val="none"/>
            </w:rPr>
            <w:t>一</w:t>
          </w:r>
          <w:r>
            <w:rPr>
              <w:rFonts w:hint="eastAsia" w:ascii="黑体" w:hAnsi="黑体" w:eastAsia="黑体"/>
              <w:color w:val="auto"/>
              <w:highlight w:val="none"/>
            </w:rPr>
            <w:t>般公共预算财政拨款基本支出决算情况说明</w:t>
          </w:r>
          <w:r>
            <w:rPr>
              <w:color w:val="auto"/>
              <w:highlight w:val="none"/>
            </w:rPr>
            <w:tab/>
          </w:r>
          <w:r>
            <w:rPr>
              <w:color w:val="auto"/>
              <w:highlight w:val="none"/>
            </w:rPr>
            <w:fldChar w:fldCharType="begin"/>
          </w:r>
          <w:r>
            <w:rPr>
              <w:color w:val="auto"/>
              <w:highlight w:val="none"/>
            </w:rPr>
            <w:instrText xml:space="preserve"> PAGEREF _Toc21985 \h </w:instrText>
          </w:r>
          <w:r>
            <w:rPr>
              <w:color w:val="auto"/>
              <w:highlight w:val="none"/>
            </w:rPr>
            <w:fldChar w:fldCharType="separate"/>
          </w:r>
          <w:r>
            <w:rPr>
              <w:color w:val="auto"/>
              <w:highlight w:val="none"/>
            </w:rPr>
            <w:t>5</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_Toc21980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eastAsia="黑体"/>
              <w:color w:val="auto"/>
              <w:szCs w:val="32"/>
              <w:highlight w:val="none"/>
            </w:rPr>
            <w:t>七、</w:t>
          </w:r>
          <w:r>
            <w:rPr>
              <w:rFonts w:hint="eastAsia" w:ascii="黑体" w:hAnsi="黑体" w:eastAsia="黑体"/>
              <w:color w:val="auto"/>
              <w:highlight w:val="none"/>
            </w:rPr>
            <w:t>财政拨款“三公”经费支出决算情况说明</w:t>
          </w:r>
          <w:r>
            <w:rPr>
              <w:color w:val="auto"/>
              <w:highlight w:val="none"/>
            </w:rPr>
            <w:tab/>
          </w:r>
          <w:r>
            <w:rPr>
              <w:color w:val="auto"/>
              <w:highlight w:val="none"/>
            </w:rPr>
            <w:fldChar w:fldCharType="begin"/>
          </w:r>
          <w:r>
            <w:rPr>
              <w:color w:val="auto"/>
              <w:highlight w:val="none"/>
            </w:rPr>
            <w:instrText xml:space="preserve"> PAGEREF _Toc21980 \h </w:instrText>
          </w:r>
          <w:r>
            <w:rPr>
              <w:color w:val="auto"/>
              <w:highlight w:val="none"/>
            </w:rPr>
            <w:fldChar w:fldCharType="separate"/>
          </w:r>
          <w:r>
            <w:rPr>
              <w:color w:val="auto"/>
              <w:highlight w:val="none"/>
            </w:rPr>
            <w:t>6</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_Toc7768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eastAsia="黑体"/>
              <w:color w:val="auto"/>
              <w:szCs w:val="32"/>
              <w:highlight w:val="none"/>
            </w:rPr>
            <w:t>八、</w:t>
          </w:r>
          <w:r>
            <w:rPr>
              <w:rFonts w:hint="eastAsia" w:ascii="黑体" w:hAnsi="黑体" w:eastAsia="黑体"/>
              <w:color w:val="auto"/>
              <w:highlight w:val="none"/>
            </w:rPr>
            <w:t>政府性基金预算支出决算情况说明</w:t>
          </w:r>
          <w:r>
            <w:rPr>
              <w:color w:val="auto"/>
              <w:highlight w:val="none"/>
            </w:rPr>
            <w:tab/>
          </w:r>
          <w:r>
            <w:rPr>
              <w:color w:val="auto"/>
              <w:highlight w:val="none"/>
            </w:rPr>
            <w:fldChar w:fldCharType="begin"/>
          </w:r>
          <w:r>
            <w:rPr>
              <w:color w:val="auto"/>
              <w:highlight w:val="none"/>
            </w:rPr>
            <w:instrText xml:space="preserve"> PAGEREF _Toc7768 \h </w:instrText>
          </w:r>
          <w:r>
            <w:rPr>
              <w:color w:val="auto"/>
              <w:highlight w:val="none"/>
            </w:rPr>
            <w:fldChar w:fldCharType="separate"/>
          </w:r>
          <w:r>
            <w:rPr>
              <w:color w:val="auto"/>
              <w:highlight w:val="none"/>
            </w:rPr>
            <w:t>7</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_Toc14417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highlight w:val="none"/>
              <w:lang w:val="en-US" w:eastAsia="zh-CN"/>
            </w:rPr>
            <w:t>九、</w:t>
          </w:r>
          <w:r>
            <w:rPr>
              <w:rFonts w:hint="eastAsia" w:ascii="黑体" w:hAnsi="黑体" w:eastAsia="黑体"/>
              <w:color w:val="auto"/>
              <w:highlight w:val="none"/>
            </w:rPr>
            <w:t>国有资本经营预算支出决算情况说明</w:t>
          </w:r>
          <w:r>
            <w:rPr>
              <w:color w:val="auto"/>
              <w:highlight w:val="none"/>
            </w:rPr>
            <w:tab/>
          </w:r>
          <w:r>
            <w:rPr>
              <w:color w:val="auto"/>
              <w:highlight w:val="none"/>
            </w:rPr>
            <w:fldChar w:fldCharType="begin"/>
          </w:r>
          <w:r>
            <w:rPr>
              <w:color w:val="auto"/>
              <w:highlight w:val="none"/>
            </w:rPr>
            <w:instrText xml:space="preserve"> PAGEREF _Toc14417 \h </w:instrText>
          </w:r>
          <w:r>
            <w:rPr>
              <w:color w:val="auto"/>
              <w:highlight w:val="none"/>
            </w:rPr>
            <w:fldChar w:fldCharType="separate"/>
          </w:r>
          <w:r>
            <w:rPr>
              <w:color w:val="auto"/>
              <w:highlight w:val="none"/>
            </w:rPr>
            <w:t>8</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_Toc27148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黑体" w:hAnsi="黑体" w:eastAsia="黑体"/>
              <w:color w:val="auto"/>
              <w:highlight w:val="none"/>
              <w:lang w:val="en-US" w:eastAsia="zh-CN"/>
            </w:rPr>
            <w:t>十、</w:t>
          </w:r>
          <w:r>
            <w:rPr>
              <w:rFonts w:hint="eastAsia" w:ascii="黑体" w:hAnsi="黑体" w:eastAsia="黑体"/>
              <w:color w:val="auto"/>
              <w:highlight w:val="none"/>
            </w:rPr>
            <w:t>其他重要事项的情况说明</w:t>
          </w:r>
          <w:r>
            <w:rPr>
              <w:color w:val="auto"/>
              <w:highlight w:val="none"/>
            </w:rPr>
            <w:tab/>
          </w:r>
          <w:r>
            <w:rPr>
              <w:color w:val="auto"/>
              <w:highlight w:val="none"/>
            </w:rPr>
            <w:fldChar w:fldCharType="begin"/>
          </w:r>
          <w:r>
            <w:rPr>
              <w:color w:val="auto"/>
              <w:highlight w:val="none"/>
            </w:rPr>
            <w:instrText xml:space="preserve"> PAGEREF _Toc27148 \h </w:instrText>
          </w:r>
          <w:r>
            <w:rPr>
              <w:color w:val="auto"/>
              <w:highlight w:val="none"/>
            </w:rPr>
            <w:fldChar w:fldCharType="separate"/>
          </w:r>
          <w:r>
            <w:rPr>
              <w:color w:val="auto"/>
              <w:highlight w:val="none"/>
            </w:rPr>
            <w:t>8</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0"/>
            <w:shd w:val="clear"/>
            <w:tabs>
              <w:tab w:val="right" w:leader="dot" w:pos="8306"/>
            </w:tabs>
            <w:rPr>
              <w:b/>
              <w:color w:val="auto"/>
              <w:highlight w:val="none"/>
            </w:rPr>
          </w:pPr>
          <w:r>
            <w:rPr>
              <w:rFonts w:hint="eastAsia" w:ascii="仿宋_GB2312" w:hAnsi="Times New Roman" w:eastAsia="仿宋_GB2312" w:cs="Times New Roman"/>
              <w:b/>
              <w:bCs w:val="0"/>
              <w:color w:val="auto"/>
              <w:kern w:val="2"/>
              <w:szCs w:val="32"/>
              <w:highlight w:val="none"/>
              <w:lang w:val="en-US" w:eastAsia="zh-CN" w:bidi="ar-SA"/>
            </w:rPr>
            <w:fldChar w:fldCharType="begin"/>
          </w:r>
          <w:r>
            <w:rPr>
              <w:rFonts w:hint="eastAsia" w:ascii="仿宋_GB2312" w:hAnsi="Times New Roman" w:eastAsia="仿宋_GB2312" w:cs="Times New Roman"/>
              <w:b/>
              <w:bCs w:val="0"/>
              <w:color w:val="auto"/>
              <w:kern w:val="2"/>
              <w:szCs w:val="32"/>
              <w:highlight w:val="none"/>
              <w:lang w:val="en-US" w:eastAsia="zh-CN" w:bidi="ar-SA"/>
            </w:rPr>
            <w:instrText xml:space="preserve"> HYPERLINK \l _Toc2071 </w:instrText>
          </w:r>
          <w:r>
            <w:rPr>
              <w:rFonts w:hint="eastAsia" w:ascii="仿宋_GB2312" w:hAnsi="Times New Roman" w:eastAsia="仿宋_GB2312" w:cs="Times New Roman"/>
              <w:b/>
              <w:bCs w:val="0"/>
              <w:color w:val="auto"/>
              <w:kern w:val="2"/>
              <w:szCs w:val="32"/>
              <w:highlight w:val="none"/>
              <w:lang w:val="en-US" w:eastAsia="zh-CN" w:bidi="ar-SA"/>
            </w:rPr>
            <w:fldChar w:fldCharType="separate"/>
          </w:r>
          <w:r>
            <w:rPr>
              <w:rFonts w:hint="eastAsia" w:ascii="黑体" w:hAnsi="黑体" w:eastAsia="黑体" w:cs="黑体"/>
              <w:b/>
              <w:color w:val="auto"/>
              <w:szCs w:val="44"/>
              <w:highlight w:val="none"/>
            </w:rPr>
            <w:t>第三部分</w:t>
          </w:r>
          <w:r>
            <w:rPr>
              <w:rFonts w:hint="eastAsia" w:ascii="黑体" w:hAnsi="黑体" w:eastAsia="黑体"/>
              <w:b/>
              <w:color w:val="auto"/>
              <w:szCs w:val="44"/>
              <w:highlight w:val="none"/>
            </w:rPr>
            <w:t>名</w:t>
          </w:r>
          <w:r>
            <w:rPr>
              <w:rFonts w:hint="eastAsia" w:ascii="黑体" w:hAnsi="黑体" w:eastAsia="黑体"/>
              <w:b/>
              <w:color w:val="auto"/>
              <w:highlight w:val="none"/>
            </w:rPr>
            <w:t>词解释</w:t>
          </w:r>
          <w:r>
            <w:rPr>
              <w:b/>
              <w:color w:val="auto"/>
              <w:highlight w:val="none"/>
            </w:rPr>
            <w:tab/>
          </w:r>
          <w:r>
            <w:rPr>
              <w:b/>
              <w:color w:val="auto"/>
              <w:highlight w:val="none"/>
            </w:rPr>
            <w:fldChar w:fldCharType="begin"/>
          </w:r>
          <w:r>
            <w:rPr>
              <w:b/>
              <w:color w:val="auto"/>
              <w:highlight w:val="none"/>
            </w:rPr>
            <w:instrText xml:space="preserve"> PAGEREF _Toc2071 \h </w:instrText>
          </w:r>
          <w:r>
            <w:rPr>
              <w:b/>
              <w:color w:val="auto"/>
              <w:highlight w:val="none"/>
            </w:rPr>
            <w:fldChar w:fldCharType="separate"/>
          </w:r>
          <w:r>
            <w:rPr>
              <w:b/>
              <w:color w:val="auto"/>
              <w:highlight w:val="none"/>
            </w:rPr>
            <w:t>10</w:t>
          </w:r>
          <w:r>
            <w:rPr>
              <w:b/>
              <w:color w:val="auto"/>
              <w:highlight w:val="none"/>
            </w:rPr>
            <w:fldChar w:fldCharType="end"/>
          </w:r>
          <w:r>
            <w:rPr>
              <w:rFonts w:hint="eastAsia" w:ascii="仿宋_GB2312" w:hAnsi="Times New Roman" w:eastAsia="仿宋_GB2312" w:cs="Times New Roman"/>
              <w:b/>
              <w:bCs w:val="0"/>
              <w:color w:val="auto"/>
              <w:kern w:val="2"/>
              <w:szCs w:val="32"/>
              <w:highlight w:val="none"/>
              <w:lang w:val="en-US" w:eastAsia="zh-CN" w:bidi="ar-SA"/>
            </w:rPr>
            <w:fldChar w:fldCharType="end"/>
          </w:r>
        </w:p>
        <w:p>
          <w:pPr>
            <w:pStyle w:val="30"/>
            <w:shd w:val="clear"/>
            <w:tabs>
              <w:tab w:val="right" w:leader="dot" w:pos="8306"/>
            </w:tabs>
            <w:rPr>
              <w:b/>
              <w:color w:val="auto"/>
              <w:highlight w:val="none"/>
            </w:rPr>
          </w:pPr>
          <w:r>
            <w:rPr>
              <w:rFonts w:hint="eastAsia" w:ascii="仿宋_GB2312" w:hAnsi="Times New Roman" w:eastAsia="仿宋_GB2312" w:cs="Times New Roman"/>
              <w:b/>
              <w:bCs w:val="0"/>
              <w:color w:val="auto"/>
              <w:kern w:val="2"/>
              <w:szCs w:val="32"/>
              <w:highlight w:val="none"/>
              <w:lang w:val="en-US" w:eastAsia="zh-CN" w:bidi="ar-SA"/>
            </w:rPr>
            <w:fldChar w:fldCharType="begin"/>
          </w:r>
          <w:r>
            <w:rPr>
              <w:rFonts w:hint="eastAsia" w:ascii="仿宋_GB2312" w:hAnsi="Times New Roman" w:eastAsia="仿宋_GB2312" w:cs="Times New Roman"/>
              <w:b/>
              <w:bCs w:val="0"/>
              <w:color w:val="auto"/>
              <w:kern w:val="2"/>
              <w:szCs w:val="32"/>
              <w:highlight w:val="none"/>
              <w:lang w:val="en-US" w:eastAsia="zh-CN" w:bidi="ar-SA"/>
            </w:rPr>
            <w:instrText xml:space="preserve"> HYPERLINK \l _Toc12628 </w:instrText>
          </w:r>
          <w:r>
            <w:rPr>
              <w:rFonts w:hint="eastAsia" w:ascii="仿宋_GB2312" w:hAnsi="Times New Roman" w:eastAsia="仿宋_GB2312" w:cs="Times New Roman"/>
              <w:b/>
              <w:bCs w:val="0"/>
              <w:color w:val="auto"/>
              <w:kern w:val="2"/>
              <w:szCs w:val="32"/>
              <w:highlight w:val="none"/>
              <w:lang w:val="en-US" w:eastAsia="zh-CN" w:bidi="ar-SA"/>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四部分附件</w:t>
          </w:r>
          <w:r>
            <w:rPr>
              <w:b/>
              <w:color w:val="auto"/>
              <w:highlight w:val="none"/>
            </w:rPr>
            <w:tab/>
          </w:r>
          <w:r>
            <w:rPr>
              <w:b/>
              <w:color w:val="auto"/>
              <w:highlight w:val="none"/>
            </w:rPr>
            <w:fldChar w:fldCharType="begin"/>
          </w:r>
          <w:r>
            <w:rPr>
              <w:b/>
              <w:color w:val="auto"/>
              <w:highlight w:val="none"/>
            </w:rPr>
            <w:instrText xml:space="preserve"> PAGEREF _Toc12628 \h </w:instrText>
          </w:r>
          <w:r>
            <w:rPr>
              <w:b/>
              <w:color w:val="auto"/>
              <w:highlight w:val="none"/>
            </w:rPr>
            <w:fldChar w:fldCharType="separate"/>
          </w:r>
          <w:r>
            <w:rPr>
              <w:b/>
              <w:color w:val="auto"/>
              <w:highlight w:val="none"/>
            </w:rPr>
            <w:t>13</w:t>
          </w:r>
          <w:r>
            <w:rPr>
              <w:b/>
              <w:color w:val="auto"/>
              <w:highlight w:val="none"/>
            </w:rPr>
            <w:fldChar w:fldCharType="end"/>
          </w:r>
          <w:r>
            <w:rPr>
              <w:rFonts w:hint="eastAsia" w:ascii="仿宋_GB2312" w:hAnsi="Times New Roman" w:eastAsia="仿宋_GB2312" w:cs="Times New Roman"/>
              <w:b/>
              <w:bCs w:val="0"/>
              <w:color w:val="auto"/>
              <w:kern w:val="2"/>
              <w:szCs w:val="32"/>
              <w:highlight w:val="none"/>
              <w:lang w:val="en-US" w:eastAsia="zh-CN" w:bidi="ar-SA"/>
            </w:rPr>
            <w:fldChar w:fldCharType="end"/>
          </w:r>
        </w:p>
        <w:p>
          <w:pPr>
            <w:pStyle w:val="30"/>
            <w:shd w:val="clear"/>
            <w:tabs>
              <w:tab w:val="right" w:leader="dot" w:pos="8306"/>
            </w:tabs>
            <w:rPr>
              <w:b/>
              <w:color w:val="auto"/>
              <w:highlight w:val="none"/>
            </w:rPr>
          </w:pPr>
          <w:r>
            <w:rPr>
              <w:rFonts w:hint="eastAsia" w:ascii="仿宋_GB2312" w:hAnsi="Times New Roman" w:eastAsia="仿宋_GB2312" w:cs="Times New Roman"/>
              <w:b/>
              <w:bCs w:val="0"/>
              <w:color w:val="auto"/>
              <w:kern w:val="2"/>
              <w:szCs w:val="32"/>
              <w:highlight w:val="none"/>
              <w:lang w:val="en-US" w:eastAsia="zh-CN" w:bidi="ar-SA"/>
            </w:rPr>
            <w:fldChar w:fldCharType="begin"/>
          </w:r>
          <w:r>
            <w:rPr>
              <w:rFonts w:hint="eastAsia" w:ascii="仿宋_GB2312" w:hAnsi="Times New Roman" w:eastAsia="仿宋_GB2312" w:cs="Times New Roman"/>
              <w:b/>
              <w:bCs w:val="0"/>
              <w:color w:val="auto"/>
              <w:kern w:val="2"/>
              <w:szCs w:val="32"/>
              <w:highlight w:val="none"/>
              <w:lang w:val="en-US" w:eastAsia="zh-CN" w:bidi="ar-SA"/>
            </w:rPr>
            <w:instrText xml:space="preserve"> HYPERLINK \l _Toc3578 </w:instrText>
          </w:r>
          <w:r>
            <w:rPr>
              <w:rFonts w:hint="eastAsia" w:ascii="仿宋_GB2312" w:hAnsi="Times New Roman" w:eastAsia="仿宋_GB2312" w:cs="Times New Roman"/>
              <w:b/>
              <w:bCs w:val="0"/>
              <w:color w:val="auto"/>
              <w:kern w:val="2"/>
              <w:szCs w:val="32"/>
              <w:highlight w:val="none"/>
              <w:lang w:val="en-US" w:eastAsia="zh-CN" w:bidi="ar-SA"/>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五部分附表</w:t>
          </w:r>
          <w:r>
            <w:rPr>
              <w:b/>
              <w:color w:val="auto"/>
              <w:highlight w:val="none"/>
            </w:rPr>
            <w:tab/>
          </w:r>
          <w:r>
            <w:rPr>
              <w:b/>
              <w:color w:val="auto"/>
              <w:highlight w:val="none"/>
            </w:rPr>
            <w:fldChar w:fldCharType="begin"/>
          </w:r>
          <w:r>
            <w:rPr>
              <w:b/>
              <w:color w:val="auto"/>
              <w:highlight w:val="none"/>
            </w:rPr>
            <w:instrText xml:space="preserve"> PAGEREF _Toc3578 \h </w:instrText>
          </w:r>
          <w:r>
            <w:rPr>
              <w:b/>
              <w:color w:val="auto"/>
              <w:highlight w:val="none"/>
            </w:rPr>
            <w:fldChar w:fldCharType="separate"/>
          </w:r>
          <w:r>
            <w:rPr>
              <w:b/>
              <w:color w:val="auto"/>
              <w:highlight w:val="none"/>
            </w:rPr>
            <w:t>42</w:t>
          </w:r>
          <w:r>
            <w:rPr>
              <w:b/>
              <w:color w:val="auto"/>
              <w:highlight w:val="none"/>
            </w:rPr>
            <w:fldChar w:fldCharType="end"/>
          </w:r>
          <w:r>
            <w:rPr>
              <w:rFonts w:hint="eastAsia" w:ascii="仿宋_GB2312" w:hAnsi="Times New Roman" w:eastAsia="仿宋_GB2312" w:cs="Times New Roman"/>
              <w:b/>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_Toc12965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color w:val="auto"/>
              <w:highlight w:val="none"/>
            </w:rPr>
            <w:t>一、收</w:t>
          </w:r>
          <w:r>
            <w:rPr>
              <w:rFonts w:hint="eastAsia" w:ascii="仿宋" w:hAnsi="仿宋" w:eastAsia="仿宋"/>
              <w:bCs w:val="0"/>
              <w:color w:val="auto"/>
              <w:highlight w:val="none"/>
            </w:rPr>
            <w:t>入支出决算总表</w:t>
          </w:r>
          <w:r>
            <w:rPr>
              <w:color w:val="auto"/>
              <w:highlight w:val="none"/>
            </w:rPr>
            <w:tab/>
          </w:r>
          <w:r>
            <w:rPr>
              <w:color w:val="auto"/>
              <w:highlight w:val="none"/>
            </w:rPr>
            <w:fldChar w:fldCharType="begin"/>
          </w:r>
          <w:r>
            <w:rPr>
              <w:color w:val="auto"/>
              <w:highlight w:val="none"/>
            </w:rPr>
            <w:instrText xml:space="preserve"> PAGEREF _Toc12965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_Toc12608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color w:val="auto"/>
              <w:highlight w:val="none"/>
            </w:rPr>
            <w:t>二、收</w:t>
          </w:r>
          <w:r>
            <w:rPr>
              <w:rFonts w:hint="eastAsia" w:ascii="仿宋" w:hAnsi="仿宋" w:eastAsia="仿宋"/>
              <w:bCs w:val="0"/>
              <w:color w:val="auto"/>
              <w:highlight w:val="none"/>
            </w:rPr>
            <w:t>入决算表</w:t>
          </w:r>
          <w:r>
            <w:rPr>
              <w:color w:val="auto"/>
              <w:highlight w:val="none"/>
            </w:rPr>
            <w:tab/>
          </w:r>
          <w:r>
            <w:rPr>
              <w:color w:val="auto"/>
              <w:highlight w:val="none"/>
            </w:rPr>
            <w:fldChar w:fldCharType="begin"/>
          </w:r>
          <w:r>
            <w:rPr>
              <w:color w:val="auto"/>
              <w:highlight w:val="none"/>
            </w:rPr>
            <w:instrText xml:space="preserve"> PAGEREF _Toc12608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_Toc23118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三、</w:t>
          </w:r>
          <w:r>
            <w:rPr>
              <w:rFonts w:hint="eastAsia" w:ascii="仿宋" w:hAnsi="仿宋" w:eastAsia="仿宋"/>
              <w:color w:val="auto"/>
              <w:highlight w:val="none"/>
            </w:rPr>
            <w:t>支</w:t>
          </w:r>
          <w:r>
            <w:rPr>
              <w:rFonts w:hint="eastAsia" w:ascii="仿宋" w:hAnsi="仿宋" w:eastAsia="仿宋"/>
              <w:bCs w:val="0"/>
              <w:color w:val="auto"/>
              <w:highlight w:val="none"/>
            </w:rPr>
            <w:t>出决算表</w:t>
          </w:r>
          <w:r>
            <w:rPr>
              <w:color w:val="auto"/>
              <w:highlight w:val="none"/>
            </w:rPr>
            <w:tab/>
          </w:r>
          <w:r>
            <w:rPr>
              <w:color w:val="auto"/>
              <w:highlight w:val="none"/>
            </w:rPr>
            <w:fldChar w:fldCharType="begin"/>
          </w:r>
          <w:r>
            <w:rPr>
              <w:color w:val="auto"/>
              <w:highlight w:val="none"/>
            </w:rPr>
            <w:instrText xml:space="preserve"> PAGEREF _Toc23118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_Toc28788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四、</w:t>
          </w:r>
          <w:r>
            <w:rPr>
              <w:rFonts w:hint="eastAsia" w:ascii="仿宋" w:hAnsi="仿宋" w:eastAsia="仿宋"/>
              <w:color w:val="auto"/>
              <w:highlight w:val="none"/>
            </w:rPr>
            <w:t>财</w:t>
          </w:r>
          <w:r>
            <w:rPr>
              <w:rFonts w:hint="eastAsia" w:ascii="仿宋" w:hAnsi="仿宋" w:eastAsia="仿宋"/>
              <w:bCs w:val="0"/>
              <w:color w:val="auto"/>
              <w:highlight w:val="none"/>
            </w:rPr>
            <w:t>政拨款收入支出决算总表</w:t>
          </w:r>
          <w:r>
            <w:rPr>
              <w:color w:val="auto"/>
              <w:highlight w:val="none"/>
            </w:rPr>
            <w:tab/>
          </w:r>
          <w:r>
            <w:rPr>
              <w:color w:val="auto"/>
              <w:highlight w:val="none"/>
            </w:rPr>
            <w:fldChar w:fldCharType="begin"/>
          </w:r>
          <w:r>
            <w:rPr>
              <w:color w:val="auto"/>
              <w:highlight w:val="none"/>
            </w:rPr>
            <w:instrText xml:space="preserve"> PAGEREF _Toc28788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_Toc14907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五、</w:t>
          </w:r>
          <w:r>
            <w:rPr>
              <w:rFonts w:hint="eastAsia" w:ascii="仿宋" w:hAnsi="仿宋" w:eastAsia="仿宋"/>
              <w:color w:val="auto"/>
              <w:highlight w:val="none"/>
            </w:rPr>
            <w:t>财</w:t>
          </w:r>
          <w:r>
            <w:rPr>
              <w:rFonts w:hint="eastAsia" w:ascii="仿宋" w:hAnsi="仿宋" w:eastAsia="仿宋"/>
              <w:bCs w:val="0"/>
              <w:color w:val="auto"/>
              <w:highlight w:val="none"/>
            </w:rPr>
            <w:t>政拨款支出决算明细表</w:t>
          </w:r>
          <w:r>
            <w:rPr>
              <w:color w:val="auto"/>
              <w:highlight w:val="none"/>
            </w:rPr>
            <w:tab/>
          </w:r>
          <w:r>
            <w:rPr>
              <w:color w:val="auto"/>
              <w:highlight w:val="none"/>
            </w:rPr>
            <w:fldChar w:fldCharType="begin"/>
          </w:r>
          <w:r>
            <w:rPr>
              <w:color w:val="auto"/>
              <w:highlight w:val="none"/>
            </w:rPr>
            <w:instrText xml:space="preserve"> PAGEREF _Toc14907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_Toc14252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六、</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般公共预算财政拨款支出决算表</w:t>
          </w:r>
          <w:r>
            <w:rPr>
              <w:color w:val="auto"/>
              <w:highlight w:val="none"/>
            </w:rPr>
            <w:tab/>
          </w:r>
          <w:r>
            <w:rPr>
              <w:color w:val="auto"/>
              <w:highlight w:val="none"/>
            </w:rPr>
            <w:fldChar w:fldCharType="begin"/>
          </w:r>
          <w:r>
            <w:rPr>
              <w:color w:val="auto"/>
              <w:highlight w:val="none"/>
            </w:rPr>
            <w:instrText xml:space="preserve"> PAGEREF _Toc14252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_Toc28860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七、</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般公共预算财政拨款支出决算明细表</w:t>
          </w:r>
          <w:r>
            <w:rPr>
              <w:color w:val="auto"/>
              <w:highlight w:val="none"/>
            </w:rPr>
            <w:tab/>
          </w:r>
          <w:r>
            <w:rPr>
              <w:color w:val="auto"/>
              <w:highlight w:val="none"/>
            </w:rPr>
            <w:fldChar w:fldCharType="begin"/>
          </w:r>
          <w:r>
            <w:rPr>
              <w:color w:val="auto"/>
              <w:highlight w:val="none"/>
            </w:rPr>
            <w:instrText xml:space="preserve"> PAGEREF _Toc28860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_Toc11349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八、</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般公共预算财政拨款基本支出决算表</w:t>
          </w:r>
          <w:r>
            <w:rPr>
              <w:color w:val="auto"/>
              <w:highlight w:val="none"/>
            </w:rPr>
            <w:tab/>
          </w:r>
          <w:r>
            <w:rPr>
              <w:color w:val="auto"/>
              <w:highlight w:val="none"/>
            </w:rPr>
            <w:fldChar w:fldCharType="begin"/>
          </w:r>
          <w:r>
            <w:rPr>
              <w:color w:val="auto"/>
              <w:highlight w:val="none"/>
            </w:rPr>
            <w:instrText xml:space="preserve"> PAGEREF _Toc11349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_Toc5211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九、</w:t>
          </w:r>
          <w:r>
            <w:rPr>
              <w:rFonts w:hint="eastAsia" w:ascii="仿宋" w:hAnsi="仿宋" w:eastAsia="仿宋"/>
              <w:color w:val="auto"/>
              <w:highlight w:val="none"/>
            </w:rPr>
            <w:t>一</w:t>
          </w:r>
          <w:r>
            <w:rPr>
              <w:rFonts w:hint="eastAsia" w:ascii="仿宋" w:hAnsi="仿宋" w:eastAsia="仿宋"/>
              <w:bCs w:val="0"/>
              <w:color w:val="auto"/>
              <w:highlight w:val="none"/>
            </w:rPr>
            <w:t>般公共预算财政拨款项目支出决算表</w:t>
          </w:r>
          <w:r>
            <w:rPr>
              <w:color w:val="auto"/>
              <w:highlight w:val="none"/>
            </w:rPr>
            <w:tab/>
          </w:r>
          <w:r>
            <w:rPr>
              <w:color w:val="auto"/>
              <w:highlight w:val="none"/>
            </w:rPr>
            <w:fldChar w:fldCharType="begin"/>
          </w:r>
          <w:r>
            <w:rPr>
              <w:color w:val="auto"/>
              <w:highlight w:val="none"/>
            </w:rPr>
            <w:instrText xml:space="preserve"> PAGEREF _Toc5211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_Toc24133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十、</w:t>
          </w:r>
          <w:r>
            <w:rPr>
              <w:rFonts w:hint="eastAsia" w:ascii="仿宋" w:hAnsi="仿宋" w:eastAsia="仿宋"/>
              <w:color w:val="auto"/>
              <w:highlight w:val="none"/>
            </w:rPr>
            <w:t>政</w:t>
          </w:r>
          <w:r>
            <w:rPr>
              <w:rFonts w:hint="eastAsia" w:ascii="仿宋" w:hAnsi="仿宋" w:eastAsia="仿宋"/>
              <w:bCs w:val="0"/>
              <w:color w:val="auto"/>
              <w:highlight w:val="none"/>
            </w:rPr>
            <w:t>府性基金预算财政拨款收入支出决算表</w:t>
          </w:r>
          <w:r>
            <w:rPr>
              <w:color w:val="auto"/>
              <w:highlight w:val="none"/>
            </w:rPr>
            <w:tab/>
          </w:r>
          <w:r>
            <w:rPr>
              <w:color w:val="auto"/>
              <w:highlight w:val="none"/>
            </w:rPr>
            <w:fldChar w:fldCharType="begin"/>
          </w:r>
          <w:r>
            <w:rPr>
              <w:color w:val="auto"/>
              <w:highlight w:val="none"/>
            </w:rPr>
            <w:instrText xml:space="preserve"> PAGEREF _Toc24133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_Toc17224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十一、</w:t>
          </w:r>
          <w:r>
            <w:rPr>
              <w:rFonts w:hint="eastAsia" w:ascii="仿宋" w:hAnsi="仿宋" w:eastAsia="仿宋"/>
              <w:color w:val="auto"/>
              <w:highlight w:val="none"/>
            </w:rPr>
            <w:t>国</w:t>
          </w:r>
          <w:r>
            <w:rPr>
              <w:rFonts w:hint="eastAsia" w:ascii="仿宋" w:hAnsi="仿宋" w:eastAsia="仿宋"/>
              <w:bCs w:val="0"/>
              <w:color w:val="auto"/>
              <w:highlight w:val="none"/>
            </w:rPr>
            <w:t>有资本经营预算</w:t>
          </w:r>
          <w:r>
            <w:rPr>
              <w:rFonts w:hint="eastAsia" w:ascii="仿宋" w:hAnsi="仿宋" w:eastAsia="仿宋"/>
              <w:bCs w:val="0"/>
              <w:color w:val="auto"/>
              <w:highlight w:val="none"/>
              <w:lang w:eastAsia="zh-CN"/>
            </w:rPr>
            <w:t>财政拨款收入</w:t>
          </w:r>
          <w:r>
            <w:rPr>
              <w:rFonts w:hint="eastAsia" w:ascii="仿宋" w:hAnsi="仿宋" w:eastAsia="仿宋"/>
              <w:bCs w:val="0"/>
              <w:color w:val="auto"/>
              <w:highlight w:val="none"/>
            </w:rPr>
            <w:t>支出决算表</w:t>
          </w:r>
          <w:r>
            <w:rPr>
              <w:color w:val="auto"/>
              <w:highlight w:val="none"/>
            </w:rPr>
            <w:tab/>
          </w:r>
          <w:r>
            <w:rPr>
              <w:color w:val="auto"/>
              <w:highlight w:val="none"/>
            </w:rPr>
            <w:fldChar w:fldCharType="begin"/>
          </w:r>
          <w:r>
            <w:rPr>
              <w:color w:val="auto"/>
              <w:highlight w:val="none"/>
            </w:rPr>
            <w:instrText xml:space="preserve"> PAGEREF _Toc17224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_Toc12780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十二、</w:t>
          </w:r>
          <w:r>
            <w:rPr>
              <w:rFonts w:hint="eastAsia" w:ascii="仿宋" w:hAnsi="仿宋" w:eastAsia="仿宋"/>
              <w:bCs w:val="0"/>
              <w:color w:val="auto"/>
              <w:highlight w:val="none"/>
              <w:lang w:eastAsia="zh-CN"/>
            </w:rPr>
            <w:t>国有资本经营预算财政拨款支出决算表</w:t>
          </w:r>
          <w:r>
            <w:rPr>
              <w:color w:val="auto"/>
              <w:highlight w:val="none"/>
            </w:rPr>
            <w:tab/>
          </w:r>
          <w:r>
            <w:rPr>
              <w:color w:val="auto"/>
              <w:highlight w:val="none"/>
            </w:rPr>
            <w:fldChar w:fldCharType="begin"/>
          </w:r>
          <w:r>
            <w:rPr>
              <w:color w:val="auto"/>
              <w:highlight w:val="none"/>
            </w:rPr>
            <w:instrText xml:space="preserve"> PAGEREF _Toc12780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pStyle w:val="31"/>
            <w:shd w:val="clear"/>
            <w:tabs>
              <w:tab w:val="right" w:leader="dot" w:pos="8306"/>
            </w:tabs>
            <w:rPr>
              <w:color w:val="auto"/>
              <w:highlight w:val="none"/>
            </w:rPr>
          </w:pPr>
          <w:r>
            <w:rPr>
              <w:rFonts w:hint="eastAsia" w:ascii="仿宋_GB2312" w:hAnsi="Times New Roman" w:eastAsia="仿宋_GB2312" w:cs="Times New Roman"/>
              <w:bCs w:val="0"/>
              <w:color w:val="auto"/>
              <w:kern w:val="2"/>
              <w:szCs w:val="32"/>
              <w:highlight w:val="none"/>
              <w:lang w:val="en-US" w:eastAsia="zh-CN" w:bidi="ar-SA"/>
            </w:rPr>
            <w:fldChar w:fldCharType="begin"/>
          </w:r>
          <w:r>
            <w:rPr>
              <w:rFonts w:hint="eastAsia" w:ascii="仿宋_GB2312" w:hAnsi="Times New Roman" w:eastAsia="仿宋_GB2312" w:cs="Times New Roman"/>
              <w:bCs w:val="0"/>
              <w:color w:val="auto"/>
              <w:kern w:val="2"/>
              <w:szCs w:val="32"/>
              <w:highlight w:val="none"/>
              <w:lang w:val="en-US" w:eastAsia="zh-CN" w:bidi="ar-SA"/>
            </w:rPr>
            <w:instrText xml:space="preserve"> HYPERLINK \l _Toc6950 </w:instrText>
          </w:r>
          <w:r>
            <w:rPr>
              <w:rFonts w:hint="eastAsia" w:ascii="仿宋_GB2312" w:hAnsi="Times New Roman" w:eastAsia="仿宋_GB2312" w:cs="Times New Roman"/>
              <w:bCs w:val="0"/>
              <w:color w:val="auto"/>
              <w:kern w:val="2"/>
              <w:szCs w:val="32"/>
              <w:highlight w:val="none"/>
              <w:lang w:val="en-US" w:eastAsia="zh-CN" w:bidi="ar-SA"/>
            </w:rPr>
            <w:fldChar w:fldCharType="separate"/>
          </w:r>
          <w:r>
            <w:rPr>
              <w:rFonts w:hint="eastAsia" w:ascii="仿宋" w:hAnsi="仿宋" w:eastAsia="仿宋"/>
              <w:bCs w:val="0"/>
              <w:color w:val="auto"/>
              <w:highlight w:val="none"/>
            </w:rPr>
            <w:t>十三、</w:t>
          </w:r>
          <w:r>
            <w:rPr>
              <w:rFonts w:hint="eastAsia" w:ascii="仿宋" w:hAnsi="仿宋" w:eastAsia="仿宋"/>
              <w:bCs w:val="0"/>
              <w:color w:val="auto"/>
              <w:highlight w:val="none"/>
              <w:lang w:eastAsia="zh-CN"/>
            </w:rPr>
            <w:t>财政拨款“三公”经费支出决算表</w:t>
          </w:r>
          <w:r>
            <w:rPr>
              <w:color w:val="auto"/>
              <w:highlight w:val="none"/>
            </w:rPr>
            <w:tab/>
          </w:r>
          <w:r>
            <w:rPr>
              <w:color w:val="auto"/>
              <w:highlight w:val="none"/>
            </w:rPr>
            <w:fldChar w:fldCharType="begin"/>
          </w:r>
          <w:r>
            <w:rPr>
              <w:color w:val="auto"/>
              <w:highlight w:val="none"/>
            </w:rPr>
            <w:instrText xml:space="preserve"> PAGEREF _Toc6950 \h </w:instrText>
          </w:r>
          <w:r>
            <w:rPr>
              <w:color w:val="auto"/>
              <w:highlight w:val="none"/>
            </w:rPr>
            <w:fldChar w:fldCharType="separate"/>
          </w:r>
          <w:r>
            <w:rPr>
              <w:color w:val="auto"/>
              <w:highlight w:val="none"/>
            </w:rPr>
            <w:t>42</w:t>
          </w:r>
          <w:r>
            <w:rPr>
              <w:color w:val="auto"/>
              <w:highlight w:val="none"/>
            </w:rPr>
            <w:fldChar w:fldCharType="end"/>
          </w:r>
          <w:r>
            <w:rPr>
              <w:rFonts w:hint="eastAsia" w:ascii="仿宋_GB2312" w:hAnsi="Times New Roman" w:eastAsia="仿宋_GB2312" w:cs="Times New Roman"/>
              <w:bCs w:val="0"/>
              <w:color w:val="auto"/>
              <w:kern w:val="2"/>
              <w:szCs w:val="32"/>
              <w:highlight w:val="none"/>
              <w:lang w:val="en-US" w:eastAsia="zh-CN" w:bidi="ar-SA"/>
            </w:rPr>
            <w:fldChar w:fldCharType="end"/>
          </w:r>
        </w:p>
        <w:p>
          <w:pPr>
            <w:keepNext w:val="0"/>
            <w:keepLines w:val="0"/>
            <w:pageBreakBefore w:val="0"/>
            <w:shd w:val="clear"/>
            <w:kinsoku/>
            <w:wordWrap/>
            <w:overflowPunct/>
            <w:topLinePunct w:val="0"/>
            <w:autoSpaceDE/>
            <w:autoSpaceDN/>
            <w:bidi w:val="0"/>
            <w:adjustRightInd/>
            <w:snapToGrid/>
            <w:jc w:val="left"/>
            <w:textAlignment w:val="auto"/>
            <w:rPr>
              <w:rFonts w:hint="eastAsia" w:ascii="仿宋_GB2312" w:hAnsi="Times New Roman" w:eastAsia="仿宋_GB2312" w:cs="Times New Roman"/>
              <w:b w:val="0"/>
              <w:bCs w:val="0"/>
              <w:color w:val="auto"/>
              <w:kern w:val="2"/>
              <w:sz w:val="32"/>
              <w:szCs w:val="32"/>
              <w:highlight w:val="none"/>
              <w:lang w:val="en-US" w:eastAsia="zh-CN" w:bidi="ar-SA"/>
            </w:rPr>
          </w:pPr>
          <w:r>
            <w:rPr>
              <w:rFonts w:hint="eastAsia" w:ascii="仿宋_GB2312" w:hAnsi="Times New Roman" w:eastAsia="仿宋_GB2312" w:cs="Times New Roman"/>
              <w:b/>
              <w:bCs w:val="0"/>
              <w:color w:val="auto"/>
              <w:kern w:val="2"/>
              <w:szCs w:val="32"/>
              <w:highlight w:val="none"/>
              <w:lang w:val="en-US" w:eastAsia="zh-CN" w:bidi="ar-SA"/>
            </w:rPr>
            <w:fldChar w:fldCharType="end"/>
          </w:r>
        </w:p>
      </w:sdtContent>
    </w:sdt>
    <w:p>
      <w:pPr>
        <w:pStyle w:val="3"/>
        <w:shd w:val="clear"/>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8" w:name="_Toc12009"/>
      <w:bookmarkStart w:id="19" w:name="_Toc31730"/>
    </w:p>
    <w:p>
      <w:pPr>
        <w:pStyle w:val="3"/>
        <w:shd w:val="clear"/>
        <w:jc w:val="center"/>
        <w:rPr>
          <w:rStyle w:val="16"/>
          <w:rFonts w:ascii="黑体" w:hAnsi="黑体" w:eastAsia="黑体"/>
          <w:b/>
          <w:bCs w:val="0"/>
          <w:color w:val="auto"/>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18"/>
      <w:bookmarkEnd w:id="19"/>
    </w:p>
    <w:p>
      <w:pPr>
        <w:pStyle w:val="4"/>
        <w:pageBreakBefore w:val="0"/>
        <w:numPr>
          <w:ilvl w:val="0"/>
          <w:numId w:val="0"/>
        </w:numPr>
        <w:shd w:val="clear"/>
        <w:kinsoku/>
        <w:wordWrap/>
        <w:overflowPunct/>
        <w:topLinePunct w:val="0"/>
        <w:bidi w:val="0"/>
        <w:spacing w:line="576" w:lineRule="exact"/>
        <w:ind w:firstLine="640" w:firstLineChars="200"/>
        <w:textAlignment w:val="auto"/>
        <w:rPr>
          <w:rFonts w:hint="eastAsia"/>
          <w:color w:val="auto"/>
          <w:highlight w:val="none"/>
          <w:lang w:eastAsia="zh-CN"/>
        </w:rPr>
      </w:pPr>
      <w:bookmarkStart w:id="20" w:name="_Toc31765"/>
      <w:bookmarkStart w:id="21" w:name="_Toc11424"/>
      <w:bookmarkStart w:id="22" w:name="_Toc15377197"/>
      <w:bookmarkStart w:id="23" w:name="_Toc15396600"/>
      <w:r>
        <w:rPr>
          <w:rStyle w:val="17"/>
          <w:rFonts w:hint="eastAsia" w:ascii="黑体" w:hAnsi="黑体" w:eastAsia="黑体"/>
          <w:b w:val="0"/>
          <w:bCs w:val="0"/>
          <w:color w:val="auto"/>
          <w:highlight w:val="none"/>
          <w:lang w:val="en-US" w:eastAsia="zh-CN"/>
        </w:rPr>
        <w:t>一、</w:t>
      </w:r>
      <w:r>
        <w:rPr>
          <w:rStyle w:val="17"/>
          <w:rFonts w:hint="eastAsia" w:ascii="黑体" w:hAnsi="黑体" w:eastAsia="黑体"/>
          <w:b w:val="0"/>
          <w:bCs w:val="0"/>
          <w:color w:val="auto"/>
          <w:highlight w:val="none"/>
          <w:lang w:eastAsia="zh-CN"/>
        </w:rPr>
        <w:t>主要职责</w:t>
      </w:r>
      <w:bookmarkEnd w:id="20"/>
      <w:bookmarkEnd w:id="21"/>
    </w:p>
    <w:p>
      <w:pPr>
        <w:pageBreakBefore w:val="0"/>
        <w:shd w:val="clear"/>
        <w:kinsoku/>
        <w:wordWrap/>
        <w:overflowPunct/>
        <w:topLinePunct w:val="0"/>
        <w:bidi w:val="0"/>
        <w:spacing w:line="576" w:lineRule="exact"/>
        <w:ind w:firstLine="640" w:firstLineChars="200"/>
        <w:textAlignment w:val="auto"/>
        <w:rPr>
          <w:rFonts w:hint="eastAsia"/>
          <w:color w:val="auto"/>
          <w:highlight w:val="none"/>
          <w:lang w:eastAsia="zh-CN"/>
        </w:rPr>
      </w:pPr>
      <w:r>
        <w:rPr>
          <w:rFonts w:hint="eastAsia" w:ascii="仿宋_GB2312" w:hAnsi="Times New Roman" w:eastAsia="仿宋_GB2312" w:cs="Times New Roman"/>
          <w:b w:val="0"/>
          <w:bCs w:val="0"/>
          <w:color w:val="auto"/>
          <w:kern w:val="2"/>
          <w:sz w:val="32"/>
          <w:szCs w:val="32"/>
          <w:highlight w:val="none"/>
          <w:lang w:val="en-US" w:eastAsia="zh-CN" w:bidi="ar-SA"/>
        </w:rPr>
        <w:t>本单位是广元市林业局二级单位，属独立全额财政预算单位。主要职能是</w:t>
      </w:r>
      <w:r>
        <w:rPr>
          <w:rFonts w:hint="eastAsia" w:ascii="仿宋_GB2312" w:eastAsia="仿宋_GB2312"/>
          <w:color w:val="auto"/>
          <w:sz w:val="32"/>
          <w:szCs w:val="32"/>
          <w:highlight w:val="none"/>
        </w:rPr>
        <w:t>负责林木良种选育、新品种试验示范和推广，经济林丰产栽培技术研究、森林生态保护与利用研究；负责花卉产业和林下经济科研与实用技术推广；负责林业技术实验示范研究，林业技术人员培训及科技项目指导，林业科技信息服务、宣传咨询等</w:t>
      </w:r>
    </w:p>
    <w:p>
      <w:pPr>
        <w:pStyle w:val="4"/>
        <w:pageBreakBefore w:val="0"/>
        <w:numPr>
          <w:ilvl w:val="0"/>
          <w:numId w:val="0"/>
        </w:numPr>
        <w:shd w:val="clear"/>
        <w:kinsoku/>
        <w:wordWrap/>
        <w:overflowPunct/>
        <w:topLinePunct w:val="0"/>
        <w:bidi w:val="0"/>
        <w:spacing w:line="576" w:lineRule="exact"/>
        <w:ind w:leftChars="0" w:firstLine="640" w:firstLineChars="200"/>
        <w:textAlignment w:val="auto"/>
        <w:rPr>
          <w:rFonts w:hint="eastAsia" w:ascii="黑体" w:hAnsi="黑体" w:eastAsia="黑体"/>
          <w:b w:val="0"/>
          <w:color w:val="auto"/>
          <w:highlight w:val="none"/>
          <w:lang w:val="en-US" w:eastAsia="zh-CN"/>
        </w:rPr>
      </w:pPr>
      <w:bookmarkStart w:id="24" w:name="_Toc20746"/>
      <w:bookmarkStart w:id="25" w:name="_Toc9656"/>
      <w:r>
        <w:rPr>
          <w:rFonts w:hint="eastAsia" w:ascii="黑体" w:hAnsi="黑体" w:eastAsia="黑体"/>
          <w:b w:val="0"/>
          <w:color w:val="auto"/>
          <w:highlight w:val="none"/>
          <w:lang w:val="en-US" w:eastAsia="zh-CN"/>
        </w:rPr>
        <w:t>二、机构设置</w:t>
      </w:r>
      <w:bookmarkEnd w:id="24"/>
      <w:bookmarkEnd w:id="2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bidi w:val="0"/>
        <w:spacing w:before="0" w:beforeAutospacing="0" w:after="0" w:afterAutospacing="0" w:line="576" w:lineRule="exact"/>
        <w:ind w:right="0" w:rightChars="0" w:firstLine="640" w:firstLineChars="200"/>
        <w:jc w:val="left"/>
        <w:textAlignment w:val="auto"/>
        <w:rPr>
          <w:rFonts w:ascii="仿宋_GB2312" w:hAnsi="仿宋" w:eastAsia="仿宋_GB2312" w:cs="Times New Roman"/>
          <w:color w:val="auto"/>
          <w:sz w:val="32"/>
          <w:szCs w:val="32"/>
          <w:highlight w:val="none"/>
        </w:rPr>
      </w:pPr>
      <w:r>
        <w:rPr>
          <w:rFonts w:hint="default" w:ascii="仿宋_GB2312" w:eastAsia="仿宋_GB2312" w:cs="Times New Roman"/>
          <w:b w:val="0"/>
          <w:bCs w:val="0"/>
          <w:color w:val="auto"/>
          <w:kern w:val="2"/>
          <w:sz w:val="32"/>
          <w:szCs w:val="32"/>
          <w:highlight w:val="none"/>
          <w:lang w:eastAsia="zh-CN" w:bidi="ar-SA"/>
        </w:rPr>
        <w:t>广元市林业科学研究院属于</w:t>
      </w:r>
      <w:r>
        <w:rPr>
          <w:rFonts w:hint="eastAsia" w:ascii="仿宋_GB2312" w:hAnsi="Times New Roman" w:eastAsia="仿宋_GB2312" w:cs="Times New Roman"/>
          <w:b w:val="0"/>
          <w:bCs w:val="0"/>
          <w:color w:val="auto"/>
          <w:kern w:val="2"/>
          <w:sz w:val="32"/>
          <w:szCs w:val="32"/>
          <w:highlight w:val="none"/>
          <w:lang w:val="en-US" w:eastAsia="zh-CN" w:bidi="ar-SA"/>
        </w:rPr>
        <w:t>广元市林业局二级</w:t>
      </w:r>
      <w:r>
        <w:rPr>
          <w:rFonts w:hint="default" w:ascii="仿宋_GB2312" w:eastAsia="仿宋_GB2312" w:cs="Times New Roman"/>
          <w:b w:val="0"/>
          <w:bCs w:val="0"/>
          <w:color w:val="auto"/>
          <w:kern w:val="2"/>
          <w:sz w:val="32"/>
          <w:szCs w:val="32"/>
          <w:highlight w:val="none"/>
          <w:lang w:eastAsia="zh-CN" w:bidi="ar-SA"/>
        </w:rPr>
        <w:t>预算</w:t>
      </w:r>
      <w:r>
        <w:rPr>
          <w:rFonts w:hint="eastAsia" w:ascii="仿宋_GB2312" w:hAnsi="Times New Roman" w:eastAsia="仿宋_GB2312" w:cs="Times New Roman"/>
          <w:b w:val="0"/>
          <w:bCs w:val="0"/>
          <w:color w:val="auto"/>
          <w:kern w:val="2"/>
          <w:sz w:val="32"/>
          <w:szCs w:val="32"/>
          <w:highlight w:val="none"/>
          <w:lang w:val="en-US" w:eastAsia="zh-CN" w:bidi="ar-SA"/>
        </w:rPr>
        <w:t>单位</w:t>
      </w:r>
      <w:r>
        <w:rPr>
          <w:rFonts w:hint="default" w:ascii="仿宋_GB2312" w:eastAsia="仿宋_GB2312" w:cs="Times New Roman"/>
          <w:b w:val="0"/>
          <w:bCs w:val="0"/>
          <w:color w:val="auto"/>
          <w:kern w:val="2"/>
          <w:sz w:val="32"/>
          <w:szCs w:val="32"/>
          <w:highlight w:val="none"/>
          <w:lang w:eastAsia="zh-CN" w:bidi="ar-SA"/>
        </w:rPr>
        <w:t>，为事业单位。</w:t>
      </w:r>
      <w:r>
        <w:rPr>
          <w:rFonts w:hint="eastAsia" w:ascii="仿宋_GB2312" w:hAnsi="仿宋" w:eastAsia="仿宋_GB2312" w:cs="Times New Roman"/>
          <w:color w:val="auto"/>
          <w:sz w:val="32"/>
          <w:szCs w:val="32"/>
          <w:highlight w:val="none"/>
        </w:rPr>
        <w:t>广元市</w:t>
      </w:r>
      <w:r>
        <w:rPr>
          <w:rFonts w:hint="eastAsia" w:ascii="仿宋_GB2312" w:hAnsi="仿宋" w:eastAsia="仿宋_GB2312" w:cs="Times New Roman"/>
          <w:color w:val="auto"/>
          <w:sz w:val="32"/>
          <w:szCs w:val="32"/>
          <w:highlight w:val="none"/>
          <w:lang w:val="en-US" w:eastAsia="zh-CN"/>
        </w:rPr>
        <w:t>林业科学研究院</w:t>
      </w:r>
      <w:r>
        <w:rPr>
          <w:rFonts w:hint="eastAsia" w:ascii="仿宋_GB2312" w:hAnsi="仿宋" w:eastAsia="仿宋_GB2312" w:cs="Times New Roman"/>
          <w:color w:val="auto"/>
          <w:sz w:val="32"/>
          <w:szCs w:val="32"/>
          <w:highlight w:val="none"/>
        </w:rPr>
        <w:t>部门预算</w:t>
      </w:r>
      <w:r>
        <w:rPr>
          <w:rFonts w:hint="eastAsia" w:ascii="仿宋_GB2312" w:hAnsi="仿宋" w:eastAsia="仿宋_GB2312" w:cs="Times New Roman"/>
          <w:color w:val="auto"/>
          <w:sz w:val="32"/>
          <w:szCs w:val="32"/>
          <w:highlight w:val="none"/>
          <w:lang w:eastAsia="zh-CN"/>
        </w:rPr>
        <w:t>只</w:t>
      </w:r>
      <w:r>
        <w:rPr>
          <w:rFonts w:hint="eastAsia" w:ascii="仿宋_GB2312" w:hAnsi="仿宋" w:eastAsia="仿宋_GB2312" w:cs="Times New Roman"/>
          <w:color w:val="auto"/>
          <w:sz w:val="32"/>
          <w:szCs w:val="32"/>
          <w:highlight w:val="none"/>
        </w:rPr>
        <w:t>包括本级预算。</w:t>
      </w:r>
    </w:p>
    <w:p>
      <w:pPr>
        <w:pageBreakBefore w:val="0"/>
        <w:numPr>
          <w:ilvl w:val="0"/>
          <w:numId w:val="0"/>
        </w:numPr>
        <w:shd w:val="clear"/>
        <w:kinsoku/>
        <w:wordWrap/>
        <w:overflowPunct/>
        <w:topLinePunct w:val="0"/>
        <w:bidi w:val="0"/>
        <w:spacing w:line="576" w:lineRule="exact"/>
        <w:ind w:leftChars="0" w:firstLine="420" w:firstLineChars="200"/>
        <w:textAlignment w:val="auto"/>
        <w:rPr>
          <w:rFonts w:hint="eastAsia"/>
          <w:color w:val="auto"/>
          <w:highlight w:val="none"/>
          <w:lang w:val="en-US" w:eastAsia="zh-CN"/>
        </w:rPr>
      </w:pPr>
    </w:p>
    <w:bookmarkEnd w:id="22"/>
    <w:bookmarkEnd w:id="23"/>
    <w:p>
      <w:pPr>
        <w:pageBreakBefore w:val="0"/>
        <w:widowControl/>
        <w:shd w:val="clear"/>
        <w:kinsoku/>
        <w:wordWrap/>
        <w:overflowPunct/>
        <w:topLinePunct w:val="0"/>
        <w:bidi w:val="0"/>
        <w:spacing w:line="576" w:lineRule="exact"/>
        <w:ind w:firstLine="640" w:firstLineChars="200"/>
        <w:jc w:val="left"/>
        <w:textAlignment w:val="auto"/>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pageBreakBefore w:val="0"/>
        <w:shd w:val="clear"/>
        <w:kinsoku/>
        <w:wordWrap/>
        <w:overflowPunct/>
        <w:topLinePunct w:val="0"/>
        <w:bidi w:val="0"/>
        <w:spacing w:line="576" w:lineRule="exact"/>
        <w:ind w:right="440" w:firstLine="880" w:firstLineChars="200"/>
        <w:jc w:val="center"/>
        <w:textAlignment w:val="auto"/>
        <w:rPr>
          <w:rStyle w:val="16"/>
          <w:rFonts w:ascii="黑体" w:hAnsi="黑体" w:eastAsia="黑体"/>
          <w:b w:val="0"/>
          <w:bCs/>
          <w:color w:val="auto"/>
          <w:highlight w:val="none"/>
        </w:rPr>
      </w:pPr>
      <w:bookmarkStart w:id="26" w:name="_Toc15377204"/>
      <w:bookmarkStart w:id="27" w:name="_Toc15396602"/>
      <w:bookmarkStart w:id="28" w:name="_Toc27493"/>
      <w:bookmarkStart w:id="29" w:name="_Toc25663"/>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2022年度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26"/>
      <w:bookmarkEnd w:id="27"/>
      <w:bookmarkEnd w:id="28"/>
      <w:bookmarkEnd w:id="29"/>
    </w:p>
    <w:p>
      <w:pPr>
        <w:pStyle w:val="26"/>
        <w:pageBreakBefore w:val="0"/>
        <w:numPr>
          <w:ilvl w:val="0"/>
          <w:numId w:val="0"/>
        </w:numPr>
        <w:shd w:val="clear"/>
        <w:kinsoku/>
        <w:wordWrap/>
        <w:overflowPunct/>
        <w:topLinePunct w:val="0"/>
        <w:bidi w:val="0"/>
        <w:spacing w:line="576" w:lineRule="exact"/>
        <w:ind w:firstLine="640" w:firstLineChars="200"/>
        <w:textAlignment w:val="auto"/>
        <w:outlineLvl w:val="1"/>
        <w:rPr>
          <w:rStyle w:val="17"/>
          <w:rFonts w:ascii="黑体" w:hAnsi="黑体" w:eastAsia="黑体"/>
          <w:b w:val="0"/>
          <w:color w:val="auto"/>
          <w:highlight w:val="none"/>
        </w:rPr>
      </w:pPr>
      <w:bookmarkStart w:id="30" w:name="_Toc32213"/>
      <w:bookmarkStart w:id="31" w:name="_Toc15396603"/>
      <w:bookmarkStart w:id="32" w:name="_Toc15377205"/>
      <w:bookmarkStart w:id="33" w:name="_Toc12399"/>
      <w:r>
        <w:rPr>
          <w:rFonts w:hint="eastAsia" w:ascii="黑体" w:hAnsi="黑体" w:eastAsia="黑体"/>
          <w:color w:val="auto"/>
          <w:sz w:val="32"/>
          <w:szCs w:val="32"/>
          <w:highlight w:val="none"/>
          <w:lang w:val="en-US" w:eastAsia="zh-CN"/>
        </w:rPr>
        <w:t>一、</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30"/>
      <w:bookmarkEnd w:id="31"/>
      <w:bookmarkEnd w:id="32"/>
      <w:bookmarkEnd w:id="33"/>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年度收、支总计833.35万元。与20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年相比，收、支总计各减少659.75万元，下降</w:t>
      </w:r>
      <w:r>
        <w:rPr>
          <w:rFonts w:hint="eastAsia" w:ascii="仿宋" w:hAnsi="仿宋" w:eastAsia="仿宋"/>
          <w:color w:val="auto"/>
          <w:sz w:val="32"/>
          <w:szCs w:val="32"/>
          <w:highlight w:val="none"/>
          <w:lang w:val="en-US" w:eastAsia="zh-CN"/>
        </w:rPr>
        <w:t>44.18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2022年年初结转减少，项目支出减少</w:t>
      </w:r>
      <w:r>
        <w:rPr>
          <w:rFonts w:hint="eastAsia" w:ascii="仿宋" w:hAnsi="仿宋" w:eastAsia="仿宋"/>
          <w:color w:val="auto"/>
          <w:sz w:val="32"/>
          <w:szCs w:val="32"/>
          <w:highlight w:val="none"/>
          <w:lang w:eastAsia="zh-CN"/>
        </w:rPr>
        <w:t>。</w:t>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160020</wp:posOffset>
            </wp:positionH>
            <wp:positionV relativeFrom="paragraph">
              <wp:posOffset>88265</wp:posOffset>
            </wp:positionV>
            <wp:extent cx="5256530" cy="2988310"/>
            <wp:effectExtent l="5080" t="4445" r="11430" b="952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jc w:val="center"/>
        <w:textAlignment w:val="auto"/>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6"/>
        <w:pageBreakBefore w:val="0"/>
        <w:numPr>
          <w:ilvl w:val="0"/>
          <w:numId w:val="0"/>
        </w:numPr>
        <w:shd w:val="clear"/>
        <w:kinsoku/>
        <w:wordWrap/>
        <w:overflowPunct/>
        <w:topLinePunct w:val="0"/>
        <w:bidi w:val="0"/>
        <w:spacing w:line="576" w:lineRule="exact"/>
        <w:ind w:firstLine="640" w:firstLineChars="200"/>
        <w:textAlignment w:val="auto"/>
        <w:outlineLvl w:val="1"/>
        <w:rPr>
          <w:rStyle w:val="17"/>
          <w:rFonts w:ascii="黑体" w:hAnsi="黑体" w:eastAsia="黑体"/>
          <w:b w:val="0"/>
          <w:color w:val="auto"/>
          <w:highlight w:val="none"/>
        </w:rPr>
      </w:pPr>
      <w:bookmarkStart w:id="34" w:name="_Toc23332"/>
      <w:bookmarkStart w:id="35" w:name="_Toc25681"/>
      <w:bookmarkStart w:id="36" w:name="_Toc15396604"/>
      <w:bookmarkStart w:id="37" w:name="_Toc15377206"/>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34"/>
      <w:bookmarkEnd w:id="35"/>
      <w:bookmarkEnd w:id="36"/>
      <w:bookmarkEnd w:id="37"/>
    </w:p>
    <w:p>
      <w:pPr>
        <w:pageBreakBefore w:val="0"/>
        <w:shd w:val="clear"/>
        <w:kinsoku/>
        <w:wordWrap/>
        <w:overflowPunct/>
        <w:topLinePunct w:val="0"/>
        <w:bidi w:val="0"/>
        <w:spacing w:line="576" w:lineRule="exact"/>
        <w:ind w:firstLine="640" w:firstLineChars="200"/>
        <w:textAlignment w:val="auto"/>
        <w:outlineLvl w:val="1"/>
        <w:rPr>
          <w:rFonts w:ascii="仿宋" w:hAnsi="仿宋" w:eastAsia="仿宋"/>
          <w:color w:val="auto"/>
          <w:sz w:val="32"/>
          <w:szCs w:val="32"/>
          <w:highlight w:val="none"/>
        </w:rPr>
      </w:pPr>
      <w:bookmarkStart w:id="38" w:name="_Toc12313"/>
      <w:bookmarkStart w:id="39" w:name="_Toc664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年本年收入合计695.67万元，其中：一般公共预算财政拨款收入693.65万元，占</w:t>
      </w:r>
      <w:r>
        <w:rPr>
          <w:rFonts w:hint="eastAsia" w:ascii="仿宋" w:hAnsi="仿宋" w:eastAsia="仿宋"/>
          <w:color w:val="auto"/>
          <w:sz w:val="32"/>
          <w:szCs w:val="32"/>
          <w:highlight w:val="none"/>
          <w:lang w:val="en-US" w:eastAsia="zh-CN"/>
        </w:rPr>
        <w:t>99.7</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；其他收入2.02万元，占</w:t>
      </w:r>
      <w:r>
        <w:rPr>
          <w:rFonts w:hint="eastAsia" w:ascii="仿宋" w:hAnsi="仿宋" w:eastAsia="仿宋"/>
          <w:color w:val="auto"/>
          <w:sz w:val="32"/>
          <w:szCs w:val="32"/>
          <w:highlight w:val="none"/>
          <w:lang w:val="en-US" w:eastAsia="zh-CN"/>
        </w:rPr>
        <w:t>0.3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8"/>
      <w:bookmarkEnd w:id="39"/>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228600</wp:posOffset>
            </wp:positionH>
            <wp:positionV relativeFrom="paragraph">
              <wp:posOffset>141605</wp:posOffset>
            </wp:positionV>
            <wp:extent cx="4403090" cy="1936750"/>
            <wp:effectExtent l="5080" t="4445" r="11430" b="952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26"/>
        <w:pageBreakBefore w:val="0"/>
        <w:numPr>
          <w:ilvl w:val="0"/>
          <w:numId w:val="0"/>
        </w:numPr>
        <w:shd w:val="clear"/>
        <w:kinsoku/>
        <w:wordWrap/>
        <w:overflowPunct/>
        <w:topLinePunct w:val="0"/>
        <w:bidi w:val="0"/>
        <w:spacing w:line="576" w:lineRule="exact"/>
        <w:ind w:firstLine="640" w:firstLineChars="200"/>
        <w:textAlignment w:val="auto"/>
        <w:outlineLvl w:val="1"/>
        <w:rPr>
          <w:rStyle w:val="17"/>
          <w:rFonts w:ascii="黑体" w:hAnsi="黑体" w:eastAsia="黑体"/>
          <w:b w:val="0"/>
          <w:color w:val="auto"/>
          <w:highlight w:val="none"/>
        </w:rPr>
      </w:pPr>
      <w:bookmarkStart w:id="40" w:name="_Toc6771"/>
      <w:bookmarkStart w:id="41" w:name="_Toc15396605"/>
      <w:bookmarkStart w:id="42" w:name="_Toc15377207"/>
      <w:bookmarkStart w:id="43" w:name="_Toc1324"/>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40"/>
      <w:bookmarkEnd w:id="41"/>
      <w:bookmarkEnd w:id="42"/>
      <w:bookmarkEnd w:id="43"/>
    </w:p>
    <w:p>
      <w:pPr>
        <w:pageBreakBefore w:val="0"/>
        <w:shd w:val="clear"/>
        <w:kinsoku/>
        <w:wordWrap/>
        <w:overflowPunct/>
        <w:topLinePunct w:val="0"/>
        <w:bidi w:val="0"/>
        <w:spacing w:line="576" w:lineRule="exact"/>
        <w:ind w:firstLine="640" w:firstLineChars="200"/>
        <w:textAlignment w:val="auto"/>
        <w:outlineLvl w:val="1"/>
        <w:rPr>
          <w:rFonts w:ascii="仿宋" w:hAnsi="仿宋" w:eastAsia="仿宋"/>
          <w:color w:val="auto"/>
          <w:sz w:val="32"/>
          <w:szCs w:val="32"/>
          <w:highlight w:val="none"/>
        </w:rPr>
      </w:pPr>
      <w:bookmarkStart w:id="44" w:name="_Toc20638"/>
      <w:bookmarkStart w:id="45" w:name="_Toc2420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年本年支出合计807.49万元，其中：基本支出515.39万元，占</w:t>
      </w:r>
      <w:r>
        <w:rPr>
          <w:rFonts w:hint="eastAsia" w:ascii="仿宋" w:hAnsi="仿宋" w:eastAsia="仿宋"/>
          <w:color w:val="auto"/>
          <w:sz w:val="32"/>
          <w:szCs w:val="32"/>
          <w:highlight w:val="none"/>
          <w:lang w:val="en-US" w:eastAsia="zh-CN"/>
        </w:rPr>
        <w:t>63.83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；项目支出292.1万元，占</w:t>
      </w:r>
      <w:r>
        <w:rPr>
          <w:rFonts w:hint="eastAsia" w:ascii="仿宋" w:hAnsi="仿宋" w:eastAsia="仿宋"/>
          <w:color w:val="auto"/>
          <w:sz w:val="32"/>
          <w:szCs w:val="32"/>
          <w:highlight w:val="none"/>
          <w:lang w:val="en-US" w:eastAsia="zh-CN"/>
        </w:rPr>
        <w:t>36.17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4"/>
      <w:bookmarkEnd w:id="45"/>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441325</wp:posOffset>
            </wp:positionH>
            <wp:positionV relativeFrom="paragraph">
              <wp:posOffset>111125</wp:posOffset>
            </wp:positionV>
            <wp:extent cx="4616450" cy="2104390"/>
            <wp:effectExtent l="4445" t="4445" r="12065" b="952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p>
    <w:p>
      <w:pPr>
        <w:pageBreakBefore w:val="0"/>
        <w:shd w:val="clear"/>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w:t>
      </w:r>
    </w:p>
    <w:p>
      <w:pPr>
        <w:pageBreakBefore w:val="0"/>
        <w:shd w:val="clear"/>
        <w:kinsoku/>
        <w:wordWrap/>
        <w:overflowPunct/>
        <w:topLinePunct w:val="0"/>
        <w:bidi w:val="0"/>
        <w:spacing w:line="576" w:lineRule="exact"/>
        <w:ind w:firstLine="640" w:firstLineChars="200"/>
        <w:textAlignment w:val="auto"/>
        <w:outlineLvl w:val="1"/>
        <w:rPr>
          <w:rStyle w:val="17"/>
          <w:rFonts w:ascii="黑体" w:hAnsi="黑体" w:eastAsia="黑体"/>
          <w:b w:val="0"/>
          <w:color w:val="auto"/>
          <w:highlight w:val="none"/>
        </w:rPr>
      </w:pPr>
      <w:bookmarkStart w:id="46" w:name="_Toc29303"/>
      <w:bookmarkStart w:id="47" w:name="_Toc15396606"/>
      <w:bookmarkStart w:id="48" w:name="_Toc15377208"/>
      <w:bookmarkStart w:id="49" w:name="_Toc3119"/>
      <w:r>
        <w:rPr>
          <w:rFonts w:hint="eastAsia" w:ascii="黑体" w:hAnsi="黑体" w:eastAsia="黑体"/>
          <w:color w:val="auto"/>
          <w:sz w:val="32"/>
          <w:szCs w:val="32"/>
          <w:highlight w:val="none"/>
          <w:lang w:val="en-US" w:eastAsia="zh-CN"/>
        </w:rPr>
        <w:t>四、</w:t>
      </w:r>
      <w:r>
        <w:rPr>
          <w:rFonts w:hint="eastAsia" w:ascii="黑体" w:hAnsi="黑体" w:eastAsia="黑体"/>
          <w:color w:val="auto"/>
          <w:sz w:val="32"/>
          <w:szCs w:val="32"/>
          <w:highlight w:val="none"/>
        </w:rPr>
        <w:t>财</w:t>
      </w:r>
      <w:r>
        <w:rPr>
          <w:rStyle w:val="17"/>
          <w:rFonts w:hint="eastAsia" w:ascii="黑体" w:hAnsi="黑体" w:eastAsia="黑体"/>
          <w:b w:val="0"/>
          <w:color w:val="auto"/>
          <w:highlight w:val="none"/>
        </w:rPr>
        <w:t>政拨款收入支出决算总体情况说明</w:t>
      </w:r>
      <w:bookmarkEnd w:id="46"/>
      <w:bookmarkEnd w:id="47"/>
      <w:bookmarkEnd w:id="48"/>
      <w:bookmarkEnd w:id="49"/>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年财政拨款收、支总计817.61万元。与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val="en-US" w:eastAsia="zh-CN"/>
        </w:rPr>
        <w:t>减少</w:t>
      </w:r>
      <w:r>
        <w:rPr>
          <w:rFonts w:hint="eastAsia" w:ascii="仿宋" w:hAnsi="仿宋" w:eastAsia="仿宋"/>
          <w:color w:val="auto"/>
          <w:sz w:val="32"/>
          <w:szCs w:val="32"/>
          <w:highlight w:val="none"/>
        </w:rPr>
        <w:t>661.77万元，</w:t>
      </w:r>
      <w:r>
        <w:rPr>
          <w:rFonts w:hint="eastAsia" w:ascii="仿宋" w:hAnsi="仿宋" w:eastAsia="仿宋"/>
          <w:color w:val="auto"/>
          <w:sz w:val="32"/>
          <w:szCs w:val="32"/>
          <w:highlight w:val="none"/>
          <w:lang w:val="en-US" w:eastAsia="zh-CN"/>
        </w:rPr>
        <w:t>下降44.73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本年年初财政结转资金减少。</w:t>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drawing>
          <wp:anchor distT="0" distB="0" distL="114300" distR="114300" simplePos="0" relativeHeight="251663360" behindDoc="0" locked="0" layoutInCell="1" allowOverlap="1">
            <wp:simplePos x="0" y="0"/>
            <wp:positionH relativeFrom="column">
              <wp:posOffset>465455</wp:posOffset>
            </wp:positionH>
            <wp:positionV relativeFrom="paragraph">
              <wp:posOffset>118745</wp:posOffset>
            </wp:positionV>
            <wp:extent cx="5347335" cy="2294890"/>
            <wp:effectExtent l="4445" t="4445" r="12700" b="1714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p>
    <w:p>
      <w:pPr>
        <w:pageBreakBefore w:val="0"/>
        <w:shd w:val="clear"/>
        <w:kinsoku/>
        <w:wordWrap/>
        <w:overflowPunct/>
        <w:topLinePunct w:val="0"/>
        <w:bidi w:val="0"/>
        <w:spacing w:line="576" w:lineRule="exact"/>
        <w:ind w:firstLine="640" w:firstLineChars="200"/>
        <w:textAlignment w:val="auto"/>
        <w:outlineLvl w:val="1"/>
        <w:rPr>
          <w:rStyle w:val="17"/>
          <w:rFonts w:ascii="黑体" w:hAnsi="黑体" w:eastAsia="黑体"/>
          <w:b w:val="0"/>
          <w:color w:val="auto"/>
          <w:highlight w:val="none"/>
        </w:rPr>
      </w:pPr>
      <w:bookmarkStart w:id="50" w:name="_Toc5073"/>
      <w:bookmarkStart w:id="51" w:name="_Toc15396607"/>
      <w:bookmarkStart w:id="52" w:name="_Toc30043"/>
      <w:bookmarkStart w:id="53"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50"/>
      <w:bookmarkEnd w:id="51"/>
      <w:bookmarkEnd w:id="52"/>
      <w:bookmarkEnd w:id="53"/>
    </w:p>
    <w:p>
      <w:pPr>
        <w:pageBreakBefore w:val="0"/>
        <w:shd w:val="clear"/>
        <w:kinsoku/>
        <w:wordWrap/>
        <w:overflowPunct/>
        <w:topLinePunct w:val="0"/>
        <w:bidi w:val="0"/>
        <w:spacing w:line="576" w:lineRule="exact"/>
        <w:ind w:firstLine="643" w:firstLineChars="200"/>
        <w:textAlignment w:val="auto"/>
        <w:outlineLvl w:val="2"/>
        <w:rPr>
          <w:rFonts w:ascii="仿宋" w:hAnsi="仿宋" w:eastAsia="仿宋"/>
          <w:b/>
          <w:color w:val="auto"/>
          <w:sz w:val="32"/>
          <w:szCs w:val="32"/>
          <w:highlight w:val="none"/>
        </w:rPr>
      </w:pPr>
      <w:bookmarkStart w:id="54" w:name="_Toc15377210"/>
      <w:r>
        <w:rPr>
          <w:rFonts w:hint="eastAsia" w:ascii="仿宋" w:hAnsi="仿宋" w:eastAsia="仿宋"/>
          <w:b/>
          <w:color w:val="auto"/>
          <w:sz w:val="32"/>
          <w:szCs w:val="32"/>
          <w:highlight w:val="none"/>
        </w:rPr>
        <w:t>（一）一般公共预算财政拨款支出决算总体情况</w:t>
      </w:r>
      <w:bookmarkEnd w:id="54"/>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806.71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233.31</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22.43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项目出减少。</w:t>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r>
        <w:rPr>
          <w:rFonts w:hint="default" w:ascii="仿宋" w:hAnsi="仿宋" w:eastAsia="仿宋"/>
          <w:color w:val="auto"/>
          <w:sz w:val="32"/>
          <w:szCs w:val="32"/>
          <w:highlight w:val="none"/>
          <w:lang w:val="en-US" w:eastAsia="zh-CN"/>
        </w:rPr>
        <w:drawing>
          <wp:anchor distT="0" distB="0" distL="114300" distR="114300" simplePos="0" relativeHeight="251664384" behindDoc="0" locked="0" layoutInCell="1" allowOverlap="1">
            <wp:simplePos x="0" y="0"/>
            <wp:positionH relativeFrom="column">
              <wp:posOffset>160655</wp:posOffset>
            </wp:positionH>
            <wp:positionV relativeFrom="paragraph">
              <wp:posOffset>149225</wp:posOffset>
            </wp:positionV>
            <wp:extent cx="5377180" cy="2477135"/>
            <wp:effectExtent l="4445" t="4445" r="13335" b="1778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default"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pageBreakBefore w:val="0"/>
        <w:shd w:val="clear"/>
        <w:kinsoku/>
        <w:wordWrap/>
        <w:overflowPunct/>
        <w:topLinePunct w:val="0"/>
        <w:bidi w:val="0"/>
        <w:spacing w:line="576" w:lineRule="exact"/>
        <w:ind w:firstLine="643" w:firstLineChars="200"/>
        <w:textAlignment w:val="auto"/>
        <w:outlineLvl w:val="2"/>
        <w:rPr>
          <w:rFonts w:ascii="仿宋" w:hAnsi="仿宋" w:eastAsia="仿宋"/>
          <w:b/>
          <w:color w:val="auto"/>
          <w:sz w:val="32"/>
          <w:szCs w:val="32"/>
          <w:highlight w:val="none"/>
        </w:rPr>
      </w:pPr>
      <w:bookmarkStart w:id="55" w:name="_Toc15377211"/>
      <w:r>
        <w:rPr>
          <w:rFonts w:hint="eastAsia" w:ascii="仿宋" w:hAnsi="仿宋" w:eastAsia="仿宋"/>
          <w:b/>
          <w:color w:val="auto"/>
          <w:sz w:val="32"/>
          <w:szCs w:val="32"/>
          <w:highlight w:val="none"/>
        </w:rPr>
        <w:t>（二）一般公共预算财政拨款支出决算结构情况</w:t>
      </w:r>
      <w:bookmarkEnd w:id="55"/>
    </w:p>
    <w:p>
      <w:pPr>
        <w:pageBreakBefore w:val="0"/>
        <w:shd w:val="clear"/>
        <w:kinsoku/>
        <w:wordWrap/>
        <w:overflowPunct/>
        <w:topLinePunct w:val="0"/>
        <w:bidi w:val="0"/>
        <w:spacing w:line="576" w:lineRule="exact"/>
        <w:ind w:firstLine="420" w:firstLineChars="200"/>
        <w:textAlignment w:val="auto"/>
        <w:rPr>
          <w:rFonts w:hint="eastAsia" w:ascii="仿宋" w:hAnsi="仿宋" w:eastAsia="仿宋"/>
          <w:color w:val="auto"/>
          <w:sz w:val="32"/>
          <w:szCs w:val="32"/>
          <w:highlight w:val="none"/>
          <w:lang w:val="en-US" w:eastAsia="zh-CN"/>
        </w:rPr>
      </w:pPr>
      <w:r>
        <w:drawing>
          <wp:anchor distT="0" distB="0" distL="114300" distR="114300" simplePos="0" relativeHeight="251666432" behindDoc="1" locked="0" layoutInCell="1" allowOverlap="1">
            <wp:simplePos x="0" y="0"/>
            <wp:positionH relativeFrom="column">
              <wp:posOffset>480695</wp:posOffset>
            </wp:positionH>
            <wp:positionV relativeFrom="paragraph">
              <wp:posOffset>1525905</wp:posOffset>
            </wp:positionV>
            <wp:extent cx="4825365" cy="2571750"/>
            <wp:effectExtent l="4445" t="4445" r="8890" b="5080"/>
            <wp:wrapTight wrapText="bothSides">
              <wp:wrapPolygon>
                <wp:start x="-20" y="-37"/>
                <wp:lineTo x="-20" y="21563"/>
                <wp:lineTo x="21597" y="21563"/>
                <wp:lineTo x="21597" y="-37"/>
                <wp:lineTo x="-20" y="-37"/>
              </wp:wrapPolygon>
            </wp:wrapTight>
            <wp:docPr id="1" name="图表 5" descr="7b0a202020202263686172745265734964223a202232303436393939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806.71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34.1万元，占</w:t>
      </w:r>
      <w:r>
        <w:rPr>
          <w:rFonts w:hint="eastAsia" w:ascii="仿宋" w:hAnsi="仿宋" w:eastAsia="仿宋"/>
          <w:color w:val="auto"/>
          <w:sz w:val="32"/>
          <w:szCs w:val="32"/>
          <w:highlight w:val="none"/>
          <w:lang w:val="en-US" w:eastAsia="zh-CN"/>
        </w:rPr>
        <w:t>4.23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16.72万元，占</w:t>
      </w:r>
      <w:r>
        <w:rPr>
          <w:rFonts w:hint="eastAsia" w:ascii="仿宋" w:hAnsi="仿宋" w:eastAsia="仿宋"/>
          <w:color w:val="auto"/>
          <w:sz w:val="32"/>
          <w:szCs w:val="32"/>
          <w:highlight w:val="none"/>
          <w:lang w:val="en-US" w:eastAsia="zh-CN"/>
        </w:rPr>
        <w:t>2.07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37.13万元，占</w:t>
      </w:r>
      <w:r>
        <w:rPr>
          <w:rFonts w:hint="eastAsia" w:ascii="仿宋" w:hAnsi="仿宋" w:eastAsia="仿宋"/>
          <w:color w:val="auto"/>
          <w:sz w:val="32"/>
          <w:szCs w:val="32"/>
          <w:highlight w:val="none"/>
          <w:lang w:val="en-US" w:eastAsia="zh-CN"/>
        </w:rPr>
        <w:t>4.60</w:t>
      </w:r>
      <w:r>
        <w:rPr>
          <w:rFonts w:ascii="仿宋" w:hAnsi="仿宋" w:eastAsia="仿宋"/>
          <w:color w:val="auto"/>
          <w:sz w:val="32"/>
          <w:szCs w:val="32"/>
          <w:highlight w:val="none"/>
        </w:rPr>
        <w:t>%</w:t>
      </w:r>
      <w:r>
        <w:rPr>
          <w:rFonts w:hint="eastAsia" w:ascii="仿宋" w:hAnsi="仿宋" w:eastAsia="仿宋"/>
          <w:color w:val="auto"/>
          <w:sz w:val="32"/>
          <w:szCs w:val="32"/>
          <w:highlight w:val="none"/>
        </w:rPr>
        <w:t>；农林水支出718.77</w:t>
      </w:r>
      <w:r>
        <w:rPr>
          <w:rFonts w:hint="eastAsia" w:ascii="仿宋" w:hAnsi="仿宋" w:eastAsia="仿宋"/>
          <w:color w:val="auto"/>
          <w:sz w:val="32"/>
          <w:szCs w:val="32"/>
          <w:highlight w:val="none"/>
          <w:lang w:val="en-US" w:eastAsia="zh-CN"/>
        </w:rPr>
        <w:t>万元，占89.10%。</w:t>
      </w:r>
    </w:p>
    <w:p>
      <w:pPr>
        <w:pStyle w:val="2"/>
        <w:rPr>
          <w:rFonts w:hint="eastAsia" w:ascii="仿宋" w:hAnsi="仿宋" w:eastAsia="仿宋"/>
          <w:color w:val="auto"/>
          <w:sz w:val="32"/>
          <w:szCs w:val="32"/>
          <w:highlight w:val="none"/>
          <w:lang w:val="en-US" w:eastAsia="zh-CN"/>
        </w:rPr>
      </w:pPr>
    </w:p>
    <w:p>
      <w:pPr>
        <w:pStyle w:val="2"/>
        <w:rPr>
          <w:rFonts w:hint="eastAsia" w:ascii="仿宋" w:hAnsi="仿宋" w:eastAsia="仿宋"/>
          <w:color w:val="auto"/>
          <w:sz w:val="32"/>
          <w:szCs w:val="32"/>
          <w:highlight w:val="none"/>
          <w:lang w:val="en-US" w:eastAsia="zh-CN"/>
        </w:rPr>
      </w:pPr>
    </w:p>
    <w:p>
      <w:pPr>
        <w:pageBreakBefore w:val="0"/>
        <w:shd w:val="clear"/>
        <w:kinsoku/>
        <w:wordWrap/>
        <w:overflowPunct/>
        <w:topLinePunct w:val="0"/>
        <w:bidi w:val="0"/>
        <w:spacing w:line="576" w:lineRule="exact"/>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bookmarkStart w:id="56" w:name="_Toc15377212"/>
    </w:p>
    <w:p>
      <w:pPr>
        <w:pageBreakBefore w:val="0"/>
        <w:shd w:val="clear"/>
        <w:kinsoku/>
        <w:wordWrap/>
        <w:overflowPunct/>
        <w:topLinePunct w:val="0"/>
        <w:bidi w:val="0"/>
        <w:spacing w:line="576" w:lineRule="exact"/>
        <w:ind w:firstLine="643" w:firstLineChars="200"/>
        <w:textAlignment w:val="auto"/>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56"/>
    </w:p>
    <w:p>
      <w:pPr>
        <w:pageBreakBefore w:val="0"/>
        <w:shd w:val="clear"/>
        <w:kinsoku/>
        <w:wordWrap/>
        <w:overflowPunct/>
        <w:topLinePunct w:val="0"/>
        <w:bidi w:val="0"/>
        <w:spacing w:line="576" w:lineRule="exact"/>
        <w:ind w:firstLine="643" w:firstLineChars="200"/>
        <w:textAlignment w:val="auto"/>
        <w:outlineLvl w:val="1"/>
        <w:rPr>
          <w:rFonts w:ascii="仿宋" w:hAnsi="仿宋" w:eastAsia="仿宋"/>
          <w:color w:val="auto"/>
          <w:sz w:val="32"/>
          <w:szCs w:val="32"/>
          <w:highlight w:val="none"/>
        </w:rPr>
      </w:pPr>
      <w:bookmarkStart w:id="57" w:name="_Toc1001"/>
      <w:bookmarkStart w:id="58" w:name="_Toc15378460"/>
      <w:bookmarkStart w:id="59" w:name="_Toc15377444"/>
      <w:bookmarkStart w:id="60" w:name="_Toc8386"/>
      <w:bookmarkStart w:id="61"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806.17万元</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98.6</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57"/>
      <w:bookmarkEnd w:id="58"/>
      <w:bookmarkEnd w:id="59"/>
      <w:bookmarkEnd w:id="60"/>
      <w:bookmarkEnd w:id="61"/>
    </w:p>
    <w:p>
      <w:pPr>
        <w:pageBreakBefore w:val="0"/>
        <w:numPr>
          <w:ilvl w:val="0"/>
          <w:numId w:val="0"/>
        </w:numPr>
        <w:shd w:val="clear"/>
        <w:kinsoku/>
        <w:wordWrap/>
        <w:overflowPunct/>
        <w:topLinePunct w:val="0"/>
        <w:bidi w:val="0"/>
        <w:spacing w:line="576" w:lineRule="exact"/>
        <w:ind w:firstLine="643" w:firstLineChars="200"/>
        <w:textAlignment w:val="auto"/>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1.</w:t>
      </w:r>
      <w:r>
        <w:rPr>
          <w:rStyle w:val="14"/>
          <w:rFonts w:hint="eastAsia" w:ascii="仿宋" w:hAnsi="仿宋" w:eastAsia="仿宋"/>
          <w:bCs/>
          <w:color w:val="auto"/>
          <w:sz w:val="32"/>
          <w:szCs w:val="32"/>
          <w:highlight w:val="none"/>
        </w:rPr>
        <w:t>社会保障和就业（类）行政事业单位养老支出（款）机关事业单位基本养老保险缴费支出（项）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34.1</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pageBreakBefore w:val="0"/>
        <w:numPr>
          <w:ilvl w:val="0"/>
          <w:numId w:val="0"/>
        </w:numPr>
        <w:shd w:val="clear"/>
        <w:kinsoku/>
        <w:wordWrap/>
        <w:overflowPunct/>
        <w:topLinePunct w:val="0"/>
        <w:bidi w:val="0"/>
        <w:spacing w:line="576" w:lineRule="exact"/>
        <w:ind w:firstLine="643" w:firstLineChars="200"/>
        <w:textAlignment w:val="auto"/>
        <w:rPr>
          <w:rStyle w:val="14"/>
          <w:rFonts w:hint="eastAsia" w:ascii="仿宋" w:hAnsi="仿宋" w:eastAsia="仿宋"/>
          <w:b w:val="0"/>
          <w:bCs/>
          <w:color w:val="auto"/>
          <w:sz w:val="32"/>
          <w:szCs w:val="32"/>
          <w:highlight w:val="none"/>
        </w:rPr>
      </w:pPr>
      <w:r>
        <w:rPr>
          <w:rFonts w:hint="eastAsia" w:ascii="仿宋" w:hAnsi="仿宋" w:eastAsia="仿宋"/>
          <w:b/>
          <w:bCs/>
          <w:color w:val="auto"/>
          <w:sz w:val="32"/>
          <w:szCs w:val="32"/>
          <w:highlight w:val="none"/>
          <w:lang w:val="en-US" w:eastAsia="zh-CN"/>
        </w:rPr>
        <w:t>2.</w:t>
      </w:r>
      <w:r>
        <w:rPr>
          <w:rFonts w:hint="eastAsia" w:ascii="仿宋" w:hAnsi="仿宋" w:eastAsia="仿宋"/>
          <w:b/>
          <w:bCs/>
          <w:color w:val="auto"/>
          <w:sz w:val="32"/>
          <w:szCs w:val="32"/>
          <w:highlight w:val="none"/>
        </w:rPr>
        <w:t>卫生健康</w:t>
      </w:r>
      <w:r>
        <w:rPr>
          <w:rStyle w:val="14"/>
          <w:rFonts w:hint="eastAsia" w:ascii="仿宋" w:hAnsi="仿宋" w:eastAsia="仿宋"/>
          <w:bCs/>
          <w:color w:val="auto"/>
          <w:sz w:val="32"/>
          <w:szCs w:val="32"/>
          <w:highlight w:val="none"/>
        </w:rPr>
        <w:t>（类）行政事业单位医疗（款）事业单位医疗（项）</w:t>
      </w:r>
      <w:r>
        <w:rPr>
          <w:rStyle w:val="14"/>
          <w:rFonts w:ascii="仿宋" w:hAnsi="仿宋" w:eastAsia="仿宋"/>
          <w:bCs/>
          <w:color w:val="auto"/>
          <w:sz w:val="32"/>
          <w:szCs w:val="32"/>
          <w:highlight w:val="none"/>
        </w:rPr>
        <w:t>:</w:t>
      </w:r>
      <w:r>
        <w:rPr>
          <w:rStyle w:val="14"/>
          <w:rFonts w:hint="eastAsia" w:ascii="仿宋" w:hAnsi="仿宋" w:eastAsia="仿宋"/>
          <w:b w:val="0"/>
          <w:bCs/>
          <w:color w:val="auto"/>
          <w:sz w:val="32"/>
          <w:szCs w:val="32"/>
          <w:highlight w:val="none"/>
        </w:rPr>
        <w:t>支出决算为16.72万元，完成预算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pageBreakBefore w:val="0"/>
        <w:numPr>
          <w:ilvl w:val="0"/>
          <w:numId w:val="0"/>
        </w:numPr>
        <w:shd w:val="clear"/>
        <w:kinsoku/>
        <w:wordWrap/>
        <w:overflowPunct/>
        <w:topLinePunct w:val="0"/>
        <w:bidi w:val="0"/>
        <w:spacing w:line="576" w:lineRule="exact"/>
        <w:ind w:firstLine="643" w:firstLineChars="200"/>
        <w:textAlignment w:val="auto"/>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3.农林水支出</w:t>
      </w:r>
      <w:r>
        <w:rPr>
          <w:rStyle w:val="14"/>
          <w:rFonts w:hint="eastAsia" w:ascii="仿宋" w:hAnsi="仿宋" w:eastAsia="仿宋"/>
          <w:bCs/>
          <w:color w:val="auto"/>
          <w:sz w:val="32"/>
          <w:szCs w:val="32"/>
          <w:highlight w:val="none"/>
        </w:rPr>
        <w:t>（类）林业和草原（款）事业机构（项）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426.66</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99.16</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val="en-US" w:eastAsia="zh-CN"/>
        </w:rPr>
        <w:t>,</w:t>
      </w:r>
      <w:r>
        <w:rPr>
          <w:rStyle w:val="14"/>
          <w:rFonts w:hint="eastAsia" w:ascii="仿宋" w:hAnsi="仿宋" w:eastAsia="仿宋"/>
          <w:b w:val="0"/>
          <w:bCs/>
          <w:color w:val="auto"/>
          <w:sz w:val="32"/>
          <w:szCs w:val="32"/>
          <w:highlight w:val="none"/>
        </w:rPr>
        <w:t>年底部分办公经费由于报账手续不完整，未支付。</w:t>
      </w:r>
    </w:p>
    <w:p>
      <w:pPr>
        <w:pageBreakBefore w:val="0"/>
        <w:numPr>
          <w:ilvl w:val="0"/>
          <w:numId w:val="0"/>
        </w:numPr>
        <w:shd w:val="clear"/>
        <w:kinsoku/>
        <w:wordWrap/>
        <w:overflowPunct/>
        <w:topLinePunct w:val="0"/>
        <w:bidi w:val="0"/>
        <w:spacing w:line="576" w:lineRule="exact"/>
        <w:ind w:firstLine="640" w:firstLineChars="200"/>
        <w:textAlignment w:val="auto"/>
        <w:rPr>
          <w:rStyle w:val="14"/>
          <w:rFonts w:hint="eastAsia" w:ascii="仿宋" w:hAnsi="仿宋" w:eastAsia="仿宋"/>
          <w:b w:val="0"/>
          <w:bCs/>
          <w:color w:val="auto"/>
          <w:sz w:val="32"/>
          <w:szCs w:val="32"/>
          <w:highlight w:val="none"/>
        </w:rPr>
      </w:pPr>
      <w:r>
        <w:rPr>
          <w:rStyle w:val="14"/>
          <w:rFonts w:hint="eastAsia" w:ascii="仿宋" w:hAnsi="仿宋" w:eastAsia="仿宋"/>
          <w:b w:val="0"/>
          <w:bCs/>
          <w:color w:val="auto"/>
          <w:sz w:val="32"/>
          <w:szCs w:val="32"/>
          <w:highlight w:val="none"/>
          <w:lang w:val="en-US" w:eastAsia="zh-CN"/>
        </w:rPr>
        <w:t>4</w:t>
      </w:r>
      <w:r>
        <w:rPr>
          <w:rStyle w:val="14"/>
          <w:rFonts w:hint="eastAsia" w:ascii="仿宋" w:hAnsi="仿宋" w:eastAsia="仿宋"/>
          <w:bCs/>
          <w:color w:val="auto"/>
          <w:sz w:val="32"/>
          <w:szCs w:val="32"/>
          <w:highlight w:val="none"/>
          <w:lang w:val="en-US" w:eastAsia="zh-CN"/>
        </w:rPr>
        <w:t>.农林水支出（类）林业和草原（款）技术推广与转化（项）：</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124.45</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99</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val="en-US" w:eastAsia="zh-CN"/>
        </w:rPr>
        <w:t>,</w:t>
      </w:r>
    </w:p>
    <w:p>
      <w:pPr>
        <w:pageBreakBefore w:val="0"/>
        <w:numPr>
          <w:ilvl w:val="0"/>
          <w:numId w:val="0"/>
        </w:numPr>
        <w:shd w:val="clear"/>
        <w:kinsoku/>
        <w:wordWrap/>
        <w:overflowPunct/>
        <w:topLinePunct w:val="0"/>
        <w:bidi w:val="0"/>
        <w:spacing w:line="576" w:lineRule="exact"/>
        <w:ind w:firstLine="643" w:firstLineChars="200"/>
        <w:textAlignment w:val="auto"/>
        <w:rPr>
          <w:rStyle w:val="14"/>
          <w:rFonts w:hint="eastAsia" w:ascii="仿宋" w:hAnsi="仿宋" w:eastAsia="仿宋"/>
          <w:b w:val="0"/>
          <w:bCs/>
          <w:color w:val="auto"/>
          <w:sz w:val="32"/>
          <w:szCs w:val="32"/>
          <w:highlight w:val="none"/>
        </w:rPr>
      </w:pPr>
      <w:r>
        <w:rPr>
          <w:rStyle w:val="14"/>
          <w:rFonts w:hint="eastAsia" w:ascii="仿宋" w:hAnsi="仿宋" w:eastAsia="仿宋"/>
          <w:bCs/>
          <w:color w:val="auto"/>
          <w:sz w:val="32"/>
          <w:szCs w:val="32"/>
          <w:highlight w:val="none"/>
          <w:lang w:val="en-US" w:eastAsia="zh-CN"/>
        </w:rPr>
        <w:t>5.农林水支出（类）林业和草原（款）行业业务管理（项）：</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141.23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92.76</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决算数小于预算数的主要原因是：部分项目跨年完成。</w:t>
      </w:r>
    </w:p>
    <w:p>
      <w:pPr>
        <w:pageBreakBefore w:val="0"/>
        <w:numPr>
          <w:ilvl w:val="0"/>
          <w:numId w:val="0"/>
        </w:numPr>
        <w:shd w:val="clear"/>
        <w:kinsoku/>
        <w:wordWrap/>
        <w:overflowPunct/>
        <w:topLinePunct w:val="0"/>
        <w:bidi w:val="0"/>
        <w:spacing w:line="576" w:lineRule="exact"/>
        <w:ind w:firstLine="643" w:firstLineChars="200"/>
        <w:textAlignment w:val="auto"/>
        <w:rPr>
          <w:rStyle w:val="14"/>
          <w:rFonts w:hint="default" w:ascii="仿宋" w:hAnsi="仿宋" w:eastAsia="仿宋"/>
          <w:b w:val="0"/>
          <w:bCs/>
          <w:color w:val="auto"/>
          <w:sz w:val="32"/>
          <w:szCs w:val="32"/>
          <w:highlight w:val="none"/>
          <w:lang w:val="en-US" w:eastAsia="zh-CN"/>
        </w:rPr>
      </w:pPr>
      <w:r>
        <w:rPr>
          <w:rStyle w:val="14"/>
          <w:rFonts w:hint="eastAsia" w:ascii="仿宋" w:hAnsi="仿宋" w:eastAsia="仿宋"/>
          <w:bCs/>
          <w:color w:val="auto"/>
          <w:sz w:val="32"/>
          <w:szCs w:val="32"/>
          <w:highlight w:val="none"/>
          <w:lang w:val="en-US" w:eastAsia="zh-CN"/>
        </w:rPr>
        <w:t>6.农林水支出（类）林业和草原（款）其他林业和草原支出</w:t>
      </w:r>
      <w:r>
        <w:rPr>
          <w:rStyle w:val="14"/>
          <w:rFonts w:hint="eastAsia" w:ascii="仿宋" w:hAnsi="仿宋" w:eastAsia="仿宋"/>
          <w:bCs/>
          <w:color w:val="auto"/>
          <w:sz w:val="32"/>
          <w:szCs w:val="32"/>
          <w:highlight w:val="none"/>
        </w:rPr>
        <w:t>（项）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26.43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81.1</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val="en-US" w:eastAsia="zh-CN"/>
        </w:rPr>
        <w:t>,</w:t>
      </w:r>
      <w:r>
        <w:rPr>
          <w:rStyle w:val="14"/>
          <w:rFonts w:hint="eastAsia" w:ascii="仿宋" w:hAnsi="仿宋" w:eastAsia="仿宋"/>
          <w:b w:val="0"/>
          <w:bCs/>
          <w:color w:val="auto"/>
          <w:sz w:val="32"/>
          <w:szCs w:val="32"/>
          <w:highlight w:val="none"/>
        </w:rPr>
        <w:t>一是年末部分项目款项未付。</w:t>
      </w:r>
    </w:p>
    <w:p>
      <w:pPr>
        <w:pageBreakBefore w:val="0"/>
        <w:numPr>
          <w:ilvl w:val="0"/>
          <w:numId w:val="0"/>
        </w:numPr>
        <w:shd w:val="clear"/>
        <w:kinsoku/>
        <w:wordWrap/>
        <w:overflowPunct/>
        <w:topLinePunct w:val="0"/>
        <w:bidi w:val="0"/>
        <w:spacing w:line="576" w:lineRule="exact"/>
        <w:ind w:firstLine="643" w:firstLineChars="200"/>
        <w:textAlignment w:val="auto"/>
        <w:rPr>
          <w:rFonts w:ascii="仿宋" w:hAnsi="仿宋" w:eastAsia="仿宋"/>
          <w:b/>
          <w:color w:val="auto"/>
          <w:sz w:val="32"/>
          <w:szCs w:val="32"/>
          <w:highlight w:val="none"/>
        </w:rPr>
      </w:pPr>
      <w:r>
        <w:rPr>
          <w:rStyle w:val="14"/>
          <w:rFonts w:hint="eastAsia" w:ascii="仿宋" w:hAnsi="仿宋" w:eastAsia="仿宋"/>
          <w:bCs/>
          <w:color w:val="auto"/>
          <w:sz w:val="32"/>
          <w:szCs w:val="32"/>
          <w:highlight w:val="none"/>
          <w:lang w:val="en-US" w:eastAsia="zh-CN"/>
        </w:rPr>
        <w:t>7.住房保障支出（类）住房改革支出（款）住房公积金（项）：</w:t>
      </w:r>
      <w:r>
        <w:rPr>
          <w:rStyle w:val="14"/>
          <w:rFonts w:hint="eastAsia" w:ascii="仿宋" w:hAnsi="仿宋" w:eastAsia="仿宋"/>
          <w:b w:val="0"/>
          <w:bCs/>
          <w:color w:val="auto"/>
          <w:sz w:val="32"/>
          <w:szCs w:val="32"/>
          <w:highlight w:val="none"/>
        </w:rPr>
        <w:t>支出决算为</w:t>
      </w:r>
      <w:r>
        <w:rPr>
          <w:rStyle w:val="14"/>
          <w:rFonts w:hint="eastAsia" w:ascii="仿宋" w:hAnsi="仿宋" w:eastAsia="仿宋"/>
          <w:b w:val="0"/>
          <w:bCs/>
          <w:color w:val="auto"/>
          <w:sz w:val="32"/>
          <w:szCs w:val="32"/>
          <w:highlight w:val="none"/>
          <w:lang w:val="en-US" w:eastAsia="zh-CN"/>
        </w:rPr>
        <w:t>37.13</w:t>
      </w:r>
      <w:r>
        <w:rPr>
          <w:rStyle w:val="14"/>
          <w:rFonts w:hint="eastAsia" w:ascii="仿宋" w:hAnsi="仿宋" w:eastAsia="仿宋"/>
          <w:b w:val="0"/>
          <w:bCs/>
          <w:color w:val="auto"/>
          <w:sz w:val="32"/>
          <w:szCs w:val="32"/>
          <w:highlight w:val="none"/>
        </w:rPr>
        <w:t>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p>
    <w:p>
      <w:pPr>
        <w:pageBreakBefore w:val="0"/>
        <w:shd w:val="clear"/>
        <w:tabs>
          <w:tab w:val="right" w:pos="8306"/>
        </w:tabs>
        <w:kinsoku/>
        <w:wordWrap/>
        <w:overflowPunct/>
        <w:topLinePunct w:val="0"/>
        <w:bidi w:val="0"/>
        <w:spacing w:line="576" w:lineRule="exact"/>
        <w:ind w:firstLine="640" w:firstLineChars="200"/>
        <w:textAlignment w:val="auto"/>
        <w:outlineLvl w:val="1"/>
        <w:rPr>
          <w:rStyle w:val="17"/>
          <w:color w:val="auto"/>
          <w:highlight w:val="none"/>
        </w:rPr>
      </w:pPr>
      <w:bookmarkStart w:id="62" w:name="_Toc22908"/>
      <w:bookmarkStart w:id="63" w:name="_Toc15396608"/>
      <w:bookmarkStart w:id="64" w:name="_Toc21985"/>
      <w:bookmarkStart w:id="6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62"/>
      <w:bookmarkEnd w:id="63"/>
      <w:bookmarkEnd w:id="64"/>
      <w:bookmarkEnd w:id="65"/>
      <w:r>
        <w:rPr>
          <w:rStyle w:val="17"/>
          <w:rFonts w:ascii="黑体" w:hAnsi="黑体" w:eastAsia="黑体"/>
          <w:b w:val="0"/>
          <w:color w:val="auto"/>
          <w:highlight w:val="none"/>
        </w:rPr>
        <w:tab/>
      </w:r>
    </w:p>
    <w:p>
      <w:pPr>
        <w:pageBreakBefore w:val="0"/>
        <w:shd w:val="clear"/>
        <w:kinsoku/>
        <w:wordWrap/>
        <w:overflowPunct/>
        <w:topLinePunct w:val="0"/>
        <w:bidi w:val="0"/>
        <w:spacing w:line="576" w:lineRule="exact"/>
        <w:ind w:firstLine="640" w:firstLineChars="200"/>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年一般公共预算财政拨款基本支出514.61万元，其中：</w:t>
      </w: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人员经费478.35万元，主要包括：基本工资、津贴补贴、奖金、绩效工资、机关事业单位基本养老保险缴费、职工基本医疗保险缴费、其他社会保障缴费、住房公积金、生活补助、其他对个人和家庭的补助支出。</w:t>
      </w:r>
    </w:p>
    <w:p>
      <w:pPr>
        <w:pageBreakBefore w:val="0"/>
        <w:shd w:val="clear"/>
        <w:kinsoku/>
        <w:wordWrap/>
        <w:overflowPunct/>
        <w:topLinePunct w:val="0"/>
        <w:bidi w:val="0"/>
        <w:spacing w:line="576" w:lineRule="exact"/>
        <w:ind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公用经费36.26万元，主要包括：办公费、印刷费、咨询费、水费、电费、邮电费、物业管理费、差旅费、维修（护）费、租赁费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劳务费、工会经费、福利费、公务用车运行维护费、其他交通费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r>
        <w:rPr>
          <w:rFonts w:hint="eastAsia" w:ascii="仿宋" w:hAnsi="仿宋" w:eastAsia="仿宋"/>
          <w:color w:val="auto"/>
          <w:sz w:val="32"/>
          <w:szCs w:val="32"/>
          <w:highlight w:val="none"/>
          <w:lang w:eastAsia="zh-CN"/>
        </w:rPr>
        <w:t>、办公设备购置</w:t>
      </w:r>
      <w:r>
        <w:rPr>
          <w:rFonts w:hint="eastAsia" w:ascii="仿宋" w:hAnsi="仿宋" w:eastAsia="仿宋"/>
          <w:color w:val="auto"/>
          <w:sz w:val="32"/>
          <w:szCs w:val="32"/>
          <w:highlight w:val="none"/>
        </w:rPr>
        <w:t>。</w:t>
      </w:r>
    </w:p>
    <w:p>
      <w:pPr>
        <w:pageBreakBefore w:val="0"/>
        <w:shd w:val="clear"/>
        <w:kinsoku/>
        <w:wordWrap/>
        <w:overflowPunct/>
        <w:topLinePunct w:val="0"/>
        <w:bidi w:val="0"/>
        <w:spacing w:line="576" w:lineRule="exact"/>
        <w:ind w:firstLine="640" w:firstLineChars="200"/>
        <w:textAlignment w:val="auto"/>
        <w:outlineLvl w:val="1"/>
        <w:rPr>
          <w:rStyle w:val="17"/>
          <w:rFonts w:ascii="黑体" w:hAnsi="黑体" w:eastAsia="黑体"/>
          <w:b w:val="0"/>
          <w:color w:val="auto"/>
          <w:highlight w:val="none"/>
        </w:rPr>
      </w:pPr>
      <w:bookmarkStart w:id="66" w:name="_Toc15377215"/>
      <w:bookmarkStart w:id="67" w:name="_Toc30397"/>
      <w:bookmarkStart w:id="68" w:name="_Toc21980"/>
      <w:bookmarkStart w:id="69" w:name="_Toc15396609"/>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66"/>
      <w:bookmarkEnd w:id="67"/>
      <w:bookmarkEnd w:id="68"/>
      <w:bookmarkEnd w:id="69"/>
    </w:p>
    <w:p>
      <w:pPr>
        <w:pageBreakBefore w:val="0"/>
        <w:shd w:val="clear"/>
        <w:kinsoku/>
        <w:wordWrap/>
        <w:overflowPunct/>
        <w:topLinePunct w:val="0"/>
        <w:bidi w:val="0"/>
        <w:spacing w:line="576" w:lineRule="exact"/>
        <w:ind w:firstLine="643" w:firstLineChars="200"/>
        <w:textAlignment w:val="auto"/>
        <w:outlineLvl w:val="2"/>
        <w:rPr>
          <w:rFonts w:ascii="仿宋" w:hAnsi="仿宋" w:eastAsia="仿宋"/>
          <w:b/>
          <w:color w:val="auto"/>
          <w:sz w:val="32"/>
          <w:szCs w:val="32"/>
          <w:highlight w:val="none"/>
        </w:rPr>
      </w:pPr>
      <w:bookmarkStart w:id="70" w:name="_Toc15377216"/>
      <w:r>
        <w:rPr>
          <w:rFonts w:hint="eastAsia" w:ascii="仿宋" w:hAnsi="仿宋" w:eastAsia="仿宋"/>
          <w:b/>
          <w:color w:val="auto"/>
          <w:sz w:val="32"/>
          <w:szCs w:val="32"/>
          <w:highlight w:val="none"/>
        </w:rPr>
        <w:t>（一）“三公”经费财政拨款支出决算总体情况说明</w:t>
      </w:r>
      <w:bookmarkEnd w:id="70"/>
    </w:p>
    <w:p>
      <w:pPr>
        <w:keepNext w:val="0"/>
        <w:keepLines w:val="0"/>
        <w:pageBreakBefore w:val="0"/>
        <w:widowControl w:val="0"/>
        <w:shd w:val="clear"/>
        <w:kinsoku/>
        <w:wordWrap/>
        <w:overflowPunct/>
        <w:topLinePunct w:val="0"/>
        <w:bidi w:val="0"/>
        <w:snapToGrid/>
        <w:spacing w:line="576" w:lineRule="exact"/>
        <w:ind w:firstLine="640" w:firstLineChars="200"/>
        <w:textAlignment w:val="auto"/>
        <w:rPr>
          <w:rFonts w:hint="default"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1.38</w:t>
      </w:r>
      <w:r>
        <w:rPr>
          <w:rFonts w:hint="eastAsia" w:ascii="仿宋" w:hAnsi="仿宋" w:eastAsia="仿宋"/>
          <w:color w:val="auto"/>
          <w:sz w:val="32"/>
          <w:szCs w:val="32"/>
          <w:highlight w:val="none"/>
        </w:rPr>
        <w:t>万元，完成预算</w:t>
      </w:r>
      <w:r>
        <w:rPr>
          <w:rFonts w:hint="default" w:ascii="仿宋" w:hAnsi="仿宋" w:eastAsia="仿宋"/>
          <w:color w:val="auto"/>
          <w:sz w:val="32"/>
          <w:szCs w:val="32"/>
          <w:highlight w:val="none"/>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减少0.38万元，下降38%。</w:t>
      </w:r>
      <w:r>
        <w:rPr>
          <w:rFonts w:hint="eastAsia" w:ascii="仿宋" w:hAnsi="仿宋" w:eastAsia="仿宋"/>
          <w:color w:val="auto"/>
          <w:sz w:val="32"/>
          <w:szCs w:val="32"/>
          <w:highlight w:val="none"/>
        </w:rPr>
        <w:t>决算数与预算数持平</w:t>
      </w:r>
      <w:r>
        <w:rPr>
          <w:rFonts w:hint="default" w:ascii="仿宋" w:hAnsi="仿宋" w:eastAsia="仿宋"/>
          <w:color w:val="auto"/>
          <w:sz w:val="32"/>
          <w:szCs w:val="32"/>
          <w:highlight w:val="none"/>
        </w:rPr>
        <w:t>。</w:t>
      </w:r>
    </w:p>
    <w:p>
      <w:pPr>
        <w:pageBreakBefore w:val="0"/>
        <w:shd w:val="clear"/>
        <w:kinsoku/>
        <w:wordWrap/>
        <w:overflowPunct/>
        <w:topLinePunct w:val="0"/>
        <w:bidi w:val="0"/>
        <w:spacing w:line="576" w:lineRule="exact"/>
        <w:ind w:firstLine="643" w:firstLineChars="200"/>
        <w:textAlignment w:val="auto"/>
        <w:outlineLvl w:val="2"/>
        <w:rPr>
          <w:rFonts w:ascii="仿宋" w:hAnsi="仿宋" w:eastAsia="仿宋"/>
          <w:b/>
          <w:color w:val="auto"/>
          <w:sz w:val="32"/>
          <w:szCs w:val="32"/>
          <w:highlight w:val="none"/>
        </w:rPr>
      </w:pPr>
      <w:bookmarkStart w:id="71" w:name="_Toc15377217"/>
      <w:r>
        <w:rPr>
          <w:rFonts w:hint="eastAsia" w:ascii="仿宋" w:hAnsi="仿宋" w:eastAsia="仿宋"/>
          <w:b/>
          <w:color w:val="auto"/>
          <w:sz w:val="32"/>
          <w:szCs w:val="32"/>
          <w:highlight w:val="none"/>
        </w:rPr>
        <w:t>（二）“三公”经费财政拨款支出决算具体情况说明</w:t>
      </w:r>
      <w:bookmarkEnd w:id="71"/>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1454785</wp:posOffset>
            </wp:positionH>
            <wp:positionV relativeFrom="paragraph">
              <wp:posOffset>1303020</wp:posOffset>
            </wp:positionV>
            <wp:extent cx="3442970" cy="1990090"/>
            <wp:effectExtent l="4445" t="4445" r="12065" b="1714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万元；公务用车购置及运行维护费支出决算</w:t>
      </w:r>
      <w:r>
        <w:rPr>
          <w:rFonts w:hint="eastAsia" w:ascii="仿宋" w:hAnsi="仿宋" w:eastAsia="仿宋"/>
          <w:color w:val="auto"/>
          <w:sz w:val="32"/>
          <w:szCs w:val="32"/>
          <w:highlight w:val="none"/>
          <w:lang w:val="en-US" w:eastAsia="zh-CN"/>
        </w:rPr>
        <w:t>1.34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hint="eastAsia" w:ascii="仿宋" w:hAnsi="仿宋" w:eastAsia="仿宋"/>
          <w:color w:val="auto"/>
          <w:sz w:val="32"/>
          <w:szCs w:val="32"/>
          <w:highlight w:val="none"/>
        </w:rPr>
      </w:pPr>
    </w:p>
    <w:p>
      <w:pPr>
        <w:pageBreakBefore w:val="0"/>
        <w:shd w:val="clear"/>
        <w:kinsoku/>
        <w:wordWrap/>
        <w:overflowPunct/>
        <w:topLinePunct w:val="0"/>
        <w:bidi w:val="0"/>
        <w:spacing w:line="576" w:lineRule="exact"/>
        <w:ind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pageBreakBefore w:val="0"/>
        <w:numPr>
          <w:ilvl w:val="0"/>
          <w:numId w:val="0"/>
        </w:numPr>
        <w:shd w:val="clear"/>
        <w:kinsoku/>
        <w:wordWrap/>
        <w:overflowPunct/>
        <w:topLinePunct w:val="0"/>
        <w:bidi w:val="0"/>
        <w:spacing w:line="576" w:lineRule="exact"/>
        <w:ind w:firstLine="643" w:firstLineChars="200"/>
        <w:textAlignment w:val="auto"/>
        <w:rPr>
          <w:rFonts w:hint="eastAsia" w:ascii="仿宋_GB2312" w:eastAsia="仿宋_GB2312"/>
          <w:b/>
          <w:color w:val="auto"/>
          <w:sz w:val="32"/>
          <w:szCs w:val="32"/>
          <w:highlight w:val="none"/>
        </w:rPr>
      </w:pPr>
      <w:r>
        <w:rPr>
          <w:rFonts w:hint="eastAsia" w:ascii="仿宋_GB2312" w:eastAsia="仿宋_GB2312"/>
          <w:b/>
          <w:color w:val="auto"/>
          <w:sz w:val="32"/>
          <w:szCs w:val="32"/>
          <w:highlight w:val="none"/>
          <w:lang w:val="en-US" w:eastAsia="zh-CN"/>
        </w:rPr>
        <w:t>1.</w:t>
      </w:r>
      <w:r>
        <w:rPr>
          <w:rFonts w:hint="eastAsia" w:ascii="仿宋_GB2312" w:eastAsia="仿宋_GB2312"/>
          <w:b/>
          <w:color w:val="auto"/>
          <w:sz w:val="32"/>
          <w:szCs w:val="32"/>
          <w:highlight w:val="none"/>
        </w:rPr>
        <w:t>因公出国（境）经费支出</w:t>
      </w:r>
    </w:p>
    <w:p>
      <w:pPr>
        <w:pStyle w:val="6"/>
        <w:pageBreakBefore w:val="0"/>
        <w:shd w:val="clear"/>
        <w:kinsoku/>
        <w:wordWrap/>
        <w:overflowPunct/>
        <w:topLinePunct w:val="0"/>
        <w:bidi w:val="0"/>
        <w:spacing w:line="576" w:lineRule="exact"/>
        <w:ind w:firstLine="640" w:firstLineChars="200"/>
        <w:textAlignment w:val="auto"/>
        <w:rPr>
          <w:rFonts w:hint="default"/>
          <w:color w:val="auto"/>
          <w:highlight w:val="none"/>
        </w:rPr>
      </w:pPr>
      <w:r>
        <w:rPr>
          <w:rFonts w:hint="eastAsia" w:ascii="仿宋_GB2312" w:hAnsi="Times New Roman" w:eastAsia="仿宋_GB2312" w:cs="Times New Roman"/>
          <w:color w:val="auto"/>
          <w:kern w:val="2"/>
          <w:sz w:val="32"/>
          <w:szCs w:val="32"/>
          <w:highlight w:val="none"/>
          <w:lang w:val="en-US" w:eastAsia="zh-CN" w:bidi="ar-SA"/>
        </w:rPr>
        <w:t>因公出国（境）经费支出0万元，年初未安排预算</w:t>
      </w:r>
      <w:r>
        <w:rPr>
          <w:rFonts w:hint="default" w:cs="Times New Roman"/>
          <w:color w:val="auto"/>
          <w:kern w:val="2"/>
          <w:sz w:val="32"/>
          <w:szCs w:val="32"/>
          <w:highlight w:val="none"/>
          <w:lang w:eastAsia="zh-CN" w:bidi="ar-SA"/>
        </w:rPr>
        <w:t>，较上年无变化。</w:t>
      </w:r>
    </w:p>
    <w:p>
      <w:pPr>
        <w:pageBreakBefore w:val="0"/>
        <w:numPr>
          <w:ilvl w:val="0"/>
          <w:numId w:val="0"/>
        </w:numPr>
        <w:shd w:val="clear"/>
        <w:kinsoku/>
        <w:wordWrap/>
        <w:overflowPunct/>
        <w:topLinePunct w:val="0"/>
        <w:bidi w:val="0"/>
        <w:spacing w:line="576" w:lineRule="exact"/>
        <w:ind w:firstLine="643" w:firstLineChars="200"/>
        <w:textAlignment w:val="auto"/>
        <w:rPr>
          <w:rFonts w:hint="eastAsia" w:ascii="仿宋_GB2312" w:eastAsia="仿宋_GB2312"/>
          <w:b/>
          <w:color w:val="auto"/>
          <w:sz w:val="32"/>
          <w:szCs w:val="32"/>
          <w:highlight w:val="none"/>
        </w:rPr>
      </w:pPr>
      <w:r>
        <w:rPr>
          <w:rFonts w:hint="eastAsia" w:ascii="仿宋_GB2312" w:eastAsia="仿宋_GB2312"/>
          <w:b/>
          <w:color w:val="auto"/>
          <w:sz w:val="32"/>
          <w:szCs w:val="32"/>
          <w:highlight w:val="none"/>
          <w:lang w:val="en-US" w:eastAsia="zh-CN"/>
        </w:rPr>
        <w:t>2.</w:t>
      </w:r>
      <w:r>
        <w:rPr>
          <w:rFonts w:hint="eastAsia" w:ascii="仿宋_GB2312" w:eastAsia="仿宋_GB2312"/>
          <w:b/>
          <w:color w:val="auto"/>
          <w:sz w:val="32"/>
          <w:szCs w:val="32"/>
          <w:highlight w:val="none"/>
        </w:rPr>
        <w:t>公务用车购置及运行维护费支出</w:t>
      </w:r>
    </w:p>
    <w:p>
      <w:pPr>
        <w:pageBreakBefore w:val="0"/>
        <w:numPr>
          <w:ilvl w:val="0"/>
          <w:numId w:val="0"/>
        </w:numPr>
        <w:shd w:val="clear"/>
        <w:kinsoku/>
        <w:wordWrap/>
        <w:overflowPunct/>
        <w:topLinePunct w:val="0"/>
        <w:bidi w:val="0"/>
        <w:spacing w:line="576" w:lineRule="exact"/>
        <w:ind w:firstLine="643" w:firstLineChars="200"/>
        <w:textAlignment w:val="auto"/>
        <w:rPr>
          <w:rFonts w:ascii="仿宋_GB2312" w:eastAsia="仿宋_GB2312"/>
          <w:b/>
          <w:color w:val="auto"/>
          <w:sz w:val="32"/>
          <w:szCs w:val="32"/>
          <w:highlight w:val="none"/>
        </w:rPr>
      </w:pP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1.34</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95</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0.07</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4.96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厉行节俭，减少公务用车频率</w:t>
      </w:r>
      <w:r>
        <w:rPr>
          <w:rFonts w:hint="eastAsia" w:ascii="仿宋_GB2312" w:eastAsia="仿宋_GB2312"/>
          <w:color w:val="auto"/>
          <w:sz w:val="32"/>
          <w:szCs w:val="32"/>
          <w:highlight w:val="none"/>
        </w:rPr>
        <w:t>。</w:t>
      </w:r>
    </w:p>
    <w:p>
      <w:pPr>
        <w:pageBreakBefore w:val="0"/>
        <w:shd w:val="clear"/>
        <w:kinsoku/>
        <w:wordWrap/>
        <w:overflowPunct/>
        <w:topLinePunct w:val="0"/>
        <w:bidi w:val="0"/>
        <w:spacing w:line="576" w:lineRule="exact"/>
        <w:ind w:firstLine="640" w:firstLineChars="200"/>
        <w:textAlignment w:val="auto"/>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p>
    <w:p>
      <w:pPr>
        <w:pageBreakBefore w:val="0"/>
        <w:shd w:val="clear"/>
        <w:kinsoku/>
        <w:wordWrap/>
        <w:overflowPunct/>
        <w:topLinePunct w:val="0"/>
        <w:bidi w:val="0"/>
        <w:spacing w:line="576"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1.34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日常公务外出；大石、上西两个油橄榄基地管护</w:t>
      </w:r>
      <w:r>
        <w:rPr>
          <w:rFonts w:hint="eastAsia" w:ascii="仿宋_GB2312" w:eastAsia="仿宋_GB2312"/>
          <w:color w:val="auto"/>
          <w:sz w:val="32"/>
          <w:szCs w:val="32"/>
          <w:highlight w:val="none"/>
        </w:rPr>
        <w:t>等所需的公务用车燃料费、维修费、过路过桥费、保险费等支出。</w:t>
      </w:r>
    </w:p>
    <w:p>
      <w:pPr>
        <w:pageBreakBefore w:val="0"/>
        <w:numPr>
          <w:ilvl w:val="0"/>
          <w:numId w:val="0"/>
        </w:numPr>
        <w:shd w:val="clear"/>
        <w:kinsoku/>
        <w:wordWrap/>
        <w:overflowPunct/>
        <w:topLinePunct w:val="0"/>
        <w:bidi w:val="0"/>
        <w:spacing w:line="576" w:lineRule="exact"/>
        <w:ind w:firstLine="643" w:firstLineChars="200"/>
        <w:textAlignment w:val="auto"/>
        <w:rPr>
          <w:rFonts w:hint="eastAsia" w:ascii="仿宋_GB2312" w:eastAsia="仿宋_GB2312"/>
          <w:b/>
          <w:color w:val="auto"/>
          <w:sz w:val="32"/>
          <w:szCs w:val="32"/>
          <w:highlight w:val="none"/>
        </w:rPr>
      </w:pPr>
      <w:r>
        <w:rPr>
          <w:rFonts w:hint="eastAsia" w:ascii="仿宋_GB2312" w:eastAsia="仿宋_GB2312"/>
          <w:b/>
          <w:color w:val="auto"/>
          <w:sz w:val="32"/>
          <w:szCs w:val="32"/>
          <w:highlight w:val="none"/>
          <w:lang w:val="en-US" w:eastAsia="zh-CN"/>
        </w:rPr>
        <w:t>3.</w:t>
      </w:r>
      <w:r>
        <w:rPr>
          <w:rFonts w:hint="eastAsia" w:ascii="仿宋_GB2312" w:eastAsia="仿宋_GB2312"/>
          <w:b/>
          <w:color w:val="auto"/>
          <w:sz w:val="32"/>
          <w:szCs w:val="32"/>
          <w:highlight w:val="none"/>
        </w:rPr>
        <w:t>公务接待费支出</w:t>
      </w:r>
    </w:p>
    <w:p>
      <w:pPr>
        <w:pageBreakBefore w:val="0"/>
        <w:numPr>
          <w:ilvl w:val="0"/>
          <w:numId w:val="0"/>
        </w:numPr>
        <w:shd w:val="clear"/>
        <w:kinsoku/>
        <w:wordWrap/>
        <w:overflowPunct/>
        <w:topLinePunct w:val="0"/>
        <w:bidi w:val="0"/>
        <w:spacing w:line="576" w:lineRule="exact"/>
        <w:ind w:firstLine="643" w:firstLineChars="200"/>
        <w:textAlignment w:val="auto"/>
        <w:rPr>
          <w:rFonts w:ascii="仿宋_GB2312" w:eastAsia="仿宋_GB2312"/>
          <w:color w:val="auto"/>
          <w:sz w:val="32"/>
          <w:szCs w:val="32"/>
          <w:highlight w:val="none"/>
        </w:rPr>
      </w:pP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0.04</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11.42</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0.31</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88.57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rPr>
        <w:t>进一步规范公务接待</w:t>
      </w:r>
      <w:r>
        <w:rPr>
          <w:rFonts w:hint="eastAsia" w:ascii="仿宋_GB2312" w:eastAsia="仿宋_GB2312"/>
          <w:color w:val="auto"/>
          <w:sz w:val="32"/>
          <w:szCs w:val="32"/>
          <w:highlight w:val="none"/>
        </w:rPr>
        <w:t>。其中：</w:t>
      </w:r>
    </w:p>
    <w:p>
      <w:pPr>
        <w:pageBreakBefore w:val="0"/>
        <w:shd w:val="clear"/>
        <w:kinsoku/>
        <w:wordWrap/>
        <w:overflowPunct/>
        <w:topLinePunct w:val="0"/>
        <w:bidi w:val="0"/>
        <w:spacing w:line="576" w:lineRule="exact"/>
        <w:ind w:firstLine="643" w:firstLineChars="200"/>
        <w:textAlignment w:val="auto"/>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上级部门到我院开展核桃研究相关工作交流学习的</w:t>
      </w:r>
      <w:r>
        <w:rPr>
          <w:rFonts w:hint="eastAsia" w:ascii="仿宋_GB2312" w:eastAsia="仿宋_GB2312"/>
          <w:color w:val="auto"/>
          <w:sz w:val="32"/>
          <w:szCs w:val="32"/>
          <w:highlight w:val="none"/>
        </w:rPr>
        <w:t>用餐费等。国内公务接待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0.04</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餐费0.04万元。</w:t>
      </w:r>
    </w:p>
    <w:p>
      <w:pPr>
        <w:pageBreakBefore w:val="0"/>
        <w:shd w:val="clear"/>
        <w:kinsoku/>
        <w:wordWrap/>
        <w:overflowPunct/>
        <w:topLinePunct w:val="0"/>
        <w:bidi w:val="0"/>
        <w:spacing w:line="576" w:lineRule="exact"/>
        <w:ind w:firstLine="643" w:firstLineChars="200"/>
        <w:textAlignment w:val="auto"/>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shd w:val="clear"/>
        <w:kinsoku/>
        <w:wordWrap/>
        <w:overflowPunct/>
        <w:topLinePunct w:val="0"/>
        <w:bidi w:val="0"/>
        <w:spacing w:line="576" w:lineRule="exact"/>
        <w:ind w:firstLine="640" w:firstLineChars="200"/>
        <w:textAlignment w:val="auto"/>
        <w:outlineLvl w:val="1"/>
        <w:rPr>
          <w:rStyle w:val="17"/>
          <w:rFonts w:ascii="黑体" w:hAnsi="黑体" w:eastAsia="黑体"/>
          <w:color w:val="auto"/>
          <w:highlight w:val="none"/>
        </w:rPr>
      </w:pPr>
      <w:bookmarkStart w:id="72" w:name="_Toc15377218"/>
      <w:bookmarkStart w:id="73" w:name="_Toc8187"/>
      <w:bookmarkStart w:id="74" w:name="_Toc15396610"/>
      <w:bookmarkStart w:id="75" w:name="_Toc7768"/>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72"/>
      <w:bookmarkEnd w:id="73"/>
      <w:bookmarkEnd w:id="74"/>
      <w:bookmarkEnd w:id="75"/>
    </w:p>
    <w:p>
      <w:pPr>
        <w:pageBreakBefore w:val="0"/>
        <w:shd w:val="clear"/>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numPr>
          <w:ilvl w:val="0"/>
          <w:numId w:val="0"/>
        </w:numPr>
        <w:shd w:val="clear"/>
        <w:kinsoku/>
        <w:wordWrap/>
        <w:overflowPunct/>
        <w:topLinePunct w:val="0"/>
        <w:bidi w:val="0"/>
        <w:spacing w:line="576" w:lineRule="exact"/>
        <w:ind w:firstLine="640" w:firstLineChars="200"/>
        <w:textAlignment w:val="auto"/>
        <w:outlineLvl w:val="1"/>
        <w:rPr>
          <w:rStyle w:val="17"/>
          <w:rFonts w:ascii="黑体" w:hAnsi="黑体" w:eastAsia="黑体"/>
          <w:b w:val="0"/>
          <w:color w:val="auto"/>
          <w:highlight w:val="none"/>
        </w:rPr>
      </w:pPr>
      <w:bookmarkStart w:id="76" w:name="_Toc15377219"/>
      <w:bookmarkStart w:id="77" w:name="_Toc20587"/>
      <w:bookmarkStart w:id="78" w:name="_Toc15396611"/>
      <w:bookmarkStart w:id="79" w:name="_Toc14417"/>
      <w:r>
        <w:rPr>
          <w:rStyle w:val="17"/>
          <w:rFonts w:hint="eastAsia" w:ascii="黑体" w:hAnsi="黑体" w:eastAsia="黑体"/>
          <w:b w:val="0"/>
          <w:color w:val="auto"/>
          <w:highlight w:val="none"/>
          <w:lang w:val="en-US" w:eastAsia="zh-CN"/>
        </w:rPr>
        <w:t>九、</w:t>
      </w:r>
      <w:r>
        <w:rPr>
          <w:rStyle w:val="17"/>
          <w:rFonts w:hint="eastAsia" w:ascii="黑体" w:hAnsi="黑体" w:eastAsia="黑体"/>
          <w:b w:val="0"/>
          <w:color w:val="auto"/>
          <w:highlight w:val="none"/>
        </w:rPr>
        <w:t>国有资本经营预算支出决算情况说明</w:t>
      </w:r>
      <w:bookmarkEnd w:id="76"/>
      <w:bookmarkEnd w:id="77"/>
      <w:bookmarkEnd w:id="78"/>
      <w:bookmarkEnd w:id="79"/>
    </w:p>
    <w:p>
      <w:pPr>
        <w:pageBreakBefore w:val="0"/>
        <w:shd w:val="clear"/>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numPr>
          <w:ilvl w:val="0"/>
          <w:numId w:val="0"/>
        </w:numPr>
        <w:shd w:val="clear"/>
        <w:kinsoku/>
        <w:wordWrap/>
        <w:overflowPunct/>
        <w:topLinePunct w:val="0"/>
        <w:bidi w:val="0"/>
        <w:spacing w:line="576" w:lineRule="exact"/>
        <w:ind w:firstLine="640" w:firstLineChars="200"/>
        <w:textAlignment w:val="auto"/>
        <w:outlineLvl w:val="1"/>
        <w:rPr>
          <w:rStyle w:val="17"/>
          <w:rFonts w:hint="eastAsia" w:ascii="黑体" w:hAnsi="黑体" w:eastAsia="黑体"/>
          <w:b w:val="0"/>
          <w:color w:val="auto"/>
          <w:highlight w:val="none"/>
        </w:rPr>
      </w:pPr>
      <w:bookmarkStart w:id="80" w:name="_Toc15377221"/>
      <w:bookmarkStart w:id="81" w:name="_Toc27148"/>
      <w:bookmarkStart w:id="82" w:name="_Toc15396612"/>
      <w:bookmarkStart w:id="83" w:name="_Toc27917"/>
      <w:r>
        <w:rPr>
          <w:rStyle w:val="17"/>
          <w:rFonts w:hint="eastAsia" w:ascii="黑体" w:hAnsi="黑体" w:eastAsia="黑体"/>
          <w:b w:val="0"/>
          <w:color w:val="auto"/>
          <w:highlight w:val="none"/>
          <w:lang w:val="en-US" w:eastAsia="zh-CN"/>
        </w:rPr>
        <w:t>十、</w:t>
      </w:r>
      <w:r>
        <w:rPr>
          <w:rStyle w:val="17"/>
          <w:rFonts w:hint="eastAsia" w:ascii="黑体" w:hAnsi="黑体" w:eastAsia="黑体"/>
          <w:b w:val="0"/>
          <w:color w:val="auto"/>
          <w:highlight w:val="none"/>
        </w:rPr>
        <w:t>其他重要事项的情况说明</w:t>
      </w:r>
      <w:bookmarkEnd w:id="80"/>
      <w:bookmarkEnd w:id="81"/>
      <w:bookmarkEnd w:id="82"/>
      <w:bookmarkEnd w:id="83"/>
    </w:p>
    <w:p>
      <w:pPr>
        <w:pageBreakBefore w:val="0"/>
        <w:shd w:val="clear"/>
        <w:kinsoku/>
        <w:wordWrap/>
        <w:overflowPunct/>
        <w:topLinePunct w:val="0"/>
        <w:bidi w:val="0"/>
        <w:spacing w:line="576" w:lineRule="exact"/>
        <w:ind w:firstLine="643" w:firstLineChars="200"/>
        <w:textAlignment w:val="auto"/>
        <w:outlineLvl w:val="2"/>
        <w:rPr>
          <w:rFonts w:ascii="仿宋" w:hAnsi="仿宋" w:eastAsia="仿宋"/>
          <w:color w:val="auto"/>
          <w:sz w:val="32"/>
          <w:szCs w:val="32"/>
          <w:highlight w:val="none"/>
        </w:rPr>
      </w:pPr>
      <w:bookmarkStart w:id="84" w:name="_Toc15377222"/>
      <w:r>
        <w:rPr>
          <w:rFonts w:hint="eastAsia" w:ascii="仿宋" w:hAnsi="仿宋" w:eastAsia="仿宋"/>
          <w:b/>
          <w:color w:val="auto"/>
          <w:sz w:val="32"/>
          <w:szCs w:val="32"/>
          <w:highlight w:val="none"/>
        </w:rPr>
        <w:t>（一）机关运行经费支出情况</w:t>
      </w:r>
      <w:bookmarkEnd w:id="84"/>
    </w:p>
    <w:p>
      <w:pPr>
        <w:pageBreakBefore w:val="0"/>
        <w:shd w:val="clear"/>
        <w:kinsoku/>
        <w:wordWrap/>
        <w:overflowPunct/>
        <w:topLinePunct w:val="0"/>
        <w:bidi w:val="0"/>
        <w:spacing w:line="576" w:lineRule="exact"/>
        <w:ind w:firstLine="640" w:firstLineChars="200"/>
        <w:textAlignment w:val="auto"/>
        <w:rPr>
          <w:rFonts w:hint="eastAsia" w:ascii="仿宋_GB2312" w:eastAsia="仿宋_GB2312"/>
          <w:color w:val="auto"/>
          <w:sz w:val="32"/>
          <w:szCs w:val="32"/>
          <w:highlight w:val="none"/>
        </w:rPr>
      </w:pPr>
      <w:bookmarkStart w:id="85" w:name="_Toc15377223"/>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与2021年决算数持平。</w:t>
      </w:r>
    </w:p>
    <w:p>
      <w:pPr>
        <w:pageBreakBefore w:val="0"/>
        <w:shd w:val="clear"/>
        <w:kinsoku/>
        <w:wordWrap/>
        <w:overflowPunct/>
        <w:topLinePunct w:val="0"/>
        <w:autoSpaceDE w:val="0"/>
        <w:autoSpaceDN w:val="0"/>
        <w:bidi w:val="0"/>
        <w:adjustRightInd w:val="0"/>
        <w:spacing w:line="576" w:lineRule="exact"/>
        <w:ind w:firstLine="643" w:firstLineChars="200"/>
        <w:jc w:val="left"/>
        <w:textAlignment w:val="auto"/>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85"/>
    </w:p>
    <w:p>
      <w:pPr>
        <w:pageBreakBefore w:val="0"/>
        <w:shd w:val="clear"/>
        <w:kinsoku/>
        <w:wordWrap/>
        <w:overflowPunct/>
        <w:topLinePunct w:val="0"/>
        <w:bidi w:val="0"/>
        <w:spacing w:line="576"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79.8</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79.8</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主要用于</w:t>
      </w:r>
      <w:r>
        <w:rPr>
          <w:rFonts w:hint="eastAsia" w:ascii="仿宋_GB2312" w:eastAsia="仿宋_GB2312"/>
          <w:color w:val="auto"/>
          <w:sz w:val="32"/>
          <w:szCs w:val="32"/>
          <w:highlight w:val="none"/>
          <w:lang w:val="en-US" w:eastAsia="zh-CN"/>
        </w:rPr>
        <w:t>林产品质量安全项目实验室仪器设备更新</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ageBreakBefore w:val="0"/>
        <w:shd w:val="clear"/>
        <w:kinsoku/>
        <w:wordWrap/>
        <w:overflowPunct/>
        <w:topLinePunct w:val="0"/>
        <w:autoSpaceDE w:val="0"/>
        <w:autoSpaceDN w:val="0"/>
        <w:bidi w:val="0"/>
        <w:adjustRightInd w:val="0"/>
        <w:spacing w:line="576" w:lineRule="exact"/>
        <w:ind w:firstLine="643" w:firstLineChars="200"/>
        <w:jc w:val="left"/>
        <w:textAlignment w:val="auto"/>
        <w:outlineLvl w:val="2"/>
        <w:rPr>
          <w:rFonts w:ascii="仿宋" w:hAnsi="仿宋" w:eastAsia="仿宋"/>
          <w:b/>
          <w:color w:val="auto"/>
          <w:sz w:val="32"/>
          <w:szCs w:val="32"/>
          <w:highlight w:val="none"/>
        </w:rPr>
      </w:pPr>
      <w:bookmarkStart w:id="86" w:name="_Toc15377224"/>
      <w:r>
        <w:rPr>
          <w:rFonts w:hint="eastAsia" w:ascii="仿宋" w:hAnsi="仿宋" w:eastAsia="仿宋"/>
          <w:b/>
          <w:color w:val="auto"/>
          <w:sz w:val="32"/>
          <w:szCs w:val="32"/>
          <w:highlight w:val="none"/>
        </w:rPr>
        <w:t>（三）国有资产占有使用情况</w:t>
      </w:r>
      <w:bookmarkEnd w:id="86"/>
    </w:p>
    <w:p>
      <w:pPr>
        <w:pageBreakBefore w:val="0"/>
        <w:shd w:val="clear"/>
        <w:kinsoku/>
        <w:wordWrap/>
        <w:overflowPunct/>
        <w:topLinePunct w:val="0"/>
        <w:autoSpaceDE w:val="0"/>
        <w:autoSpaceDN w:val="0"/>
        <w:bidi w:val="0"/>
        <w:adjustRightInd w:val="0"/>
        <w:spacing w:line="576" w:lineRule="exac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我院</w:t>
      </w:r>
      <w:r>
        <w:rPr>
          <w:rFonts w:hint="eastAsia" w:ascii="仿宋_GB2312" w:eastAsia="仿宋_GB2312"/>
          <w:color w:val="auto"/>
          <w:sz w:val="32"/>
          <w:szCs w:val="32"/>
          <w:highlight w:val="none"/>
        </w:rPr>
        <w:t>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日常</w:t>
      </w:r>
      <w:r>
        <w:rPr>
          <w:rFonts w:hint="eastAsia" w:ascii="仿宋" w:hAnsi="仿宋" w:eastAsia="仿宋"/>
          <w:color w:val="auto"/>
          <w:sz w:val="32"/>
          <w:szCs w:val="32"/>
          <w:highlight w:val="none"/>
          <w:lang w:val="en-US" w:eastAsia="zh-CN"/>
        </w:rPr>
        <w:t>开展业务活动</w:t>
      </w:r>
      <w:r>
        <w:rPr>
          <w:rFonts w:hint="eastAsia" w:ascii="仿宋" w:hAnsi="仿宋" w:eastAsia="仿宋"/>
          <w:color w:val="auto"/>
          <w:sz w:val="32"/>
          <w:szCs w:val="32"/>
          <w:highlight w:val="none"/>
        </w:rPr>
        <w:t>等</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ageBreakBefore w:val="0"/>
        <w:shd w:val="clear"/>
        <w:kinsoku/>
        <w:wordWrap/>
        <w:overflowPunct/>
        <w:topLinePunct w:val="0"/>
        <w:autoSpaceDE w:val="0"/>
        <w:autoSpaceDN w:val="0"/>
        <w:bidi w:val="0"/>
        <w:adjustRightInd w:val="0"/>
        <w:spacing w:line="576" w:lineRule="exact"/>
        <w:ind w:firstLine="643" w:firstLineChars="200"/>
        <w:jc w:val="left"/>
        <w:textAlignment w:val="auto"/>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pageBreakBefore w:val="0"/>
        <w:shd w:val="clear"/>
        <w:kinsoku/>
        <w:wordWrap/>
        <w:overflowPunct/>
        <w:topLinePunct w:val="0"/>
        <w:bidi w:val="0"/>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w:t>
      </w:r>
      <w:r>
        <w:rPr>
          <w:rFonts w:hint="eastAsia" w:hAnsi="仿宋_GB2312" w:cs="仿宋_GB2312"/>
          <w:color w:val="auto"/>
          <w:sz w:val="32"/>
          <w:szCs w:val="32"/>
          <w:highlight w:val="none"/>
          <w:lang w:eastAsia="zh-CN"/>
        </w:rPr>
        <w:t>组织对</w:t>
      </w:r>
      <w:r>
        <w:rPr>
          <w:rFonts w:ascii="仿宋" w:hAnsi="仿宋" w:eastAsia="仿宋" w:cs="仿宋_GB2312"/>
          <w:color w:val="auto"/>
          <w:sz w:val="32"/>
          <w:szCs w:val="32"/>
          <w:highlight w:val="none"/>
        </w:rPr>
        <w:t>专项支出油橄榄提质增效技术研究与示范</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ascii="仿宋" w:hAnsi="仿宋" w:eastAsia="仿宋" w:cs="仿宋_GB2312"/>
          <w:color w:val="auto"/>
          <w:sz w:val="32"/>
          <w:szCs w:val="32"/>
          <w:highlight w:val="none"/>
        </w:rPr>
        <w:t>油橄榄提质增效技术研究与示范</w:t>
      </w:r>
      <w:r>
        <w:rPr>
          <w:rFonts w:hint="eastAsia" w:ascii="仿宋" w:hAnsi="仿宋" w:eastAsia="仿宋" w:cs="仿宋_GB2312"/>
          <w:color w:val="auto"/>
          <w:sz w:val="32"/>
          <w:szCs w:val="32"/>
          <w:highlight w:val="none"/>
          <w:lang w:eastAsia="zh-CN"/>
        </w:rPr>
        <w:t>、</w:t>
      </w:r>
      <w:r>
        <w:rPr>
          <w:rFonts w:hint="eastAsia" w:ascii="仿宋" w:hAnsi="仿宋" w:eastAsia="仿宋" w:cs="仿宋_GB2312"/>
          <w:color w:val="auto"/>
          <w:sz w:val="32"/>
          <w:szCs w:val="32"/>
          <w:highlight w:val="none"/>
          <w:lang w:val="en-US" w:eastAsia="zh-CN"/>
        </w:rPr>
        <w:t>乡村振兴、林产品质量安全、三区科技人才项目等17</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shd w:val="clear"/>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1"/>
        </w:numPr>
        <w:shd w:val="clear"/>
        <w:spacing w:line="600" w:lineRule="exact"/>
        <w:ind w:firstLine="660" w:firstLineChars="150"/>
        <w:jc w:val="center"/>
        <w:outlineLvl w:val="0"/>
        <w:rPr>
          <w:rStyle w:val="16"/>
          <w:rFonts w:ascii="黑体" w:hAnsi="黑体" w:eastAsia="黑体"/>
          <w:b w:val="0"/>
          <w:color w:val="auto"/>
          <w:highlight w:val="none"/>
        </w:rPr>
      </w:pPr>
      <w:bookmarkStart w:id="87" w:name="_Toc2071"/>
      <w:bookmarkStart w:id="88" w:name="_Toc15396613"/>
      <w:bookmarkStart w:id="89" w:name="_Toc15377225"/>
      <w:bookmarkStart w:id="90" w:name="_Toc13824"/>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87"/>
      <w:bookmarkEnd w:id="88"/>
      <w:bookmarkEnd w:id="89"/>
      <w:bookmarkEnd w:id="90"/>
    </w:p>
    <w:p>
      <w:pPr>
        <w:shd w:val="clear"/>
        <w:spacing w:line="600" w:lineRule="exact"/>
        <w:jc w:val="left"/>
        <w:rPr>
          <w:rFonts w:ascii="宋体"/>
          <w:b/>
          <w:color w:val="auto"/>
          <w:sz w:val="44"/>
          <w:szCs w:val="44"/>
          <w:highlight w:val="none"/>
        </w:rPr>
      </w:pPr>
    </w:p>
    <w:p>
      <w:pPr>
        <w:pStyle w:val="25"/>
        <w:shd w:val="clear"/>
        <w:spacing w:line="560" w:lineRule="exact"/>
        <w:ind w:firstLine="640" w:firstLineChars="200"/>
        <w:outlineLvl w:val="1"/>
        <w:rPr>
          <w:rFonts w:ascii="仿宋_GB2312" w:eastAsia="仿宋_GB2312"/>
          <w:color w:val="auto"/>
          <w:sz w:val="32"/>
          <w:szCs w:val="32"/>
          <w:highlight w:val="none"/>
        </w:rPr>
      </w:pPr>
      <w:bookmarkStart w:id="91" w:name="_Toc15796"/>
      <w:bookmarkStart w:id="92" w:name="_Toc17550"/>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bookmarkEnd w:id="91"/>
      <w:bookmarkEnd w:id="92"/>
    </w:p>
    <w:p>
      <w:pPr>
        <w:pStyle w:val="25"/>
        <w:shd w:val="clea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val="en-US" w:eastAsia="zh-CN"/>
        </w:rPr>
        <w:t>利息收入</w:t>
      </w:r>
      <w:r>
        <w:rPr>
          <w:rFonts w:hint="eastAsia" w:ascii="仿宋_GB2312" w:eastAsia="仿宋_GB2312"/>
          <w:color w:val="auto"/>
          <w:sz w:val="32"/>
          <w:szCs w:val="32"/>
          <w:highlight w:val="none"/>
        </w:rPr>
        <w:t>等。</w:t>
      </w:r>
    </w:p>
    <w:p>
      <w:pPr>
        <w:pStyle w:val="25"/>
        <w:shd w:val="clea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年初结转和结余：指以前年度尚未完成、结转到本年按有关规定继续使用的资金。</w:t>
      </w:r>
    </w:p>
    <w:p>
      <w:pPr>
        <w:pStyle w:val="25"/>
        <w:shd w:val="clear"/>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年末结转和结余：指单位按有关规定结转到下年或以后年度继续使用的资金。</w:t>
      </w:r>
    </w:p>
    <w:p>
      <w:pPr>
        <w:shd w:val="clea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社会保障和就业（类）行政事业单位养老支出（款）机关事业单位基本养老保险缴费支出（项）:反映机关事业单位实施养老保险制度由单位缴纳的基本养老保险费支出。</w:t>
      </w:r>
    </w:p>
    <w:p>
      <w:pPr>
        <w:pStyle w:val="25"/>
        <w:shd w:val="clear"/>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卫生健康（类）行政事业单位医疗（款）事业单位医疗（项）:指反映财政部门安排的</w:t>
      </w:r>
      <w:r>
        <w:rPr>
          <w:rFonts w:hint="eastAsia" w:ascii="仿宋_GB2312" w:eastAsia="仿宋_GB2312"/>
          <w:color w:val="auto"/>
          <w:sz w:val="32"/>
          <w:szCs w:val="32"/>
          <w:highlight w:val="none"/>
          <w:lang w:eastAsia="zh-CN"/>
        </w:rPr>
        <w:t>事业</w:t>
      </w:r>
      <w:r>
        <w:rPr>
          <w:rFonts w:hint="eastAsia" w:ascii="仿宋_GB2312" w:eastAsia="仿宋_GB2312"/>
          <w:color w:val="auto"/>
          <w:sz w:val="32"/>
          <w:szCs w:val="32"/>
          <w:highlight w:val="none"/>
        </w:rPr>
        <w:t>单位缴纳</w:t>
      </w:r>
      <w:r>
        <w:rPr>
          <w:rFonts w:hint="eastAsia" w:ascii="仿宋_GB2312" w:eastAsia="仿宋_GB2312"/>
          <w:color w:val="auto"/>
          <w:sz w:val="32"/>
          <w:szCs w:val="32"/>
          <w:highlight w:val="none"/>
          <w:lang w:eastAsia="zh-CN"/>
        </w:rPr>
        <w:t>的</w:t>
      </w:r>
      <w:r>
        <w:rPr>
          <w:rFonts w:hint="eastAsia" w:ascii="仿宋_GB2312" w:eastAsia="仿宋_GB2312"/>
          <w:color w:val="auto"/>
          <w:sz w:val="32"/>
          <w:szCs w:val="32"/>
          <w:highlight w:val="none"/>
        </w:rPr>
        <w:t>基本医疗经费。</w:t>
      </w:r>
    </w:p>
    <w:p>
      <w:pPr>
        <w:shd w:val="clea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农林</w:t>
      </w:r>
      <w:r>
        <w:rPr>
          <w:rFonts w:hint="eastAsia" w:ascii="仿宋_GB2312" w:eastAsia="仿宋_GB2312"/>
          <w:color w:val="auto"/>
          <w:sz w:val="32"/>
          <w:szCs w:val="32"/>
          <w:highlight w:val="none"/>
        </w:rPr>
        <w:t>水支出（类）林业和草原（款）事业机构（项）：反映事业单位的基本支出，不包括行政单位</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含实行公务员管理的事业单位</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后勤服务中心等附属事业单位的支出。</w:t>
      </w:r>
    </w:p>
    <w:p>
      <w:pPr>
        <w:pStyle w:val="25"/>
        <w:shd w:val="clear"/>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8.农林</w:t>
      </w:r>
      <w:r>
        <w:rPr>
          <w:rFonts w:hint="eastAsia" w:ascii="仿宋_GB2312" w:eastAsia="仿宋_GB2312"/>
          <w:color w:val="auto"/>
          <w:sz w:val="32"/>
          <w:szCs w:val="32"/>
          <w:highlight w:val="none"/>
        </w:rPr>
        <w:t>水支出（类）林业和草原（款）技术推广与转化（项）：指良种繁育、新技术引进、区域化试验、示范、技术推广、成果转化、科学普及等支出。</w:t>
      </w:r>
    </w:p>
    <w:p>
      <w:pPr>
        <w:pStyle w:val="25"/>
        <w:shd w:val="clear"/>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9.农林</w:t>
      </w:r>
      <w:r>
        <w:rPr>
          <w:rFonts w:hint="eastAsia" w:ascii="仿宋_GB2312" w:eastAsia="仿宋_GB2312"/>
          <w:color w:val="auto"/>
          <w:sz w:val="32"/>
          <w:szCs w:val="32"/>
          <w:highlight w:val="none"/>
        </w:rPr>
        <w:t>水支出（类）林业和草原（款）行业业务管理（项）：指行业标准、政策法规、规划规程制定，生态工程及项目的可研、评审评估、绩效评价、检查验收，资金资产监督管理，统计调查和数据分析发布，检疫检测、森林认证，林产品质量监管，新品种及知识产权保护，生物安全与遗传资源管理，重大宣传，人才发展等方面支出。</w:t>
      </w:r>
    </w:p>
    <w:p>
      <w:pPr>
        <w:pStyle w:val="25"/>
        <w:shd w:val="clear"/>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10.农林</w:t>
      </w:r>
      <w:r>
        <w:rPr>
          <w:rFonts w:hint="eastAsia" w:ascii="仿宋_GB2312" w:eastAsia="仿宋_GB2312"/>
          <w:color w:val="auto"/>
          <w:sz w:val="32"/>
          <w:szCs w:val="32"/>
          <w:highlight w:val="none"/>
        </w:rPr>
        <w:t>水支出（类）林业和草原（款）其他林业和草原支出（项）：反映除上述</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rPr>
        <w:t>以外其他用于林业和草原方面的支出。</w:t>
      </w:r>
    </w:p>
    <w:p>
      <w:pPr>
        <w:shd w:val="clear"/>
        <w:spacing w:line="600" w:lineRule="exact"/>
        <w:ind w:firstLine="64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住房保障支出（类）住房改革支出（款）住房公积金（项）：指行政事业单位按人力资源和社会保障部、财政部规定的基本工资和津贴补贴以及规定比例为职工缴纳的住房公积金。</w:t>
      </w:r>
    </w:p>
    <w:p>
      <w:pPr>
        <w:shd w:val="clea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shd w:val="clea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p>
    <w:p>
      <w:pPr>
        <w:pStyle w:val="25"/>
        <w:shd w:val="clear"/>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hd w:val="clear"/>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hd w:val="clear"/>
        <w:spacing w:line="600" w:lineRule="exact"/>
        <w:jc w:val="center"/>
        <w:outlineLvl w:val="0"/>
        <w:rPr>
          <w:rFonts w:ascii="宋体"/>
          <w:b/>
          <w:color w:val="auto"/>
          <w:sz w:val="44"/>
          <w:szCs w:val="44"/>
          <w:highlight w:val="none"/>
        </w:rPr>
      </w:pPr>
      <w:bookmarkStart w:id="93" w:name="_Toc15377226"/>
      <w:r>
        <w:rPr>
          <w:rFonts w:ascii="宋体"/>
          <w:b/>
          <w:color w:val="auto"/>
          <w:sz w:val="44"/>
          <w:szCs w:val="44"/>
          <w:highlight w:val="none"/>
        </w:rPr>
        <w:br w:type="page"/>
      </w:r>
      <w:bookmarkStart w:id="94" w:name="_Toc12628"/>
      <w:bookmarkStart w:id="95" w:name="_Toc15396614"/>
      <w:bookmarkStart w:id="96" w:name="_Toc19171"/>
    </w:p>
    <w:tbl>
      <w:tblPr>
        <w:tblStyle w:val="12"/>
        <w:tblpPr w:leftFromText="180" w:rightFromText="180" w:vertAnchor="text" w:horzAnchor="page" w:tblpX="487" w:tblpY="835"/>
        <w:tblOverlap w:val="never"/>
        <w:tblW w:w="11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9"/>
        <w:gridCol w:w="1488"/>
        <w:gridCol w:w="1295"/>
        <w:gridCol w:w="1647"/>
        <w:gridCol w:w="396"/>
        <w:gridCol w:w="1218"/>
        <w:gridCol w:w="396"/>
        <w:gridCol w:w="1111"/>
        <w:gridCol w:w="536"/>
        <w:gridCol w:w="650"/>
        <w:gridCol w:w="1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2" w:hRule="atLeast"/>
        </w:trPr>
        <w:tc>
          <w:tcPr>
            <w:tcW w:w="111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jc w:val="center"/>
            </w:pPr>
            <w:bookmarkStart w:id="97" w:name="_Toc15396618"/>
            <w:bookmarkStart w:id="98" w:name="_Toc15460"/>
            <w:bookmarkStart w:id="99" w:name="_Toc3578"/>
            <w:r>
              <w:rPr>
                <w:rFonts w:hint="eastAsia" w:ascii="黑体" w:hAnsi="黑体" w:eastAsia="黑体" w:cs="黑体"/>
                <w:sz w:val="36"/>
                <w:szCs w:val="36"/>
                <w:lang w:val="en-US" w:eastAsia="zh-CN"/>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项目名称</w:t>
            </w:r>
          </w:p>
        </w:tc>
        <w:tc>
          <w:tcPr>
            <w:tcW w:w="91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2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主管部门</w:t>
            </w:r>
          </w:p>
        </w:tc>
        <w:tc>
          <w:tcPr>
            <w:tcW w:w="49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广元市林业局部门</w:t>
            </w:r>
          </w:p>
        </w:tc>
        <w:tc>
          <w:tcPr>
            <w:tcW w:w="1111" w:type="dxa"/>
            <w:tcBorders>
              <w:top w:val="nil"/>
              <w:left w:val="nil"/>
              <w:bottom w:val="nil"/>
              <w:right w:val="nil"/>
            </w:tcBorders>
            <w:shd w:val="clear" w:color="auto" w:fill="auto"/>
            <w:vAlign w:val="center"/>
          </w:tcPr>
          <w:p>
            <w:pPr>
              <w:pStyle w:val="2"/>
            </w:pPr>
            <w:r>
              <w:rPr>
                <w:rFonts w:hint="eastAsia"/>
                <w:lang w:val="en-US" w:eastAsia="zh-CN"/>
              </w:rPr>
              <w:t>实施单位 （盖章）</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项目基本情况</w:t>
            </w:r>
          </w:p>
        </w:tc>
        <w:tc>
          <w:tcPr>
            <w:tcW w:w="1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1.项目年度目标完成情况</w:t>
            </w:r>
          </w:p>
        </w:tc>
        <w:tc>
          <w:tcPr>
            <w:tcW w:w="49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项目年度目标</w:t>
            </w:r>
          </w:p>
        </w:tc>
        <w:tc>
          <w:tcPr>
            <w:tcW w:w="41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49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严格执行相关政策，保障工资及时发放、足额发放，预算编制科学合理，减少结余资金</w:t>
            </w:r>
          </w:p>
        </w:tc>
        <w:tc>
          <w:tcPr>
            <w:tcW w:w="41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2.项目实施内容及过程概述</w:t>
            </w:r>
          </w:p>
        </w:tc>
        <w:tc>
          <w:tcPr>
            <w:tcW w:w="911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按时、足额发放职工工资，及时缴纳职工保险。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预算执行情况（10分）</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年度预算数（万元）</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年初预算</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调整后预算数</w:t>
            </w:r>
          </w:p>
        </w:tc>
        <w:tc>
          <w:tcPr>
            <w:tcW w:w="2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预算执行数</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预算执行率</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权重</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得分</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总额</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134.58</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181.87</w:t>
            </w:r>
          </w:p>
        </w:tc>
        <w:tc>
          <w:tcPr>
            <w:tcW w:w="2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181.87</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ascii="黑体" w:hAnsi="黑体" w:eastAsia="黑体" w:cs="黑体"/>
                <w:i/>
                <w:iCs/>
                <w:color w:val="000000"/>
                <w:kern w:val="0"/>
                <w:sz w:val="18"/>
                <w:szCs w:val="18"/>
                <w:u w:val="none"/>
                <w:lang w:val="en-US" w:eastAsia="zh-CN" w:bidi="ar"/>
              </w:rPr>
            </w:pPr>
            <w:r>
              <w:rPr>
                <w:rFonts w:hint="eastAsia" w:ascii="黑体" w:hAnsi="黑体" w:eastAsia="黑体" w:cs="黑体"/>
                <w:i/>
                <w:iCs/>
                <w:color w:val="000000"/>
                <w:kern w:val="0"/>
                <w:sz w:val="18"/>
                <w:szCs w:val="18"/>
                <w:u w:val="none"/>
                <w:lang w:val="en-US" w:eastAsia="zh-CN" w:bidi="ar"/>
              </w:rPr>
              <w:t>10</w:t>
            </w:r>
          </w:p>
        </w:tc>
        <w:tc>
          <w:tcPr>
            <w:tcW w:w="1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ascii="黑体" w:hAnsi="黑体" w:eastAsia="黑体" w:cs="黑体"/>
                <w:i/>
                <w:iCs/>
                <w:color w:val="000000"/>
                <w:kern w:val="0"/>
                <w:sz w:val="18"/>
                <w:szCs w:val="18"/>
                <w:u w:val="none"/>
                <w:lang w:val="en-US" w:eastAsia="zh-CN" w:bidi="ar"/>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其中：财政资金</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134.58</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181.87</w:t>
            </w:r>
          </w:p>
        </w:tc>
        <w:tc>
          <w:tcPr>
            <w:tcW w:w="2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181.87</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财政专户管理资金</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2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单位资金</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2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0.00%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9"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其他资金</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20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43" w:hRule="atLeast"/>
        </w:trPr>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绩效指标（90分）</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一级指标</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二级指标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指标性质</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度量单位</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完成值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权重</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得分</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产出指标</w:t>
            </w:r>
          </w:p>
        </w:tc>
        <w:tc>
          <w:tcPr>
            <w:tcW w:w="12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数量指标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足额保障率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科目调整次数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次</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时效指标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按时发放率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效益指标</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经济效益指标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结余率（计算方法为：结余数/预算数）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22.5</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81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100</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trPr>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评价结论</w:t>
            </w:r>
          </w:p>
        </w:tc>
        <w:tc>
          <w:tcPr>
            <w:tcW w:w="1060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自评得分100分，项目实施效果好，员工对工资发放满意，取得良好成效。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 w:hRule="atLeast"/>
        </w:trPr>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存在问题</w:t>
            </w:r>
          </w:p>
        </w:tc>
        <w:tc>
          <w:tcPr>
            <w:tcW w:w="1060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pPr>
            <w:r>
              <w:rPr>
                <w:lang w:val="en-US" w:eastAsia="zh-CN"/>
              </w:rPr>
              <w:t>改进措施</w:t>
            </w:r>
          </w:p>
        </w:tc>
        <w:tc>
          <w:tcPr>
            <w:tcW w:w="1060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54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项目负责人：</w:t>
            </w:r>
          </w:p>
        </w:tc>
        <w:tc>
          <w:tcPr>
            <w:tcW w:w="57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rPr>
                <w:rFonts w:hint="eastAsia"/>
              </w:rPr>
            </w:pPr>
            <w:r>
              <w:rPr>
                <w:rFonts w:hint="eastAsia"/>
                <w:lang w:val="en-US" w:eastAsia="zh-CN"/>
              </w:rPr>
              <w:t>财务负责人：</w:t>
            </w:r>
          </w:p>
        </w:tc>
      </w:tr>
      <w:bookmarkEnd w:id="97"/>
      <w:bookmarkEnd w:id="98"/>
      <w:bookmarkEnd w:id="99"/>
    </w:tbl>
    <w:p>
      <w:pPr>
        <w:shd w:val="clear"/>
        <w:spacing w:line="600" w:lineRule="exact"/>
        <w:jc w:val="center"/>
        <w:outlineLvl w:val="0"/>
        <w:rPr>
          <w:rStyle w:val="16"/>
          <w:rFonts w:hint="eastAsia" w:ascii="黑体" w:hAnsi="黑体" w:eastAsia="黑体"/>
          <w:b w:val="0"/>
          <w:color w:val="auto"/>
          <w:highlight w:val="none"/>
        </w:rPr>
      </w:pPr>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四部分附件</w:t>
      </w:r>
      <w:bookmarkEnd w:id="94"/>
      <w:bookmarkEnd w:id="95"/>
      <w:bookmarkEnd w:id="96"/>
    </w:p>
    <w:p>
      <w:pPr>
        <w:pStyle w:val="2"/>
        <w:rPr>
          <w:rStyle w:val="16"/>
          <w:rFonts w:hint="eastAsia" w:ascii="黑体" w:hAnsi="黑体" w:eastAsia="黑体"/>
          <w:b w:val="0"/>
          <w:color w:val="auto"/>
          <w:highlight w:val="none"/>
        </w:rPr>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pPr>
    </w:p>
    <w:p>
      <w:pPr>
        <w:pStyle w:val="2"/>
        <w:rPr>
          <w:rFonts w:hint="eastAsia"/>
        </w:rPr>
      </w:pPr>
    </w:p>
    <w:p>
      <w:pPr>
        <w:pStyle w:val="2"/>
      </w:pPr>
    </w:p>
    <w:bookmarkEnd w:id="93"/>
    <w:tbl>
      <w:tblPr>
        <w:tblStyle w:val="12"/>
        <w:tblpPr w:leftFromText="180" w:rightFromText="180" w:vertAnchor="text" w:horzAnchor="page" w:tblpX="427" w:tblpY="251"/>
        <w:tblOverlap w:val="never"/>
        <w:tblW w:w="112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495"/>
        <w:gridCol w:w="1293"/>
        <w:gridCol w:w="1644"/>
        <w:gridCol w:w="396"/>
        <w:gridCol w:w="1222"/>
        <w:gridCol w:w="396"/>
        <w:gridCol w:w="1115"/>
        <w:gridCol w:w="576"/>
        <w:gridCol w:w="654"/>
        <w:gridCol w:w="1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112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100" w:name="_Toc15396619"/>
            <w:bookmarkStart w:id="101" w:name="_Toc10094"/>
            <w:bookmarkStart w:id="102" w:name="_Toc12965"/>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6" w:hRule="atLeast"/>
        </w:trPr>
        <w:tc>
          <w:tcPr>
            <w:tcW w:w="2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1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111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1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2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2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及时 、足额发放离退休人员补助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16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及时、按月发放退休职工的生活补助。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0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20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20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6" w:hRule="atLeast"/>
        </w:trPr>
        <w:tc>
          <w:tcPr>
            <w:tcW w:w="81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66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自评得分100分，项目实施效果好，离退休职工表示满意，取得良好成效。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66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66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6" w:hRule="atLeast"/>
        </w:trPr>
        <w:tc>
          <w:tcPr>
            <w:tcW w:w="54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shd w:val="clear"/>
        <w:spacing w:line="600" w:lineRule="exact"/>
        <w:jc w:val="center"/>
        <w:outlineLvl w:val="0"/>
        <w:rPr>
          <w:rFonts w:hint="eastAsia" w:ascii="黑体" w:hAnsi="黑体" w:eastAsia="黑体"/>
          <w:color w:val="auto"/>
          <w:sz w:val="44"/>
          <w:szCs w:val="44"/>
          <w:highlight w:val="none"/>
        </w:rPr>
        <w:sectPr>
          <w:pgSz w:w="11906" w:h="16838"/>
          <w:pgMar w:top="1440" w:right="1800" w:bottom="1440" w:left="1800" w:header="851" w:footer="992" w:gutter="0"/>
          <w:pgNumType w:fmt="decimal" w:start="1"/>
          <w:cols w:space="425" w:num="1"/>
          <w:titlePg/>
          <w:docGrid w:type="lines" w:linePitch="312" w:charSpace="0"/>
        </w:sectPr>
      </w:pPr>
    </w:p>
    <w:tbl>
      <w:tblPr>
        <w:tblStyle w:val="12"/>
        <w:tblpPr w:leftFromText="180" w:rightFromText="180" w:vertAnchor="text" w:horzAnchor="page" w:tblpX="458" w:tblpY="553"/>
        <w:tblOverlap w:val="never"/>
        <w:tblW w:w="11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1"/>
        <w:gridCol w:w="1529"/>
        <w:gridCol w:w="1323"/>
        <w:gridCol w:w="1686"/>
        <w:gridCol w:w="396"/>
        <w:gridCol w:w="1256"/>
        <w:gridCol w:w="397"/>
        <w:gridCol w:w="1135"/>
        <w:gridCol w:w="486"/>
        <w:gridCol w:w="662"/>
        <w:gridCol w:w="16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trPr>
        <w:tc>
          <w:tcPr>
            <w:tcW w:w="1126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trPr>
        <w:tc>
          <w:tcPr>
            <w:tcW w:w="2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51080021T000000054368-油橄榄提质增效技术研究与示范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2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0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广元市林业局部门</w:t>
            </w:r>
          </w:p>
        </w:tc>
        <w:tc>
          <w:tcPr>
            <w:tcW w:w="113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5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0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通过对191亩油橄榄示范基地日常管护，达到提高油橄榄产量，规范管理油橄榄示范基地的目标。</w:t>
            </w:r>
          </w:p>
        </w:tc>
        <w:tc>
          <w:tcPr>
            <w:tcW w:w="3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完成对191亩油橄榄示范基地日常管护，达到了提高油橄榄产量，规范管理油橄榄示范基地的目标。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按季节特点按时完成浇水、施肥、除草、田间管护等日常管护，完成提高产量的目标绩效。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w:t>
            </w:r>
          </w:p>
        </w:tc>
        <w:tc>
          <w:tcPr>
            <w:tcW w:w="2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3"/>
                <w:szCs w:val="13"/>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w:t>
            </w:r>
          </w:p>
        </w:tc>
        <w:tc>
          <w:tcPr>
            <w:tcW w:w="2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4" w:hRule="atLeast"/>
        </w:trPr>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油橄榄示范基地管理</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191</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191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林业科技推广标准化示范区标准使用率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按照合同年底一次性支付租金</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土地租金</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99000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林业科技推广示范促进行业科技的影响</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良</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各部门满意度</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84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5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自评得分100分，项目实施效果好，达到预期目标。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5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5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6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5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tbl>
      <w:tblPr>
        <w:tblW w:w="115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537"/>
        <w:gridCol w:w="1329"/>
        <w:gridCol w:w="1721"/>
        <w:gridCol w:w="399"/>
        <w:gridCol w:w="1258"/>
        <w:gridCol w:w="404"/>
        <w:gridCol w:w="1141"/>
        <w:gridCol w:w="576"/>
        <w:gridCol w:w="673"/>
        <w:gridCol w:w="19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71" w:hRule="atLeast"/>
          <w:jc w:val="center"/>
        </w:trPr>
        <w:tc>
          <w:tcPr>
            <w:tcW w:w="1154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4" w:hRule="atLeast"/>
          <w:jc w:val="center"/>
        </w:trPr>
        <w:tc>
          <w:tcPr>
            <w:tcW w:w="209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446"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8" w:hRule="atLeast"/>
          <w:jc w:val="center"/>
        </w:trPr>
        <w:tc>
          <w:tcPr>
            <w:tcW w:w="209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14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147"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15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4" w:hRule="atLeast"/>
          <w:jc w:val="center"/>
        </w:trPr>
        <w:tc>
          <w:tcPr>
            <w:tcW w:w="54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55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14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306"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51"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14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保障单位日常运转，提高预算编制质量，严格执行预算</w:t>
            </w:r>
          </w:p>
        </w:tc>
        <w:tc>
          <w:tcPr>
            <w:tcW w:w="4306"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预算执行率99.6%，保证了单位正常运转。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4"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446"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根据单位日常工作，及时支付各项资金，保证单位正常运转。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jc w:val="center"/>
        </w:trPr>
        <w:tc>
          <w:tcPr>
            <w:tcW w:w="54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7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4"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9.94</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9.94</w:t>
            </w:r>
          </w:p>
        </w:tc>
        <w:tc>
          <w:tcPr>
            <w:tcW w:w="207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9.90</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99.60%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7"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9.94</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9.94</w:t>
            </w:r>
          </w:p>
        </w:tc>
        <w:tc>
          <w:tcPr>
            <w:tcW w:w="207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9.90</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99.60%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7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8"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7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7"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72"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6" w:hRule="atLeast"/>
          <w:jc w:val="center"/>
        </w:trPr>
        <w:tc>
          <w:tcPr>
            <w:tcW w:w="54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5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0"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9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90"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9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5"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3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9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0" w:hRule="atLeast"/>
          <w:jc w:val="center"/>
        </w:trPr>
        <w:tc>
          <w:tcPr>
            <w:tcW w:w="5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7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9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4" w:hRule="atLeast"/>
          <w:jc w:val="center"/>
        </w:trPr>
        <w:tc>
          <w:tcPr>
            <w:tcW w:w="8381"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9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8" w:hRule="atLeast"/>
          <w:jc w:val="center"/>
        </w:trPr>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997"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自评得分100分，项目实施效果良好，达到预期目标。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8" w:hRule="atLeast"/>
          <w:jc w:val="center"/>
        </w:trPr>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997"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7" w:hRule="atLeast"/>
          <w:jc w:val="center"/>
        </w:trPr>
        <w:tc>
          <w:tcPr>
            <w:tcW w:w="5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997"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4" w:hRule="atLeast"/>
          <w:jc w:val="center"/>
        </w:trPr>
        <w:tc>
          <w:tcPr>
            <w:tcW w:w="5561"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979"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4" w:hRule="atLeast"/>
          <w:jc w:val="center"/>
        </w:trPr>
        <w:tc>
          <w:tcPr>
            <w:tcW w:w="543"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551"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340"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728"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399"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69"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404"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147"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43"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674"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94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bl>
    <w:p>
      <w:pPr>
        <w:rPr>
          <w:rFonts w:hint="eastAsia" w:ascii="黑体" w:hAnsi="黑体" w:eastAsia="黑体"/>
          <w:color w:val="auto"/>
          <w:sz w:val="44"/>
          <w:szCs w:val="44"/>
          <w:highlight w:val="none"/>
        </w:rPr>
        <w:sectPr>
          <w:pgSz w:w="11906" w:h="16838"/>
          <w:pgMar w:top="1440" w:right="1800" w:bottom="1440" w:left="1800" w:header="851" w:footer="992" w:gutter="0"/>
          <w:pgNumType w:fmt="decimal" w:start="1"/>
          <w:cols w:space="425" w:num="1"/>
          <w:titlePg/>
          <w:docGrid w:type="lines" w:linePitch="312" w:charSpace="0"/>
        </w:sectPr>
      </w:pPr>
    </w:p>
    <w:tbl>
      <w:tblPr>
        <w:tblW w:w="11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541"/>
        <w:gridCol w:w="1333"/>
        <w:gridCol w:w="1699"/>
        <w:gridCol w:w="397"/>
        <w:gridCol w:w="1265"/>
        <w:gridCol w:w="402"/>
        <w:gridCol w:w="1142"/>
        <w:gridCol w:w="486"/>
        <w:gridCol w:w="667"/>
        <w:gridCol w:w="19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2" w:hRule="atLeast"/>
          <w:jc w:val="center"/>
        </w:trPr>
        <w:tc>
          <w:tcPr>
            <w:tcW w:w="1144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6"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351"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51080022T000004929379-乡村振兴工作经费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208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136"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147"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06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3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55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136"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21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5"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136"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通过开展选派驻村第一书记及工作队员，驻村帮扶，从而达到巩固拓展脱贫攻坚成果，促进帮扶村全面推进乡村振兴的目标。</w:t>
            </w:r>
          </w:p>
        </w:tc>
        <w:tc>
          <w:tcPr>
            <w:tcW w:w="421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预算执行率100%，保障帮扶工作的顺利开展。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2"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351"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选派2名人员，长期驻村开展帮扶工作。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jc w:val="center"/>
        </w:trPr>
        <w:tc>
          <w:tcPr>
            <w:tcW w:w="53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3.64</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3.64</w:t>
            </w:r>
          </w:p>
        </w:tc>
        <w:tc>
          <w:tcPr>
            <w:tcW w:w="20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3.64</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9"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3.64</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3.64</w:t>
            </w:r>
          </w:p>
        </w:tc>
        <w:tc>
          <w:tcPr>
            <w:tcW w:w="20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3.64</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4"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76"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74"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96" w:hRule="atLeast"/>
          <w:jc w:val="center"/>
        </w:trPr>
        <w:tc>
          <w:tcPr>
            <w:tcW w:w="53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派驻2人剑阁县长梁村开展驻村工作</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名</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2</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建立常态化沟通机制</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优良中低差</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人/月</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良</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按季度支付</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3000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元</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3000</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99"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成本指标</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驻村帮扶工作经费补贴</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18200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元/天</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18200</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可持续发展指标</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巩固脱贫攻坚成果，助推乡村振兴发展</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优良中低差</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家</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良</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jc w:val="center"/>
        </w:trPr>
        <w:tc>
          <w:tcPr>
            <w:tcW w:w="53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13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帮扶对象满意度指标</w:t>
            </w:r>
          </w:p>
        </w:tc>
        <w:tc>
          <w:tcPr>
            <w:tcW w:w="17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帮扶对象满意度</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85</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85%</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6" w:hRule="atLeast"/>
          <w:jc w:val="center"/>
        </w:trPr>
        <w:tc>
          <w:tcPr>
            <w:tcW w:w="8372"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44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949"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jc w:val="center"/>
        </w:trPr>
        <w:tc>
          <w:tcPr>
            <w:tcW w:w="5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907"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907"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3" w:hRule="atLeast"/>
          <w:jc w:val="center"/>
        </w:trPr>
        <w:tc>
          <w:tcPr>
            <w:tcW w:w="5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907"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jc w:val="center"/>
        </w:trPr>
        <w:tc>
          <w:tcPr>
            <w:tcW w:w="5548"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92"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rPr>
          <w:rFonts w:hint="eastAsia"/>
        </w:rPr>
      </w:pPr>
      <w:r>
        <w:rPr>
          <w:rFonts w:hint="eastAsia"/>
        </w:rPr>
        <w:br w:type="page"/>
      </w:r>
    </w:p>
    <w:p>
      <w:pPr>
        <w:pStyle w:val="2"/>
        <w:rPr>
          <w:rFonts w:hint="eastAsia"/>
        </w:rPr>
        <w:sectPr>
          <w:pgSz w:w="11906" w:h="16838"/>
          <w:pgMar w:top="1440" w:right="1800" w:bottom="1440" w:left="1800" w:header="851" w:footer="992" w:gutter="0"/>
          <w:pgNumType w:fmt="decimal" w:start="1"/>
          <w:cols w:space="425" w:num="1"/>
          <w:titlePg/>
          <w:docGrid w:type="lines" w:linePitch="312" w:charSpace="0"/>
        </w:sectPr>
      </w:pPr>
    </w:p>
    <w:tbl>
      <w:tblPr>
        <w:tblW w:w="11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462"/>
        <w:gridCol w:w="1277"/>
        <w:gridCol w:w="1622"/>
        <w:gridCol w:w="396"/>
        <w:gridCol w:w="1198"/>
        <w:gridCol w:w="396"/>
        <w:gridCol w:w="1096"/>
        <w:gridCol w:w="576"/>
        <w:gridCol w:w="645"/>
        <w:gridCol w:w="18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108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jc w:val="center"/>
        </w:trPr>
        <w:tc>
          <w:tcPr>
            <w:tcW w:w="201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061"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9" w:hRule="atLeast"/>
          <w:jc w:val="center"/>
        </w:trPr>
        <w:tc>
          <w:tcPr>
            <w:tcW w:w="201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91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102"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04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48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91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14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3"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91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严格执行相关政策，保障工资及时发放、足额发放，预算编制科学合理，减少结余资金</w:t>
            </w:r>
          </w:p>
        </w:tc>
        <w:tc>
          <w:tcPr>
            <w:tcW w:w="414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预算执行率100%，保障工资及时发放、足额发放。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8"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061"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按月、足额发放职工工资。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2" w:hRule="atLeast"/>
          <w:jc w:val="center"/>
        </w:trPr>
        <w:tc>
          <w:tcPr>
            <w:tcW w:w="5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98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85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193.56</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239.70</w:t>
            </w:r>
          </w:p>
        </w:tc>
        <w:tc>
          <w:tcPr>
            <w:tcW w:w="198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239.70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85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9"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193.56</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239.70</w:t>
            </w:r>
          </w:p>
        </w:tc>
        <w:tc>
          <w:tcPr>
            <w:tcW w:w="198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239.70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5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8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5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86"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5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86"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5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8" w:hRule="atLeast"/>
          <w:jc w:val="center"/>
        </w:trPr>
        <w:tc>
          <w:tcPr>
            <w:tcW w:w="53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3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85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7"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28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3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5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7"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5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7"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按时发放率</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5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53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28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结余率（计算方法为：结余数/预算数）</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3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5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jc w:val="center"/>
        </w:trPr>
        <w:tc>
          <w:tcPr>
            <w:tcW w:w="8038"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859"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9" w:hRule="atLeast"/>
          <w:jc w:val="center"/>
        </w:trPr>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54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自评得分100分，项目实施效果好，员工对工资发放满意，取得良好成效。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9" w:hRule="atLeast"/>
          <w:jc w:val="center"/>
        </w:trPr>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54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5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54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jc w:val="center"/>
        </w:trPr>
        <w:tc>
          <w:tcPr>
            <w:tcW w:w="533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746"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pStyle w:val="2"/>
        <w:rPr>
          <w:rFonts w:hint="eastAsia"/>
        </w:rPr>
      </w:pPr>
    </w:p>
    <w:p>
      <w:pPr>
        <w:pStyle w:val="2"/>
        <w:rPr>
          <w:rFonts w:hint="eastAsia"/>
        </w:rPr>
        <w:sectPr>
          <w:pgSz w:w="11906" w:h="16838"/>
          <w:pgMar w:top="1440" w:right="1800" w:bottom="1440" w:left="1800" w:header="851" w:footer="992" w:gutter="0"/>
          <w:pgNumType w:fmt="decimal" w:start="1"/>
          <w:cols w:space="425" w:num="1"/>
          <w:titlePg/>
          <w:docGrid w:type="lines" w:linePitch="312" w:charSpace="0"/>
        </w:sectPr>
      </w:pPr>
    </w:p>
    <w:tbl>
      <w:tblPr>
        <w:tblW w:w="113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76"/>
        <w:gridCol w:w="1466"/>
        <w:gridCol w:w="1272"/>
        <w:gridCol w:w="1612"/>
        <w:gridCol w:w="396"/>
        <w:gridCol w:w="1193"/>
        <w:gridCol w:w="641"/>
        <w:gridCol w:w="1224"/>
        <w:gridCol w:w="588"/>
        <w:gridCol w:w="624"/>
        <w:gridCol w:w="17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9" w:hRule="atLeast"/>
          <w:jc w:val="center"/>
        </w:trPr>
        <w:tc>
          <w:tcPr>
            <w:tcW w:w="1136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2" w:hRule="atLeast"/>
          <w:jc w:val="center"/>
        </w:trPr>
        <w:tc>
          <w:tcPr>
            <w:tcW w:w="204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318"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51080022T000004935015-核桃产业发展示范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6" w:hRule="atLeast"/>
          <w:jc w:val="center"/>
        </w:trPr>
        <w:tc>
          <w:tcPr>
            <w:tcW w:w="204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11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224"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298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4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11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20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0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11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通过在全市建立核桃产业发展科技示范点及初加工点，开展核桃产业发展示范，达到核桃产业、初加工持续高效发展的目标。</w:t>
            </w:r>
          </w:p>
        </w:tc>
        <w:tc>
          <w:tcPr>
            <w:tcW w:w="420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资金执行率100%，完成了建立核桃产业发展科技示范点及初加工点，开展核桃产业发展示范的目标。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1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318"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通过在全市建立核桃产业发展科技示范点及初加工点，开展核桃产业发展示范，达到核桃产业、初加工持续高效发展的目标。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4"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23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w:t>
            </w:r>
          </w:p>
        </w:tc>
        <w:tc>
          <w:tcPr>
            <w:tcW w:w="223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6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3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6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23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6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w:t>
            </w:r>
          </w:p>
        </w:tc>
        <w:tc>
          <w:tcPr>
            <w:tcW w:w="223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5.59</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6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1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23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76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1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6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核桃产业发展示范点</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6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个（台、套、件、辆）</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推广率</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80</w:t>
            </w:r>
          </w:p>
        </w:tc>
        <w:tc>
          <w:tcPr>
            <w:tcW w:w="6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80</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按期完成率</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6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90</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可持续发展指标</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推广示范促进行业产业发展</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11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优良中低差</w:t>
            </w:r>
          </w:p>
        </w:tc>
        <w:tc>
          <w:tcPr>
            <w:tcW w:w="6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良</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12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服务对象满意度指标</w:t>
            </w:r>
          </w:p>
        </w:tc>
        <w:tc>
          <w:tcPr>
            <w:tcW w:w="16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服务对象满意度</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85</w:t>
            </w:r>
          </w:p>
        </w:tc>
        <w:tc>
          <w:tcPr>
            <w:tcW w:w="6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85</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6" w:hRule="atLeast"/>
          <w:jc w:val="center"/>
        </w:trPr>
        <w:tc>
          <w:tcPr>
            <w:tcW w:w="838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76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5" w:hRule="atLeast"/>
          <w:jc w:val="center"/>
        </w:trPr>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78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78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jc w:val="center"/>
        </w:trPr>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78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2" w:hRule="atLeast"/>
          <w:jc w:val="center"/>
        </w:trPr>
        <w:tc>
          <w:tcPr>
            <w:tcW w:w="532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03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pStyle w:val="2"/>
        <w:rPr>
          <w:rFonts w:hint="eastAsia"/>
        </w:rPr>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pPr>
    </w:p>
    <w:tbl>
      <w:tblPr>
        <w:tblW w:w="113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524"/>
        <w:gridCol w:w="1320"/>
        <w:gridCol w:w="1682"/>
        <w:gridCol w:w="396"/>
        <w:gridCol w:w="1247"/>
        <w:gridCol w:w="396"/>
        <w:gridCol w:w="1127"/>
        <w:gridCol w:w="486"/>
        <w:gridCol w:w="659"/>
        <w:gridCol w:w="19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4" w:hRule="atLeast"/>
          <w:jc w:val="center"/>
        </w:trPr>
        <w:tc>
          <w:tcPr>
            <w:tcW w:w="1132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5"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238"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51080022T000004938901-中央财政林业科技推广项目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06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131"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5" w:hRule="atLeast"/>
          <w:jc w:val="center"/>
        </w:trPr>
        <w:tc>
          <w:tcPr>
            <w:tcW w:w="54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53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06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17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9"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06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通过建立油橄榄示范林，开展标准化日常管护，从而达到油橄榄示范林病虫害大幅度降低，树木长势良好的目标。</w:t>
            </w:r>
          </w:p>
        </w:tc>
        <w:tc>
          <w:tcPr>
            <w:tcW w:w="417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预算执行率100%，建立示范林880亩。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7"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238"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建立油橄榄示范林，开展标准化日常管护。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jc w:val="center"/>
        </w:trPr>
        <w:tc>
          <w:tcPr>
            <w:tcW w:w="54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4"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10.78</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10.78</w:t>
            </w:r>
          </w:p>
        </w:tc>
        <w:tc>
          <w:tcPr>
            <w:tcW w:w="20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10.53</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97.65%</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2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5"/>
                <w:szCs w:val="15"/>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2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05"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2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6"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10.78</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10.78</w:t>
            </w:r>
          </w:p>
        </w:tc>
        <w:tc>
          <w:tcPr>
            <w:tcW w:w="204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10.53</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97.65%</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2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19"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44"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2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8" w:hRule="atLeast"/>
          <w:jc w:val="center"/>
        </w:trPr>
        <w:tc>
          <w:tcPr>
            <w:tcW w:w="54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建立示范林</w:t>
            </w:r>
          </w:p>
        </w:tc>
        <w:tc>
          <w:tcPr>
            <w:tcW w:w="3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880</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亩</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880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60</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3"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林业科技推广标准化示范区项目标准使用率</w:t>
            </w:r>
          </w:p>
        </w:tc>
        <w:tc>
          <w:tcPr>
            <w:tcW w:w="3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90%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6"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按期完成率</w:t>
            </w:r>
          </w:p>
        </w:tc>
        <w:tc>
          <w:tcPr>
            <w:tcW w:w="3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95</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95%</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3"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可持续影响指标</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林业科技推广示范促进产业林业科技的影响</w:t>
            </w:r>
          </w:p>
        </w:tc>
        <w:tc>
          <w:tcPr>
            <w:tcW w:w="3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优良中低差</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良</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jc w:val="center"/>
        </w:trPr>
        <w:tc>
          <w:tcPr>
            <w:tcW w:w="54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132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服务对象满意度指标</w:t>
            </w:r>
          </w:p>
        </w:tc>
        <w:tc>
          <w:tcPr>
            <w:tcW w:w="16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林业科技推广示范培训满意度</w:t>
            </w:r>
          </w:p>
        </w:tc>
        <w:tc>
          <w:tcPr>
            <w:tcW w:w="3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80</w:t>
            </w:r>
          </w:p>
        </w:tc>
        <w:tc>
          <w:tcPr>
            <w:tcW w:w="3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80</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5" w:hRule="atLeast"/>
          <w:jc w:val="center"/>
        </w:trPr>
        <w:tc>
          <w:tcPr>
            <w:tcW w:w="8277"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46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6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92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jc w:val="center"/>
        </w:trPr>
        <w:tc>
          <w:tcPr>
            <w:tcW w:w="5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77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2" w:hRule="atLeast"/>
          <w:jc w:val="center"/>
        </w:trPr>
        <w:tc>
          <w:tcPr>
            <w:tcW w:w="5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77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9" w:hRule="atLeast"/>
          <w:jc w:val="center"/>
        </w:trPr>
        <w:tc>
          <w:tcPr>
            <w:tcW w:w="54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77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jc w:val="center"/>
        </w:trPr>
        <w:tc>
          <w:tcPr>
            <w:tcW w:w="549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25"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pStyle w:val="2"/>
        <w:rPr>
          <w:rFonts w:hint="eastAsia"/>
        </w:rPr>
        <w:sectPr>
          <w:pgSz w:w="11906" w:h="16838"/>
          <w:pgMar w:top="1440" w:right="1800" w:bottom="1440" w:left="1800" w:header="851" w:footer="992" w:gutter="0"/>
          <w:pgNumType w:fmt="decimal" w:start="1"/>
          <w:cols w:space="425" w:num="1"/>
          <w:titlePg/>
          <w:docGrid w:type="lines" w:linePitch="312" w:charSpace="0"/>
        </w:sectPr>
      </w:pPr>
    </w:p>
    <w:tbl>
      <w:tblPr>
        <w:tblW w:w="113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535"/>
        <w:gridCol w:w="1344"/>
        <w:gridCol w:w="1684"/>
        <w:gridCol w:w="396"/>
        <w:gridCol w:w="1253"/>
        <w:gridCol w:w="402"/>
        <w:gridCol w:w="1133"/>
        <w:gridCol w:w="486"/>
        <w:gridCol w:w="657"/>
        <w:gridCol w:w="1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3" w:hRule="atLeast"/>
          <w:jc w:val="center"/>
        </w:trPr>
        <w:tc>
          <w:tcPr>
            <w:tcW w:w="1138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8" w:hRule="atLeast"/>
          <w:jc w:val="center"/>
        </w:trPr>
        <w:tc>
          <w:tcPr>
            <w:tcW w:w="210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27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51080022T000006795049-“三区”科技人才支持计划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4" w:hRule="atLeast"/>
          <w:jc w:val="center"/>
        </w:trPr>
        <w:tc>
          <w:tcPr>
            <w:tcW w:w="2107"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主管部门（盖章）</w:t>
            </w:r>
          </w:p>
        </w:tc>
        <w:tc>
          <w:tcPr>
            <w:tcW w:w="508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广元市林业局</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实施单位 （盖章）</w:t>
            </w:r>
          </w:p>
        </w:tc>
        <w:tc>
          <w:tcPr>
            <w:tcW w:w="305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8"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项目基本情况</w:t>
            </w:r>
          </w:p>
        </w:tc>
        <w:tc>
          <w:tcPr>
            <w:tcW w:w="153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08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项目年度目标</w:t>
            </w:r>
          </w:p>
        </w:tc>
        <w:tc>
          <w:tcPr>
            <w:tcW w:w="419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85"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3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508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紧紧围绕我市核桃、油橄榄高质量发展的目标和任务，以科技示范引领和科技服务活动为抓手，选派专家和科技人员深化田间地头、进村入户，开展技术培训和技术服务，推广绿色、先进、实用新产品、新技术，打造科技示范点，打造市、县（区）共建科技示范点，提高林农的科技意识和生产科技含量，推动全市核桃、油橄榄产业高质量发展，助推乡村振兴产业发展。</w:t>
            </w:r>
          </w:p>
        </w:tc>
        <w:tc>
          <w:tcPr>
            <w:tcW w:w="4191"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我院共选派9名科技工作者参与此项工作，为全市7个县区，20个已脱贫的重点扶贫村，为贫困地区发展特色优势产业提供技术支持和技术指导，促进产业发展。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273"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组织专家和科技人员深入基层，开展科技服务，解决生产中的技术难题，实施科技进村入户。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3"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预算执行情况（10分）</w:t>
            </w: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年度预算数（万元）</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年初预算</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调整后预算数</w:t>
            </w:r>
          </w:p>
        </w:tc>
        <w:tc>
          <w:tcPr>
            <w:tcW w:w="205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预算执行数</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预算执行率</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权重%</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部门自评得分</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1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总额</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18.00</w:t>
            </w:r>
          </w:p>
        </w:tc>
        <w:tc>
          <w:tcPr>
            <w:tcW w:w="205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18.00</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1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4"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其中：财政资金</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18.00</w:t>
            </w:r>
          </w:p>
        </w:tc>
        <w:tc>
          <w:tcPr>
            <w:tcW w:w="205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18.00</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1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财政专户管理资金</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1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4"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单位资金</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1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其他资金</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8"/>
                <w:szCs w:val="18"/>
                <w:u w:val="none"/>
              </w:rPr>
            </w:pP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8"/>
                <w:szCs w:val="18"/>
                <w:u w:val="none"/>
              </w:rPr>
            </w:pPr>
          </w:p>
        </w:tc>
        <w:tc>
          <w:tcPr>
            <w:tcW w:w="2051"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8"/>
                <w:szCs w:val="18"/>
                <w:u w:val="none"/>
              </w:rPr>
            </w:pP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8"/>
                <w:szCs w:val="18"/>
                <w:u w:val="none"/>
              </w:rPr>
            </w:pP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1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4"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绩效指标（90分）</w:t>
            </w: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指标性质</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指标值</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度量单位</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完成值</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权重</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部门自评得分</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4"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派驻9人开展三区科技服务</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人</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8"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按期完成率</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8"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项目实施时间</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64"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经费保障</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元/人年</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20000</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85"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提高林农的科技意识和生产科技含量，推动全市核桃、油橄榄产业高质量发展，助推乡村振兴产业发展</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优良中低差</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9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可持续发展指标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提高实际操作能力，逐步培养示范带动能力强、有一定科技水平的科技示范户和乡土专家，强化自我发展能力和辐射带动能力</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优良中低差</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优</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3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13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服务对象满意度指标</w:t>
            </w:r>
          </w:p>
        </w:tc>
        <w:tc>
          <w:tcPr>
            <w:tcW w:w="16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服务对象满意度</w:t>
            </w:r>
          </w:p>
        </w:tc>
        <w:tc>
          <w:tcPr>
            <w:tcW w:w="3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2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8" w:hRule="atLeast"/>
          <w:jc w:val="center"/>
        </w:trPr>
        <w:tc>
          <w:tcPr>
            <w:tcW w:w="8323"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合计</w:t>
            </w:r>
          </w:p>
        </w:tc>
        <w:tc>
          <w:tcPr>
            <w:tcW w:w="48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6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191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4" w:hRule="atLeast"/>
          <w:jc w:val="center"/>
        </w:trPr>
        <w:tc>
          <w:tcPr>
            <w:tcW w:w="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81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本次自评得分 98分，该项目推进专业人才工作积极性，加强科技人才队伍建设，充分发挥了科技人员在支持“三区”经济社会发展中的积极作用。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4" w:hRule="atLeast"/>
          <w:jc w:val="center"/>
        </w:trPr>
        <w:tc>
          <w:tcPr>
            <w:tcW w:w="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81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5" w:hRule="atLeast"/>
          <w:jc w:val="center"/>
        </w:trPr>
        <w:tc>
          <w:tcPr>
            <w:tcW w:w="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81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8" w:hRule="atLeast"/>
          <w:jc w:val="center"/>
        </w:trPr>
        <w:tc>
          <w:tcPr>
            <w:tcW w:w="553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48"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pStyle w:val="2"/>
        <w:rPr>
          <w:rFonts w:hint="eastAsia"/>
        </w:rPr>
        <w:sectPr>
          <w:pgSz w:w="11906" w:h="16838"/>
          <w:pgMar w:top="1440" w:right="1800" w:bottom="1440" w:left="1800" w:header="851" w:footer="992" w:gutter="0"/>
          <w:pgNumType w:fmt="decimal" w:start="1"/>
          <w:cols w:space="425" w:num="1"/>
          <w:titlePg/>
          <w:docGrid w:type="lines" w:linePitch="312" w:charSpace="0"/>
        </w:sectPr>
      </w:pPr>
    </w:p>
    <w:tbl>
      <w:tblPr>
        <w:tblW w:w="113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76"/>
        <w:gridCol w:w="1545"/>
        <w:gridCol w:w="1334"/>
        <w:gridCol w:w="1708"/>
        <w:gridCol w:w="396"/>
        <w:gridCol w:w="1267"/>
        <w:gridCol w:w="398"/>
        <w:gridCol w:w="1138"/>
        <w:gridCol w:w="396"/>
        <w:gridCol w:w="663"/>
        <w:gridCol w:w="1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7" w:hRule="atLeast"/>
          <w:jc w:val="center"/>
        </w:trPr>
        <w:tc>
          <w:tcPr>
            <w:tcW w:w="1136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jc w:val="center"/>
        </w:trPr>
        <w:tc>
          <w:tcPr>
            <w:tcW w:w="210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252"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51080022T000007055739-林产品质量安全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10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11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140"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299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3" w:hRule="atLeast"/>
          <w:jc w:val="center"/>
        </w:trPr>
        <w:tc>
          <w:tcPr>
            <w:tcW w:w="55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55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11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13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95"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5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11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了省局下达的广元、绵阳两市800批次（全省片区站任务量最多）样品的采集及检测工作，实验室技术人员努力克服检测任务重、人手不足、疫情影响、设备故障等困难，加班加点，在保证质量的前提下，按时向省局上报了结果数据，本年度全市食用林产品合格率达到100%。同时，顺利通过省农业厅开展的检验检测机构年度能力验证。协助、配合两市林业部门完成了林产品安全风险点处置工作。配合市局产业科技科完成食品安全党政同责考核目标任务。</w:t>
            </w:r>
          </w:p>
        </w:tc>
        <w:tc>
          <w:tcPr>
            <w:tcW w:w="413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(1)完成广元、绵阳两市区域内的800批次林产品抽样及检测任务，并将检测结果上报省局。</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(2)监测范围涉及广元市所辖7个县区及绵阳市所辖8个县区共覆盖120 余个乡镇。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252"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按照2022年林产品质量安全监测项目合同任务书要求开展工作，建立了工作有计划、实施有方案、日常有监督的管理机制。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6" w:hRule="atLeast"/>
          <w:jc w:val="center"/>
        </w:trPr>
        <w:tc>
          <w:tcPr>
            <w:tcW w:w="55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6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7"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120.00</w:t>
            </w:r>
          </w:p>
        </w:tc>
        <w:tc>
          <w:tcPr>
            <w:tcW w:w="206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87.95</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73.29%</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w:t>
            </w:r>
          </w:p>
        </w:tc>
        <w:tc>
          <w:tcPr>
            <w:tcW w:w="19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120.00</w:t>
            </w:r>
          </w:p>
        </w:tc>
        <w:tc>
          <w:tcPr>
            <w:tcW w:w="206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87.95</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73.29%</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2"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6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1"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6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2"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64"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94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53" w:hRule="atLeast"/>
          <w:jc w:val="center"/>
        </w:trPr>
        <w:tc>
          <w:tcPr>
            <w:tcW w:w="55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项目任务完成率</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6"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广元抽检批次</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520</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Style w:val="33"/>
                <w:bdr w:val="none" w:color="auto" w:sz="0" w:space="0"/>
                <w:lang w:val="en-US" w:eastAsia="zh-CN" w:bidi="ar"/>
              </w:rPr>
              <w:t>批次</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6"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绵阳抽检批次</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280</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Style w:val="33"/>
                <w:bdr w:val="none" w:color="auto" w:sz="0" w:space="0"/>
                <w:lang w:val="en-US" w:eastAsia="zh-CN" w:bidi="ar"/>
              </w:rPr>
              <w:t>批次</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2"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土壤、食品中重金</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属含量(检测指标</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数量)</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Style w:val="33"/>
                <w:bdr w:val="none" w:color="auto" w:sz="0" w:space="0"/>
                <w:lang w:val="en-US" w:eastAsia="zh-CN" w:bidi="ar"/>
              </w:rPr>
              <w:t>项</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6"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农药残留指标(检 测指标数量)</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Style w:val="33"/>
                <w:bdr w:val="none" w:color="auto" w:sz="0" w:space="0"/>
                <w:lang w:val="en-US" w:eastAsia="zh-CN" w:bidi="ar"/>
              </w:rPr>
              <w:t>项</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6"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成本指标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Style w:val="33"/>
                <w:bdr w:val="none" w:color="auto" w:sz="0" w:space="0"/>
                <w:lang w:val="en-US" w:eastAsia="zh-CN" w:bidi="ar"/>
              </w:rPr>
              <w:t>成本指标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经济成本指标</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万元</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万元</w:t>
            </w: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73%</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16"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社会效益指标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保障林产品食用安全</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Style w:val="33"/>
                <w:bdr w:val="none" w:color="auto" w:sz="0" w:space="0"/>
                <w:lang w:val="en-US" w:eastAsia="zh-CN" w:bidi="ar"/>
              </w:rPr>
              <w:t>为广元、绵阳 两市人民食用 绿色林产品提 供安全保障</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已基本形成较强的区域食用林产品质量安全检测能力， 为广元、绵阳两市人民食用绿色林产品提供了安全保障</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37"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 xml:space="preserve"> 生态效益指标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了解各地土壤污</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染，重金属含量等 情况</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eastAsia" w:ascii="宋体" w:hAnsi="宋体" w:eastAsia="宋体" w:cs="宋体"/>
                <w:i w:val="0"/>
                <w:iCs w:val="0"/>
                <w:color w:val="000000"/>
                <w:sz w:val="18"/>
                <w:szCs w:val="18"/>
                <w:u w:val="none"/>
              </w:rPr>
            </w:pP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土壤情况是否符合食用林产品的种植条件</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通过项目实施，加强对林产品的生长环境进行监控，可指导食用林产品生长过程中合理使用农药使用的频率和数 量，提高产品质量</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both"/>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5" w:hRule="atLeast"/>
          <w:jc w:val="center"/>
        </w:trPr>
        <w:tc>
          <w:tcPr>
            <w:tcW w:w="55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3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可持续发展指标</w:t>
            </w:r>
          </w:p>
        </w:tc>
        <w:tc>
          <w:tcPr>
            <w:tcW w:w="17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保证人民群众的食 品健康安全</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检测各类重金属、农残等是否符合相应标准</w:t>
            </w:r>
          </w:p>
        </w:tc>
        <w:tc>
          <w:tcPr>
            <w:tcW w:w="39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促进食用林产品的绿色化发展，保证人民群众的健康安全，推动农业经济的可持续发展</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3" w:hRule="atLeast"/>
          <w:jc w:val="center"/>
        </w:trPr>
        <w:tc>
          <w:tcPr>
            <w:tcW w:w="8365"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3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98</w:t>
            </w:r>
          </w:p>
        </w:tc>
        <w:tc>
          <w:tcPr>
            <w:tcW w:w="6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98</w:t>
            </w:r>
          </w:p>
        </w:tc>
        <w:tc>
          <w:tcPr>
            <w:tcW w:w="194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80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自评得分98分，项目实施效果好，保障了绵阳、广元两地居民的健康安全。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6" w:hRule="atLeast"/>
          <w:jc w:val="center"/>
        </w:trPr>
        <w:tc>
          <w:tcPr>
            <w:tcW w:w="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80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项目资金使用率待进一步提高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4" w:hRule="atLeast"/>
          <w:jc w:val="center"/>
        </w:trPr>
        <w:tc>
          <w:tcPr>
            <w:tcW w:w="5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80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加强资金财务管理，加快资金使用进度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jc w:val="center"/>
        </w:trPr>
        <w:tc>
          <w:tcPr>
            <w:tcW w:w="5556"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04"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pStyle w:val="2"/>
        <w:rPr>
          <w:rFonts w:hint="eastAsia"/>
        </w:rPr>
        <w:sectPr>
          <w:pgSz w:w="11906" w:h="16838"/>
          <w:pgMar w:top="1440" w:right="1800" w:bottom="1440" w:left="1800" w:header="851" w:footer="992" w:gutter="0"/>
          <w:pgNumType w:fmt="decimal" w:start="1"/>
          <w:cols w:space="425" w:num="1"/>
          <w:titlePg/>
          <w:docGrid w:type="lines" w:linePitch="312" w:charSpace="0"/>
        </w:sectPr>
      </w:pPr>
    </w:p>
    <w:tbl>
      <w:tblPr>
        <w:tblW w:w="113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2"/>
        <w:gridCol w:w="1494"/>
        <w:gridCol w:w="1297"/>
        <w:gridCol w:w="1680"/>
        <w:gridCol w:w="400"/>
        <w:gridCol w:w="1233"/>
        <w:gridCol w:w="402"/>
        <w:gridCol w:w="1113"/>
        <w:gridCol w:w="582"/>
        <w:gridCol w:w="657"/>
        <w:gridCol w:w="1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jc w:val="center"/>
        </w:trPr>
        <w:tc>
          <w:tcPr>
            <w:tcW w:w="1132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jc w:val="center"/>
        </w:trPr>
        <w:tc>
          <w:tcPr>
            <w:tcW w:w="20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244"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51080022T000007286758-机关党建阵地建设项目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20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01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113"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11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49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01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23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2"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94"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01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用于完善党建阵地设施以及学习资料采购，强化党建引领作用，助推工作质量提升。</w:t>
            </w:r>
          </w:p>
        </w:tc>
        <w:tc>
          <w:tcPr>
            <w:tcW w:w="423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8"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244"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完善党建阵地设施以及学习资料采购。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2"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2.00</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88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4"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6"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2.00</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13"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32"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2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LED显示屏</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处</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投影仪</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台</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政府采购实施中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验收合格率</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15</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6"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可持续发展指标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强化党建引领作用，助推工作质量提升</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定性</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高中低</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处</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中</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资金拨付单位满意度</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95</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95%</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成本指标</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补助资金各级</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20000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元</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45</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738"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自评得分45分，项目有序实施，达到预期目标。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738"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资金支付较慢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2" w:hRule="atLeast"/>
          <w:jc w:val="center"/>
        </w:trPr>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738"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加快支付进度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jc w:val="center"/>
        </w:trPr>
        <w:tc>
          <w:tcPr>
            <w:tcW w:w="5453"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6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rPr>
          <w:rFonts w:hint="eastAsia" w:ascii="宋体" w:hAnsi="宋体" w:eastAsia="宋体" w:cs="宋体"/>
          <w:i w:val="0"/>
          <w:iCs w:val="0"/>
          <w:color w:val="000000"/>
          <w:sz w:val="18"/>
          <w:szCs w:val="18"/>
          <w:u w:val="none"/>
        </w:rPr>
        <w:sectPr>
          <w:pgSz w:w="11906" w:h="16838"/>
          <w:pgMar w:top="1440" w:right="1800" w:bottom="1440" w:left="1800" w:header="851" w:footer="992" w:gutter="0"/>
          <w:pgNumType w:fmt="decimal" w:start="1"/>
          <w:cols w:space="425" w:num="1"/>
          <w:titlePg/>
          <w:docGrid w:type="lines" w:linePitch="312" w:charSpace="0"/>
        </w:sectPr>
      </w:pPr>
    </w:p>
    <w:tbl>
      <w:tblPr>
        <w:tblW w:w="113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2"/>
        <w:gridCol w:w="1494"/>
        <w:gridCol w:w="1297"/>
        <w:gridCol w:w="1680"/>
        <w:gridCol w:w="400"/>
        <w:gridCol w:w="1233"/>
        <w:gridCol w:w="402"/>
        <w:gridCol w:w="1113"/>
        <w:gridCol w:w="582"/>
        <w:gridCol w:w="657"/>
        <w:gridCol w:w="1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75" w:hRule="atLeast"/>
          <w:jc w:val="center"/>
        </w:trPr>
        <w:tc>
          <w:tcPr>
            <w:tcW w:w="1132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jc w:val="center"/>
        </w:trPr>
        <w:tc>
          <w:tcPr>
            <w:tcW w:w="20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244"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207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01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113"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11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149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01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23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92"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94"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01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保障单位日常运转，提高预算编制质量，严格执行预算</w:t>
            </w:r>
          </w:p>
        </w:tc>
        <w:tc>
          <w:tcPr>
            <w:tcW w:w="423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244"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及时报销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2"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31.20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31.13</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29.53</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94.86%</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88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4"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31.20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31.13</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29.53</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94.86%</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13"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35"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88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32" w:hRule="atLeast"/>
          <w:jc w:val="center"/>
        </w:trPr>
        <w:tc>
          <w:tcPr>
            <w:tcW w:w="58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149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32"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预算编制准确率（计算方法为：∣（执行数-预算数）/预算数∣）</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12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运转保障率</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37" w:hRule="atLeast"/>
          <w:jc w:val="center"/>
        </w:trPr>
        <w:tc>
          <w:tcPr>
            <w:tcW w:w="58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49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“三公经费”控制率[计算方法为：（三公经费实际支出数/预算安排数]×100%）</w:t>
            </w:r>
          </w:p>
        </w:tc>
        <w:tc>
          <w:tcPr>
            <w:tcW w:w="4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3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11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jc w:val="center"/>
        </w:trPr>
        <w:tc>
          <w:tcPr>
            <w:tcW w:w="8201"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88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738"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1" w:hRule="atLeast"/>
          <w:jc w:val="center"/>
        </w:trPr>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738"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5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738"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1" w:hRule="atLeast"/>
          <w:jc w:val="center"/>
        </w:trPr>
        <w:tc>
          <w:tcPr>
            <w:tcW w:w="5453"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6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pStyle w:val="2"/>
        <w:rPr>
          <w:rFonts w:hint="eastAsia"/>
        </w:rPr>
        <w:sectPr>
          <w:pgSz w:w="11906" w:h="16838"/>
          <w:pgMar w:top="1440" w:right="1800" w:bottom="1440" w:left="1800" w:header="851" w:footer="992" w:gutter="0"/>
          <w:pgNumType w:fmt="decimal" w:start="1"/>
          <w:cols w:space="425" w:num="1"/>
          <w:titlePg/>
          <w:docGrid w:type="lines" w:linePitch="312" w:charSpace="0"/>
        </w:sectPr>
      </w:pPr>
    </w:p>
    <w:tbl>
      <w:tblPr>
        <w:tblW w:w="106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34"/>
        <w:gridCol w:w="924"/>
        <w:gridCol w:w="691"/>
        <w:gridCol w:w="1772"/>
        <w:gridCol w:w="371"/>
        <w:gridCol w:w="486"/>
        <w:gridCol w:w="17"/>
        <w:gridCol w:w="622"/>
        <w:gridCol w:w="1323"/>
        <w:gridCol w:w="1108"/>
        <w:gridCol w:w="1021"/>
        <w:gridCol w:w="15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59" w:hRule="atLeast"/>
          <w:jc w:val="center"/>
        </w:trPr>
        <w:tc>
          <w:tcPr>
            <w:tcW w:w="10657" w:type="dxa"/>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57" w:hRule="atLeast"/>
          <w:jc w:val="center"/>
        </w:trPr>
        <w:tc>
          <w:tcPr>
            <w:tcW w:w="16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8999"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75" w:hRule="atLeast"/>
          <w:jc w:val="center"/>
        </w:trPr>
        <w:tc>
          <w:tcPr>
            <w:tcW w:w="165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333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945" w:type="dxa"/>
            <w:gridSpan w:val="2"/>
            <w:tcBorders>
              <w:top w:val="nil"/>
              <w:left w:val="nil"/>
              <w:bottom w:val="nil"/>
              <w:right w:val="nil"/>
            </w:tcBorders>
            <w:shd w:val="clear"/>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71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57" w:hRule="atLeast"/>
          <w:jc w:val="center"/>
        </w:trPr>
        <w:tc>
          <w:tcPr>
            <w:tcW w:w="73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92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333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566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939"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3337"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严格执行相关政策，保障工资及时发放、足额发放，预算编制科学合理，减少结余资金</w:t>
            </w:r>
          </w:p>
        </w:tc>
        <w:tc>
          <w:tcPr>
            <w:tcW w:w="566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1288"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8999"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按时、足额发放职工工资，及时缴纳职工保险。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1275" w:hRule="atLeast"/>
          <w:jc w:val="center"/>
        </w:trPr>
        <w:tc>
          <w:tcPr>
            <w:tcW w:w="73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8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94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33"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40.26</w:t>
            </w:r>
          </w:p>
        </w:tc>
        <w:tc>
          <w:tcPr>
            <w:tcW w:w="8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40.26</w:t>
            </w:r>
          </w:p>
        </w:tc>
        <w:tc>
          <w:tcPr>
            <w:tcW w:w="194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58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w:t>
            </w:r>
            <w:r>
              <w:rPr>
                <w:rFonts w:hint="eastAsia" w:ascii="黑体" w:hAnsi="黑体" w:eastAsia="黑体" w:cs="黑体"/>
                <w:i/>
                <w:iCs/>
                <w:color w:val="000000"/>
                <w:kern w:val="0"/>
                <w:sz w:val="18"/>
                <w:szCs w:val="18"/>
                <w:u w:val="none"/>
                <w:lang w:val="en-US" w:eastAsia="zh-CN" w:bidi="ar"/>
              </w:rPr>
              <w:t>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59"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40.26</w:t>
            </w:r>
          </w:p>
        </w:tc>
        <w:tc>
          <w:tcPr>
            <w:tcW w:w="8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40.26</w:t>
            </w:r>
          </w:p>
        </w:tc>
        <w:tc>
          <w:tcPr>
            <w:tcW w:w="194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8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71"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4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8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53"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74"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94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8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80"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74"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945"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88"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03" w:hRule="atLeast"/>
          <w:jc w:val="center"/>
        </w:trPr>
        <w:tc>
          <w:tcPr>
            <w:tcW w:w="73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6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3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5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产出指标</w:t>
            </w:r>
          </w:p>
        </w:tc>
        <w:tc>
          <w:tcPr>
            <w:tcW w:w="691"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数量指标</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足额保障率</w:t>
            </w:r>
          </w:p>
        </w:tc>
        <w:tc>
          <w:tcPr>
            <w:tcW w:w="3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3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58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6"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691"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科目调整次数</w:t>
            </w:r>
          </w:p>
        </w:tc>
        <w:tc>
          <w:tcPr>
            <w:tcW w:w="3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6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次</w:t>
            </w:r>
          </w:p>
        </w:tc>
        <w:tc>
          <w:tcPr>
            <w:tcW w:w="13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58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6"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时效指标</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按时发放率</w:t>
            </w:r>
          </w:p>
        </w:tc>
        <w:tc>
          <w:tcPr>
            <w:tcW w:w="3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3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100%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58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5" w:hRule="atLeast"/>
          <w:jc w:val="center"/>
        </w:trPr>
        <w:tc>
          <w:tcPr>
            <w:tcW w:w="73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效益指标</w:t>
            </w:r>
          </w:p>
        </w:tc>
        <w:tc>
          <w:tcPr>
            <w:tcW w:w="6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经济效益指标</w:t>
            </w:r>
          </w:p>
        </w:tc>
        <w:tc>
          <w:tcPr>
            <w:tcW w:w="17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结余率（计算方法为：结余数/预算数）</w:t>
            </w:r>
          </w:p>
        </w:tc>
        <w:tc>
          <w:tcPr>
            <w:tcW w:w="37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w:t>
            </w:r>
          </w:p>
        </w:tc>
        <w:tc>
          <w:tcPr>
            <w:tcW w:w="639"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3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0</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22.5</w:t>
            </w:r>
          </w:p>
        </w:tc>
        <w:tc>
          <w:tcPr>
            <w:tcW w:w="158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57" w:hRule="atLeast"/>
          <w:jc w:val="center"/>
        </w:trPr>
        <w:tc>
          <w:tcPr>
            <w:tcW w:w="6940"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11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02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58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75" w:hRule="atLeast"/>
          <w:jc w:val="center"/>
        </w:trPr>
        <w:tc>
          <w:tcPr>
            <w:tcW w:w="7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9923"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自评得分100分，项目实施效果好，员工对工资发放满意，取得良好成效。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75" w:hRule="atLeast"/>
          <w:jc w:val="center"/>
        </w:trPr>
        <w:tc>
          <w:tcPr>
            <w:tcW w:w="7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9923"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84" w:hRule="atLeast"/>
          <w:jc w:val="center"/>
        </w:trPr>
        <w:tc>
          <w:tcPr>
            <w:tcW w:w="73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9923"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399" w:hRule="atLeast"/>
          <w:jc w:val="center"/>
        </w:trPr>
        <w:tc>
          <w:tcPr>
            <w:tcW w:w="449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165"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rPr>
          <w:rFonts w:hint="eastAsia" w:ascii="宋体" w:hAnsi="宋体" w:eastAsia="宋体" w:cs="宋体"/>
          <w:i w:val="0"/>
          <w:iCs w:val="0"/>
          <w:color w:val="000000"/>
          <w:sz w:val="18"/>
          <w:szCs w:val="18"/>
          <w:u w:val="none"/>
        </w:rPr>
        <w:sectPr>
          <w:pgSz w:w="11906" w:h="16838"/>
          <w:pgMar w:top="1440" w:right="1800" w:bottom="1440" w:left="1800" w:header="851" w:footer="992" w:gutter="0"/>
          <w:pgNumType w:fmt="decimal" w:start="1"/>
          <w:cols w:space="425" w:num="1"/>
          <w:titlePg/>
          <w:docGrid w:type="lines" w:linePitch="312" w:charSpace="0"/>
        </w:sectPr>
      </w:pPr>
    </w:p>
    <w:tbl>
      <w:tblPr>
        <w:tblW w:w="11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475"/>
        <w:gridCol w:w="1349"/>
        <w:gridCol w:w="974"/>
        <w:gridCol w:w="763"/>
        <w:gridCol w:w="1207"/>
        <w:gridCol w:w="499"/>
        <w:gridCol w:w="624"/>
        <w:gridCol w:w="698"/>
        <w:gridCol w:w="636"/>
        <w:gridCol w:w="688"/>
        <w:gridCol w:w="1007"/>
        <w:gridCol w:w="683"/>
        <w:gridCol w:w="1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9" w:hRule="atLeast"/>
          <w:jc w:val="center"/>
        </w:trPr>
        <w:tc>
          <w:tcPr>
            <w:tcW w:w="11420" w:type="dxa"/>
            <w:gridSpan w:val="1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jc w:val="center"/>
        </w:trPr>
        <w:tc>
          <w:tcPr>
            <w:tcW w:w="279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8622"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51080023T000008645739-木本油料产业提质增效建设示范-2021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5" w:hRule="atLeast"/>
          <w:jc w:val="center"/>
        </w:trPr>
        <w:tc>
          <w:tcPr>
            <w:tcW w:w="279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主管部门</w:t>
            </w:r>
          </w:p>
        </w:tc>
        <w:tc>
          <w:tcPr>
            <w:tcW w:w="442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广元市林业局部门</w:t>
            </w:r>
          </w:p>
        </w:tc>
        <w:tc>
          <w:tcPr>
            <w:tcW w:w="688"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bdr w:val="none" w:color="auto" w:sz="0" w:space="0"/>
                <w:lang w:val="en-US" w:eastAsia="zh-CN" w:bidi="ar"/>
              </w:rPr>
              <w:t>实施单位 （盖章）</w:t>
            </w:r>
          </w:p>
        </w:tc>
        <w:tc>
          <w:tcPr>
            <w:tcW w:w="3507"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82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项目基本情况</w:t>
            </w:r>
          </w:p>
        </w:tc>
        <w:tc>
          <w:tcPr>
            <w:tcW w:w="97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1.项目年度目标完成情况</w:t>
            </w:r>
          </w:p>
        </w:tc>
        <w:tc>
          <w:tcPr>
            <w:tcW w:w="442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项目年度目标</w:t>
            </w:r>
          </w:p>
        </w:tc>
        <w:tc>
          <w:tcPr>
            <w:tcW w:w="419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55"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5"/>
                <w:szCs w:val="15"/>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5"/>
                <w:szCs w:val="15"/>
                <w:u w:val="none"/>
              </w:rPr>
            </w:pPr>
          </w:p>
        </w:tc>
        <w:tc>
          <w:tcPr>
            <w:tcW w:w="4427"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1.提高核桃油的保质保鲜，为相关成果转化提供技术支撑。2.对核桃样品进行分析检测，并出具相关报告。</w:t>
            </w:r>
          </w:p>
        </w:tc>
        <w:tc>
          <w:tcPr>
            <w:tcW w:w="419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bdr w:val="none" w:color="auto" w:sz="0" w:space="0"/>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5"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2.项目实施内容及过程概述</w:t>
            </w:r>
          </w:p>
        </w:tc>
        <w:tc>
          <w:tcPr>
            <w:tcW w:w="8622"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严格按照项目实施方案开展工作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55" w:hRule="atLeast"/>
          <w:jc w:val="center"/>
        </w:trPr>
        <w:tc>
          <w:tcPr>
            <w:tcW w:w="182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预算执行情况（10分）</w:t>
            </w: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年度预算数（万元）</w:t>
            </w:r>
          </w:p>
        </w:tc>
        <w:tc>
          <w:tcPr>
            <w:tcW w:w="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年初预算</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调整后预算数</w:t>
            </w:r>
          </w:p>
        </w:tc>
        <w:tc>
          <w:tcPr>
            <w:tcW w:w="19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预算执行数</w:t>
            </w:r>
          </w:p>
        </w:tc>
        <w:tc>
          <w:tcPr>
            <w:tcW w:w="6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预算执行率</w:t>
            </w: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权重</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得分</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3"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总额</w:t>
            </w:r>
          </w:p>
        </w:tc>
        <w:tc>
          <w:tcPr>
            <w:tcW w:w="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33.00</w:t>
            </w:r>
          </w:p>
        </w:tc>
        <w:tc>
          <w:tcPr>
            <w:tcW w:w="19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33.00</w:t>
            </w:r>
          </w:p>
        </w:tc>
        <w:tc>
          <w:tcPr>
            <w:tcW w:w="6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100.00%</w:t>
            </w: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10</w:t>
            </w:r>
          </w:p>
        </w:tc>
        <w:tc>
          <w:tcPr>
            <w:tcW w:w="181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5"/>
                <w:szCs w:val="15"/>
                <w:u w:val="none"/>
              </w:rPr>
            </w:pPr>
            <w:r>
              <w:rPr>
                <w:rFonts w:hint="eastAsia" w:ascii="黑体" w:hAnsi="黑体" w:eastAsia="黑体" w:cs="黑体"/>
                <w:i/>
                <w:iCs/>
                <w:color w:val="000000"/>
                <w:kern w:val="0"/>
                <w:sz w:val="15"/>
                <w:szCs w:val="15"/>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55"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其中：财政资金</w:t>
            </w:r>
          </w:p>
        </w:tc>
        <w:tc>
          <w:tcPr>
            <w:tcW w:w="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33.00</w:t>
            </w:r>
          </w:p>
        </w:tc>
        <w:tc>
          <w:tcPr>
            <w:tcW w:w="19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33.00</w:t>
            </w:r>
          </w:p>
        </w:tc>
        <w:tc>
          <w:tcPr>
            <w:tcW w:w="6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100.00%</w:t>
            </w: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1817"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55"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财政专户管理资金</w:t>
            </w:r>
          </w:p>
        </w:tc>
        <w:tc>
          <w:tcPr>
            <w:tcW w:w="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9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6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1817"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单位资金</w:t>
            </w:r>
          </w:p>
        </w:tc>
        <w:tc>
          <w:tcPr>
            <w:tcW w:w="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95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6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0.00%</w:t>
            </w: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1817"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9"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其他资金</w:t>
            </w:r>
          </w:p>
        </w:tc>
        <w:tc>
          <w:tcPr>
            <w:tcW w:w="76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5"/>
                <w:szCs w:val="15"/>
                <w:u w:val="none"/>
              </w:rPr>
            </w:pP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5"/>
                <w:szCs w:val="15"/>
                <w:u w:val="none"/>
              </w:rPr>
            </w:pPr>
          </w:p>
        </w:tc>
        <w:tc>
          <w:tcPr>
            <w:tcW w:w="1958"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5"/>
                <w:szCs w:val="15"/>
                <w:u w:val="none"/>
              </w:rPr>
            </w:pPr>
          </w:p>
        </w:tc>
        <w:tc>
          <w:tcPr>
            <w:tcW w:w="68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5"/>
                <w:szCs w:val="15"/>
                <w:u w:val="none"/>
              </w:rPr>
            </w:pP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w:t>
            </w:r>
          </w:p>
        </w:tc>
        <w:tc>
          <w:tcPr>
            <w:tcW w:w="1817"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41" w:hRule="atLeast"/>
          <w:jc w:val="center"/>
        </w:trPr>
        <w:tc>
          <w:tcPr>
            <w:tcW w:w="1824"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绩效指标（90分）</w:t>
            </w:r>
          </w:p>
        </w:tc>
        <w:tc>
          <w:tcPr>
            <w:tcW w:w="97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一级指标</w:t>
            </w:r>
          </w:p>
        </w:tc>
        <w:tc>
          <w:tcPr>
            <w:tcW w:w="76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二级指标</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三级指标</w:t>
            </w:r>
          </w:p>
        </w:tc>
        <w:tc>
          <w:tcPr>
            <w:tcW w:w="62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指标性质</w:t>
            </w:r>
          </w:p>
        </w:tc>
        <w:tc>
          <w:tcPr>
            <w:tcW w:w="6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指标值</w:t>
            </w:r>
          </w:p>
        </w:tc>
        <w:tc>
          <w:tcPr>
            <w:tcW w:w="6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度量单位</w:t>
            </w:r>
          </w:p>
        </w:tc>
        <w:tc>
          <w:tcPr>
            <w:tcW w:w="68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完成值</w:t>
            </w: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权重</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得分</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7"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数量指标</w:t>
            </w:r>
          </w:p>
        </w:tc>
        <w:tc>
          <w:tcPr>
            <w:tcW w:w="170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申报核桃油保鲜技术规程</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w:t>
            </w: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数量指标</w:t>
            </w:r>
          </w:p>
        </w:tc>
        <w:tc>
          <w:tcPr>
            <w:tcW w:w="170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获得与核桃油保鲜技术相关的专利</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w:t>
            </w: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质量指标</w:t>
            </w:r>
          </w:p>
        </w:tc>
        <w:tc>
          <w:tcPr>
            <w:tcW w:w="170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送检核桃样本检测实验完成率</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7"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产出指标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时效指标</w:t>
            </w:r>
          </w:p>
        </w:tc>
        <w:tc>
          <w:tcPr>
            <w:tcW w:w="170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项目实施周期</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w:t>
            </w: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18"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效益指标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经济效益指标</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提高鲜榨核桃油的保存时间</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定性</w:t>
            </w:r>
          </w:p>
        </w:tc>
        <w:tc>
          <w:tcPr>
            <w:tcW w:w="69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常温条件下大于等于6个月，冷藏条件下保质期大于等于12个月。</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5"/>
                <w:szCs w:val="15"/>
                <w:u w:val="none"/>
              </w:rPr>
            </w:pP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常温条件下大于等于6个月，冷藏条件下保质期大于等于12个月。</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满意度指标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服务对象满意度指标</w:t>
            </w:r>
          </w:p>
        </w:tc>
        <w:tc>
          <w:tcPr>
            <w:tcW w:w="170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实验成果使用群体的满意度</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95</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95</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成本指标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经济成本指标</w:t>
            </w:r>
          </w:p>
        </w:tc>
        <w:tc>
          <w:tcPr>
            <w:tcW w:w="170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核桃油保质保鲜项目</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180000</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元</w:t>
            </w: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180000</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5"/>
                <w:szCs w:val="15"/>
                <w:u w:val="none"/>
              </w:rPr>
            </w:pPr>
          </w:p>
        </w:tc>
        <w:tc>
          <w:tcPr>
            <w:tcW w:w="97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成本指标</w:t>
            </w:r>
          </w:p>
        </w:tc>
        <w:tc>
          <w:tcPr>
            <w:tcW w:w="76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经济成本指标</w:t>
            </w:r>
          </w:p>
        </w:tc>
        <w:tc>
          <w:tcPr>
            <w:tcW w:w="1706"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核桃营养成分监测项目</w:t>
            </w:r>
          </w:p>
        </w:tc>
        <w:tc>
          <w:tcPr>
            <w:tcW w:w="62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w:t>
            </w:r>
          </w:p>
        </w:tc>
        <w:tc>
          <w:tcPr>
            <w:tcW w:w="69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150000</w:t>
            </w:r>
          </w:p>
        </w:tc>
        <w:tc>
          <w:tcPr>
            <w:tcW w:w="6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元</w:t>
            </w:r>
          </w:p>
        </w:tc>
        <w:tc>
          <w:tcPr>
            <w:tcW w:w="68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150000</w:t>
            </w:r>
          </w:p>
        </w:tc>
        <w:tc>
          <w:tcPr>
            <w:tcW w:w="100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68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0" w:hRule="atLeast"/>
          <w:jc w:val="center"/>
        </w:trPr>
        <w:tc>
          <w:tcPr>
            <w:tcW w:w="7913"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合计</w:t>
            </w:r>
          </w:p>
        </w:tc>
        <w:tc>
          <w:tcPr>
            <w:tcW w:w="100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100</w:t>
            </w:r>
          </w:p>
        </w:tc>
        <w:tc>
          <w:tcPr>
            <w:tcW w:w="68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100</w:t>
            </w:r>
          </w:p>
        </w:tc>
        <w:tc>
          <w:tcPr>
            <w:tcW w:w="1817"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65" w:hRule="atLeast"/>
          <w:jc w:val="center"/>
        </w:trPr>
        <w:tc>
          <w:tcPr>
            <w:tcW w:w="1824"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bdr w:val="none" w:color="auto" w:sz="0" w:space="0"/>
                <w:lang w:val="en-US" w:eastAsia="zh-CN" w:bidi="ar"/>
              </w:rPr>
              <w:t>评价结论</w:t>
            </w:r>
          </w:p>
        </w:tc>
        <w:tc>
          <w:tcPr>
            <w:tcW w:w="9596"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5"/>
                <w:szCs w:val="15"/>
                <w:u w:val="none"/>
              </w:rPr>
            </w:pPr>
            <w:r>
              <w:rPr>
                <w:rFonts w:hint="eastAsia" w:ascii="微软雅黑" w:hAnsi="微软雅黑" w:eastAsia="微软雅黑" w:cs="微软雅黑"/>
                <w:i/>
                <w:iCs/>
                <w:color w:val="000000"/>
                <w:kern w:val="0"/>
                <w:sz w:val="15"/>
                <w:szCs w:val="15"/>
                <w:u w:val="none"/>
                <w:bdr w:val="none" w:color="auto" w:sz="0" w:space="0"/>
                <w:lang w:val="en-US" w:eastAsia="zh-CN" w:bidi="ar"/>
              </w:rPr>
              <w:t>自评得分100分，项目实施效果好，达到预期目标。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1270" w:hRule="atLeast"/>
          <w:jc w:val="center"/>
        </w:trPr>
        <w:tc>
          <w:tcPr>
            <w:tcW w:w="4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945" w:type="dxa"/>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1270" w:hRule="atLeast"/>
          <w:jc w:val="center"/>
        </w:trPr>
        <w:tc>
          <w:tcPr>
            <w:tcW w:w="4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945" w:type="dxa"/>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35" w:hRule="atLeast"/>
          <w:jc w:val="center"/>
        </w:trPr>
        <w:tc>
          <w:tcPr>
            <w:tcW w:w="4768"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6652"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rPr>
          <w:rFonts w:hint="eastAsia" w:ascii="宋体" w:hAnsi="宋体" w:eastAsia="宋体" w:cs="宋体"/>
          <w:i w:val="0"/>
          <w:iCs w:val="0"/>
          <w:color w:val="000000"/>
          <w:sz w:val="18"/>
          <w:szCs w:val="18"/>
          <w:u w:val="none"/>
        </w:rPr>
        <w:sectPr>
          <w:pgSz w:w="11906" w:h="16838"/>
          <w:pgMar w:top="1440" w:right="1800" w:bottom="1440" w:left="1800" w:header="851" w:footer="992" w:gutter="0"/>
          <w:pgNumType w:fmt="decimal" w:start="1"/>
          <w:cols w:space="425" w:num="1"/>
          <w:titlePg/>
          <w:docGrid w:type="lines" w:linePitch="312" w:charSpace="0"/>
        </w:sectPr>
      </w:pPr>
    </w:p>
    <w:tbl>
      <w:tblPr>
        <w:tblW w:w="112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76"/>
        <w:gridCol w:w="159"/>
        <w:gridCol w:w="957"/>
        <w:gridCol w:w="1296"/>
        <w:gridCol w:w="2016"/>
        <w:gridCol w:w="399"/>
        <w:gridCol w:w="756"/>
        <w:gridCol w:w="486"/>
        <w:gridCol w:w="1422"/>
        <w:gridCol w:w="1044"/>
        <w:gridCol w:w="732"/>
        <w:gridCol w:w="14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jc w:val="center"/>
        </w:trPr>
        <w:tc>
          <w:tcPr>
            <w:tcW w:w="11259" w:type="dxa"/>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169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567"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51080023T000008645759-油橄榄省级长期科研基地建管项目-2021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169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4953"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1422"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192"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735"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9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4953"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61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4"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57"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953"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灌溉施肥肥效快，养分利用率高，有利于保护环境。</w:t>
            </w:r>
          </w:p>
        </w:tc>
        <w:tc>
          <w:tcPr>
            <w:tcW w:w="461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灌溉施肥肥效快，养分利用率提高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88"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567"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按季节特点开展工作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35"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164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3"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12.37</w:t>
            </w:r>
          </w:p>
        </w:tc>
        <w:tc>
          <w:tcPr>
            <w:tcW w:w="164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12.37</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41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3"/>
                <w:szCs w:val="13"/>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12.37</w:t>
            </w:r>
          </w:p>
        </w:tc>
        <w:tc>
          <w:tcPr>
            <w:tcW w:w="164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12.37</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100.00%</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1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4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1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641"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1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68" w:hRule="atLeast"/>
          <w:jc w:val="center"/>
        </w:trPr>
        <w:tc>
          <w:tcPr>
            <w:tcW w:w="576" w:type="dxa"/>
            <w:tcBorders>
              <w:top w:val="single" w:color="000000" w:sz="4" w:space="0"/>
              <w:left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111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641"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416"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1" w:hRule="atLeast"/>
          <w:jc w:val="center"/>
        </w:trPr>
        <w:tc>
          <w:tcPr>
            <w:tcW w:w="735"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灌溉面积对油橄榄基地的覆盖率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1"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项目实施时间</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2022年12月31日前</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2022年12月31日前</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灌溉系统覆盖面积</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191</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亩</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191</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52"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提高肥料、水量的利用率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减少生产成本</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减少生产成本</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灌溉系统使用单位满意度</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jc w:val="center"/>
        </w:trPr>
        <w:tc>
          <w:tcPr>
            <w:tcW w:w="735"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水肥一体化采购项目尾款</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12.37</w:t>
            </w:r>
          </w:p>
        </w:tc>
        <w:tc>
          <w:tcPr>
            <w:tcW w:w="48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14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12.37</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8067"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104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7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1416"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3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52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自评得分100分，项目实施效果好，灌溉工作顺利开展，达到预期目标。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3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52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4" w:hRule="atLeast"/>
          <w:jc w:val="center"/>
        </w:trPr>
        <w:tc>
          <w:tcPr>
            <w:tcW w:w="735"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524"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5403"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56"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bl>
    <w:p>
      <w:pPr>
        <w:rPr>
          <w:rFonts w:hint="eastAsia" w:ascii="宋体" w:hAnsi="宋体" w:eastAsia="宋体" w:cs="宋体"/>
          <w:i w:val="0"/>
          <w:iCs w:val="0"/>
          <w:color w:val="000000"/>
          <w:sz w:val="18"/>
          <w:szCs w:val="18"/>
          <w:u w:val="none"/>
        </w:rPr>
        <w:sectPr>
          <w:pgSz w:w="11906" w:h="16838"/>
          <w:pgMar w:top="1440" w:right="1800" w:bottom="1440" w:left="1800" w:header="851" w:footer="992" w:gutter="0"/>
          <w:pgNumType w:fmt="decimal" w:start="1"/>
          <w:cols w:space="425" w:num="1"/>
          <w:titlePg/>
          <w:docGrid w:type="lines" w:linePitch="312" w:charSpace="0"/>
        </w:sectPr>
      </w:pPr>
    </w:p>
    <w:tbl>
      <w:tblPr>
        <w:tblW w:w="112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23"/>
        <w:gridCol w:w="969"/>
        <w:gridCol w:w="1296"/>
        <w:gridCol w:w="2016"/>
        <w:gridCol w:w="399"/>
        <w:gridCol w:w="1002"/>
        <w:gridCol w:w="642"/>
        <w:gridCol w:w="804"/>
        <w:gridCol w:w="552"/>
        <w:gridCol w:w="1284"/>
        <w:gridCol w:w="15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jc w:val="center"/>
        </w:trPr>
        <w:tc>
          <w:tcPr>
            <w:tcW w:w="11259"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w:t>
            </w:r>
            <w:bookmarkStart w:id="139" w:name="_GoBack"/>
            <w:bookmarkEnd w:id="139"/>
            <w:r>
              <w:rPr>
                <w:rFonts w:hint="eastAsia" w:ascii="黑体" w:hAnsi="宋体" w:eastAsia="黑体" w:cs="黑体"/>
                <w:b/>
                <w:bCs/>
                <w:i w:val="0"/>
                <w:iCs w:val="0"/>
                <w:color w:val="000000"/>
                <w:kern w:val="0"/>
                <w:sz w:val="30"/>
                <w:szCs w:val="30"/>
                <w:u w:val="none"/>
                <w:bdr w:val="none" w:color="auto" w:sz="0" w:space="0"/>
                <w:lang w:val="en-US" w:eastAsia="zh-CN" w:bidi="ar"/>
              </w:rPr>
              <w:t>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69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567"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51080023T000008645792-油橄榄种质资源圃建管项目-2021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169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35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804"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40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96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35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21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88"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35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大石、上西两处油橄榄科研基地有机肥、土壤改良、控根器树盘、保护性基础设施等提升改造工程。</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 xml:space="preserve"> </w:t>
            </w:r>
          </w:p>
        </w:tc>
        <w:tc>
          <w:tcPr>
            <w:tcW w:w="421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大石、上西两处油橄榄科研基地工程实施效果好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88"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567"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大石、上西两处油橄榄科研基地有机肥、土壤改良、控根器树盘、保护性基础设施等提升改造工程。</w:t>
            </w:r>
            <w:r>
              <w:rPr>
                <w:rFonts w:ascii="宋体" w:hAnsi="宋体" w:eastAsia="宋体" w:cs="宋体"/>
                <w:i w:val="0"/>
                <w:iCs w:val="0"/>
                <w:color w:val="000000"/>
                <w:kern w:val="0"/>
                <w:sz w:val="18"/>
                <w:szCs w:val="18"/>
                <w:u w:val="none"/>
                <w:bdr w:val="none" w:color="auto" w:sz="0" w:space="0"/>
                <w:lang w:val="en-US" w:eastAsia="zh-CN" w:bidi="ar"/>
              </w:rPr>
              <w:br w:type="textWrapping"/>
            </w:r>
            <w:r>
              <w:rPr>
                <w:rFonts w:ascii="宋体" w:hAnsi="宋体" w:eastAsia="宋体" w:cs="宋体"/>
                <w:i w:val="0"/>
                <w:iCs w:val="0"/>
                <w:color w:val="000000"/>
                <w:kern w:val="0"/>
                <w:sz w:val="18"/>
                <w:szCs w:val="18"/>
                <w:u w:val="none"/>
                <w:bdr w:val="none" w:color="auto" w:sz="0" w:space="0"/>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3"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39.71</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36.16</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91.07%</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bdr w:val="none" w:color="auto" w:sz="0" w:space="0"/>
                <w:lang w:val="en-US" w:eastAsia="zh-CN" w:bidi="ar"/>
              </w:rPr>
              <w:t>9</w:t>
            </w:r>
          </w:p>
        </w:tc>
        <w:tc>
          <w:tcPr>
            <w:tcW w:w="157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3"/>
                <w:szCs w:val="13"/>
                <w:u w:val="none"/>
              </w:rPr>
            </w:pPr>
            <w:r>
              <w:rPr>
                <w:rFonts w:hint="eastAsia" w:ascii="黑体" w:hAnsi="黑体" w:eastAsia="黑体" w:cs="黑体"/>
                <w:i/>
                <w:iCs/>
                <w:color w:val="000000"/>
                <w:kern w:val="0"/>
                <w:sz w:val="13"/>
                <w:szCs w:val="13"/>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39.71</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36.16</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91.07%</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4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3"/>
                <w:szCs w:val="13"/>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1"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项目实施基地数量</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处</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1"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项目实施时间</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2022年12月31日</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2022年12月31日</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管护基地面积合计</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亩</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种质资源保存率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3"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可持续影响指标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为广元市油橄榄产业发展提供种质资源保护与利用科研平台</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研究适合广元的油橄榄品种，提高鲜果产量</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研究适合广元的油橄榄品种，提高鲜果产量</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主管部门及林农满意度</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大石油橄榄省级长期科研基地</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上西油橄榄种质资源圃</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33.51</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33.51</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扣质保金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7851"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536"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本次自评得分 100分，项目实施效果好，基地基础设施建设加强，达到预期目标。。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536"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4" w:hRule="atLeast"/>
          <w:jc w:val="center"/>
        </w:trPr>
        <w:tc>
          <w:tcPr>
            <w:tcW w:w="7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536"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5403"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56"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23"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69"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9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201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399"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00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64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04"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5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84"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57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7" w:hRule="atLeast"/>
          <w:jc w:val="center"/>
        </w:trPr>
        <w:tc>
          <w:tcPr>
            <w:tcW w:w="11259"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bdr w:val="none" w:color="auto" w:sz="0" w:space="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69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项目名称</w:t>
            </w:r>
          </w:p>
        </w:tc>
        <w:tc>
          <w:tcPr>
            <w:tcW w:w="9567"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51080023T000008645825-核桃育种“一号工程”科研项目-2021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169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主管部门</w:t>
            </w:r>
          </w:p>
        </w:tc>
        <w:tc>
          <w:tcPr>
            <w:tcW w:w="535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广元市林业局部门</w:t>
            </w:r>
          </w:p>
        </w:tc>
        <w:tc>
          <w:tcPr>
            <w:tcW w:w="804" w:type="dxa"/>
            <w:tcBorders>
              <w:top w:val="nil"/>
              <w:left w:val="nil"/>
              <w:bottom w:val="nil"/>
              <w:right w:val="nil"/>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实施单位 （盖章）</w:t>
            </w:r>
          </w:p>
        </w:tc>
        <w:tc>
          <w:tcPr>
            <w:tcW w:w="340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广元市林业科学研究院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项目基本情况</w:t>
            </w:r>
          </w:p>
        </w:tc>
        <w:tc>
          <w:tcPr>
            <w:tcW w:w="96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1.项目年度目标完成情况</w:t>
            </w:r>
          </w:p>
        </w:tc>
        <w:tc>
          <w:tcPr>
            <w:tcW w:w="535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项目年度目标</w:t>
            </w:r>
          </w:p>
        </w:tc>
        <w:tc>
          <w:tcPr>
            <w:tcW w:w="421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4"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535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开展核桃杂交育种及引种驯化工作，选育适合我市的核桃品种。</w:t>
            </w:r>
          </w:p>
        </w:tc>
        <w:tc>
          <w:tcPr>
            <w:tcW w:w="4212"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选育出适合我市的核桃品种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88"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2.项目实施内容及过程概述</w:t>
            </w:r>
          </w:p>
        </w:tc>
        <w:tc>
          <w:tcPr>
            <w:tcW w:w="9567"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持续推进实施核桃育种“一号工程”，本年度开展10个杂交组合（含反交）试验，获得杂交成功种子100余颗；2020、2021年度培育F1代50余株苗木长势良好。在川、陕、甘、渝四省市引进的80余份当地优良种质资源长势正常。杂交及引种科研数据收集工作按计划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预算执行情况（10分）</w:t>
            </w: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年度预算数（万元）</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年初预算</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调整后预算数</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预算执行数</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预算执行率</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总额</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8.97</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5.16</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57.49%</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6</w:t>
            </w:r>
          </w:p>
        </w:tc>
        <w:tc>
          <w:tcPr>
            <w:tcW w:w="157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bdr w:val="none" w:color="auto" w:sz="0" w:space="0"/>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其中：财政资金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8.97</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5.16</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57.49%</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财政专户管理资金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7"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单位资金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0.00%</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00"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其他资金</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2043"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iCs/>
                <w:color w:val="000000"/>
                <w:sz w:val="16"/>
                <w:szCs w:val="16"/>
                <w:u w:val="none"/>
              </w:rPr>
            </w:pP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1"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绩效指标（90分）</w:t>
            </w: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二级指标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三级指标</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指标性质</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指标值</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度量单位</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完成值</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权重</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得分</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核桃树健康树株率</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项目实施周期</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引进核桃品种</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份</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201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选育核桃品种，提高核桃产量，促进林农增收</w:t>
            </w:r>
          </w:p>
        </w:tc>
        <w:tc>
          <w:tcPr>
            <w:tcW w:w="39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定性</w:t>
            </w:r>
          </w:p>
        </w:tc>
        <w:tc>
          <w:tcPr>
            <w:tcW w:w="1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不断提高</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户</w:t>
            </w:r>
          </w:p>
        </w:tc>
        <w:tc>
          <w:tcPr>
            <w:tcW w:w="80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不断提高</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主管部门及林农满意度</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农用物资采购经费</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2.85</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0.16</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12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157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物资采购部分款项未付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5"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差旅费等</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1.12</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12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8"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96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引种驯化基地建设</w:t>
            </w:r>
          </w:p>
        </w:tc>
        <w:tc>
          <w:tcPr>
            <w:tcW w:w="39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100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万元</w:t>
            </w:r>
          </w:p>
        </w:tc>
        <w:tc>
          <w:tcPr>
            <w:tcW w:w="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57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7851"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合计</w:t>
            </w:r>
          </w:p>
        </w:tc>
        <w:tc>
          <w:tcPr>
            <w:tcW w:w="55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100</w:t>
            </w:r>
          </w:p>
        </w:tc>
        <w:tc>
          <w:tcPr>
            <w:tcW w:w="12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91</w:t>
            </w:r>
          </w:p>
        </w:tc>
        <w:tc>
          <w:tcPr>
            <w:tcW w:w="157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5" w:hRule="atLeast"/>
          <w:jc w:val="center"/>
        </w:trPr>
        <w:tc>
          <w:tcPr>
            <w:tcW w:w="7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评价结论</w:t>
            </w:r>
          </w:p>
        </w:tc>
        <w:tc>
          <w:tcPr>
            <w:tcW w:w="10536"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本次自评得分 100分，项目实施效果好，育出适合我市的核桃品种，达到预期目标。。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7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存在问题</w:t>
            </w:r>
          </w:p>
        </w:tc>
        <w:tc>
          <w:tcPr>
            <w:tcW w:w="10536"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7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改进措施</w:t>
            </w:r>
          </w:p>
        </w:tc>
        <w:tc>
          <w:tcPr>
            <w:tcW w:w="10536"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5403"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项目负责人：</w:t>
            </w:r>
          </w:p>
        </w:tc>
        <w:tc>
          <w:tcPr>
            <w:tcW w:w="5856"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bdr w:val="none" w:color="auto" w:sz="0" w:space="0"/>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3" w:hRule="atLeast"/>
          <w:jc w:val="center"/>
        </w:trPr>
        <w:tc>
          <w:tcPr>
            <w:tcW w:w="723"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969"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9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2016"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399"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00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64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804"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55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284"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c>
          <w:tcPr>
            <w:tcW w:w="1572" w:type="dxa"/>
            <w:tcBorders>
              <w:top w:val="nil"/>
              <w:left w:val="nil"/>
              <w:bottom w:val="nil"/>
              <w:right w:val="nil"/>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3" w:hRule="atLeast"/>
          <w:jc w:val="center"/>
        </w:trPr>
        <w:tc>
          <w:tcPr>
            <w:tcW w:w="11259" w:type="dxa"/>
            <w:gridSpan w:val="11"/>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11259" w:type="dxa"/>
            <w:gridSpan w:val="11"/>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2、取数口径：部门项目绩效目标表信息，包括年初预算、追加预算、结转预算，调整预算的绩效目标（以项目的最终绩效目标为准）。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3" w:hRule="atLeast"/>
          <w:jc w:val="center"/>
        </w:trPr>
        <w:tc>
          <w:tcPr>
            <w:tcW w:w="11259" w:type="dxa"/>
            <w:gridSpan w:val="11"/>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适用地区：全省范围（成都市）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11259" w:type="dxa"/>
            <w:gridSpan w:val="11"/>
            <w:tcBorders>
              <w:top w:val="nil"/>
              <w:left w:val="nil"/>
              <w:bottom w:val="nil"/>
              <w:right w:val="nil"/>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适用用户：部门用户、单位用户</w:t>
            </w:r>
          </w:p>
        </w:tc>
      </w:tr>
    </w:tbl>
    <w:p>
      <w:pPr>
        <w:pStyle w:val="2"/>
        <w:rPr>
          <w:rFonts w:hint="eastAsia"/>
        </w:rPr>
      </w:pPr>
    </w:p>
    <w:p>
      <w:pPr>
        <w:pStyle w:val="2"/>
        <w:rPr>
          <w:rFonts w:hint="eastAsia"/>
        </w:rPr>
      </w:pPr>
    </w:p>
    <w:p>
      <w:pPr>
        <w:pStyle w:val="2"/>
        <w:rPr>
          <w:rFonts w:hint="eastAsia"/>
        </w:rPr>
      </w:pPr>
    </w:p>
    <w:p>
      <w:pPr>
        <w:shd w:val="clear"/>
        <w:spacing w:line="600" w:lineRule="exact"/>
        <w:jc w:val="center"/>
        <w:outlineLvl w:val="0"/>
        <w:rPr>
          <w:rFonts w:hint="eastAsia" w:ascii="黑体" w:hAnsi="黑体" w:eastAsia="黑体"/>
          <w:color w:val="auto"/>
          <w:sz w:val="44"/>
          <w:szCs w:val="44"/>
          <w:highlight w:val="none"/>
        </w:rPr>
        <w:sectPr>
          <w:pgSz w:w="11906" w:h="16838"/>
          <w:pgMar w:top="1440" w:right="1800" w:bottom="1440" w:left="1800" w:header="851" w:footer="992" w:gutter="0"/>
          <w:pgNumType w:fmt="decimal" w:start="1"/>
          <w:cols w:space="425" w:num="1"/>
          <w:titlePg/>
          <w:docGrid w:type="lines" w:linePitch="312" w:charSpace="0"/>
        </w:sectPr>
      </w:pPr>
    </w:p>
    <w:p>
      <w:pPr>
        <w:shd w:val="clea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五部分附表</w:t>
      </w:r>
    </w:p>
    <w:p>
      <w:pPr>
        <w:pStyle w:val="4"/>
        <w:shd w:val="clear"/>
        <w:rPr>
          <w:rFonts w:ascii="仿宋" w:hAnsi="仿宋" w:eastAsia="仿宋"/>
          <w:color w:val="auto"/>
          <w:highlight w:val="none"/>
        </w:rPr>
      </w:pPr>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100"/>
      <w:bookmarkEnd w:id="101"/>
      <w:bookmarkEnd w:id="102"/>
    </w:p>
    <w:p>
      <w:pPr>
        <w:pStyle w:val="4"/>
        <w:shd w:val="clear"/>
        <w:rPr>
          <w:rFonts w:ascii="仿宋" w:hAnsi="仿宋" w:eastAsia="仿宋"/>
          <w:color w:val="auto"/>
          <w:highlight w:val="none"/>
        </w:rPr>
      </w:pPr>
      <w:bookmarkStart w:id="103" w:name="_Toc15396620"/>
      <w:bookmarkStart w:id="104" w:name="_Toc15314"/>
      <w:bookmarkStart w:id="105" w:name="_Toc12608"/>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103"/>
      <w:bookmarkEnd w:id="104"/>
      <w:bookmarkEnd w:id="105"/>
    </w:p>
    <w:p>
      <w:pPr>
        <w:pStyle w:val="4"/>
        <w:shd w:val="clear"/>
        <w:rPr>
          <w:rFonts w:ascii="仿宋" w:hAnsi="仿宋" w:eastAsia="仿宋"/>
          <w:color w:val="auto"/>
          <w:highlight w:val="none"/>
        </w:rPr>
      </w:pPr>
      <w:bookmarkStart w:id="106" w:name="_Toc23118"/>
      <w:bookmarkStart w:id="107" w:name="_Toc15396621"/>
      <w:bookmarkStart w:id="108" w:name="_Toc17615"/>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106"/>
      <w:bookmarkEnd w:id="107"/>
      <w:bookmarkEnd w:id="108"/>
    </w:p>
    <w:p>
      <w:pPr>
        <w:pStyle w:val="4"/>
        <w:shd w:val="clear"/>
        <w:rPr>
          <w:rFonts w:ascii="仿宋" w:hAnsi="仿宋" w:eastAsia="仿宋"/>
          <w:b w:val="0"/>
          <w:color w:val="auto"/>
          <w:highlight w:val="none"/>
        </w:rPr>
      </w:pPr>
      <w:bookmarkStart w:id="109" w:name="_Toc28788"/>
      <w:bookmarkStart w:id="110" w:name="_Toc15396622"/>
      <w:bookmarkStart w:id="111" w:name="_Toc17227"/>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109"/>
      <w:bookmarkEnd w:id="110"/>
      <w:bookmarkEnd w:id="111"/>
    </w:p>
    <w:p>
      <w:pPr>
        <w:pStyle w:val="4"/>
        <w:shd w:val="clear"/>
        <w:rPr>
          <w:rStyle w:val="17"/>
          <w:rFonts w:ascii="仿宋" w:hAnsi="仿宋" w:eastAsia="仿宋"/>
          <w:b w:val="0"/>
          <w:bCs w:val="0"/>
          <w:color w:val="auto"/>
          <w:highlight w:val="none"/>
        </w:rPr>
      </w:pPr>
      <w:bookmarkStart w:id="112" w:name="_Toc30641"/>
      <w:bookmarkStart w:id="113" w:name="_Toc14907"/>
      <w:bookmarkStart w:id="114" w:name="_Toc15396623"/>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112"/>
      <w:bookmarkEnd w:id="113"/>
      <w:bookmarkEnd w:id="114"/>
      <w:bookmarkStart w:id="115" w:name="_Toc15396624"/>
    </w:p>
    <w:p>
      <w:pPr>
        <w:pStyle w:val="4"/>
        <w:shd w:val="clear"/>
        <w:rPr>
          <w:rFonts w:ascii="仿宋" w:hAnsi="仿宋" w:eastAsia="仿宋"/>
          <w:color w:val="auto"/>
          <w:highlight w:val="none"/>
        </w:rPr>
      </w:pPr>
      <w:bookmarkStart w:id="116" w:name="_Toc14252"/>
      <w:bookmarkStart w:id="117" w:name="_Toc5723"/>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115"/>
      <w:bookmarkEnd w:id="116"/>
      <w:bookmarkEnd w:id="117"/>
    </w:p>
    <w:p>
      <w:pPr>
        <w:pStyle w:val="4"/>
        <w:shd w:val="clear"/>
        <w:rPr>
          <w:rFonts w:ascii="仿宋" w:hAnsi="仿宋" w:eastAsia="仿宋"/>
          <w:color w:val="auto"/>
          <w:highlight w:val="none"/>
        </w:rPr>
      </w:pPr>
      <w:bookmarkStart w:id="118" w:name="_Toc25723"/>
      <w:bookmarkStart w:id="119" w:name="_Toc28860"/>
      <w:bookmarkStart w:id="120" w:name="_Toc15396625"/>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118"/>
      <w:bookmarkEnd w:id="119"/>
      <w:bookmarkEnd w:id="120"/>
    </w:p>
    <w:p>
      <w:pPr>
        <w:pStyle w:val="4"/>
        <w:shd w:val="clear"/>
        <w:rPr>
          <w:rFonts w:ascii="仿宋" w:hAnsi="仿宋" w:eastAsia="仿宋"/>
          <w:color w:val="auto"/>
          <w:highlight w:val="none"/>
        </w:rPr>
      </w:pPr>
      <w:bookmarkStart w:id="121" w:name="_Toc8883"/>
      <w:bookmarkStart w:id="122" w:name="_Toc15396626"/>
      <w:bookmarkStart w:id="123" w:name="_Toc11349"/>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121"/>
      <w:bookmarkEnd w:id="122"/>
      <w:bookmarkEnd w:id="123"/>
    </w:p>
    <w:p>
      <w:pPr>
        <w:pStyle w:val="4"/>
        <w:shd w:val="clear"/>
        <w:rPr>
          <w:rFonts w:ascii="仿宋" w:hAnsi="仿宋" w:eastAsia="仿宋"/>
          <w:color w:val="auto"/>
          <w:highlight w:val="none"/>
        </w:rPr>
      </w:pPr>
      <w:bookmarkStart w:id="124" w:name="_Toc14704"/>
      <w:bookmarkStart w:id="125" w:name="_Toc5211"/>
      <w:bookmarkStart w:id="126" w:name="_Toc15396627"/>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124"/>
      <w:bookmarkEnd w:id="125"/>
      <w:bookmarkEnd w:id="126"/>
    </w:p>
    <w:p>
      <w:pPr>
        <w:pStyle w:val="4"/>
        <w:shd w:val="clear"/>
        <w:rPr>
          <w:rFonts w:ascii="仿宋" w:hAnsi="仿宋" w:eastAsia="仿宋"/>
          <w:color w:val="auto"/>
          <w:highlight w:val="none"/>
        </w:rPr>
      </w:pPr>
      <w:bookmarkStart w:id="127" w:name="_Toc15396628"/>
      <w:bookmarkStart w:id="128" w:name="_Toc24133"/>
      <w:bookmarkStart w:id="129" w:name="_Toc24443"/>
      <w:r>
        <w:rPr>
          <w:rStyle w:val="17"/>
          <w:rFonts w:hint="eastAsia" w:ascii="仿宋" w:hAnsi="仿宋" w:eastAsia="仿宋"/>
          <w:b w:val="0"/>
          <w:bCs w:val="0"/>
          <w:color w:val="auto"/>
          <w:highlight w:val="none"/>
        </w:rPr>
        <w:t>十、</w:t>
      </w:r>
      <w:bookmarkEnd w:id="127"/>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128"/>
      <w:bookmarkEnd w:id="129"/>
    </w:p>
    <w:p>
      <w:pPr>
        <w:pStyle w:val="4"/>
        <w:shd w:val="clear"/>
        <w:rPr>
          <w:rFonts w:ascii="仿宋" w:hAnsi="仿宋" w:eastAsia="仿宋"/>
          <w:color w:val="auto"/>
          <w:highlight w:val="none"/>
        </w:rPr>
      </w:pPr>
      <w:bookmarkStart w:id="130" w:name="_Toc15396629"/>
      <w:bookmarkStart w:id="131" w:name="_Toc21318"/>
      <w:bookmarkStart w:id="132" w:name="_Toc17224"/>
      <w:r>
        <w:rPr>
          <w:rStyle w:val="17"/>
          <w:rFonts w:hint="eastAsia" w:ascii="仿宋" w:hAnsi="仿宋" w:eastAsia="仿宋"/>
          <w:b w:val="0"/>
          <w:bCs w:val="0"/>
          <w:color w:val="auto"/>
          <w:highlight w:val="none"/>
        </w:rPr>
        <w:t>十一、</w:t>
      </w:r>
      <w:bookmarkEnd w:id="130"/>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131"/>
      <w:bookmarkEnd w:id="132"/>
    </w:p>
    <w:p>
      <w:pPr>
        <w:pStyle w:val="4"/>
        <w:shd w:val="clear"/>
        <w:rPr>
          <w:rFonts w:ascii="仿宋" w:hAnsi="仿宋" w:eastAsia="仿宋"/>
          <w:color w:val="auto"/>
          <w:highlight w:val="none"/>
        </w:rPr>
      </w:pPr>
      <w:bookmarkStart w:id="133" w:name="_Toc15396630"/>
      <w:bookmarkStart w:id="134" w:name="_Toc12780"/>
      <w:bookmarkStart w:id="135" w:name="_Toc6160"/>
      <w:r>
        <w:rPr>
          <w:rStyle w:val="17"/>
          <w:rFonts w:hint="eastAsia" w:ascii="仿宋" w:hAnsi="仿宋" w:eastAsia="仿宋"/>
          <w:b w:val="0"/>
          <w:bCs w:val="0"/>
          <w:color w:val="auto"/>
          <w:highlight w:val="none"/>
        </w:rPr>
        <w:t>十二、</w:t>
      </w:r>
      <w:bookmarkEnd w:id="133"/>
      <w:r>
        <w:rPr>
          <w:rStyle w:val="17"/>
          <w:rFonts w:hint="eastAsia" w:ascii="仿宋" w:hAnsi="仿宋" w:eastAsia="仿宋"/>
          <w:b w:val="0"/>
          <w:bCs w:val="0"/>
          <w:color w:val="auto"/>
          <w:highlight w:val="none"/>
          <w:lang w:eastAsia="zh-CN"/>
        </w:rPr>
        <w:t>国有资本经营预算财政拨款支出决算表</w:t>
      </w:r>
      <w:bookmarkEnd w:id="134"/>
      <w:bookmarkEnd w:id="135"/>
    </w:p>
    <w:p>
      <w:pPr>
        <w:pStyle w:val="4"/>
        <w:shd w:val="clear"/>
        <w:rPr>
          <w:rFonts w:hint="eastAsia" w:eastAsia="仿宋"/>
          <w:color w:val="auto"/>
          <w:highlight w:val="none"/>
          <w:lang w:eastAsia="zh-CN"/>
        </w:rPr>
      </w:pPr>
      <w:bookmarkStart w:id="136" w:name="_Toc15396631"/>
      <w:bookmarkStart w:id="137" w:name="_Toc13148"/>
      <w:bookmarkStart w:id="138" w:name="_Toc6950"/>
      <w:r>
        <w:rPr>
          <w:rStyle w:val="17"/>
          <w:rFonts w:hint="eastAsia" w:ascii="仿宋" w:hAnsi="仿宋" w:eastAsia="仿宋"/>
          <w:b w:val="0"/>
          <w:bCs w:val="0"/>
          <w:color w:val="auto"/>
          <w:highlight w:val="none"/>
        </w:rPr>
        <w:t>十三、</w:t>
      </w:r>
      <w:bookmarkEnd w:id="136"/>
      <w:r>
        <w:rPr>
          <w:rStyle w:val="17"/>
          <w:rFonts w:hint="eastAsia" w:ascii="仿宋" w:hAnsi="仿宋" w:eastAsia="仿宋"/>
          <w:b w:val="0"/>
          <w:bCs w:val="0"/>
          <w:color w:val="auto"/>
          <w:highlight w:val="none"/>
          <w:lang w:eastAsia="zh-CN"/>
        </w:rPr>
        <w:t>财政拨款“三公”经费支出决算表</w:t>
      </w:r>
      <w:bookmarkEnd w:id="137"/>
      <w:bookmarkEnd w:id="138"/>
    </w:p>
    <w:sectPr>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hNGViZTg2YzljZjNiNjk2ZGI0NjkyYWQ1ZWU2ZT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7697D31"/>
    <w:rsid w:val="0A2032A3"/>
    <w:rsid w:val="0B607F12"/>
    <w:rsid w:val="0B8A37D8"/>
    <w:rsid w:val="105A3DA6"/>
    <w:rsid w:val="10C055FF"/>
    <w:rsid w:val="118107EC"/>
    <w:rsid w:val="11DD6519"/>
    <w:rsid w:val="143B460D"/>
    <w:rsid w:val="14FC4308"/>
    <w:rsid w:val="16A85A87"/>
    <w:rsid w:val="16BB723D"/>
    <w:rsid w:val="17712E75"/>
    <w:rsid w:val="18015F3F"/>
    <w:rsid w:val="1BCD170D"/>
    <w:rsid w:val="1BE8440E"/>
    <w:rsid w:val="1D155CEE"/>
    <w:rsid w:val="1E4340C5"/>
    <w:rsid w:val="20F57F95"/>
    <w:rsid w:val="240371BF"/>
    <w:rsid w:val="25711CC6"/>
    <w:rsid w:val="25C741E6"/>
    <w:rsid w:val="27842671"/>
    <w:rsid w:val="29FD04D3"/>
    <w:rsid w:val="2ABE7A3E"/>
    <w:rsid w:val="2C7D07D3"/>
    <w:rsid w:val="2CA234A8"/>
    <w:rsid w:val="2D200D0E"/>
    <w:rsid w:val="2D4C1B03"/>
    <w:rsid w:val="2EFA178C"/>
    <w:rsid w:val="30B46D73"/>
    <w:rsid w:val="319F7F4E"/>
    <w:rsid w:val="33B70768"/>
    <w:rsid w:val="35DE27D8"/>
    <w:rsid w:val="368C2F70"/>
    <w:rsid w:val="36CA3A99"/>
    <w:rsid w:val="383D272C"/>
    <w:rsid w:val="39AE70AB"/>
    <w:rsid w:val="3C0C0783"/>
    <w:rsid w:val="3C5A766D"/>
    <w:rsid w:val="3D2C0636"/>
    <w:rsid w:val="3F9F3A96"/>
    <w:rsid w:val="3FC953F1"/>
    <w:rsid w:val="41085755"/>
    <w:rsid w:val="42091919"/>
    <w:rsid w:val="43371358"/>
    <w:rsid w:val="450C37F9"/>
    <w:rsid w:val="48BF60AB"/>
    <w:rsid w:val="493C27E9"/>
    <w:rsid w:val="496F39ED"/>
    <w:rsid w:val="49FF41D3"/>
    <w:rsid w:val="4BE068DB"/>
    <w:rsid w:val="4BF6002B"/>
    <w:rsid w:val="4ECE2238"/>
    <w:rsid w:val="50D01F31"/>
    <w:rsid w:val="51DB4B86"/>
    <w:rsid w:val="55333C3E"/>
    <w:rsid w:val="56C717C7"/>
    <w:rsid w:val="56DF2013"/>
    <w:rsid w:val="593A136F"/>
    <w:rsid w:val="59B22E74"/>
    <w:rsid w:val="5B274125"/>
    <w:rsid w:val="5BFDA523"/>
    <w:rsid w:val="5DD706C5"/>
    <w:rsid w:val="64CA39A1"/>
    <w:rsid w:val="674A2D3D"/>
    <w:rsid w:val="67656D42"/>
    <w:rsid w:val="6942733B"/>
    <w:rsid w:val="69630ADE"/>
    <w:rsid w:val="69AE298E"/>
    <w:rsid w:val="6C4A05C8"/>
    <w:rsid w:val="6D3B1A89"/>
    <w:rsid w:val="6DC115B5"/>
    <w:rsid w:val="71BF4EC2"/>
    <w:rsid w:val="72734D90"/>
    <w:rsid w:val="7412278C"/>
    <w:rsid w:val="7541209E"/>
    <w:rsid w:val="78150F59"/>
    <w:rsid w:val="7904082E"/>
    <w:rsid w:val="79E7B28D"/>
    <w:rsid w:val="7DEAB1B6"/>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6">
    <w:name w:val="Body Text"/>
    <w:basedOn w:val="1"/>
    <w:link w:val="24"/>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8"/>
    <w:semiHidden/>
    <w:unhideWhenUsed/>
    <w:qFormat/>
    <w:uiPriority w:val="99"/>
    <w:rPr>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2"/>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6"/>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8"/>
    <w:semiHidden/>
    <w:qFormat/>
    <w:uiPriority w:val="99"/>
    <w:rPr>
      <w:rFonts w:ascii="Times New Roman" w:hAnsi="Times New Roman"/>
      <w:kern w:val="2"/>
      <w:sz w:val="18"/>
      <w:szCs w:val="18"/>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 w:type="paragraph" w:customStyle="1" w:styleId="31">
    <w:name w:val="WPSOffice手动目录 2"/>
    <w:qFormat/>
    <w:uiPriority w:val="0"/>
    <w:pPr>
      <w:ind w:leftChars="200"/>
    </w:pPr>
    <w:rPr>
      <w:rFonts w:ascii="Times New Roman" w:hAnsi="Times New Roman" w:eastAsia="宋体" w:cs="Times New Roman"/>
      <w:sz w:val="20"/>
      <w:szCs w:val="20"/>
    </w:rPr>
  </w:style>
  <w:style w:type="character" w:customStyle="1" w:styleId="32">
    <w:name w:val="font121"/>
    <w:basedOn w:val="13"/>
    <w:uiPriority w:val="0"/>
    <w:rPr>
      <w:rFonts w:hint="eastAsia" w:ascii="宋体" w:hAnsi="宋体" w:eastAsia="宋体" w:cs="宋体"/>
      <w:color w:val="000000"/>
      <w:sz w:val="16"/>
      <w:szCs w:val="16"/>
      <w:u w:val="none"/>
    </w:rPr>
  </w:style>
  <w:style w:type="character" w:customStyle="1" w:styleId="33">
    <w:name w:val="font61"/>
    <w:basedOn w:val="13"/>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19971;&#22812;\Desktop\2022&#24180;&#20915;&#31639;&#23457;&#26680;&#22270;&#3103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sz="900"/>
              <a:t>单位：万元</a:t>
            </a:r>
            <a:endParaRPr sz="900"/>
          </a:p>
        </c:rich>
      </c:tx>
      <c:layout>
        <c:manualLayout>
          <c:xMode val="edge"/>
          <c:yMode val="edge"/>
          <c:x val="0.790770717564629"/>
          <c:y val="0.0407989800254994"/>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elete val="1"/>
          </c:dLbls>
          <c:cat>
            <c:numRef>
              <c:f>Sheet1!$A$2</c:f>
              <c:numCache>
                <c:formatCode>General</c:formatCode>
                <c:ptCount val="1"/>
              </c:numCache>
            </c:numRef>
          </c:cat>
          <c:val>
            <c:numRef>
              <c:f>Sheet1!$B$2</c:f>
              <c:numCache>
                <c:formatCode>General</c:formatCode>
                <c:ptCount val="1"/>
                <c:pt idx="0">
                  <c:v>1493.1</c:v>
                </c:pt>
              </c:numCache>
            </c:numRef>
          </c:val>
        </c:ser>
        <c:ser>
          <c:idx val="1"/>
          <c:order val="1"/>
          <c:tx>
            <c:strRef>
              <c:f>Sheet1!$C$1</c:f>
              <c:strCache>
                <c:ptCount val="1"/>
                <c:pt idx="0">
                  <c:v>2022年</c:v>
                </c:pt>
              </c:strCache>
            </c:strRef>
          </c:tx>
          <c:spPr>
            <a:solidFill>
              <a:schemeClr val="accent2"/>
            </a:solidFill>
            <a:ln>
              <a:noFill/>
            </a:ln>
            <a:effectLst/>
          </c:spPr>
          <c:invertIfNegative val="0"/>
          <c:dLbls>
            <c:delete val="1"/>
          </c:dLbls>
          <c:cat>
            <c:numRef>
              <c:f>Sheet1!$A$2</c:f>
              <c:numCache>
                <c:formatCode>General</c:formatCode>
                <c:ptCount val="1"/>
              </c:numCache>
            </c:numRef>
          </c:cat>
          <c:val>
            <c:numRef>
              <c:f>Sheet1!$C$2</c:f>
              <c:numCache>
                <c:formatCode>General</c:formatCode>
                <c:ptCount val="1"/>
                <c:pt idx="0">
                  <c:v>833.35</c:v>
                </c:pt>
              </c:numCache>
            </c:numRef>
          </c:val>
        </c:ser>
        <c:dLbls>
          <c:showLegendKey val="0"/>
          <c:showVal val="0"/>
          <c:showCatName val="0"/>
          <c:showSerName val="0"/>
          <c:showPercent val="0"/>
          <c:showBubbleSize val="0"/>
        </c:dLbls>
        <c:gapWidth val="246"/>
        <c:overlap val="-28"/>
        <c:axId val="206312172"/>
        <c:axId val="860827334"/>
      </c:barChart>
      <c:catAx>
        <c:axId val="2063121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0827334"/>
        <c:crosses val="autoZero"/>
        <c:auto val="1"/>
        <c:lblAlgn val="ctr"/>
        <c:lblOffset val="100"/>
        <c:noMultiLvlLbl val="0"/>
      </c:catAx>
      <c:valAx>
        <c:axId val="860827334"/>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631217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一般公共预算收入</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99.7</a:t>
                    </a:r>
                    <a:r>
                      <a:t>%</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其他收入</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0.3</a:t>
                    </a:r>
                    <a:r>
                      <a:t>%</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一般公共预算收入</c:v>
                </c:pt>
                <c:pt idx="1">
                  <c:v>其他收入</c:v>
                </c:pt>
              </c:strCache>
            </c:strRef>
          </c:cat>
          <c:val>
            <c:numRef>
              <c:f>Sheet1!$B$2:$B$3</c:f>
              <c:numCache>
                <c:formatCode>0.00%</c:formatCode>
                <c:ptCount val="2"/>
                <c:pt idx="0">
                  <c:v>0.997</c:v>
                </c:pt>
                <c:pt idx="1">
                  <c:v>0.003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列1</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0.6383</c:v>
                </c:pt>
                <c:pt idx="1">
                  <c:v>0.3617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elete val="1"/>
          </c:dLbls>
          <c:cat>
            <c:strRef>
              <c:f>Sheet1!$A$2</c:f>
              <c:strCache>
                <c:ptCount val="1"/>
                <c:pt idx="0">
                  <c:v>类别 1</c:v>
                </c:pt>
              </c:strCache>
            </c:strRef>
          </c:cat>
          <c:val>
            <c:numRef>
              <c:f>Sheet1!$B$2</c:f>
              <c:numCache>
                <c:formatCode>General</c:formatCode>
                <c:ptCount val="1"/>
                <c:pt idx="0">
                  <c:v>1479.38</c:v>
                </c:pt>
              </c:numCache>
            </c:numRef>
          </c:val>
        </c:ser>
        <c:ser>
          <c:idx val="1"/>
          <c:order val="1"/>
          <c:tx>
            <c:strRef>
              <c:f>Sheet1!$C$1</c:f>
              <c:strCache>
                <c:ptCount val="1"/>
                <c:pt idx="0">
                  <c:v>2022年</c:v>
                </c:pt>
              </c:strCache>
            </c:strRef>
          </c:tx>
          <c:spPr>
            <a:solidFill>
              <a:schemeClr val="accent2"/>
            </a:solidFill>
            <a:ln>
              <a:noFill/>
            </a:ln>
            <a:effectLst/>
          </c:spPr>
          <c:invertIfNegative val="0"/>
          <c:dLbls>
            <c:delete val="1"/>
          </c:dLbls>
          <c:cat>
            <c:strRef>
              <c:f>Sheet1!$A$2</c:f>
              <c:strCache>
                <c:ptCount val="1"/>
                <c:pt idx="0">
                  <c:v>类别 1</c:v>
                </c:pt>
              </c:strCache>
            </c:strRef>
          </c:cat>
          <c:val>
            <c:numRef>
              <c:f>Sheet1!$C$2</c:f>
              <c:numCache>
                <c:formatCode>General</c:formatCode>
                <c:ptCount val="1"/>
                <c:pt idx="0">
                  <c:v>817.61</c:v>
                </c:pt>
              </c:numCache>
            </c:numRef>
          </c:val>
        </c:ser>
        <c:dLbls>
          <c:showLegendKey val="0"/>
          <c:showVal val="0"/>
          <c:showCatName val="0"/>
          <c:showSerName val="0"/>
          <c:showPercent val="0"/>
          <c:showBubbleSize val="0"/>
        </c:dLbls>
        <c:gapWidth val="246"/>
        <c:overlap val="-28"/>
        <c:axId val="869801660"/>
        <c:axId val="820373594"/>
      </c:barChart>
      <c:catAx>
        <c:axId val="869801660"/>
        <c:scaling>
          <c:orientation val="minMax"/>
        </c:scaling>
        <c:delete val="1"/>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20373594"/>
        <c:crosses val="autoZero"/>
        <c:auto val="1"/>
        <c:lblAlgn val="ctr"/>
        <c:lblOffset val="100"/>
        <c:noMultiLvlLbl val="0"/>
      </c:catAx>
      <c:valAx>
        <c:axId val="820373594"/>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980166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elete val="1"/>
          </c:dLbls>
          <c:cat>
            <c:strRef>
              <c:f>Sheet1!$A$2</c:f>
              <c:strCache>
                <c:ptCount val="1"/>
                <c:pt idx="0">
                  <c:v>类别 1</c:v>
                </c:pt>
              </c:strCache>
            </c:strRef>
          </c:cat>
          <c:val>
            <c:numRef>
              <c:f>Sheet1!$B$2</c:f>
              <c:numCache>
                <c:formatCode>General</c:formatCode>
                <c:ptCount val="1"/>
                <c:pt idx="0">
                  <c:v>1040.02</c:v>
                </c:pt>
              </c:numCache>
            </c:numRef>
          </c:val>
        </c:ser>
        <c:ser>
          <c:idx val="1"/>
          <c:order val="1"/>
          <c:tx>
            <c:strRef>
              <c:f>Sheet1!$C$1</c:f>
              <c:strCache>
                <c:ptCount val="1"/>
                <c:pt idx="0">
                  <c:v>2022年</c:v>
                </c:pt>
              </c:strCache>
            </c:strRef>
          </c:tx>
          <c:spPr>
            <a:solidFill>
              <a:schemeClr val="accent2"/>
            </a:solidFill>
            <a:ln>
              <a:noFill/>
            </a:ln>
            <a:effectLst/>
          </c:spPr>
          <c:invertIfNegative val="0"/>
          <c:dLbls>
            <c:delete val="1"/>
          </c:dLbls>
          <c:cat>
            <c:strRef>
              <c:f>Sheet1!$A$2</c:f>
              <c:strCache>
                <c:ptCount val="1"/>
                <c:pt idx="0">
                  <c:v>类别 1</c:v>
                </c:pt>
              </c:strCache>
            </c:strRef>
          </c:cat>
          <c:val>
            <c:numRef>
              <c:f>Sheet1!$C$2</c:f>
              <c:numCache>
                <c:formatCode>General</c:formatCode>
                <c:ptCount val="1"/>
                <c:pt idx="0">
                  <c:v>806.17</c:v>
                </c:pt>
              </c:numCache>
            </c:numRef>
          </c:val>
        </c:ser>
        <c:dLbls>
          <c:showLegendKey val="0"/>
          <c:showVal val="0"/>
          <c:showCatName val="0"/>
          <c:showSerName val="0"/>
          <c:showPercent val="0"/>
          <c:showBubbleSize val="0"/>
        </c:dLbls>
        <c:gapWidth val="246"/>
        <c:overlap val="-28"/>
        <c:axId val="389798621"/>
        <c:axId val="280057268"/>
      </c:barChart>
      <c:catAx>
        <c:axId val="389798621"/>
        <c:scaling>
          <c:orientation val="minMax"/>
        </c:scaling>
        <c:delete val="1"/>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0057268"/>
        <c:crosses val="autoZero"/>
        <c:auto val="1"/>
        <c:lblAlgn val="ctr"/>
        <c:lblOffset val="100"/>
        <c:noMultiLvlLbl val="0"/>
      </c:catAx>
      <c:valAx>
        <c:axId val="280057268"/>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979862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图6：一般公共预算财政拨款支出决算结构</a:t>
            </a:r>
          </a:p>
        </c:rich>
      </c:tx>
      <c:layout>
        <c:manualLayout>
          <c:xMode val="edge"/>
          <c:yMode val="edge"/>
          <c:x val="0.217462824055797"/>
          <c:y val="0.0214944769330734"/>
        </c:manualLayout>
      </c:layout>
      <c:overlay val="0"/>
      <c:spPr>
        <a:noFill/>
        <a:ln>
          <a:noFill/>
        </a:ln>
        <a:effectLst/>
      </c:spPr>
    </c:title>
    <c:autoTitleDeleted val="0"/>
    <c:plotArea>
      <c:layout/>
      <c:pieChart>
        <c:varyColors val="1"/>
        <c:ser>
          <c:idx val="0"/>
          <c:order val="0"/>
          <c:tx>
            <c:strRef>
              <c:f>[2022年决算审核图示.xlsx]Sheet1!$B$69</c:f>
              <c:strCache>
                <c:ptCount val="1"/>
                <c:pt idx="0">
                  <c:v>金额（万元）</c:v>
                </c:pt>
              </c:strCache>
            </c:strRef>
          </c:tx>
          <c:spPr/>
          <c:explosion val="3"/>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Lbls>
            <c:dLbl>
              <c:idx val="0"/>
              <c:layout>
                <c:manualLayout>
                  <c:x val="0.0690880378997236"/>
                  <c:y val="0.0239506172839507"/>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bestFit"/>
              <c:showLegendKey val="1"/>
              <c:showVal val="0"/>
              <c:showCatName val="1"/>
              <c:showSerName val="0"/>
              <c:showPercent val="1"/>
              <c:showBubbleSize val="0"/>
              <c:separator>
</c:separator>
              <c:extLst>
                <c:ext xmlns:c15="http://schemas.microsoft.com/office/drawing/2012/chart" uri="{CE6537A1-D6FC-4f65-9D91-7224C49458BB}">
                  <c15:layout>
                    <c:manualLayout>
                      <c:w val="0.47913672851691"/>
                      <c:h val="0.14962962962963"/>
                    </c:manualLayout>
                  </c15:layout>
                </c:ext>
              </c:extLst>
            </c:dLbl>
            <c:dLbl>
              <c:idx val="1"/>
              <c:layout>
                <c:manualLayout>
                  <c:x val="0.153967627319384"/>
                  <c:y val="0.160454840805718"/>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153967627319384"/>
                  <c:y val="0.20320987654321"/>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olidFill>
                      <a:latin typeface="+mn-lt"/>
                      <a:ea typeface="+mn-ea"/>
                      <a:cs typeface="+mn-cs"/>
                    </a:defRPr>
                  </a:pPr>
                </a:p>
              </c:txPr>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9844716410054"/>
                  <c:y val="0.0224691358024691"/>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4"/>
                      </a:solidFill>
                      <a:latin typeface="+mn-lt"/>
                      <a:ea typeface="+mn-ea"/>
                      <a:cs typeface="+mn-cs"/>
                    </a:defRPr>
                  </a:pPr>
                </a:p>
              </c:txPr>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dLbl>
              <c:idx val="4"/>
              <c:layout/>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5"/>
                      </a:solidFill>
                      <a:latin typeface="+mn-lt"/>
                      <a:ea typeface="+mn-ea"/>
                      <a:cs typeface="+mn-cs"/>
                    </a:defRPr>
                  </a:pPr>
                </a:p>
              </c:txPr>
              <c:dLblPos val="outEnd"/>
              <c:showLegendKey val="1"/>
              <c:showVal val="0"/>
              <c:showCatName val="1"/>
              <c:showSerName val="0"/>
              <c:showPercent val="1"/>
              <c:showBubbleSize val="0"/>
              <c:separator>
</c:separator>
              <c:extLst>
                <c:ext xmlns:c15="http://schemas.microsoft.com/office/drawing/2012/chart" uri="{CE6537A1-D6FC-4f65-9D91-7224C49458BB}"/>
              </c:extLst>
            </c:dLbl>
            <c:dLbl>
              <c:idx val="5"/>
              <c:layout>
                <c:manualLayout>
                  <c:x val="0.205290169759179"/>
                  <c:y val="0.00894087069525666"/>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6"/>
                      </a:solidFill>
                      <a:latin typeface="+mn-lt"/>
                      <a:ea typeface="+mn-ea"/>
                      <a:cs typeface="+mn-cs"/>
                    </a:defRPr>
                  </a:pPr>
                </a:p>
              </c:txPr>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dLbl>
              <c:idx val="6"/>
              <c:layout>
                <c:manualLayout>
                  <c:x val="0.207264113699171"/>
                  <c:y val="0.0359974009096816"/>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lumMod val="60000"/>
                        </a:schemeClr>
                      </a:solidFill>
                      <a:latin typeface="+mn-lt"/>
                      <a:ea typeface="+mn-ea"/>
                      <a:cs typeface="+mn-cs"/>
                    </a:defRPr>
                  </a:pPr>
                </a:p>
              </c:txPr>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1"/>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[2022年决算审核图示.xlsx]Sheet1!$A$70:$A$76</c:f>
              <c:strCache>
                <c:ptCount val="7"/>
                <c:pt idx="0">
                  <c:v>社会保障和就业支出</c:v>
                </c:pt>
                <c:pt idx="1">
                  <c:v>卫生健康支出</c:v>
                </c:pt>
                <c:pt idx="2">
                  <c:v>农林水支出</c:v>
                </c:pt>
                <c:pt idx="3">
                  <c:v>住房保障支出</c:v>
                </c:pt>
              </c:strCache>
            </c:strRef>
          </c:cat>
          <c:val>
            <c:numRef>
              <c:f>[2022年决算审核图示.xlsx]Sheet1!$B$70:$B$76</c:f>
              <c:numCache>
                <c:formatCode>#,##0.00</c:formatCode>
                <c:ptCount val="7"/>
                <c:pt idx="0">
                  <c:v>34.1</c:v>
                </c:pt>
                <c:pt idx="1" c:formatCode="General">
                  <c:v>16.72</c:v>
                </c:pt>
                <c:pt idx="2">
                  <c:v>718.77</c:v>
                </c:pt>
                <c:pt idx="3" c:formatCode="General">
                  <c:v>37.13</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delete val="1"/>
            </c:dLbl>
            <c:dLbl>
              <c:idx val="2"/>
              <c:layout>
                <c:manualLayout>
                  <c:x val="0.00184334757993614"/>
                  <c:y val="0.0352130219465231"/>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因公出国（境）费用支出</c:v>
                </c:pt>
                <c:pt idx="1">
                  <c:v>公务用车购置及运行维护费</c:v>
                </c:pt>
                <c:pt idx="2">
                  <c:v>公务接待</c:v>
                </c:pt>
              </c:strCache>
            </c:strRef>
          </c:cat>
          <c:val>
            <c:numRef>
              <c:f>Sheet1!$B$2:$B$4</c:f>
              <c:numCache>
                <c:formatCode>General</c:formatCode>
                <c:ptCount val="3"/>
                <c:pt idx="0">
                  <c:v>0</c:v>
                </c:pt>
                <c:pt idx="1" c:formatCode="0%">
                  <c:v>0.97</c:v>
                </c:pt>
                <c:pt idx="2" c:formatCode="0%">
                  <c:v>0.03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102</TotalTime>
  <ScaleCrop>false</ScaleCrop>
  <LinksUpToDate>false</LinksUpToDate>
  <CharactersWithSpaces>8692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--℃ārЕ</cp:lastModifiedBy>
  <cp:lastPrinted>2023-07-31T10:35:00Z</cp:lastPrinted>
  <dcterms:modified xsi:type="dcterms:W3CDTF">2023-10-27T06:29:02Z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6B70361D626A4593B4A9C4A901EC4F63</vt:lpwstr>
  </property>
</Properties>
</file>