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6767"/>
      <w:bookmarkStart w:id="2" w:name="_Toc15378441"/>
      <w:bookmarkStart w:id="3" w:name="_Toc15377193"/>
      <w:bookmarkStart w:id="4" w:name="_Toc15396597"/>
      <w:bookmarkStart w:id="5" w:name="_Toc15396475"/>
      <w:bookmarkStart w:id="6" w:name="_Toc15377425"/>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15377194"/>
      <w:bookmarkStart w:id="8" w:name="_Toc154"/>
      <w:bookmarkStart w:id="9" w:name="_Toc15377426"/>
      <w:bookmarkStart w:id="10" w:name="_Toc15378442"/>
      <w:bookmarkStart w:id="11" w:name="_Toc15396476"/>
      <w:bookmarkStart w:id="12" w:name="_Toc15396598"/>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eastAsia" w:ascii="文鼎大标宋简" w:hAnsi="宋体" w:eastAsia="文鼎大标宋简"/>
          <w:color w:val="000000"/>
          <w:sz w:val="72"/>
          <w:szCs w:val="72"/>
          <w:lang w:eastAsia="zh-CN"/>
        </w:rPr>
        <w:t>文学艺术界联合会</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3"/>
        <w:rPr>
          <w:rFonts w:hint="eastAsia"/>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 xml:space="preserve">  </w:t>
      </w:r>
      <w:r>
        <w:rPr>
          <w:rFonts w:hint="eastAsia"/>
          <w:color w:val="auto"/>
          <w:highlight w:val="none"/>
        </w:rPr>
        <w:t>日</w:t>
      </w:r>
      <w:bookmarkStart w:id="14" w:name="_Toc15396599"/>
      <w:bookmarkStart w:id="15" w:name="_Toc15377196"/>
    </w:p>
    <w:sdt>
      <w:sdtPr>
        <w:rPr>
          <w:rFonts w:ascii="宋体" w:hAnsi="宋体" w:eastAsia="宋体" w:cs="Times New Roman"/>
          <w:kern w:val="2"/>
          <w:sz w:val="21"/>
          <w:szCs w:val="24"/>
          <w:lang w:val="en-US" w:eastAsia="zh-CN" w:bidi="ar-SA"/>
        </w:rPr>
        <w:id w:val="147465122"/>
        <w15:color w:val="DBDBDB"/>
        <w:docPartObj>
          <w:docPartGallery w:val="Table of Contents"/>
          <w:docPartUnique/>
        </w:docPartObj>
      </w:sdtPr>
      <w:sdtEndPr>
        <w:rPr>
          <w:rFonts w:hint="eastAsia" w:ascii="Times New Roman" w:hAnsi="Times New Roman"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b/>
            </w:rPr>
          </w:pPr>
          <w:r>
            <w:rPr>
              <w:rFonts w:hint="eastAsia"/>
            </w:rPr>
            <w:fldChar w:fldCharType="begin"/>
          </w:r>
          <w:r>
            <w:rPr>
              <w:rFonts w:hint="eastAsia"/>
            </w:rPr>
            <w:instrText xml:space="preserve">TOC \o "1-2" \h \u </w:instrText>
          </w:r>
          <w:r>
            <w:rPr>
              <w:rFonts w:hint="eastAsia"/>
            </w:rPr>
            <w:fldChar w:fldCharType="separate"/>
          </w:r>
        </w:p>
        <w:p>
          <w:pPr>
            <w:pStyle w:val="36"/>
            <w:tabs>
              <w:tab w:val="right" w:leader="dot" w:pos="8306"/>
            </w:tabs>
            <w:rPr>
              <w:b/>
            </w:rPr>
          </w:pPr>
          <w:r>
            <w:rPr>
              <w:rFonts w:hint="eastAsia"/>
              <w:b/>
            </w:rPr>
            <w:fldChar w:fldCharType="begin"/>
          </w:r>
          <w:r>
            <w:rPr>
              <w:rFonts w:hint="eastAsia"/>
              <w:b/>
            </w:rPr>
            <w:instrText xml:space="preserve"> HYPERLINK \l _Toc11016 </w:instrText>
          </w:r>
          <w:r>
            <w:rPr>
              <w:rFonts w:hint="eastAsia"/>
              <w:b/>
            </w:rPr>
            <w:fldChar w:fldCharType="separate"/>
          </w:r>
          <w:r>
            <w:rPr>
              <w:rFonts w:hint="eastAsia" w:ascii="黑体" w:hAnsi="黑体" w:eastAsia="黑体"/>
              <w:b/>
              <w:highlight w:val="none"/>
            </w:rPr>
            <w:t>第一部分</w:t>
          </w:r>
          <w:r>
            <w:rPr>
              <w:rFonts w:hint="eastAsia" w:ascii="黑体" w:hAnsi="黑体" w:eastAsia="黑体"/>
              <w:b/>
              <w:highlight w:val="none"/>
              <w:lang w:eastAsia="zh-CN"/>
            </w:rPr>
            <w:t>单位</w:t>
          </w:r>
          <w:r>
            <w:rPr>
              <w:rFonts w:hint="eastAsia" w:ascii="黑体" w:hAnsi="黑体" w:eastAsia="黑体"/>
              <w:b/>
              <w:bCs w:val="0"/>
              <w:highlight w:val="none"/>
            </w:rPr>
            <w:t>概况</w:t>
          </w:r>
          <w:r>
            <w:rPr>
              <w:b/>
            </w:rPr>
            <w:tab/>
          </w:r>
          <w:r>
            <w:rPr>
              <w:b/>
            </w:rPr>
            <w:fldChar w:fldCharType="begin"/>
          </w:r>
          <w:r>
            <w:rPr>
              <w:b/>
            </w:rPr>
            <w:instrText xml:space="preserve"> PAGEREF _Toc11016 \h </w:instrText>
          </w:r>
          <w:r>
            <w:rPr>
              <w:b/>
            </w:rPr>
            <w:fldChar w:fldCharType="separate"/>
          </w:r>
          <w:r>
            <w:rPr>
              <w:b/>
            </w:rPr>
            <w:t>1</w:t>
          </w:r>
          <w:r>
            <w:rPr>
              <w:b/>
            </w:rPr>
            <w:fldChar w:fldCharType="end"/>
          </w:r>
          <w:r>
            <w:rPr>
              <w:rFonts w:hint="eastAsia"/>
              <w:b/>
            </w:rPr>
            <w:fldChar w:fldCharType="end"/>
          </w:r>
        </w:p>
        <w:p>
          <w:pPr>
            <w:pStyle w:val="37"/>
            <w:tabs>
              <w:tab w:val="right" w:leader="dot" w:pos="8306"/>
            </w:tabs>
          </w:pPr>
          <w:r>
            <w:rPr>
              <w:rFonts w:hint="eastAsia"/>
            </w:rPr>
            <w:fldChar w:fldCharType="begin"/>
          </w:r>
          <w:r>
            <w:rPr>
              <w:rFonts w:hint="eastAsia"/>
            </w:rPr>
            <w:instrText xml:space="preserve"> HYPERLINK \l _Toc2335 </w:instrText>
          </w:r>
          <w:r>
            <w:rPr>
              <w:rFonts w:hint="eastAsia"/>
            </w:rPr>
            <w:fldChar w:fldCharType="separate"/>
          </w:r>
          <w:r>
            <w:rPr>
              <w:rFonts w:hint="eastAsia" w:ascii="仿宋" w:hAnsi="仿宋" w:eastAsia="仿宋"/>
              <w:szCs w:val="32"/>
              <w:lang w:val="en-US" w:eastAsia="zh-CN"/>
            </w:rPr>
            <w:t>一、</w:t>
          </w:r>
          <w:r>
            <w:rPr>
              <w:rFonts w:hint="eastAsia" w:ascii="黑体" w:hAnsi="黑体" w:eastAsia="黑体"/>
              <w:bCs w:val="0"/>
              <w:highlight w:val="none"/>
              <w:lang w:eastAsia="zh-CN"/>
            </w:rPr>
            <w:t>主要职责</w:t>
          </w:r>
          <w:r>
            <w:tab/>
          </w:r>
          <w:r>
            <w:fldChar w:fldCharType="begin"/>
          </w:r>
          <w:r>
            <w:instrText xml:space="preserve"> PAGEREF _Toc2335 \h </w:instrText>
          </w:r>
          <w:r>
            <w:fldChar w:fldCharType="separate"/>
          </w:r>
          <w:r>
            <w:t>1</w:t>
          </w:r>
          <w:r>
            <w:fldChar w:fldCharType="end"/>
          </w:r>
          <w:r>
            <w:rPr>
              <w:rFonts w:hint="eastAsia"/>
            </w:rPr>
            <w:fldChar w:fldCharType="end"/>
          </w:r>
        </w:p>
        <w:p>
          <w:pPr>
            <w:pStyle w:val="37"/>
            <w:tabs>
              <w:tab w:val="right" w:leader="dot" w:pos="8306"/>
            </w:tabs>
          </w:pPr>
          <w:r>
            <w:rPr>
              <w:rFonts w:hint="eastAsia"/>
            </w:rPr>
            <w:fldChar w:fldCharType="begin"/>
          </w:r>
          <w:r>
            <w:rPr>
              <w:rFonts w:hint="eastAsia"/>
            </w:rPr>
            <w:instrText xml:space="preserve"> HYPERLINK \l _Toc23273 </w:instrText>
          </w:r>
          <w:r>
            <w:rPr>
              <w:rFonts w:hint="eastAsia"/>
            </w:rPr>
            <w:fldChar w:fldCharType="separate"/>
          </w:r>
          <w:r>
            <w:rPr>
              <w:rFonts w:hint="eastAsia" w:ascii="黑体" w:hAnsi="黑体" w:eastAsia="黑体"/>
              <w:bCs w:val="0"/>
              <w:lang w:val="en-US" w:eastAsia="zh-CN"/>
            </w:rPr>
            <w:t>二、</w:t>
          </w:r>
          <w:r>
            <w:rPr>
              <w:rFonts w:hint="eastAsia" w:ascii="黑体" w:hAnsi="黑体" w:eastAsia="黑体"/>
              <w:bCs w:val="0"/>
              <w:highlight w:val="none"/>
              <w:lang w:val="en-US" w:eastAsia="zh-CN"/>
            </w:rPr>
            <w:t>机构设置</w:t>
          </w:r>
          <w:r>
            <w:tab/>
          </w:r>
          <w:r>
            <w:fldChar w:fldCharType="begin"/>
          </w:r>
          <w:r>
            <w:instrText xml:space="preserve"> PAGEREF _Toc23273 \h </w:instrText>
          </w:r>
          <w:r>
            <w:fldChar w:fldCharType="separate"/>
          </w:r>
          <w:r>
            <w:t>2</w:t>
          </w:r>
          <w:r>
            <w:fldChar w:fldCharType="end"/>
          </w:r>
          <w:r>
            <w:rPr>
              <w:rFonts w:hint="eastAsia"/>
            </w:rPr>
            <w:fldChar w:fldCharType="end"/>
          </w:r>
        </w:p>
        <w:p>
          <w:pPr>
            <w:pStyle w:val="36"/>
            <w:tabs>
              <w:tab w:val="right" w:leader="dot" w:pos="8306"/>
            </w:tabs>
            <w:rPr>
              <w:b/>
            </w:rPr>
          </w:pPr>
          <w:r>
            <w:rPr>
              <w:rFonts w:hint="eastAsia"/>
              <w:b/>
            </w:rPr>
            <w:fldChar w:fldCharType="begin"/>
          </w:r>
          <w:r>
            <w:rPr>
              <w:rFonts w:hint="eastAsia"/>
              <w:b/>
            </w:rPr>
            <w:instrText xml:space="preserve"> HYPERLINK \l _Toc23568 </w:instrText>
          </w:r>
          <w:r>
            <w:rPr>
              <w:rFonts w:hint="eastAsia"/>
              <w:b/>
            </w:rPr>
            <w:fldChar w:fldCharType="separate"/>
          </w:r>
          <w:r>
            <w:rPr>
              <w:rFonts w:hint="eastAsia" w:ascii="黑体" w:hAnsi="黑体" w:eastAsia="黑体"/>
              <w:b/>
              <w:bCs/>
              <w:highlight w:val="none"/>
            </w:rPr>
            <w:t>第二部分</w:t>
          </w:r>
          <w:r>
            <w:rPr>
              <w:rFonts w:hint="eastAsia" w:ascii="黑体" w:hAnsi="黑体" w:eastAsia="黑体"/>
              <w:b/>
              <w:bCs/>
              <w:highlight w:val="none"/>
              <w:lang w:val="en-US" w:eastAsia="zh-CN"/>
            </w:rPr>
            <w:t>2022年度</w:t>
          </w:r>
          <w:r>
            <w:rPr>
              <w:rFonts w:hint="eastAsia" w:ascii="黑体" w:hAnsi="黑体" w:eastAsia="黑体"/>
              <w:b/>
              <w:bCs/>
              <w:highlight w:val="none"/>
              <w:lang w:eastAsia="zh-CN"/>
            </w:rPr>
            <w:t>单位</w:t>
          </w:r>
          <w:r>
            <w:rPr>
              <w:rFonts w:hint="eastAsia" w:ascii="黑体" w:hAnsi="黑体" w:eastAsia="黑体"/>
              <w:b/>
              <w:bCs/>
              <w:highlight w:val="none"/>
            </w:rPr>
            <w:t>决算情况说明</w:t>
          </w:r>
          <w:r>
            <w:rPr>
              <w:b/>
            </w:rPr>
            <w:tab/>
          </w:r>
          <w:r>
            <w:rPr>
              <w:b/>
            </w:rPr>
            <w:fldChar w:fldCharType="begin"/>
          </w:r>
          <w:r>
            <w:rPr>
              <w:b/>
            </w:rPr>
            <w:instrText xml:space="preserve"> PAGEREF _Toc23568 \h </w:instrText>
          </w:r>
          <w:r>
            <w:rPr>
              <w:b/>
            </w:rPr>
            <w:fldChar w:fldCharType="separate"/>
          </w:r>
          <w:r>
            <w:rPr>
              <w:b/>
            </w:rPr>
            <w:t>3</w:t>
          </w:r>
          <w:r>
            <w:rPr>
              <w:b/>
            </w:rPr>
            <w:fldChar w:fldCharType="end"/>
          </w:r>
          <w:r>
            <w:rPr>
              <w:rFonts w:hint="eastAsia"/>
              <w:b/>
            </w:rPr>
            <w:fldChar w:fldCharType="end"/>
          </w:r>
        </w:p>
        <w:p>
          <w:pPr>
            <w:pStyle w:val="37"/>
            <w:tabs>
              <w:tab w:val="right" w:leader="dot" w:pos="8306"/>
            </w:tabs>
          </w:pPr>
          <w:r>
            <w:rPr>
              <w:rFonts w:hint="eastAsia"/>
            </w:rPr>
            <w:fldChar w:fldCharType="begin"/>
          </w:r>
          <w:r>
            <w:rPr>
              <w:rFonts w:hint="eastAsia"/>
            </w:rPr>
            <w:instrText xml:space="preserve"> HYPERLINK \l _Toc29031 </w:instrText>
          </w:r>
          <w:r>
            <w:rPr>
              <w:rFonts w:hint="eastAsia"/>
            </w:rPr>
            <w:fldChar w:fldCharType="separate"/>
          </w:r>
          <w:r>
            <w:rPr>
              <w:rFonts w:hint="default" w:ascii="黑体" w:hAnsi="黑体" w:eastAsia="黑体"/>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_Toc29031 \h </w:instrText>
          </w:r>
          <w:r>
            <w:fldChar w:fldCharType="separate"/>
          </w:r>
          <w:r>
            <w:t>3</w:t>
          </w:r>
          <w:r>
            <w:fldChar w:fldCharType="end"/>
          </w:r>
          <w:r>
            <w:rPr>
              <w:rFonts w:hint="eastAsia"/>
            </w:rPr>
            <w:fldChar w:fldCharType="end"/>
          </w:r>
        </w:p>
        <w:p>
          <w:pPr>
            <w:pStyle w:val="37"/>
            <w:tabs>
              <w:tab w:val="right" w:leader="dot" w:pos="8306"/>
            </w:tabs>
          </w:pPr>
          <w:r>
            <w:rPr>
              <w:rFonts w:hint="eastAsia"/>
            </w:rPr>
            <w:fldChar w:fldCharType="begin"/>
          </w:r>
          <w:r>
            <w:rPr>
              <w:rFonts w:hint="eastAsia"/>
            </w:rPr>
            <w:instrText xml:space="preserve"> HYPERLINK \l _Toc23921 </w:instrText>
          </w:r>
          <w:r>
            <w:rPr>
              <w:rFonts w:hint="eastAsia"/>
            </w:rPr>
            <w:fldChar w:fldCharType="separate"/>
          </w:r>
          <w:r>
            <w:rPr>
              <w:rFonts w:hint="default" w:ascii="黑体" w:hAnsi="黑体" w:eastAsia="黑体"/>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_Toc23921 \h </w:instrText>
          </w:r>
          <w:r>
            <w:fldChar w:fldCharType="separate"/>
          </w:r>
          <w:r>
            <w:t>3</w:t>
          </w:r>
          <w:r>
            <w:fldChar w:fldCharType="end"/>
          </w:r>
          <w:r>
            <w:rPr>
              <w:rFonts w:hint="eastAsia"/>
            </w:rPr>
            <w:fldChar w:fldCharType="end"/>
          </w:r>
        </w:p>
        <w:p>
          <w:pPr>
            <w:pStyle w:val="37"/>
            <w:tabs>
              <w:tab w:val="right" w:leader="dot" w:pos="8306"/>
            </w:tabs>
          </w:pPr>
          <w:r>
            <w:rPr>
              <w:rFonts w:hint="eastAsia"/>
            </w:rPr>
            <w:fldChar w:fldCharType="begin"/>
          </w:r>
          <w:r>
            <w:rPr>
              <w:rFonts w:hint="eastAsia"/>
            </w:rPr>
            <w:instrText xml:space="preserve"> HYPERLINK \l _Toc21783 </w:instrText>
          </w:r>
          <w:r>
            <w:rPr>
              <w:rFonts w:hint="eastAsia"/>
            </w:rPr>
            <w:fldChar w:fldCharType="separate"/>
          </w:r>
          <w:r>
            <w:rPr>
              <w:rFonts w:hint="default" w:ascii="黑体" w:hAnsi="黑体" w:eastAsia="黑体"/>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_Toc21783 \h </w:instrText>
          </w:r>
          <w:r>
            <w:fldChar w:fldCharType="separate"/>
          </w:r>
          <w:r>
            <w:t>4</w:t>
          </w:r>
          <w:r>
            <w:fldChar w:fldCharType="end"/>
          </w:r>
          <w:r>
            <w:rPr>
              <w:rFonts w:hint="eastAsia"/>
            </w:rPr>
            <w:fldChar w:fldCharType="end"/>
          </w:r>
        </w:p>
        <w:p>
          <w:pPr>
            <w:pStyle w:val="37"/>
            <w:tabs>
              <w:tab w:val="right" w:leader="dot" w:pos="8306"/>
            </w:tabs>
          </w:pPr>
          <w:r>
            <w:rPr>
              <w:rFonts w:hint="eastAsia"/>
            </w:rPr>
            <w:fldChar w:fldCharType="begin"/>
          </w:r>
          <w:r>
            <w:rPr>
              <w:rFonts w:hint="eastAsia"/>
            </w:rPr>
            <w:instrText xml:space="preserve"> HYPERLINK \l _Toc15722 </w:instrText>
          </w:r>
          <w:r>
            <w:rPr>
              <w:rFonts w:hint="eastAsia"/>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_Toc15722 \h </w:instrText>
          </w:r>
          <w:r>
            <w:fldChar w:fldCharType="separate"/>
          </w:r>
          <w:r>
            <w:t>4</w:t>
          </w:r>
          <w:r>
            <w:fldChar w:fldCharType="end"/>
          </w:r>
          <w:r>
            <w:rPr>
              <w:rFonts w:hint="eastAsia"/>
            </w:rPr>
            <w:fldChar w:fldCharType="end"/>
          </w:r>
        </w:p>
        <w:p>
          <w:pPr>
            <w:pStyle w:val="37"/>
            <w:tabs>
              <w:tab w:val="right" w:leader="dot" w:pos="8306"/>
            </w:tabs>
          </w:pPr>
          <w:r>
            <w:rPr>
              <w:rFonts w:hint="eastAsia"/>
            </w:rPr>
            <w:fldChar w:fldCharType="begin"/>
          </w:r>
          <w:r>
            <w:rPr>
              <w:rFonts w:hint="eastAsia"/>
            </w:rPr>
            <w:instrText xml:space="preserve"> HYPERLINK \l _Toc31154 </w:instrText>
          </w:r>
          <w:r>
            <w:rPr>
              <w:rFonts w:hint="eastAsia"/>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_Toc31154 \h </w:instrText>
          </w:r>
          <w:r>
            <w:fldChar w:fldCharType="separate"/>
          </w:r>
          <w:r>
            <w:t>5</w:t>
          </w:r>
          <w:r>
            <w:fldChar w:fldCharType="end"/>
          </w:r>
          <w:r>
            <w:rPr>
              <w:rFonts w:hint="eastAsia"/>
            </w:rPr>
            <w:fldChar w:fldCharType="end"/>
          </w:r>
        </w:p>
        <w:p>
          <w:pPr>
            <w:pStyle w:val="37"/>
            <w:tabs>
              <w:tab w:val="right" w:leader="dot" w:pos="8306"/>
            </w:tabs>
          </w:pPr>
          <w:r>
            <w:rPr>
              <w:rFonts w:hint="eastAsia"/>
            </w:rPr>
            <w:fldChar w:fldCharType="begin"/>
          </w:r>
          <w:r>
            <w:rPr>
              <w:rFonts w:hint="eastAsia"/>
            </w:rPr>
            <w:instrText xml:space="preserve"> HYPERLINK \l _Toc10460 </w:instrText>
          </w:r>
          <w:r>
            <w:rPr>
              <w:rFonts w:hint="eastAsia"/>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_Toc10460 \h </w:instrText>
          </w:r>
          <w:r>
            <w:fldChar w:fldCharType="separate"/>
          </w:r>
          <w:r>
            <w:t>7</w:t>
          </w:r>
          <w:r>
            <w:fldChar w:fldCharType="end"/>
          </w:r>
          <w:r>
            <w:rPr>
              <w:rFonts w:hint="eastAsia"/>
            </w:rPr>
            <w:fldChar w:fldCharType="end"/>
          </w:r>
        </w:p>
        <w:p>
          <w:pPr>
            <w:pStyle w:val="37"/>
            <w:tabs>
              <w:tab w:val="right" w:leader="dot" w:pos="8306"/>
            </w:tabs>
          </w:pPr>
          <w:r>
            <w:rPr>
              <w:rFonts w:hint="eastAsia"/>
            </w:rPr>
            <w:fldChar w:fldCharType="begin"/>
          </w:r>
          <w:r>
            <w:rPr>
              <w:rFonts w:hint="eastAsia"/>
            </w:rPr>
            <w:instrText xml:space="preserve"> HYPERLINK \l _Toc6196 </w:instrText>
          </w:r>
          <w:r>
            <w:rPr>
              <w:rFonts w:hint="eastAsia"/>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_Toc6196 \h </w:instrText>
          </w:r>
          <w:r>
            <w:fldChar w:fldCharType="separate"/>
          </w:r>
          <w:r>
            <w:t>7</w:t>
          </w:r>
          <w:r>
            <w:fldChar w:fldCharType="end"/>
          </w:r>
          <w:r>
            <w:rPr>
              <w:rFonts w:hint="eastAsia"/>
            </w:rPr>
            <w:fldChar w:fldCharType="end"/>
          </w:r>
        </w:p>
        <w:p>
          <w:pPr>
            <w:pStyle w:val="37"/>
            <w:tabs>
              <w:tab w:val="right" w:leader="dot" w:pos="8306"/>
            </w:tabs>
          </w:pPr>
          <w:r>
            <w:rPr>
              <w:rFonts w:hint="eastAsia"/>
            </w:rPr>
            <w:fldChar w:fldCharType="begin"/>
          </w:r>
          <w:r>
            <w:rPr>
              <w:rFonts w:hint="eastAsia"/>
            </w:rPr>
            <w:instrText xml:space="preserve"> HYPERLINK \l _Toc29857 </w:instrText>
          </w:r>
          <w:r>
            <w:rPr>
              <w:rFonts w:hint="eastAsia"/>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_Toc29857 \h </w:instrText>
          </w:r>
          <w:r>
            <w:fldChar w:fldCharType="separate"/>
          </w:r>
          <w:r>
            <w:t>8</w:t>
          </w:r>
          <w:r>
            <w:fldChar w:fldCharType="end"/>
          </w:r>
          <w:r>
            <w:rPr>
              <w:rFonts w:hint="eastAsia"/>
            </w:rPr>
            <w:fldChar w:fldCharType="end"/>
          </w:r>
        </w:p>
        <w:p>
          <w:pPr>
            <w:pStyle w:val="37"/>
            <w:tabs>
              <w:tab w:val="right" w:leader="dot" w:pos="8306"/>
            </w:tabs>
          </w:pPr>
          <w:r>
            <w:rPr>
              <w:rFonts w:hint="eastAsia"/>
            </w:rPr>
            <w:fldChar w:fldCharType="begin"/>
          </w:r>
          <w:r>
            <w:rPr>
              <w:rFonts w:hint="eastAsia"/>
            </w:rPr>
            <w:instrText xml:space="preserve"> HYPERLINK \l _Toc12270 </w:instrText>
          </w:r>
          <w:r>
            <w:rPr>
              <w:rFonts w:hint="eastAsia"/>
            </w:rPr>
            <w:fldChar w:fldCharType="separate"/>
          </w:r>
          <w:r>
            <w:rPr>
              <w:rFonts w:hint="eastAsia" w:ascii="黑体" w:hAnsi="黑体" w:eastAsia="黑体"/>
            </w:rPr>
            <w:t>九、</w:t>
          </w:r>
          <w:r>
            <w:rPr>
              <w:rFonts w:hint="eastAsia" w:ascii="黑体" w:hAnsi="黑体" w:eastAsia="黑体"/>
              <w:highlight w:val="none"/>
            </w:rPr>
            <w:t>国有资本经营预算支出决算情况说明</w:t>
          </w:r>
          <w:r>
            <w:tab/>
          </w:r>
          <w:r>
            <w:fldChar w:fldCharType="begin"/>
          </w:r>
          <w:r>
            <w:instrText xml:space="preserve"> PAGEREF _Toc12270 \h </w:instrText>
          </w:r>
          <w:r>
            <w:fldChar w:fldCharType="separate"/>
          </w:r>
          <w:r>
            <w:t>8</w:t>
          </w:r>
          <w:r>
            <w:fldChar w:fldCharType="end"/>
          </w:r>
          <w:r>
            <w:rPr>
              <w:rFonts w:hint="eastAsia"/>
            </w:rPr>
            <w:fldChar w:fldCharType="end"/>
          </w:r>
        </w:p>
        <w:p>
          <w:pPr>
            <w:pStyle w:val="37"/>
            <w:tabs>
              <w:tab w:val="right" w:leader="dot" w:pos="8306"/>
            </w:tabs>
          </w:pPr>
          <w:r>
            <w:rPr>
              <w:rFonts w:hint="eastAsia"/>
            </w:rPr>
            <w:fldChar w:fldCharType="begin"/>
          </w:r>
          <w:r>
            <w:rPr>
              <w:rFonts w:hint="eastAsia"/>
            </w:rPr>
            <w:instrText xml:space="preserve"> HYPERLINK \l _Toc23668 </w:instrText>
          </w:r>
          <w:r>
            <w:rPr>
              <w:rFonts w:hint="eastAsia"/>
            </w:rPr>
            <w:fldChar w:fldCharType="separate"/>
          </w:r>
          <w:r>
            <w:rPr>
              <w:rFonts w:hint="eastAsia" w:ascii="黑体" w:hAnsi="黑体" w:eastAsia="黑体"/>
            </w:rPr>
            <w:t>十、</w:t>
          </w:r>
          <w:r>
            <w:rPr>
              <w:rFonts w:hint="eastAsia" w:ascii="黑体" w:hAnsi="黑体" w:eastAsia="黑体"/>
              <w:highlight w:val="none"/>
            </w:rPr>
            <w:t>其他重要事项的情况说明</w:t>
          </w:r>
          <w:r>
            <w:tab/>
          </w:r>
          <w:r>
            <w:fldChar w:fldCharType="begin"/>
          </w:r>
          <w:r>
            <w:instrText xml:space="preserve"> PAGEREF _Toc23668 \h </w:instrText>
          </w:r>
          <w:r>
            <w:fldChar w:fldCharType="separate"/>
          </w:r>
          <w:r>
            <w:t>9</w:t>
          </w:r>
          <w:r>
            <w:fldChar w:fldCharType="end"/>
          </w:r>
          <w:r>
            <w:rPr>
              <w:rFonts w:hint="eastAsia"/>
            </w:rPr>
            <w:fldChar w:fldCharType="end"/>
          </w:r>
        </w:p>
        <w:p>
          <w:pPr>
            <w:pStyle w:val="36"/>
            <w:tabs>
              <w:tab w:val="right" w:leader="dot" w:pos="8306"/>
            </w:tabs>
            <w:rPr>
              <w:b/>
            </w:rPr>
          </w:pPr>
          <w:r>
            <w:rPr>
              <w:rFonts w:hint="eastAsia"/>
              <w:b/>
            </w:rPr>
            <w:fldChar w:fldCharType="begin"/>
          </w:r>
          <w:r>
            <w:rPr>
              <w:rFonts w:hint="eastAsia"/>
              <w:b/>
            </w:rPr>
            <w:instrText xml:space="preserve"> HYPERLINK \l _Toc2828 </w:instrText>
          </w:r>
          <w:r>
            <w:rPr>
              <w:rFonts w:hint="eastAsia"/>
              <w:b/>
            </w:rPr>
            <w:fldChar w:fldCharType="separate"/>
          </w:r>
          <w:r>
            <w:rPr>
              <w:rFonts w:hint="eastAsia" w:ascii="黑体" w:hAnsi="黑体" w:eastAsia="黑体" w:cs="黑体"/>
              <w:b/>
              <w:szCs w:val="44"/>
            </w:rPr>
            <w:t>第三部分</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_Toc2828 \h </w:instrText>
          </w:r>
          <w:r>
            <w:rPr>
              <w:b/>
            </w:rPr>
            <w:fldChar w:fldCharType="separate"/>
          </w:r>
          <w:r>
            <w:rPr>
              <w:b/>
            </w:rPr>
            <w:t>10</w:t>
          </w:r>
          <w:r>
            <w:rPr>
              <w:b/>
            </w:rPr>
            <w:fldChar w:fldCharType="end"/>
          </w:r>
          <w:r>
            <w:rPr>
              <w:rFonts w:hint="eastAsia"/>
              <w:b/>
            </w:rPr>
            <w:fldChar w:fldCharType="end"/>
          </w:r>
        </w:p>
        <w:p>
          <w:pPr>
            <w:pStyle w:val="36"/>
            <w:tabs>
              <w:tab w:val="right" w:leader="dot" w:pos="8306"/>
            </w:tabs>
            <w:rPr>
              <w:b/>
            </w:rPr>
          </w:pPr>
          <w:r>
            <w:rPr>
              <w:rFonts w:hint="eastAsia"/>
              <w:b/>
            </w:rPr>
            <w:fldChar w:fldCharType="begin"/>
          </w:r>
          <w:r>
            <w:rPr>
              <w:rFonts w:hint="eastAsia"/>
              <w:b/>
            </w:rPr>
            <w:instrText xml:space="preserve"> HYPERLINK \l _Toc13435 </w:instrText>
          </w:r>
          <w:r>
            <w:rPr>
              <w:rFonts w:hint="eastAsia"/>
              <w:b/>
            </w:rPr>
            <w:fldChar w:fldCharType="separate"/>
          </w:r>
          <w:r>
            <w:rPr>
              <w:rFonts w:hint="eastAsia" w:ascii="黑体" w:hAnsi="黑体" w:eastAsia="黑体" w:cs="黑体"/>
              <w:b/>
              <w:szCs w:val="44"/>
            </w:rPr>
            <w:t>第四部分</w:t>
          </w:r>
          <w:r>
            <w:rPr>
              <w:rFonts w:hint="eastAsia" w:ascii="黑体" w:hAnsi="黑体" w:eastAsia="黑体"/>
              <w:b/>
              <w:highlight w:val="none"/>
            </w:rPr>
            <w:t>附件</w:t>
          </w:r>
          <w:r>
            <w:rPr>
              <w:b/>
            </w:rPr>
            <w:tab/>
          </w:r>
          <w:r>
            <w:rPr>
              <w:b/>
            </w:rPr>
            <w:fldChar w:fldCharType="begin"/>
          </w:r>
          <w:r>
            <w:rPr>
              <w:b/>
            </w:rPr>
            <w:instrText xml:space="preserve"> PAGEREF _Toc13435 \h </w:instrText>
          </w:r>
          <w:r>
            <w:rPr>
              <w:b/>
            </w:rPr>
            <w:fldChar w:fldCharType="separate"/>
          </w:r>
          <w:r>
            <w:rPr>
              <w:b/>
            </w:rPr>
            <w:t>12</w:t>
          </w:r>
          <w:r>
            <w:rPr>
              <w:b/>
            </w:rPr>
            <w:fldChar w:fldCharType="end"/>
          </w:r>
          <w:r>
            <w:rPr>
              <w:rFonts w:hint="eastAsia"/>
              <w:b/>
            </w:rPr>
            <w:fldChar w:fldCharType="end"/>
          </w:r>
        </w:p>
        <w:p>
          <w:pPr>
            <w:pStyle w:val="36"/>
            <w:tabs>
              <w:tab w:val="right" w:leader="dot" w:pos="8306"/>
            </w:tabs>
            <w:rPr>
              <w:rFonts w:hint="eastAsia" w:eastAsia="宋体"/>
              <w:b/>
              <w:lang w:val="en-US" w:eastAsia="zh-CN"/>
            </w:rPr>
          </w:pPr>
          <w:r>
            <w:rPr>
              <w:rFonts w:hint="eastAsia"/>
              <w:b/>
            </w:rPr>
            <w:fldChar w:fldCharType="begin"/>
          </w:r>
          <w:r>
            <w:rPr>
              <w:rFonts w:hint="eastAsia"/>
              <w:b/>
            </w:rPr>
            <w:instrText xml:space="preserve"> HYPERLINK \l _Toc13250 </w:instrText>
          </w:r>
          <w:r>
            <w:rPr>
              <w:rFonts w:hint="eastAsia"/>
              <w:b/>
            </w:rPr>
            <w:fldChar w:fldCharType="separate"/>
          </w:r>
          <w:r>
            <w:rPr>
              <w:rFonts w:hint="eastAsia" w:ascii="黑体" w:hAnsi="黑体" w:eastAsia="黑体"/>
              <w:b/>
              <w:szCs w:val="44"/>
              <w:highlight w:val="none"/>
            </w:rPr>
            <w:t>第</w:t>
          </w:r>
          <w:r>
            <w:rPr>
              <w:rFonts w:hint="eastAsia" w:ascii="黑体" w:hAnsi="黑体" w:eastAsia="黑体"/>
              <w:b/>
              <w:highlight w:val="none"/>
            </w:rPr>
            <w:t>五部分附表</w:t>
          </w:r>
          <w:r>
            <w:rPr>
              <w:b/>
            </w:rPr>
            <w:tab/>
          </w:r>
          <w:r>
            <w:rPr>
              <w:rFonts w:hint="eastAsia"/>
              <w:b/>
              <w:lang w:val="en-US" w:eastAsia="zh-CN"/>
            </w:rPr>
            <w:t>2</w:t>
          </w:r>
          <w:r>
            <w:rPr>
              <w:rFonts w:hint="eastAsia"/>
              <w:b/>
            </w:rPr>
            <w:fldChar w:fldCharType="end"/>
          </w:r>
          <w:r>
            <w:rPr>
              <w:rFonts w:hint="eastAsia"/>
              <w:b/>
              <w:lang w:val="en-US" w:eastAsia="zh-CN"/>
            </w:rPr>
            <w:t>5</w:t>
          </w:r>
        </w:p>
        <w:p>
          <w:pPr>
            <w:pStyle w:val="37"/>
            <w:tabs>
              <w:tab w:val="right" w:leader="dot" w:pos="8306"/>
            </w:tabs>
            <w:rPr>
              <w:rFonts w:hint="eastAsia" w:eastAsia="宋体"/>
              <w:lang w:val="en-US" w:eastAsia="zh-CN"/>
            </w:rPr>
          </w:pPr>
          <w:r>
            <w:rPr>
              <w:rFonts w:hint="eastAsia"/>
            </w:rPr>
            <w:fldChar w:fldCharType="begin"/>
          </w:r>
          <w:r>
            <w:rPr>
              <w:rFonts w:hint="eastAsia"/>
            </w:rPr>
            <w:instrText xml:space="preserve"> HYPERLINK \l _Toc19850 </w:instrText>
          </w:r>
          <w:r>
            <w:rPr>
              <w:rFonts w:hint="eastAsia"/>
            </w:rP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rPr>
              <w:rFonts w:hint="eastAsia"/>
              <w:lang w:val="en-US" w:eastAsia="zh-CN"/>
            </w:rPr>
            <w:t>2</w:t>
          </w:r>
          <w:r>
            <w:rPr>
              <w:rFonts w:hint="eastAsia"/>
            </w:rPr>
            <w:fldChar w:fldCharType="end"/>
          </w:r>
          <w:r>
            <w:rPr>
              <w:rFonts w:hint="eastAsia"/>
              <w:lang w:val="en-US" w:eastAsia="zh-CN"/>
            </w:rPr>
            <w:t>5</w:t>
          </w:r>
        </w:p>
        <w:p>
          <w:pPr>
            <w:pStyle w:val="37"/>
            <w:tabs>
              <w:tab w:val="right" w:leader="dot" w:pos="8306"/>
            </w:tabs>
            <w:rPr>
              <w:rFonts w:hint="eastAsia" w:eastAsia="宋体"/>
              <w:lang w:val="en-US" w:eastAsia="zh-CN"/>
            </w:rPr>
          </w:pPr>
          <w:r>
            <w:rPr>
              <w:rFonts w:hint="eastAsia"/>
            </w:rPr>
            <w:fldChar w:fldCharType="begin"/>
          </w:r>
          <w:r>
            <w:rPr>
              <w:rFonts w:hint="eastAsia"/>
            </w:rPr>
            <w:instrText xml:space="preserve"> HYPERLINK \l _Toc14598 </w:instrText>
          </w:r>
          <w:r>
            <w:rPr>
              <w:rFonts w:hint="eastAsia"/>
            </w:rP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rPr>
              <w:rFonts w:hint="eastAsia"/>
              <w:lang w:val="en-US" w:eastAsia="zh-CN"/>
            </w:rPr>
            <w:t>2</w:t>
          </w:r>
          <w:r>
            <w:rPr>
              <w:rFonts w:hint="eastAsia"/>
            </w:rPr>
            <w:fldChar w:fldCharType="end"/>
          </w:r>
          <w:r>
            <w:rPr>
              <w:rFonts w:hint="eastAsia"/>
              <w:lang w:val="en-US" w:eastAsia="zh-CN"/>
            </w:rPr>
            <w:t>5</w:t>
          </w:r>
        </w:p>
        <w:p>
          <w:pPr>
            <w:pStyle w:val="37"/>
            <w:tabs>
              <w:tab w:val="right" w:leader="dot" w:pos="8306"/>
            </w:tabs>
            <w:rPr>
              <w:rFonts w:hint="eastAsia" w:eastAsia="宋体"/>
              <w:lang w:val="en-US" w:eastAsia="zh-CN"/>
            </w:rPr>
          </w:pPr>
          <w:r>
            <w:rPr>
              <w:rFonts w:hint="eastAsia"/>
            </w:rPr>
            <w:fldChar w:fldCharType="begin"/>
          </w:r>
          <w:r>
            <w:rPr>
              <w:rFonts w:hint="eastAsia"/>
            </w:rPr>
            <w:instrText xml:space="preserve"> HYPERLINK \l _Toc517 </w:instrText>
          </w:r>
          <w:r>
            <w:rPr>
              <w:rFonts w:hint="eastAsia"/>
            </w:rP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rPr>
              <w:rFonts w:hint="eastAsia"/>
              <w:lang w:val="en-US" w:eastAsia="zh-CN"/>
            </w:rPr>
            <w:t>2</w:t>
          </w:r>
          <w:r>
            <w:rPr>
              <w:rFonts w:hint="eastAsia"/>
            </w:rPr>
            <w:fldChar w:fldCharType="end"/>
          </w:r>
          <w:r>
            <w:rPr>
              <w:rFonts w:hint="eastAsia"/>
              <w:lang w:val="en-US" w:eastAsia="zh-CN"/>
            </w:rPr>
            <w:t>5</w:t>
          </w:r>
        </w:p>
        <w:p>
          <w:pPr>
            <w:pStyle w:val="37"/>
            <w:tabs>
              <w:tab w:val="right" w:leader="dot" w:pos="8306"/>
            </w:tabs>
            <w:rPr>
              <w:rFonts w:hint="eastAsia" w:eastAsia="宋体"/>
              <w:lang w:val="en-US" w:eastAsia="zh-CN"/>
            </w:rPr>
          </w:pPr>
          <w:r>
            <w:rPr>
              <w:rFonts w:hint="eastAsia"/>
            </w:rPr>
            <w:fldChar w:fldCharType="begin"/>
          </w:r>
          <w:r>
            <w:rPr>
              <w:rFonts w:hint="eastAsia"/>
            </w:rPr>
            <w:instrText xml:space="preserve"> HYPERLINK \l _Toc8932 </w:instrText>
          </w:r>
          <w:r>
            <w:rPr>
              <w:rFonts w:hint="eastAsia"/>
            </w:rP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rPr>
              <w:rFonts w:hint="eastAsia"/>
              <w:lang w:val="en-US" w:eastAsia="zh-CN"/>
            </w:rPr>
            <w:t>2</w:t>
          </w:r>
          <w:r>
            <w:rPr>
              <w:rFonts w:hint="eastAsia"/>
            </w:rPr>
            <w:fldChar w:fldCharType="end"/>
          </w:r>
          <w:r>
            <w:rPr>
              <w:rFonts w:hint="eastAsia"/>
              <w:lang w:val="en-US" w:eastAsia="zh-CN"/>
            </w:rPr>
            <w:t>5</w:t>
          </w:r>
        </w:p>
        <w:p>
          <w:pPr>
            <w:pStyle w:val="37"/>
            <w:tabs>
              <w:tab w:val="right" w:leader="dot" w:pos="8306"/>
            </w:tabs>
            <w:rPr>
              <w:rFonts w:hint="eastAsia" w:eastAsia="宋体"/>
              <w:lang w:val="en-US" w:eastAsia="zh-CN"/>
            </w:rPr>
          </w:pPr>
          <w:r>
            <w:rPr>
              <w:rFonts w:hint="eastAsia"/>
            </w:rPr>
            <w:fldChar w:fldCharType="begin"/>
          </w:r>
          <w:r>
            <w:rPr>
              <w:rFonts w:hint="eastAsia"/>
            </w:rPr>
            <w:instrText xml:space="preserve"> HYPERLINK \l _Toc12839 </w:instrText>
          </w:r>
          <w:r>
            <w:rPr>
              <w:rFonts w:hint="eastAsia"/>
            </w:rP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rPr>
              <w:rFonts w:hint="eastAsia"/>
              <w:lang w:val="en-US" w:eastAsia="zh-CN"/>
            </w:rPr>
            <w:t>2</w:t>
          </w:r>
          <w:r>
            <w:rPr>
              <w:rFonts w:hint="eastAsia"/>
            </w:rPr>
            <w:fldChar w:fldCharType="end"/>
          </w:r>
          <w:r>
            <w:rPr>
              <w:rFonts w:hint="eastAsia"/>
              <w:lang w:val="en-US" w:eastAsia="zh-CN"/>
            </w:rPr>
            <w:t>5</w:t>
          </w:r>
        </w:p>
        <w:p>
          <w:pPr>
            <w:pStyle w:val="37"/>
            <w:tabs>
              <w:tab w:val="right" w:leader="dot" w:pos="8306"/>
            </w:tabs>
            <w:rPr>
              <w:rFonts w:hint="eastAsia" w:eastAsia="宋体"/>
              <w:lang w:val="en-US" w:eastAsia="zh-CN"/>
            </w:rPr>
          </w:pPr>
          <w:r>
            <w:rPr>
              <w:rFonts w:hint="eastAsia"/>
            </w:rPr>
            <w:fldChar w:fldCharType="begin"/>
          </w:r>
          <w:r>
            <w:rPr>
              <w:rFonts w:hint="eastAsia"/>
            </w:rPr>
            <w:instrText xml:space="preserve"> HYPERLINK \l _Toc15979 </w:instrText>
          </w:r>
          <w:r>
            <w:rPr>
              <w:rFonts w:hint="eastAsia"/>
            </w:rP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rPr>
              <w:rFonts w:hint="eastAsia"/>
              <w:lang w:val="en-US" w:eastAsia="zh-CN"/>
            </w:rPr>
            <w:t>2</w:t>
          </w:r>
          <w:r>
            <w:rPr>
              <w:rFonts w:hint="eastAsia"/>
            </w:rPr>
            <w:fldChar w:fldCharType="end"/>
          </w:r>
          <w:r>
            <w:rPr>
              <w:rFonts w:hint="eastAsia"/>
              <w:lang w:val="en-US" w:eastAsia="zh-CN"/>
            </w:rPr>
            <w:t>5</w:t>
          </w:r>
        </w:p>
        <w:p>
          <w:pPr>
            <w:pStyle w:val="37"/>
            <w:tabs>
              <w:tab w:val="right" w:leader="dot" w:pos="8306"/>
            </w:tabs>
            <w:rPr>
              <w:rFonts w:hint="eastAsia" w:eastAsia="宋体"/>
              <w:lang w:val="en-US" w:eastAsia="zh-CN"/>
            </w:rPr>
          </w:pPr>
          <w:r>
            <w:rPr>
              <w:rFonts w:hint="eastAsia"/>
            </w:rPr>
            <w:fldChar w:fldCharType="begin"/>
          </w:r>
          <w:r>
            <w:rPr>
              <w:rFonts w:hint="eastAsia"/>
            </w:rPr>
            <w:instrText xml:space="preserve"> HYPERLINK \l _Toc31841 </w:instrText>
          </w:r>
          <w:r>
            <w:rPr>
              <w:rFonts w:hint="eastAsia"/>
            </w:rP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rPr>
              <w:rFonts w:hint="eastAsia"/>
              <w:lang w:val="en-US" w:eastAsia="zh-CN"/>
            </w:rPr>
            <w:t>2</w:t>
          </w:r>
          <w:r>
            <w:rPr>
              <w:rFonts w:hint="eastAsia"/>
            </w:rPr>
            <w:fldChar w:fldCharType="end"/>
          </w:r>
          <w:r>
            <w:rPr>
              <w:rFonts w:hint="eastAsia"/>
              <w:lang w:val="en-US" w:eastAsia="zh-CN"/>
            </w:rPr>
            <w:t>5</w:t>
          </w:r>
        </w:p>
        <w:p>
          <w:pPr>
            <w:pStyle w:val="37"/>
            <w:tabs>
              <w:tab w:val="right" w:leader="dot" w:pos="8306"/>
            </w:tabs>
            <w:rPr>
              <w:rFonts w:hint="eastAsia" w:eastAsia="宋体"/>
              <w:lang w:val="en-US" w:eastAsia="zh-CN"/>
            </w:rPr>
          </w:pPr>
          <w:r>
            <w:rPr>
              <w:rFonts w:hint="eastAsia"/>
            </w:rPr>
            <w:fldChar w:fldCharType="begin"/>
          </w:r>
          <w:r>
            <w:rPr>
              <w:rFonts w:hint="eastAsia"/>
            </w:rPr>
            <w:instrText xml:space="preserve"> HYPERLINK \l _Toc10090 </w:instrText>
          </w:r>
          <w:r>
            <w:rPr>
              <w:rFonts w:hint="eastAsia"/>
            </w:rP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rPr>
              <w:rFonts w:hint="eastAsia"/>
              <w:lang w:val="en-US" w:eastAsia="zh-CN"/>
            </w:rPr>
            <w:t>2</w:t>
          </w:r>
          <w:r>
            <w:rPr>
              <w:rFonts w:hint="eastAsia"/>
            </w:rPr>
            <w:fldChar w:fldCharType="end"/>
          </w:r>
          <w:r>
            <w:rPr>
              <w:rFonts w:hint="eastAsia"/>
              <w:lang w:val="en-US" w:eastAsia="zh-CN"/>
            </w:rPr>
            <w:t>5</w:t>
          </w:r>
        </w:p>
        <w:p>
          <w:pPr>
            <w:pStyle w:val="37"/>
            <w:tabs>
              <w:tab w:val="right" w:leader="dot" w:pos="8306"/>
            </w:tabs>
            <w:rPr>
              <w:rFonts w:hint="eastAsia" w:eastAsia="宋体"/>
              <w:lang w:val="en-US" w:eastAsia="zh-CN"/>
            </w:rPr>
          </w:pPr>
          <w:r>
            <w:rPr>
              <w:rFonts w:hint="eastAsia"/>
            </w:rPr>
            <w:fldChar w:fldCharType="begin"/>
          </w:r>
          <w:r>
            <w:rPr>
              <w:rFonts w:hint="eastAsia"/>
            </w:rPr>
            <w:instrText xml:space="preserve"> HYPERLINK \l _Toc4094 </w:instrText>
          </w:r>
          <w:r>
            <w:rPr>
              <w:rFonts w:hint="eastAsia"/>
            </w:rP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rPr>
              <w:rFonts w:hint="eastAsia"/>
              <w:lang w:val="en-US" w:eastAsia="zh-CN"/>
            </w:rPr>
            <w:t>2</w:t>
          </w:r>
          <w:r>
            <w:rPr>
              <w:rFonts w:hint="eastAsia"/>
            </w:rPr>
            <w:fldChar w:fldCharType="end"/>
          </w:r>
          <w:r>
            <w:rPr>
              <w:rFonts w:hint="eastAsia"/>
              <w:lang w:val="en-US" w:eastAsia="zh-CN"/>
            </w:rPr>
            <w:t>5</w:t>
          </w:r>
        </w:p>
        <w:p>
          <w:pPr>
            <w:pStyle w:val="37"/>
            <w:tabs>
              <w:tab w:val="right" w:leader="dot" w:pos="8306"/>
            </w:tabs>
            <w:rPr>
              <w:rFonts w:hint="eastAsia" w:eastAsia="宋体"/>
              <w:lang w:val="en-US" w:eastAsia="zh-CN"/>
            </w:rPr>
          </w:pPr>
          <w:r>
            <w:rPr>
              <w:rFonts w:hint="eastAsia"/>
            </w:rPr>
            <w:fldChar w:fldCharType="begin"/>
          </w:r>
          <w:r>
            <w:rPr>
              <w:rFonts w:hint="eastAsia"/>
            </w:rPr>
            <w:instrText xml:space="preserve"> HYPERLINK \l _Toc4074 </w:instrText>
          </w:r>
          <w:r>
            <w:rPr>
              <w:rFonts w:hint="eastAsia"/>
            </w:rP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rPr>
              <w:rFonts w:hint="eastAsia"/>
              <w:lang w:val="en-US" w:eastAsia="zh-CN"/>
            </w:rPr>
            <w:t>2</w:t>
          </w:r>
          <w:r>
            <w:rPr>
              <w:rFonts w:hint="eastAsia"/>
            </w:rPr>
            <w:fldChar w:fldCharType="end"/>
          </w:r>
          <w:r>
            <w:rPr>
              <w:rFonts w:hint="eastAsia"/>
              <w:lang w:val="en-US" w:eastAsia="zh-CN"/>
            </w:rPr>
            <w:t>5</w:t>
          </w:r>
        </w:p>
        <w:p>
          <w:pPr>
            <w:pStyle w:val="37"/>
            <w:tabs>
              <w:tab w:val="right" w:leader="dot" w:pos="8306"/>
            </w:tabs>
            <w:rPr>
              <w:rFonts w:hint="eastAsia" w:eastAsia="宋体"/>
              <w:lang w:val="en-US" w:eastAsia="zh-CN"/>
            </w:rPr>
          </w:pPr>
          <w:r>
            <w:rPr>
              <w:rFonts w:hint="eastAsia"/>
            </w:rPr>
            <w:fldChar w:fldCharType="begin"/>
          </w:r>
          <w:r>
            <w:rPr>
              <w:rFonts w:hint="eastAsia"/>
            </w:rPr>
            <w:instrText xml:space="preserve"> HYPERLINK \l _Toc16163 </w:instrText>
          </w:r>
          <w:r>
            <w:rPr>
              <w:rFonts w:hint="eastAsia"/>
            </w:rP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rPr>
              <w:rFonts w:hint="eastAsia"/>
              <w:lang w:val="en-US" w:eastAsia="zh-CN"/>
            </w:rPr>
            <w:t>2</w:t>
          </w:r>
          <w:r>
            <w:rPr>
              <w:rFonts w:hint="eastAsia"/>
            </w:rPr>
            <w:fldChar w:fldCharType="end"/>
          </w:r>
          <w:r>
            <w:rPr>
              <w:rFonts w:hint="eastAsia"/>
              <w:lang w:val="en-US" w:eastAsia="zh-CN"/>
            </w:rPr>
            <w:t>5</w:t>
          </w:r>
        </w:p>
        <w:p>
          <w:pPr>
            <w:pStyle w:val="37"/>
            <w:tabs>
              <w:tab w:val="right" w:leader="dot" w:pos="8306"/>
            </w:tabs>
            <w:rPr>
              <w:rFonts w:hint="eastAsia" w:eastAsia="宋体"/>
              <w:lang w:val="en-US" w:eastAsia="zh-CN"/>
            </w:rPr>
          </w:pPr>
          <w:r>
            <w:rPr>
              <w:rFonts w:hint="eastAsia"/>
            </w:rPr>
            <w:fldChar w:fldCharType="begin"/>
          </w:r>
          <w:r>
            <w:rPr>
              <w:rFonts w:hint="eastAsia"/>
            </w:rPr>
            <w:instrText xml:space="preserve"> HYPERLINK \l _Toc20656 </w:instrText>
          </w:r>
          <w:r>
            <w:rPr>
              <w:rFonts w:hint="eastAsia"/>
            </w:rP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rPr>
              <w:rFonts w:hint="eastAsia"/>
              <w:lang w:val="en-US" w:eastAsia="zh-CN"/>
            </w:rPr>
            <w:t>2</w:t>
          </w:r>
          <w:r>
            <w:rPr>
              <w:rFonts w:hint="eastAsia"/>
            </w:rPr>
            <w:fldChar w:fldCharType="end"/>
          </w:r>
          <w:r>
            <w:rPr>
              <w:rFonts w:hint="eastAsia"/>
              <w:lang w:val="en-US" w:eastAsia="zh-CN"/>
            </w:rPr>
            <w:t>5</w:t>
          </w:r>
        </w:p>
        <w:p>
          <w:pPr>
            <w:pStyle w:val="37"/>
            <w:tabs>
              <w:tab w:val="right" w:leader="dot" w:pos="8306"/>
            </w:tabs>
            <w:rPr>
              <w:rFonts w:hint="eastAsia" w:eastAsia="宋体"/>
              <w:lang w:val="en-US" w:eastAsia="zh-CN"/>
            </w:rPr>
          </w:pPr>
          <w:r>
            <w:rPr>
              <w:rFonts w:hint="eastAsia"/>
            </w:rPr>
            <w:fldChar w:fldCharType="begin"/>
          </w:r>
          <w:r>
            <w:rPr>
              <w:rFonts w:hint="eastAsia"/>
            </w:rPr>
            <w:instrText xml:space="preserve"> HYPERLINK \l _Toc31183 </w:instrText>
          </w:r>
          <w:r>
            <w:rPr>
              <w:rFonts w:hint="eastAsia"/>
            </w:rP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rPr>
              <w:rFonts w:hint="eastAsia"/>
              <w:lang w:val="en-US" w:eastAsia="zh-CN"/>
            </w:rPr>
            <w:t>2</w:t>
          </w:r>
          <w:r>
            <w:rPr>
              <w:rFonts w:hint="eastAsia"/>
            </w:rPr>
            <w:fldChar w:fldCharType="end"/>
          </w:r>
          <w:r>
            <w:rPr>
              <w:rFonts w:hint="eastAsia"/>
              <w:lang w:val="en-US" w:eastAsia="zh-CN"/>
            </w:rPr>
            <w:t>5</w:t>
          </w:r>
        </w:p>
        <w:p>
          <w:pPr>
            <w:rPr>
              <w:rFonts w:hint="eastAsia"/>
            </w:rPr>
          </w:pPr>
          <w:r>
            <w:rPr>
              <w:rFonts w:hint="eastAsia"/>
              <w:b/>
            </w:rPr>
            <w:fldChar w:fldCharType="end"/>
          </w:r>
        </w:p>
      </w:sdtContent>
    </w:sdt>
    <w:p>
      <w:pPr>
        <w:rPr>
          <w:rFonts w:hint="eastAsia" w:ascii="黑体" w:hAnsi="黑体" w:eastAsia="黑体"/>
          <w:b w:val="0"/>
          <w:color w:val="auto"/>
          <w:highlight w:val="none"/>
        </w:rPr>
      </w:pPr>
    </w:p>
    <w:p>
      <w:pPr>
        <w:pStyle w:val="2"/>
        <w:rPr>
          <w:rFonts w:hint="eastAsia" w:ascii="黑体" w:hAnsi="黑体" w:eastAsia="黑体"/>
          <w:b w:val="0"/>
          <w:color w:val="auto"/>
          <w:highlight w:val="none"/>
        </w:rPr>
      </w:pPr>
    </w:p>
    <w:p>
      <w:pPr>
        <w:pStyle w:val="3"/>
        <w:rPr>
          <w:rFonts w:hint="eastAsia" w:ascii="黑体" w:hAnsi="黑体" w:eastAsia="黑体"/>
          <w:b w:val="0"/>
          <w:color w:val="auto"/>
          <w:highlight w:val="none"/>
        </w:rPr>
      </w:pPr>
    </w:p>
    <w:p>
      <w:pPr>
        <w:pStyle w:val="2"/>
        <w:rPr>
          <w:rFonts w:hint="eastAsia" w:ascii="黑体" w:hAnsi="黑体" w:eastAsia="黑体"/>
          <w:b w:val="0"/>
          <w:color w:val="auto"/>
          <w:highlight w:val="none"/>
        </w:rPr>
      </w:pPr>
    </w:p>
    <w:p>
      <w:pPr>
        <w:pStyle w:val="3"/>
        <w:rPr>
          <w:rFonts w:hint="eastAsia" w:ascii="黑体" w:hAnsi="黑体" w:eastAsia="黑体"/>
          <w:b w:val="0"/>
          <w:color w:val="auto"/>
          <w:highlight w:val="none"/>
        </w:rPr>
      </w:pPr>
    </w:p>
    <w:p>
      <w:pPr>
        <w:pStyle w:val="2"/>
        <w:rPr>
          <w:rFonts w:hint="eastAsia" w:ascii="黑体" w:hAnsi="黑体" w:eastAsia="黑体"/>
          <w:b w:val="0"/>
          <w:color w:val="auto"/>
          <w:highlight w:val="none"/>
        </w:rPr>
      </w:pPr>
    </w:p>
    <w:p>
      <w:pPr>
        <w:pStyle w:val="3"/>
        <w:rPr>
          <w:rFonts w:hint="eastAsia" w:ascii="黑体" w:hAnsi="黑体" w:eastAsia="黑体"/>
          <w:b w:val="0"/>
          <w:color w:val="auto"/>
          <w:highlight w:val="none"/>
        </w:rPr>
      </w:pPr>
    </w:p>
    <w:p>
      <w:pPr>
        <w:pStyle w:val="4"/>
        <w:jc w:val="center"/>
        <w:rPr>
          <w:rFonts w:hint="eastAsia" w:ascii="黑体" w:hAnsi="黑体" w:eastAsia="黑体"/>
          <w:b w:val="0"/>
          <w:color w:val="auto"/>
          <w:highlight w:val="none"/>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6" w:name="_Toc11016"/>
    </w:p>
    <w:p>
      <w:pPr>
        <w:pStyle w:val="4"/>
        <w:jc w:val="center"/>
        <w:rPr>
          <w:rFonts w:ascii="黑体" w:eastAsia="黑体"/>
          <w:color w:val="auto"/>
          <w:sz w:val="32"/>
          <w:szCs w:val="32"/>
          <w:highlight w:val="none"/>
        </w:rPr>
      </w:pPr>
      <w:r>
        <w:rPr>
          <w:rFonts w:hint="eastAsia" w:ascii="黑体" w:hAnsi="黑体" w:eastAsia="黑体"/>
          <w:b w:val="0"/>
          <w:color w:val="auto"/>
          <w:highlight w:val="none"/>
        </w:rPr>
        <w:t>第一部分</w:t>
      </w:r>
      <w:r>
        <w:rPr>
          <w:rFonts w:hint="eastAsia" w:ascii="黑体" w:hAnsi="黑体" w:eastAsia="黑体"/>
          <w:b w:val="0"/>
          <w:color w:val="auto"/>
          <w:highlight w:val="none"/>
          <w:lang w:eastAsia="zh-CN"/>
        </w:rPr>
        <w:t>单位</w:t>
      </w:r>
      <w:r>
        <w:rPr>
          <w:rStyle w:val="19"/>
          <w:rFonts w:hint="eastAsia" w:ascii="黑体" w:hAnsi="黑体" w:eastAsia="黑体"/>
          <w:b w:val="0"/>
          <w:bCs w:val="0"/>
          <w:color w:val="auto"/>
          <w:highlight w:val="none"/>
        </w:rPr>
        <w:t>概况</w:t>
      </w:r>
      <w:bookmarkEnd w:id="14"/>
      <w:bookmarkEnd w:id="15"/>
      <w:bookmarkEnd w:id="16"/>
    </w:p>
    <w:p>
      <w:pPr>
        <w:pStyle w:val="5"/>
        <w:numPr>
          <w:ilvl w:val="0"/>
          <w:numId w:val="1"/>
        </w:numPr>
        <w:rPr>
          <w:rFonts w:hint="eastAsia" w:ascii="仿宋" w:hAnsi="仿宋" w:eastAsia="仿宋"/>
          <w:color w:val="auto"/>
          <w:sz w:val="32"/>
          <w:szCs w:val="32"/>
          <w:highlight w:val="none"/>
          <w:lang w:val="en-US" w:eastAsia="zh-CN"/>
        </w:rPr>
      </w:pPr>
      <w:bookmarkStart w:id="17" w:name="_Toc2335"/>
      <w:bookmarkStart w:id="18" w:name="_Toc15396600"/>
      <w:bookmarkStart w:id="19" w:name="_Toc15377197"/>
      <w:r>
        <w:rPr>
          <w:rStyle w:val="20"/>
          <w:rFonts w:hint="eastAsia" w:ascii="黑体" w:hAnsi="黑体" w:eastAsia="黑体"/>
          <w:b w:val="0"/>
          <w:bCs w:val="0"/>
          <w:color w:val="auto"/>
          <w:highlight w:val="none"/>
          <w:lang w:eastAsia="zh-CN"/>
        </w:rPr>
        <w:t>主要职责</w:t>
      </w:r>
      <w:bookmarkEnd w:id="17"/>
    </w:p>
    <w:p>
      <w:pPr>
        <w:pStyle w:val="5"/>
        <w:numPr>
          <w:ilvl w:val="0"/>
          <w:numId w:val="0"/>
        </w:numPr>
        <w:ind w:firstLine="960" w:firstLineChars="300"/>
        <w:rPr>
          <w:rFonts w:hint="eastAsia" w:ascii="仿宋" w:hAnsi="仿宋" w:eastAsia="仿宋"/>
          <w:b w:val="0"/>
          <w:bCs w:val="0"/>
          <w:color w:val="auto"/>
          <w:sz w:val="32"/>
          <w:szCs w:val="32"/>
          <w:highlight w:val="none"/>
          <w:lang w:val="en-US" w:eastAsia="zh-CN"/>
        </w:rPr>
      </w:pPr>
      <w:bookmarkStart w:id="20" w:name="_Toc14884"/>
      <w:r>
        <w:rPr>
          <w:rFonts w:hint="eastAsia" w:ascii="仿宋" w:hAnsi="仿宋" w:eastAsia="仿宋"/>
          <w:b w:val="0"/>
          <w:bCs w:val="0"/>
          <w:color w:val="auto"/>
          <w:sz w:val="32"/>
          <w:szCs w:val="32"/>
          <w:highlight w:val="none"/>
          <w:lang w:val="en-US" w:eastAsia="zh-CN"/>
        </w:rPr>
        <w:t>一是对各团体会员、全市文艺工作者履行团结引导、联络协调、服务管理、自律维权基本职能，通过组织学习培训、深入生活、创作实践、评奖表彰、成果展示、志愿服务、理论评论、学术讨论、调查研究、人才培养、期刊出版、对外交流和权益保护等工作，充分发挥对文艺工作者的组织、管理、服务、维权作用，切实承担起举旗帜、聚民心、育新人、兴文化、展形象的使命任务。</w:t>
      </w:r>
      <w:bookmarkEnd w:id="20"/>
    </w:p>
    <w:p>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二是加强对文艺工作者的思想政治引领、价值引领、道德引领，发挥行业建设主导作用，加强与社会各界的联系，与政府有关部门密切合作，开展文艺领域的行业教育、行业自律、行业服务、行业管理，加强文艺队伍建设，繁荣发展我省文化艺术事业。</w:t>
      </w:r>
    </w:p>
    <w:p>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三是加强文艺工作者职业道德建设和文艺界行风建设，表彰奖励德艺双馨文艺工作者和优秀文艺作品，引导文艺工作者爱国、为民、崇德、尚艺，遵守中国文艺工作者职业道德公约，培育良好的职业精神、职业道德，努力成为时代风气的先觉者、先行者、先倡者，做有信仰、有情怀、有担当的文艺工作者。</w:t>
      </w:r>
    </w:p>
    <w:p>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四是反映团体会员和文艺工作者的意见建议，有组织、成体系开展维权服务，依法维护其合法权益。</w:t>
      </w:r>
    </w:p>
    <w:p>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五是积极开展民间国际文化交流活动，扩大友好往来，努力扩大中华文化国际影响力，为推动“一带一路”建设、推动构建人类命运共同体、推动人类文明互鉴作出贡献。</w:t>
      </w:r>
    </w:p>
    <w:p>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六是根据国家法律和有关政策，支持发展文化产业。</w:t>
      </w:r>
    </w:p>
    <w:p>
      <w:pPr>
        <w:pStyle w:val="5"/>
        <w:numPr>
          <w:ilvl w:val="0"/>
          <w:numId w:val="1"/>
        </w:numPr>
        <w:rPr>
          <w:rStyle w:val="20"/>
          <w:rFonts w:hint="eastAsia" w:ascii="黑体" w:hAnsi="黑体" w:eastAsia="黑体"/>
          <w:b w:val="0"/>
          <w:bCs w:val="0"/>
          <w:color w:val="auto"/>
          <w:highlight w:val="none"/>
          <w:lang w:val="en-US" w:eastAsia="zh-CN"/>
        </w:rPr>
      </w:pPr>
      <w:bookmarkStart w:id="21" w:name="_Toc23273"/>
      <w:r>
        <w:rPr>
          <w:rStyle w:val="20"/>
          <w:rFonts w:hint="eastAsia" w:ascii="黑体" w:hAnsi="黑体" w:eastAsia="黑体"/>
          <w:b w:val="0"/>
          <w:bCs w:val="0"/>
          <w:color w:val="auto"/>
          <w:highlight w:val="none"/>
          <w:lang w:val="en-US" w:eastAsia="zh-CN"/>
        </w:rPr>
        <w:t>机构设置</w:t>
      </w:r>
      <w:bookmarkEnd w:id="21"/>
    </w:p>
    <w:p>
      <w:pPr>
        <w:spacing w:line="600" w:lineRule="exact"/>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广元市文学艺术界联合会直属广元市委宣传部下属二级预算单位，全额拨款参照公务员管理事业单位，我单位纳入决算独立编制机构数1个，独立核算机构数1个。单位人员编制数7人，其中，行政人员0人，参照公务员管理事业人员7人，事业人员0人；实有人数7人，其中，行政人员0人，参照公务员管理事业人员7人，事业人员0人。</w:t>
      </w:r>
    </w:p>
    <w:bookmarkEnd w:id="18"/>
    <w:bookmarkEnd w:id="19"/>
    <w:p>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4"/>
        <w:ind w:right="440"/>
        <w:jc w:val="center"/>
        <w:rPr>
          <w:color w:val="auto"/>
          <w:highlight w:val="none"/>
        </w:rPr>
      </w:pPr>
      <w:bookmarkStart w:id="22" w:name="_Toc15377204"/>
      <w:bookmarkStart w:id="23" w:name="_Toc23568"/>
      <w:bookmarkStart w:id="24" w:name="_Toc15396602"/>
      <w:r>
        <w:rPr>
          <w:rFonts w:hint="eastAsia" w:ascii="黑体" w:hAnsi="黑体" w:eastAsia="黑体"/>
          <w:b w:val="0"/>
          <w:bCs/>
          <w:color w:val="auto"/>
          <w:highlight w:val="none"/>
        </w:rPr>
        <w:t>第二部分</w:t>
      </w:r>
      <w:r>
        <w:rPr>
          <w:rFonts w:hint="eastAsia" w:ascii="黑体" w:hAnsi="黑体" w:eastAsia="黑体"/>
          <w:b w:val="0"/>
          <w:bCs/>
          <w:color w:val="auto"/>
          <w:highlight w:val="none"/>
          <w:lang w:val="en-US" w:eastAsia="zh-CN"/>
        </w:rPr>
        <w:t>2022年度</w:t>
      </w:r>
      <w:r>
        <w:rPr>
          <w:rStyle w:val="19"/>
          <w:rFonts w:hint="eastAsia" w:ascii="黑体" w:hAnsi="黑体" w:eastAsia="黑体"/>
          <w:b w:val="0"/>
          <w:bCs/>
          <w:color w:val="auto"/>
          <w:highlight w:val="none"/>
          <w:lang w:eastAsia="zh-CN"/>
        </w:rPr>
        <w:t>单位</w:t>
      </w:r>
      <w:r>
        <w:rPr>
          <w:rStyle w:val="19"/>
          <w:rFonts w:hint="eastAsia" w:ascii="黑体" w:hAnsi="黑体" w:eastAsia="黑体"/>
          <w:b w:val="0"/>
          <w:bCs/>
          <w:color w:val="auto"/>
          <w:highlight w:val="none"/>
        </w:rPr>
        <w:t>决算情况说明</w:t>
      </w:r>
      <w:bookmarkEnd w:id="22"/>
      <w:bookmarkEnd w:id="23"/>
      <w:bookmarkEnd w:id="24"/>
    </w:p>
    <w:p>
      <w:pPr>
        <w:pStyle w:val="29"/>
        <w:numPr>
          <w:ilvl w:val="0"/>
          <w:numId w:val="2"/>
        </w:numPr>
        <w:spacing w:line="600" w:lineRule="exact"/>
        <w:ind w:firstLineChars="0"/>
        <w:outlineLvl w:val="1"/>
        <w:rPr>
          <w:rStyle w:val="20"/>
          <w:rFonts w:ascii="黑体" w:hAnsi="黑体" w:eastAsia="黑体"/>
          <w:b w:val="0"/>
          <w:color w:val="auto"/>
          <w:highlight w:val="none"/>
        </w:rPr>
      </w:pPr>
      <w:bookmarkStart w:id="25" w:name="_Toc15377205"/>
      <w:bookmarkStart w:id="26" w:name="_Toc15396603"/>
      <w:bookmarkStart w:id="27" w:name="_Toc29031"/>
      <w:r>
        <w:rPr>
          <w:rFonts w:hint="eastAsia" w:ascii="黑体" w:hAnsi="黑体" w:eastAsia="黑体"/>
          <w:color w:val="auto"/>
          <w:sz w:val="32"/>
          <w:szCs w:val="32"/>
          <w:highlight w:val="none"/>
        </w:rPr>
        <w:t>收</w:t>
      </w:r>
      <w:r>
        <w:rPr>
          <w:rStyle w:val="20"/>
          <w:rFonts w:hint="eastAsia" w:ascii="黑体" w:hAnsi="黑体" w:eastAsia="黑体"/>
          <w:b w:val="0"/>
          <w:color w:val="auto"/>
          <w:highlight w:val="none"/>
        </w:rPr>
        <w:t>入支出决算总体情况说明</w:t>
      </w:r>
      <w:bookmarkEnd w:id="25"/>
      <w:bookmarkEnd w:id="26"/>
      <w:bookmarkEnd w:id="27"/>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195.89</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45.31</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23.13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项目经费增加</w:t>
      </w:r>
      <w:r>
        <w:rPr>
          <w:rFonts w:hint="eastAsia" w:ascii="仿宋" w:hAnsi="仿宋" w:eastAsia="仿宋"/>
          <w:color w:val="auto"/>
          <w:sz w:val="32"/>
          <w:szCs w:val="32"/>
          <w:highlight w:val="none"/>
          <w:lang w:eastAsia="zh-CN"/>
        </w:rPr>
        <w:t>。</w:t>
      </w:r>
    </w:p>
    <w:p>
      <w:pPr>
        <w:pStyle w:val="2"/>
        <w:rPr>
          <w:rFonts w:hint="eastAsia"/>
          <w:lang w:eastAsia="zh-CN"/>
        </w:rPr>
      </w:pPr>
      <w:r>
        <w:drawing>
          <wp:inline distT="0" distB="0" distL="114300" distR="114300">
            <wp:extent cx="4245610" cy="2143760"/>
            <wp:effectExtent l="4445" t="4445" r="17145" b="2349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pStyle w:val="29"/>
        <w:numPr>
          <w:ilvl w:val="0"/>
          <w:numId w:val="2"/>
        </w:numPr>
        <w:spacing w:line="600" w:lineRule="exact"/>
        <w:ind w:firstLineChars="0"/>
        <w:outlineLvl w:val="1"/>
        <w:rPr>
          <w:rStyle w:val="20"/>
          <w:rFonts w:ascii="黑体" w:hAnsi="黑体" w:eastAsia="黑体"/>
          <w:b w:val="0"/>
          <w:color w:val="auto"/>
          <w:highlight w:val="none"/>
        </w:rPr>
      </w:pPr>
      <w:bookmarkStart w:id="28" w:name="_Toc23921"/>
      <w:bookmarkStart w:id="29" w:name="_Toc15377206"/>
      <w:bookmarkStart w:id="30" w:name="_Toc15396604"/>
      <w:r>
        <w:rPr>
          <w:rFonts w:hint="eastAsia" w:ascii="黑体" w:hAnsi="黑体" w:eastAsia="黑体"/>
          <w:color w:val="auto"/>
          <w:sz w:val="32"/>
          <w:szCs w:val="32"/>
          <w:highlight w:val="none"/>
        </w:rPr>
        <w:t>收</w:t>
      </w:r>
      <w:r>
        <w:rPr>
          <w:rStyle w:val="20"/>
          <w:rFonts w:hint="eastAsia" w:ascii="黑体" w:hAnsi="黑体" w:eastAsia="黑体"/>
          <w:b w:val="0"/>
          <w:color w:val="auto"/>
          <w:highlight w:val="none"/>
        </w:rPr>
        <w:t>入决算情况说明</w:t>
      </w:r>
      <w:bookmarkEnd w:id="28"/>
      <w:bookmarkEnd w:id="29"/>
      <w:bookmarkEnd w:id="30"/>
    </w:p>
    <w:p>
      <w:pPr>
        <w:spacing w:line="600" w:lineRule="exact"/>
        <w:ind w:firstLine="640" w:firstLineChars="200"/>
        <w:outlineLvl w:val="1"/>
        <w:rPr>
          <w:rFonts w:ascii="仿宋" w:hAnsi="仿宋" w:eastAsia="仿宋"/>
          <w:color w:val="auto"/>
          <w:sz w:val="32"/>
          <w:szCs w:val="32"/>
          <w:highlight w:val="none"/>
        </w:rPr>
      </w:pPr>
      <w:bookmarkStart w:id="31" w:name="_Toc29140"/>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195.65</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170.55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87.17</w:t>
      </w:r>
      <w:r>
        <w:rPr>
          <w:rFonts w:ascii="仿宋" w:hAnsi="仿宋" w:eastAsia="仿宋"/>
          <w:color w:val="auto"/>
          <w:sz w:val="32"/>
          <w:szCs w:val="32"/>
          <w:highlight w:val="none"/>
        </w:rPr>
        <w:t>%</w:t>
      </w:r>
      <w:r>
        <w:rPr>
          <w:rFonts w:hint="eastAsia" w:ascii="仿宋" w:hAnsi="仿宋" w:eastAsia="仿宋"/>
          <w:color w:val="auto"/>
          <w:sz w:val="32"/>
          <w:szCs w:val="32"/>
          <w:highlight w:val="none"/>
        </w:rPr>
        <w:t>；其他收入</w:t>
      </w:r>
      <w:r>
        <w:rPr>
          <w:rFonts w:hint="eastAsia" w:ascii="仿宋" w:hAnsi="仿宋" w:eastAsia="仿宋"/>
          <w:color w:val="auto"/>
          <w:sz w:val="32"/>
          <w:szCs w:val="32"/>
          <w:highlight w:val="none"/>
          <w:lang w:val="en-US" w:eastAsia="zh-CN"/>
        </w:rPr>
        <w:t>25.1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12.83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1"/>
    </w:p>
    <w:p>
      <w:pPr>
        <w:pStyle w:val="2"/>
        <w:jc w:val="center"/>
      </w:pPr>
      <w:r>
        <w:drawing>
          <wp:inline distT="0" distB="0" distL="114300" distR="114300">
            <wp:extent cx="3837305" cy="2078355"/>
            <wp:effectExtent l="4445" t="4445" r="6350" b="1270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pPr>
        <w:spacing w:line="600" w:lineRule="exact"/>
        <w:ind w:firstLine="640" w:firstLineChars="200"/>
        <w:rPr>
          <w:rFonts w:ascii="仿宋_GB2312" w:eastAsia="仿宋_GB2312"/>
          <w:color w:val="auto"/>
          <w:sz w:val="32"/>
          <w:szCs w:val="32"/>
          <w:highlight w:val="none"/>
        </w:rPr>
      </w:pPr>
    </w:p>
    <w:p>
      <w:pPr>
        <w:pStyle w:val="29"/>
        <w:numPr>
          <w:ilvl w:val="0"/>
          <w:numId w:val="2"/>
        </w:numPr>
        <w:spacing w:line="600" w:lineRule="exact"/>
        <w:ind w:firstLineChars="0"/>
        <w:outlineLvl w:val="1"/>
        <w:rPr>
          <w:rStyle w:val="20"/>
          <w:rFonts w:ascii="黑体" w:hAnsi="黑体" w:eastAsia="黑体"/>
          <w:b w:val="0"/>
          <w:color w:val="auto"/>
          <w:highlight w:val="none"/>
        </w:rPr>
      </w:pPr>
      <w:bookmarkStart w:id="32" w:name="_Toc15377207"/>
      <w:bookmarkStart w:id="33" w:name="_Toc15396605"/>
      <w:bookmarkStart w:id="34" w:name="_Toc21783"/>
      <w:r>
        <w:rPr>
          <w:rFonts w:hint="eastAsia" w:ascii="黑体" w:hAnsi="黑体" w:eastAsia="黑体"/>
          <w:color w:val="auto"/>
          <w:sz w:val="32"/>
          <w:szCs w:val="32"/>
          <w:highlight w:val="none"/>
        </w:rPr>
        <w:t>支</w:t>
      </w:r>
      <w:r>
        <w:rPr>
          <w:rStyle w:val="20"/>
          <w:rFonts w:hint="eastAsia" w:ascii="黑体" w:hAnsi="黑体" w:eastAsia="黑体"/>
          <w:b w:val="0"/>
          <w:color w:val="auto"/>
          <w:highlight w:val="none"/>
        </w:rPr>
        <w:t>出决算情况说明</w:t>
      </w:r>
      <w:bookmarkEnd w:id="32"/>
      <w:bookmarkEnd w:id="33"/>
      <w:bookmarkEnd w:id="34"/>
    </w:p>
    <w:p>
      <w:pPr>
        <w:spacing w:line="600" w:lineRule="exact"/>
        <w:ind w:firstLine="640" w:firstLineChars="200"/>
        <w:outlineLvl w:val="1"/>
        <w:rPr>
          <w:rFonts w:ascii="仿宋" w:hAnsi="仿宋" w:eastAsia="仿宋"/>
          <w:color w:val="auto"/>
          <w:sz w:val="32"/>
          <w:szCs w:val="32"/>
          <w:highlight w:val="none"/>
        </w:rPr>
      </w:pPr>
      <w:bookmarkStart w:id="35" w:name="_Toc3134"/>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195.89</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150.93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77.05</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44.96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22.95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5"/>
    </w:p>
    <w:p>
      <w:pPr>
        <w:spacing w:line="600" w:lineRule="exact"/>
        <w:rPr>
          <w:rFonts w:ascii="仿宋" w:hAnsi="仿宋" w:eastAsia="仿宋"/>
          <w:color w:val="auto"/>
          <w:sz w:val="32"/>
          <w:szCs w:val="32"/>
          <w:highlight w:val="none"/>
          <w:shd w:val="pct10" w:color="auto" w:fill="FFFFFF"/>
        </w:rPr>
      </w:pPr>
    </w:p>
    <w:p>
      <w:pPr>
        <w:pStyle w:val="2"/>
        <w:jc w:val="center"/>
      </w:pPr>
      <w:r>
        <w:drawing>
          <wp:inline distT="0" distB="0" distL="114300" distR="114300">
            <wp:extent cx="3949700" cy="2476500"/>
            <wp:effectExtent l="4445" t="5080" r="8255" b="13970"/>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w:t>
      </w:r>
    </w:p>
    <w:p>
      <w:pPr>
        <w:spacing w:line="600" w:lineRule="exact"/>
        <w:ind w:firstLine="640" w:firstLineChars="200"/>
        <w:outlineLvl w:val="1"/>
        <w:rPr>
          <w:rStyle w:val="20"/>
          <w:rFonts w:ascii="黑体" w:hAnsi="黑体" w:eastAsia="黑体"/>
          <w:b w:val="0"/>
          <w:color w:val="auto"/>
          <w:highlight w:val="none"/>
        </w:rPr>
      </w:pPr>
      <w:bookmarkStart w:id="36" w:name="_Toc15377208"/>
      <w:bookmarkStart w:id="37" w:name="_Toc15396606"/>
      <w:bookmarkStart w:id="38" w:name="_Toc15722"/>
      <w:r>
        <w:rPr>
          <w:rFonts w:hint="eastAsia" w:ascii="黑体" w:hAnsi="黑体" w:eastAsia="黑体"/>
          <w:color w:val="auto"/>
          <w:sz w:val="32"/>
          <w:szCs w:val="32"/>
          <w:highlight w:val="none"/>
        </w:rPr>
        <w:t>四、财</w:t>
      </w:r>
      <w:r>
        <w:rPr>
          <w:rStyle w:val="20"/>
          <w:rFonts w:hint="eastAsia" w:ascii="黑体" w:hAnsi="黑体" w:eastAsia="黑体"/>
          <w:b w:val="0"/>
          <w:color w:val="auto"/>
          <w:highlight w:val="none"/>
        </w:rPr>
        <w:t>政拨款收入支出决算总体情况说明</w:t>
      </w:r>
      <w:bookmarkEnd w:id="36"/>
      <w:bookmarkEnd w:id="37"/>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170.79</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29.03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16.99</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本年度项目资金增加所致。</w:t>
      </w:r>
    </w:p>
    <w:p>
      <w:pPr>
        <w:pStyle w:val="2"/>
      </w:pPr>
      <w:r>
        <w:drawing>
          <wp:inline distT="0" distB="0" distL="114300" distR="114300">
            <wp:extent cx="4349750" cy="1838960"/>
            <wp:effectExtent l="4445" t="5080" r="8255" b="22860"/>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jc w:val="center"/>
        <w:rPr>
          <w:rFonts w:ascii="仿宋" w:hAnsi="仿宋" w:eastAsia="仿宋"/>
          <w:b/>
          <w:color w:val="auto"/>
          <w:sz w:val="32"/>
          <w:szCs w:val="32"/>
          <w:highlight w:val="none"/>
        </w:rPr>
      </w:pPr>
      <w:r>
        <w:rPr>
          <w:rFonts w:hint="eastAsia" w:ascii="仿宋" w:hAnsi="仿宋" w:eastAsia="仿宋"/>
          <w:color w:val="auto"/>
          <w:sz w:val="32"/>
          <w:szCs w:val="32"/>
          <w:highlight w:val="none"/>
        </w:rPr>
        <w:t>（图4：财政拨款收、支决算总计变动情况）</w:t>
      </w:r>
    </w:p>
    <w:p>
      <w:pPr>
        <w:spacing w:line="600" w:lineRule="exact"/>
        <w:ind w:firstLine="640" w:firstLineChars="200"/>
        <w:outlineLvl w:val="1"/>
        <w:rPr>
          <w:rStyle w:val="20"/>
          <w:rFonts w:ascii="黑体" w:hAnsi="黑体" w:eastAsia="黑体"/>
          <w:b w:val="0"/>
          <w:color w:val="auto"/>
          <w:highlight w:val="none"/>
        </w:rPr>
      </w:pPr>
      <w:bookmarkStart w:id="39" w:name="_Toc15377209"/>
      <w:bookmarkStart w:id="40" w:name="_Toc15396607"/>
      <w:bookmarkStart w:id="41" w:name="_Toc31154"/>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0"/>
          <w:rFonts w:hint="eastAsia" w:ascii="黑体" w:hAnsi="黑体" w:eastAsia="黑体"/>
          <w:b w:val="0"/>
          <w:color w:val="auto"/>
          <w:highlight w:val="none"/>
        </w:rPr>
        <w:t>般公共预算财政拨款支出决算情况说明</w:t>
      </w:r>
      <w:bookmarkEnd w:id="39"/>
      <w:bookmarkEnd w:id="40"/>
      <w:bookmarkEnd w:id="41"/>
    </w:p>
    <w:p>
      <w:pPr>
        <w:spacing w:line="600" w:lineRule="exact"/>
        <w:ind w:firstLine="643" w:firstLineChars="200"/>
        <w:outlineLvl w:val="2"/>
        <w:rPr>
          <w:rFonts w:ascii="仿宋" w:hAnsi="仿宋" w:eastAsia="仿宋"/>
          <w:b/>
          <w:color w:val="auto"/>
          <w:sz w:val="32"/>
          <w:szCs w:val="32"/>
          <w:highlight w:val="none"/>
        </w:rPr>
      </w:pPr>
      <w:bookmarkStart w:id="42" w:name="_Toc15377210"/>
      <w:r>
        <w:rPr>
          <w:rFonts w:hint="eastAsia" w:ascii="仿宋" w:hAnsi="仿宋" w:eastAsia="仿宋"/>
          <w:b/>
          <w:color w:val="auto"/>
          <w:sz w:val="32"/>
          <w:szCs w:val="32"/>
          <w:highlight w:val="none"/>
        </w:rPr>
        <w:t>（一）一般公共预算财政拨款支出决算总体情况</w:t>
      </w:r>
      <w:bookmarkEnd w:id="42"/>
    </w:p>
    <w:p>
      <w:pPr>
        <w:spacing w:line="600" w:lineRule="exact"/>
        <w:ind w:firstLine="640" w:firstLineChars="200"/>
        <w:rPr>
          <w:rFonts w:hint="eastAsia" w:ascii="仿宋" w:hAnsi="仿宋" w:eastAsia="仿宋"/>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170.79</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29.03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16.99</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本年度项目资金增加所致。</w:t>
      </w:r>
    </w:p>
    <w:p>
      <w:pPr>
        <w:pStyle w:val="3"/>
      </w:pPr>
      <w:r>
        <w:drawing>
          <wp:inline distT="0" distB="0" distL="114300" distR="114300">
            <wp:extent cx="3970020" cy="1427480"/>
            <wp:effectExtent l="4445" t="4445" r="6985" b="15875"/>
            <wp:docPr id="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jc w:val="center"/>
        <w:rPr>
          <w:rFonts w:hint="eastAsia" w:ascii="仿宋" w:hAnsi="仿宋" w:eastAsia="仿宋"/>
          <w:b/>
          <w:color w:val="auto"/>
          <w:sz w:val="32"/>
          <w:szCs w:val="32"/>
          <w:highlight w:val="none"/>
        </w:rPr>
      </w:pPr>
      <w:r>
        <w:rPr>
          <w:rFonts w:hint="eastAsia" w:ascii="仿宋" w:hAnsi="仿宋" w:eastAsia="仿宋"/>
          <w:color w:val="auto"/>
          <w:sz w:val="32"/>
          <w:szCs w:val="32"/>
          <w:highlight w:val="none"/>
        </w:rPr>
        <w:t>（图5：一般公共预算财政拨款支出决算变动情况）</w:t>
      </w:r>
      <w:bookmarkStart w:id="43" w:name="_Toc15377211"/>
    </w:p>
    <w:p>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bookmarkEnd w:id="43"/>
    </w:p>
    <w:p>
      <w:pP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170.79</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145.55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85.22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8.4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4.92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4.07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2.38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12.77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7.48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rPr>
          <w:rFonts w:ascii="仿宋" w:hAnsi="仿宋" w:eastAsia="仿宋"/>
          <w:color w:val="auto"/>
          <w:sz w:val="32"/>
          <w:szCs w:val="32"/>
          <w:highlight w:val="none"/>
        </w:rPr>
      </w:pPr>
      <w:r>
        <w:drawing>
          <wp:anchor distT="0" distB="0" distL="114300" distR="114300" simplePos="0" relativeHeight="251660288" behindDoc="1" locked="0" layoutInCell="1" allowOverlap="1">
            <wp:simplePos x="0" y="0"/>
            <wp:positionH relativeFrom="column">
              <wp:posOffset>1014095</wp:posOffset>
            </wp:positionH>
            <wp:positionV relativeFrom="paragraph">
              <wp:posOffset>99695</wp:posOffset>
            </wp:positionV>
            <wp:extent cx="3134995" cy="1896745"/>
            <wp:effectExtent l="5080" t="4445" r="22225" b="60960"/>
            <wp:wrapTight wrapText="bothSides">
              <wp:wrapPolygon>
                <wp:start x="-35" y="-51"/>
                <wp:lineTo x="-35" y="21426"/>
                <wp:lineTo x="21491" y="21426"/>
                <wp:lineTo x="21491" y="-51"/>
                <wp:lineTo x="-35" y="-51"/>
              </wp:wrapPolygon>
            </wp:wrapTight>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640" w:firstLineChars="200"/>
        <w:rPr>
          <w:rFonts w:hint="eastAsia" w:ascii="仿宋" w:hAnsi="仿宋" w:eastAsia="仿宋"/>
          <w:color w:val="auto"/>
          <w:sz w:val="32"/>
          <w:szCs w:val="32"/>
          <w:highlight w:val="none"/>
        </w:rPr>
      </w:pPr>
    </w:p>
    <w:p>
      <w:pPr>
        <w:spacing w:line="600" w:lineRule="exact"/>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spacing w:line="600" w:lineRule="exact"/>
        <w:ind w:firstLine="640" w:firstLineChars="200"/>
        <w:rPr>
          <w:rFonts w:ascii="仿宋" w:hAnsi="仿宋" w:eastAsia="仿宋"/>
          <w:color w:val="auto"/>
          <w:sz w:val="32"/>
          <w:szCs w:val="32"/>
          <w:highlight w:val="none"/>
        </w:rPr>
      </w:pPr>
    </w:p>
    <w:p>
      <w:pPr>
        <w:pStyle w:val="2"/>
      </w:pPr>
    </w:p>
    <w:p>
      <w:pPr>
        <w:spacing w:line="600" w:lineRule="exact"/>
        <w:ind w:firstLine="643" w:firstLineChars="200"/>
        <w:outlineLvl w:val="2"/>
        <w:rPr>
          <w:rFonts w:ascii="仿宋" w:hAnsi="仿宋" w:eastAsia="仿宋"/>
          <w:b/>
          <w:color w:val="auto"/>
          <w:sz w:val="32"/>
          <w:szCs w:val="32"/>
          <w:highlight w:val="none"/>
        </w:rPr>
      </w:pPr>
      <w:bookmarkStart w:id="44" w:name="_Toc15377212"/>
      <w:r>
        <w:rPr>
          <w:rFonts w:hint="eastAsia" w:ascii="仿宋" w:hAnsi="仿宋" w:eastAsia="仿宋"/>
          <w:b/>
          <w:color w:val="auto"/>
          <w:sz w:val="32"/>
          <w:szCs w:val="32"/>
          <w:highlight w:val="none"/>
        </w:rPr>
        <w:t>（三）一般公共预算财政拨款支出决算具体情况</w:t>
      </w:r>
      <w:bookmarkEnd w:id="44"/>
    </w:p>
    <w:p>
      <w:pPr>
        <w:spacing w:line="600" w:lineRule="exact"/>
        <w:ind w:firstLine="643" w:firstLineChars="200"/>
        <w:outlineLvl w:val="1"/>
        <w:rPr>
          <w:rFonts w:ascii="仿宋" w:hAnsi="仿宋" w:eastAsia="仿宋"/>
          <w:color w:val="auto"/>
          <w:sz w:val="32"/>
          <w:szCs w:val="32"/>
          <w:highlight w:val="none"/>
        </w:rPr>
      </w:pPr>
      <w:bookmarkStart w:id="45" w:name="_Toc6757"/>
      <w:bookmarkStart w:id="46" w:name="_Toc15377213"/>
      <w:bookmarkStart w:id="47" w:name="_Toc15377444"/>
      <w:bookmarkStart w:id="48" w:name="_Toc15378460"/>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w:t>
      </w:r>
      <w:r>
        <w:rPr>
          <w:rFonts w:hint="eastAsia" w:ascii="仿宋" w:hAnsi="仿宋" w:eastAsia="仿宋"/>
          <w:b w:val="0"/>
          <w:bCs/>
          <w:color w:val="auto"/>
          <w:sz w:val="32"/>
          <w:szCs w:val="32"/>
          <w:highlight w:val="none"/>
        </w:rPr>
        <w:t>出决算</w:t>
      </w:r>
      <w:r>
        <w:rPr>
          <w:rFonts w:hint="eastAsia" w:ascii="仿宋" w:hAnsi="仿宋" w:eastAsia="仿宋"/>
          <w:b/>
          <w:color w:val="auto"/>
          <w:sz w:val="32"/>
          <w:szCs w:val="32"/>
          <w:highlight w:val="none"/>
        </w:rPr>
        <w:t>数为</w:t>
      </w:r>
      <w:r>
        <w:rPr>
          <w:rStyle w:val="17"/>
          <w:rFonts w:hint="eastAsia" w:ascii="仿宋" w:hAnsi="仿宋" w:eastAsia="仿宋"/>
          <w:b w:val="0"/>
          <w:bCs/>
          <w:color w:val="auto"/>
          <w:sz w:val="32"/>
          <w:szCs w:val="32"/>
          <w:highlight w:val="none"/>
          <w:lang w:val="en-US" w:eastAsia="zh-CN"/>
        </w:rPr>
        <w:t>170.79万元</w:t>
      </w:r>
      <w:r>
        <w:rPr>
          <w:rFonts w:hint="eastAsia" w:ascii="仿宋" w:hAnsi="仿宋" w:eastAsia="仿宋"/>
          <w:color w:val="auto"/>
          <w:sz w:val="32"/>
          <w:szCs w:val="32"/>
          <w:highlight w:val="none"/>
        </w:rPr>
        <w:t>，</w:t>
      </w:r>
      <w:r>
        <w:rPr>
          <w:rStyle w:val="17"/>
          <w:rFonts w:hint="eastAsia" w:ascii="仿宋" w:hAnsi="仿宋" w:eastAsia="仿宋"/>
          <w:bCs/>
          <w:color w:val="auto"/>
          <w:sz w:val="32"/>
          <w:szCs w:val="32"/>
          <w:highlight w:val="none"/>
        </w:rPr>
        <w:t>完成预算</w:t>
      </w:r>
      <w:r>
        <w:rPr>
          <w:rStyle w:val="17"/>
          <w:rFonts w:hint="eastAsia" w:ascii="仿宋" w:hAnsi="仿宋" w:eastAsia="仿宋"/>
          <w:bCs/>
          <w:color w:val="auto"/>
          <w:sz w:val="32"/>
          <w:szCs w:val="32"/>
          <w:highlight w:val="none"/>
          <w:lang w:val="en-US" w:eastAsia="zh-CN"/>
        </w:rPr>
        <w:t>100</w:t>
      </w:r>
      <w:r>
        <w:rPr>
          <w:rStyle w:val="17"/>
          <w:rFonts w:ascii="仿宋" w:hAnsi="仿宋" w:eastAsia="仿宋"/>
          <w:bCs/>
          <w:color w:val="auto"/>
          <w:sz w:val="32"/>
          <w:szCs w:val="32"/>
          <w:highlight w:val="none"/>
        </w:rPr>
        <w:t>%</w:t>
      </w:r>
      <w:r>
        <w:rPr>
          <w:rStyle w:val="17"/>
          <w:rFonts w:hint="eastAsia" w:ascii="仿宋" w:hAnsi="仿宋" w:eastAsia="仿宋"/>
          <w:bCs/>
          <w:color w:val="auto"/>
          <w:sz w:val="32"/>
          <w:szCs w:val="32"/>
          <w:highlight w:val="none"/>
        </w:rPr>
        <w:t>。其中：</w:t>
      </w:r>
      <w:bookmarkEnd w:id="45"/>
      <w:bookmarkEnd w:id="46"/>
      <w:bookmarkEnd w:id="47"/>
      <w:bookmarkEnd w:id="48"/>
    </w:p>
    <w:p>
      <w:pPr>
        <w:numPr>
          <w:ilvl w:val="0"/>
          <w:numId w:val="3"/>
        </w:numPr>
        <w:spacing w:line="600" w:lineRule="exact"/>
        <w:ind w:left="0" w:leftChars="0" w:firstLine="400" w:firstLineChars="0"/>
        <w:rPr>
          <w:rStyle w:val="17"/>
          <w:rFonts w:hint="eastAsia" w:ascii="仿宋" w:hAnsi="仿宋" w:eastAsia="仿宋"/>
          <w:b w:val="0"/>
          <w:bCs/>
          <w:color w:val="auto"/>
          <w:sz w:val="32"/>
          <w:szCs w:val="32"/>
          <w:highlight w:val="none"/>
        </w:rPr>
      </w:pPr>
      <w:r>
        <w:rPr>
          <w:rStyle w:val="17"/>
          <w:rFonts w:hint="eastAsia" w:ascii="仿宋" w:hAnsi="仿宋" w:eastAsia="仿宋"/>
          <w:bCs/>
          <w:color w:val="auto"/>
          <w:sz w:val="32"/>
          <w:szCs w:val="32"/>
          <w:highlight w:val="none"/>
        </w:rPr>
        <w:t>一般公共服务（类）</w:t>
      </w:r>
      <w:r>
        <w:rPr>
          <w:rStyle w:val="17"/>
          <w:rFonts w:hint="eastAsia" w:ascii="仿宋" w:hAnsi="仿宋" w:eastAsia="仿宋"/>
          <w:bCs/>
          <w:color w:val="auto"/>
          <w:sz w:val="32"/>
          <w:szCs w:val="32"/>
          <w:highlight w:val="none"/>
          <w:lang w:val="en-US" w:eastAsia="zh-CN"/>
        </w:rPr>
        <w:t>群众团体事务</w:t>
      </w:r>
      <w:r>
        <w:rPr>
          <w:rStyle w:val="17"/>
          <w:rFonts w:hint="eastAsia" w:ascii="仿宋" w:hAnsi="仿宋" w:eastAsia="仿宋"/>
          <w:bCs/>
          <w:color w:val="auto"/>
          <w:sz w:val="32"/>
          <w:szCs w:val="32"/>
          <w:highlight w:val="none"/>
        </w:rPr>
        <w:t>（款）</w:t>
      </w:r>
      <w:r>
        <w:rPr>
          <w:rStyle w:val="17"/>
          <w:rFonts w:hint="eastAsia" w:ascii="仿宋" w:hAnsi="仿宋" w:eastAsia="仿宋"/>
          <w:bCs/>
          <w:color w:val="auto"/>
          <w:sz w:val="32"/>
          <w:szCs w:val="32"/>
          <w:highlight w:val="none"/>
          <w:lang w:val="en-US" w:eastAsia="zh-CN"/>
        </w:rPr>
        <w:t>行政运行</w:t>
      </w:r>
      <w:r>
        <w:rPr>
          <w:rStyle w:val="17"/>
          <w:rFonts w:hint="eastAsia" w:ascii="仿宋" w:hAnsi="仿宋" w:eastAsia="仿宋"/>
          <w:bCs/>
          <w:color w:val="auto"/>
          <w:sz w:val="32"/>
          <w:szCs w:val="32"/>
          <w:highlight w:val="none"/>
        </w:rPr>
        <w:t>（项）</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125.67</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，决算数等于预算数的主要原因是</w:t>
      </w:r>
      <w:r>
        <w:rPr>
          <w:rStyle w:val="17"/>
          <w:rFonts w:hint="eastAsia" w:ascii="仿宋" w:hAnsi="仿宋" w:eastAsia="仿宋"/>
          <w:b w:val="0"/>
          <w:bCs/>
          <w:color w:val="auto"/>
          <w:sz w:val="32"/>
          <w:szCs w:val="32"/>
          <w:highlight w:val="none"/>
          <w:lang w:eastAsia="zh-CN"/>
        </w:rPr>
        <w:t>严格按年初预算进行资金支付。</w:t>
      </w:r>
    </w:p>
    <w:p>
      <w:pPr>
        <w:numPr>
          <w:ilvl w:val="0"/>
          <w:numId w:val="3"/>
        </w:numPr>
        <w:spacing w:line="600" w:lineRule="exact"/>
        <w:ind w:left="0" w:leftChars="0" w:firstLine="400" w:firstLineChars="0"/>
        <w:rPr>
          <w:rStyle w:val="17"/>
          <w:rFonts w:hint="eastAsia" w:ascii="仿宋" w:hAnsi="仿宋" w:eastAsia="仿宋"/>
          <w:b w:val="0"/>
          <w:bCs/>
          <w:color w:val="auto"/>
          <w:sz w:val="32"/>
          <w:szCs w:val="32"/>
          <w:highlight w:val="none"/>
          <w:lang w:eastAsia="zh-CN"/>
        </w:rPr>
      </w:pPr>
      <w:r>
        <w:rPr>
          <w:rStyle w:val="17"/>
          <w:rFonts w:hint="eastAsia" w:ascii="仿宋" w:hAnsi="仿宋" w:eastAsia="仿宋"/>
          <w:bCs/>
          <w:color w:val="auto"/>
          <w:sz w:val="32"/>
          <w:szCs w:val="32"/>
          <w:highlight w:val="none"/>
        </w:rPr>
        <w:t>一般公共服务（类）</w:t>
      </w:r>
      <w:r>
        <w:rPr>
          <w:rStyle w:val="17"/>
          <w:rFonts w:hint="eastAsia" w:ascii="仿宋" w:hAnsi="仿宋" w:eastAsia="仿宋"/>
          <w:bCs/>
          <w:color w:val="auto"/>
          <w:sz w:val="32"/>
          <w:szCs w:val="32"/>
          <w:highlight w:val="none"/>
          <w:lang w:val="en-US" w:eastAsia="zh-CN"/>
        </w:rPr>
        <w:t>群众团体事务</w:t>
      </w:r>
      <w:r>
        <w:rPr>
          <w:rStyle w:val="17"/>
          <w:rFonts w:hint="eastAsia" w:ascii="仿宋" w:hAnsi="仿宋" w:eastAsia="仿宋"/>
          <w:bCs/>
          <w:color w:val="auto"/>
          <w:sz w:val="32"/>
          <w:szCs w:val="32"/>
          <w:highlight w:val="none"/>
        </w:rPr>
        <w:t>（款）</w:t>
      </w:r>
      <w:r>
        <w:rPr>
          <w:rStyle w:val="17"/>
          <w:rFonts w:hint="eastAsia" w:ascii="仿宋" w:hAnsi="仿宋" w:eastAsia="仿宋"/>
          <w:bCs/>
          <w:color w:val="auto"/>
          <w:sz w:val="32"/>
          <w:szCs w:val="32"/>
          <w:highlight w:val="none"/>
          <w:lang w:val="en-US" w:eastAsia="zh-CN"/>
        </w:rPr>
        <w:t>一般行政管理事务</w:t>
      </w:r>
      <w:r>
        <w:rPr>
          <w:rStyle w:val="17"/>
          <w:rFonts w:hint="eastAsia" w:ascii="仿宋" w:hAnsi="仿宋" w:eastAsia="仿宋"/>
          <w:bCs/>
          <w:color w:val="auto"/>
          <w:sz w:val="32"/>
          <w:szCs w:val="32"/>
          <w:highlight w:val="none"/>
        </w:rPr>
        <w:t>（项）</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19.88</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，决算数等于预算数的主要原因是</w:t>
      </w:r>
      <w:r>
        <w:rPr>
          <w:rStyle w:val="17"/>
          <w:rFonts w:hint="eastAsia" w:ascii="仿宋" w:hAnsi="仿宋" w:eastAsia="仿宋"/>
          <w:b w:val="0"/>
          <w:bCs/>
          <w:color w:val="auto"/>
          <w:sz w:val="32"/>
          <w:szCs w:val="32"/>
          <w:highlight w:val="none"/>
          <w:lang w:eastAsia="zh-CN"/>
        </w:rPr>
        <w:t>严格按年初预算进行资金支付。</w:t>
      </w:r>
    </w:p>
    <w:p>
      <w:pPr>
        <w:numPr>
          <w:ilvl w:val="0"/>
          <w:numId w:val="3"/>
        </w:numPr>
        <w:spacing w:line="600" w:lineRule="exact"/>
        <w:ind w:left="0" w:leftChars="0" w:firstLine="400" w:firstLineChars="0"/>
        <w:rPr>
          <w:rStyle w:val="17"/>
          <w:rFonts w:hint="eastAsia" w:ascii="仿宋" w:hAnsi="仿宋" w:eastAsia="仿宋"/>
          <w:b w:val="0"/>
          <w:bCs/>
          <w:color w:val="auto"/>
          <w:sz w:val="32"/>
          <w:szCs w:val="32"/>
          <w:highlight w:val="none"/>
          <w:lang w:eastAsia="zh-CN"/>
        </w:rPr>
      </w:pPr>
      <w:r>
        <w:rPr>
          <w:rStyle w:val="17"/>
          <w:rFonts w:hint="eastAsia" w:ascii="仿宋" w:hAnsi="仿宋" w:eastAsia="仿宋"/>
          <w:bCs/>
          <w:color w:val="auto"/>
          <w:sz w:val="32"/>
          <w:szCs w:val="32"/>
          <w:highlight w:val="none"/>
        </w:rPr>
        <w:t>社会保障和就业（类）</w:t>
      </w:r>
      <w:r>
        <w:rPr>
          <w:rStyle w:val="17"/>
          <w:rFonts w:hint="eastAsia" w:ascii="仿宋" w:hAnsi="仿宋" w:eastAsia="仿宋"/>
          <w:bCs/>
          <w:color w:val="auto"/>
          <w:sz w:val="32"/>
          <w:szCs w:val="32"/>
          <w:highlight w:val="none"/>
          <w:lang w:val="en-US" w:eastAsia="zh-CN"/>
        </w:rPr>
        <w:t>行政事业单位养老支出</w:t>
      </w:r>
      <w:r>
        <w:rPr>
          <w:rStyle w:val="17"/>
          <w:rFonts w:hint="eastAsia" w:ascii="仿宋" w:hAnsi="仿宋" w:eastAsia="仿宋"/>
          <w:bCs/>
          <w:color w:val="auto"/>
          <w:sz w:val="32"/>
          <w:szCs w:val="32"/>
          <w:highlight w:val="none"/>
        </w:rPr>
        <w:t>（款）</w:t>
      </w:r>
      <w:r>
        <w:rPr>
          <w:rStyle w:val="17"/>
          <w:rFonts w:hint="eastAsia" w:ascii="仿宋" w:hAnsi="仿宋" w:eastAsia="仿宋"/>
          <w:bCs/>
          <w:color w:val="auto"/>
          <w:sz w:val="32"/>
          <w:szCs w:val="32"/>
          <w:highlight w:val="none"/>
          <w:lang w:val="en-US" w:eastAsia="zh-CN"/>
        </w:rPr>
        <w:t>机关事业单位养老保险缴费支出</w:t>
      </w:r>
      <w:r>
        <w:rPr>
          <w:rStyle w:val="17"/>
          <w:rFonts w:hint="eastAsia" w:ascii="仿宋" w:hAnsi="仿宋" w:eastAsia="仿宋"/>
          <w:bCs/>
          <w:color w:val="auto"/>
          <w:sz w:val="32"/>
          <w:szCs w:val="32"/>
          <w:highlight w:val="none"/>
        </w:rPr>
        <w:t>（项）</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8.15</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lang w:eastAsia="zh-CN"/>
        </w:rPr>
        <w:t>，</w:t>
      </w:r>
      <w:r>
        <w:rPr>
          <w:rStyle w:val="17"/>
          <w:rFonts w:hint="eastAsia" w:ascii="仿宋" w:hAnsi="仿宋" w:eastAsia="仿宋"/>
          <w:b w:val="0"/>
          <w:bCs/>
          <w:color w:val="auto"/>
          <w:sz w:val="32"/>
          <w:szCs w:val="32"/>
          <w:highlight w:val="none"/>
        </w:rPr>
        <w:t>决算数等于预算数的主要原因是</w:t>
      </w:r>
      <w:r>
        <w:rPr>
          <w:rStyle w:val="17"/>
          <w:rFonts w:hint="eastAsia" w:ascii="仿宋" w:hAnsi="仿宋" w:eastAsia="仿宋"/>
          <w:b w:val="0"/>
          <w:bCs/>
          <w:color w:val="auto"/>
          <w:sz w:val="32"/>
          <w:szCs w:val="32"/>
          <w:highlight w:val="none"/>
          <w:lang w:eastAsia="zh-CN"/>
        </w:rPr>
        <w:t>严格按年初预算进行资金支付。</w:t>
      </w:r>
    </w:p>
    <w:p>
      <w:pPr>
        <w:numPr>
          <w:ilvl w:val="0"/>
          <w:numId w:val="3"/>
        </w:numPr>
        <w:spacing w:line="600" w:lineRule="exact"/>
        <w:ind w:left="0" w:leftChars="0" w:firstLine="400" w:firstLineChars="0"/>
        <w:rPr>
          <w:rFonts w:hint="eastAsia"/>
          <w:lang w:eastAsia="zh-CN"/>
        </w:rPr>
      </w:pPr>
      <w:r>
        <w:rPr>
          <w:rStyle w:val="17"/>
          <w:rFonts w:hint="eastAsia" w:ascii="仿宋" w:hAnsi="仿宋" w:eastAsia="仿宋"/>
          <w:bCs/>
          <w:color w:val="auto"/>
          <w:sz w:val="32"/>
          <w:szCs w:val="32"/>
          <w:highlight w:val="none"/>
        </w:rPr>
        <w:t>社会保障和就业（类）</w:t>
      </w:r>
      <w:r>
        <w:rPr>
          <w:rStyle w:val="17"/>
          <w:rFonts w:hint="eastAsia" w:ascii="仿宋" w:hAnsi="仿宋" w:eastAsia="仿宋"/>
          <w:bCs/>
          <w:color w:val="auto"/>
          <w:sz w:val="32"/>
          <w:szCs w:val="32"/>
          <w:highlight w:val="none"/>
          <w:lang w:val="en-US" w:eastAsia="zh-CN"/>
        </w:rPr>
        <w:t>其他社会保障和就业支出</w:t>
      </w:r>
      <w:r>
        <w:rPr>
          <w:rStyle w:val="17"/>
          <w:rFonts w:hint="eastAsia" w:ascii="仿宋" w:hAnsi="仿宋" w:eastAsia="仿宋"/>
          <w:bCs/>
          <w:color w:val="auto"/>
          <w:sz w:val="32"/>
          <w:szCs w:val="32"/>
          <w:highlight w:val="none"/>
        </w:rPr>
        <w:t>（款）</w:t>
      </w:r>
      <w:r>
        <w:rPr>
          <w:rStyle w:val="17"/>
          <w:rFonts w:hint="eastAsia" w:ascii="仿宋" w:hAnsi="仿宋" w:eastAsia="仿宋"/>
          <w:bCs/>
          <w:color w:val="auto"/>
          <w:sz w:val="32"/>
          <w:szCs w:val="32"/>
          <w:highlight w:val="none"/>
          <w:lang w:val="en-US" w:eastAsia="zh-CN"/>
        </w:rPr>
        <w:t>其他社会保障和就业支出</w:t>
      </w:r>
      <w:r>
        <w:rPr>
          <w:rStyle w:val="17"/>
          <w:rFonts w:hint="eastAsia" w:ascii="仿宋" w:hAnsi="仿宋" w:eastAsia="仿宋"/>
          <w:bCs/>
          <w:color w:val="auto"/>
          <w:sz w:val="32"/>
          <w:szCs w:val="32"/>
          <w:highlight w:val="none"/>
        </w:rPr>
        <w:t>（项）</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0.25</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lang w:eastAsia="zh-CN"/>
        </w:rPr>
        <w:t>，</w:t>
      </w:r>
      <w:r>
        <w:rPr>
          <w:rStyle w:val="17"/>
          <w:rFonts w:hint="eastAsia" w:ascii="仿宋" w:hAnsi="仿宋" w:eastAsia="仿宋"/>
          <w:b w:val="0"/>
          <w:bCs/>
          <w:color w:val="auto"/>
          <w:sz w:val="32"/>
          <w:szCs w:val="32"/>
          <w:highlight w:val="none"/>
        </w:rPr>
        <w:t>决算数等于预算数的主要原因是</w:t>
      </w:r>
      <w:r>
        <w:rPr>
          <w:rStyle w:val="17"/>
          <w:rFonts w:hint="eastAsia" w:ascii="仿宋" w:hAnsi="仿宋" w:eastAsia="仿宋"/>
          <w:b w:val="0"/>
          <w:bCs/>
          <w:color w:val="auto"/>
          <w:sz w:val="32"/>
          <w:szCs w:val="32"/>
          <w:highlight w:val="none"/>
          <w:lang w:eastAsia="zh-CN"/>
        </w:rPr>
        <w:t>严格按年初预算进行资金支付。</w:t>
      </w:r>
    </w:p>
    <w:p>
      <w:pPr>
        <w:numPr>
          <w:ilvl w:val="0"/>
          <w:numId w:val="3"/>
        </w:numPr>
        <w:spacing w:line="600" w:lineRule="exact"/>
        <w:ind w:left="0" w:leftChars="0" w:firstLine="400" w:firstLineChars="0"/>
        <w:rPr>
          <w:rStyle w:val="17"/>
          <w:rFonts w:hint="eastAsia" w:ascii="仿宋" w:hAnsi="仿宋" w:eastAsia="仿宋"/>
          <w:b w:val="0"/>
          <w:bCs/>
          <w:color w:val="auto"/>
          <w:sz w:val="32"/>
          <w:szCs w:val="32"/>
          <w:highlight w:val="none"/>
          <w:lang w:eastAsia="zh-CN"/>
        </w:rPr>
      </w:pPr>
      <w:r>
        <w:rPr>
          <w:rFonts w:hint="eastAsia" w:ascii="仿宋" w:hAnsi="仿宋" w:eastAsia="仿宋"/>
          <w:b/>
          <w:bCs/>
          <w:color w:val="auto"/>
          <w:sz w:val="32"/>
          <w:szCs w:val="32"/>
          <w:highlight w:val="none"/>
        </w:rPr>
        <w:t>卫生健康</w:t>
      </w:r>
      <w:r>
        <w:rPr>
          <w:rStyle w:val="17"/>
          <w:rFonts w:hint="eastAsia" w:ascii="仿宋" w:hAnsi="仿宋" w:eastAsia="仿宋"/>
          <w:bCs/>
          <w:color w:val="auto"/>
          <w:sz w:val="32"/>
          <w:szCs w:val="32"/>
          <w:highlight w:val="none"/>
        </w:rPr>
        <w:t>（类）</w:t>
      </w:r>
      <w:r>
        <w:rPr>
          <w:rStyle w:val="17"/>
          <w:rFonts w:hint="eastAsia" w:ascii="仿宋" w:hAnsi="仿宋" w:eastAsia="仿宋"/>
          <w:bCs/>
          <w:color w:val="auto"/>
          <w:sz w:val="32"/>
          <w:szCs w:val="32"/>
          <w:highlight w:val="none"/>
          <w:lang w:val="en-US" w:eastAsia="zh-CN"/>
        </w:rPr>
        <w:t>行政事业单位医疗</w:t>
      </w:r>
      <w:r>
        <w:rPr>
          <w:rStyle w:val="17"/>
          <w:rFonts w:hint="eastAsia" w:ascii="仿宋" w:hAnsi="仿宋" w:eastAsia="仿宋"/>
          <w:bCs/>
          <w:color w:val="auto"/>
          <w:sz w:val="32"/>
          <w:szCs w:val="32"/>
          <w:highlight w:val="none"/>
        </w:rPr>
        <w:t>（款）</w:t>
      </w:r>
      <w:r>
        <w:rPr>
          <w:rStyle w:val="17"/>
          <w:rFonts w:hint="eastAsia" w:ascii="仿宋" w:hAnsi="仿宋" w:eastAsia="仿宋"/>
          <w:bCs/>
          <w:color w:val="auto"/>
          <w:sz w:val="32"/>
          <w:szCs w:val="32"/>
          <w:highlight w:val="none"/>
          <w:lang w:val="en-US" w:eastAsia="zh-CN"/>
        </w:rPr>
        <w:t>行政单位医疗</w:t>
      </w:r>
      <w:r>
        <w:rPr>
          <w:rStyle w:val="17"/>
          <w:rFonts w:hint="eastAsia" w:ascii="仿宋" w:hAnsi="仿宋" w:eastAsia="仿宋"/>
          <w:bCs/>
          <w:color w:val="auto"/>
          <w:sz w:val="32"/>
          <w:szCs w:val="32"/>
          <w:highlight w:val="none"/>
        </w:rPr>
        <w:t>（项）</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4.07</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，决算数等于预算数的主要原因是</w:t>
      </w:r>
      <w:r>
        <w:rPr>
          <w:rStyle w:val="17"/>
          <w:rFonts w:hint="eastAsia" w:ascii="仿宋" w:hAnsi="仿宋" w:eastAsia="仿宋"/>
          <w:b w:val="0"/>
          <w:bCs/>
          <w:color w:val="auto"/>
          <w:sz w:val="32"/>
          <w:szCs w:val="32"/>
          <w:highlight w:val="none"/>
          <w:lang w:eastAsia="zh-CN"/>
        </w:rPr>
        <w:t>严格按年初预算进行资金支付。</w:t>
      </w:r>
    </w:p>
    <w:p>
      <w:pPr>
        <w:numPr>
          <w:ilvl w:val="0"/>
          <w:numId w:val="3"/>
        </w:numPr>
        <w:spacing w:line="600" w:lineRule="exact"/>
        <w:ind w:left="0" w:leftChars="0" w:firstLine="400" w:firstLineChars="0"/>
        <w:rPr>
          <w:rFonts w:hint="eastAsia" w:ascii="黑体" w:eastAsia="黑体"/>
          <w:color w:val="auto"/>
          <w:sz w:val="32"/>
          <w:szCs w:val="32"/>
          <w:highlight w:val="none"/>
        </w:rPr>
      </w:pPr>
      <w:r>
        <w:rPr>
          <w:rFonts w:hint="eastAsia" w:ascii="仿宋" w:hAnsi="仿宋" w:eastAsia="仿宋"/>
          <w:b/>
          <w:bCs/>
          <w:color w:val="auto"/>
          <w:sz w:val="32"/>
          <w:szCs w:val="32"/>
          <w:highlight w:val="none"/>
          <w:lang w:val="en-US" w:eastAsia="zh-CN"/>
        </w:rPr>
        <w:t>住房保障支出</w:t>
      </w:r>
      <w:r>
        <w:rPr>
          <w:rStyle w:val="17"/>
          <w:rFonts w:hint="eastAsia" w:ascii="仿宋" w:hAnsi="仿宋" w:eastAsia="仿宋"/>
          <w:bCs/>
          <w:color w:val="auto"/>
          <w:sz w:val="32"/>
          <w:szCs w:val="32"/>
          <w:highlight w:val="none"/>
        </w:rPr>
        <w:t>（类）</w:t>
      </w:r>
      <w:r>
        <w:rPr>
          <w:rStyle w:val="17"/>
          <w:rFonts w:hint="eastAsia" w:ascii="仿宋" w:hAnsi="仿宋" w:eastAsia="仿宋"/>
          <w:bCs/>
          <w:color w:val="auto"/>
          <w:sz w:val="32"/>
          <w:szCs w:val="32"/>
          <w:highlight w:val="none"/>
          <w:lang w:val="en-US" w:eastAsia="zh-CN"/>
        </w:rPr>
        <w:t>住房改革支出</w:t>
      </w:r>
      <w:r>
        <w:rPr>
          <w:rStyle w:val="17"/>
          <w:rFonts w:hint="eastAsia" w:ascii="仿宋" w:hAnsi="仿宋" w:eastAsia="仿宋"/>
          <w:bCs/>
          <w:color w:val="auto"/>
          <w:sz w:val="32"/>
          <w:szCs w:val="32"/>
          <w:highlight w:val="none"/>
        </w:rPr>
        <w:t>（款）</w:t>
      </w:r>
      <w:r>
        <w:rPr>
          <w:rStyle w:val="17"/>
          <w:rFonts w:hint="eastAsia" w:ascii="仿宋" w:hAnsi="仿宋" w:eastAsia="仿宋"/>
          <w:bCs/>
          <w:color w:val="auto"/>
          <w:sz w:val="32"/>
          <w:szCs w:val="32"/>
          <w:highlight w:val="none"/>
          <w:lang w:val="en-US" w:eastAsia="zh-CN"/>
        </w:rPr>
        <w:t>住房公积金</w:t>
      </w:r>
      <w:r>
        <w:rPr>
          <w:rStyle w:val="17"/>
          <w:rFonts w:hint="eastAsia" w:ascii="仿宋" w:hAnsi="仿宋" w:eastAsia="仿宋"/>
          <w:bCs/>
          <w:color w:val="auto"/>
          <w:sz w:val="32"/>
          <w:szCs w:val="32"/>
          <w:highlight w:val="none"/>
        </w:rPr>
        <w:t>（项）</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12.77</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，决算数等于预算数的主要原因是</w:t>
      </w:r>
      <w:r>
        <w:rPr>
          <w:rStyle w:val="17"/>
          <w:rFonts w:hint="eastAsia" w:ascii="仿宋" w:hAnsi="仿宋" w:eastAsia="仿宋"/>
          <w:b w:val="0"/>
          <w:bCs/>
          <w:color w:val="auto"/>
          <w:sz w:val="32"/>
          <w:szCs w:val="32"/>
          <w:highlight w:val="none"/>
          <w:lang w:eastAsia="zh-CN"/>
        </w:rPr>
        <w:t>严格按年初预算进行资金支付。</w:t>
      </w:r>
      <w:bookmarkStart w:id="49" w:name="_Toc15396608"/>
      <w:bookmarkStart w:id="50" w:name="_Toc15377214"/>
    </w:p>
    <w:p>
      <w:pPr>
        <w:tabs>
          <w:tab w:val="right" w:pos="8306"/>
        </w:tabs>
        <w:spacing w:line="600" w:lineRule="exact"/>
        <w:ind w:firstLine="640"/>
        <w:outlineLvl w:val="1"/>
        <w:rPr>
          <w:rStyle w:val="20"/>
          <w:color w:val="auto"/>
          <w:highlight w:val="none"/>
        </w:rPr>
      </w:pPr>
      <w:bookmarkStart w:id="51" w:name="_Toc10460"/>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0"/>
          <w:rFonts w:hint="eastAsia" w:ascii="黑体" w:hAnsi="黑体" w:eastAsia="黑体"/>
          <w:b w:val="0"/>
          <w:color w:val="auto"/>
          <w:highlight w:val="none"/>
        </w:rPr>
        <w:t>般公共预算财政拨款基本支出决算情况说明</w:t>
      </w:r>
      <w:bookmarkEnd w:id="49"/>
      <w:bookmarkEnd w:id="50"/>
      <w:bookmarkEnd w:id="51"/>
      <w:r>
        <w:rPr>
          <w:rStyle w:val="20"/>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150.91</w:t>
      </w:r>
      <w:r>
        <w:rPr>
          <w:rFonts w:hint="eastAsia" w:ascii="仿宋" w:hAnsi="仿宋" w:eastAsia="仿宋"/>
          <w:color w:val="auto"/>
          <w:sz w:val="32"/>
          <w:szCs w:val="32"/>
          <w:highlight w:val="none"/>
        </w:rPr>
        <w:t>万元，其中：</w:t>
      </w:r>
    </w:p>
    <w:p>
      <w:pPr>
        <w:spacing w:line="600" w:lineRule="exact"/>
        <w:ind w:firstLine="645"/>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134.05</w:t>
      </w:r>
      <w:r>
        <w:rPr>
          <w:rFonts w:hint="eastAsia" w:ascii="仿宋" w:hAnsi="仿宋" w:eastAsia="仿宋"/>
          <w:color w:val="auto"/>
          <w:sz w:val="32"/>
          <w:szCs w:val="32"/>
          <w:highlight w:val="none"/>
        </w:rPr>
        <w:t>万元，主要包括：基本工资、津贴补贴、奖金、机关事业单位基本养老保险缴费、</w:t>
      </w:r>
      <w:r>
        <w:rPr>
          <w:rFonts w:hint="eastAsia" w:ascii="仿宋" w:hAnsi="仿宋" w:eastAsia="仿宋"/>
          <w:color w:val="auto"/>
          <w:sz w:val="32"/>
          <w:szCs w:val="32"/>
          <w:highlight w:val="none"/>
          <w:lang w:val="en-US" w:eastAsia="zh-CN"/>
        </w:rPr>
        <w:t>职工基本医疗保险缴费、</w:t>
      </w:r>
      <w:r>
        <w:rPr>
          <w:rFonts w:hint="eastAsia" w:ascii="仿宋" w:hAnsi="仿宋" w:eastAsia="仿宋"/>
          <w:color w:val="auto"/>
          <w:sz w:val="32"/>
          <w:szCs w:val="32"/>
          <w:highlight w:val="none"/>
        </w:rPr>
        <w:t>其他社会保障缴费、住房公积金。</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16.86</w:t>
      </w:r>
      <w:r>
        <w:rPr>
          <w:rFonts w:hint="eastAsia" w:ascii="仿宋" w:hAnsi="仿宋" w:eastAsia="仿宋"/>
          <w:color w:val="auto"/>
          <w:sz w:val="32"/>
          <w:szCs w:val="32"/>
          <w:highlight w:val="none"/>
        </w:rPr>
        <w:t>万元，主要包括：办公费、印刷费、手续费、水费、电费、邮电费、物业管理费、差旅费、会议费、公务接待费、工会经费、福利费、其他交通费</w:t>
      </w:r>
      <w:r>
        <w:rPr>
          <w:rFonts w:hint="eastAsia" w:ascii="仿宋" w:hAnsi="仿宋" w:eastAsia="仿宋"/>
          <w:color w:val="auto"/>
          <w:sz w:val="32"/>
          <w:szCs w:val="32"/>
          <w:highlight w:val="none"/>
          <w:lang w:val="en-US" w:eastAsia="zh-CN"/>
        </w:rPr>
        <w:t>用</w:t>
      </w:r>
      <w:r>
        <w:rPr>
          <w:rFonts w:hint="eastAsia" w:ascii="仿宋" w:hAnsi="仿宋" w:eastAsia="仿宋"/>
          <w:color w:val="auto"/>
          <w:sz w:val="32"/>
          <w:szCs w:val="32"/>
          <w:highlight w:val="none"/>
        </w:rPr>
        <w:t>。</w:t>
      </w:r>
    </w:p>
    <w:p>
      <w:pPr>
        <w:spacing w:line="600" w:lineRule="exact"/>
        <w:ind w:firstLine="640"/>
        <w:outlineLvl w:val="1"/>
        <w:rPr>
          <w:rStyle w:val="20"/>
          <w:rFonts w:ascii="黑体" w:hAnsi="黑体" w:eastAsia="黑体"/>
          <w:b w:val="0"/>
          <w:color w:val="auto"/>
          <w:highlight w:val="none"/>
        </w:rPr>
      </w:pPr>
      <w:bookmarkStart w:id="52" w:name="_Toc6196"/>
      <w:bookmarkStart w:id="53" w:name="_Toc15377215"/>
      <w:bookmarkStart w:id="54" w:name="_Toc15396609"/>
      <w:r>
        <w:rPr>
          <w:rFonts w:hint="eastAsia" w:ascii="黑体" w:eastAsia="黑体"/>
          <w:color w:val="auto"/>
          <w:sz w:val="32"/>
          <w:szCs w:val="32"/>
          <w:highlight w:val="none"/>
        </w:rPr>
        <w:t>七、</w:t>
      </w:r>
      <w:r>
        <w:rPr>
          <w:rStyle w:val="20"/>
          <w:rFonts w:hint="eastAsia" w:ascii="黑体" w:hAnsi="黑体" w:eastAsia="黑体"/>
          <w:b w:val="0"/>
          <w:color w:val="auto"/>
          <w:highlight w:val="none"/>
        </w:rPr>
        <w:t>财政拨款</w:t>
      </w:r>
      <w:r>
        <w:rPr>
          <w:rStyle w:val="20"/>
          <w:rFonts w:hint="eastAsia" w:ascii="黑体" w:hAnsi="黑体" w:eastAsia="黑体"/>
          <w:color w:val="auto"/>
          <w:highlight w:val="none"/>
        </w:rPr>
        <w:t>“</w:t>
      </w:r>
      <w:r>
        <w:rPr>
          <w:rStyle w:val="20"/>
          <w:rFonts w:hint="eastAsia" w:ascii="黑体" w:hAnsi="黑体" w:eastAsia="黑体"/>
          <w:b w:val="0"/>
          <w:color w:val="auto"/>
          <w:highlight w:val="none"/>
        </w:rPr>
        <w:t>三公”经费支出决算情况说明</w:t>
      </w:r>
      <w:bookmarkEnd w:id="52"/>
      <w:bookmarkEnd w:id="53"/>
      <w:bookmarkEnd w:id="54"/>
    </w:p>
    <w:p>
      <w:pPr>
        <w:spacing w:line="600" w:lineRule="exact"/>
        <w:ind w:firstLine="640"/>
        <w:outlineLvl w:val="2"/>
        <w:rPr>
          <w:rFonts w:ascii="仿宋" w:hAnsi="仿宋" w:eastAsia="仿宋"/>
          <w:b/>
          <w:color w:val="auto"/>
          <w:sz w:val="32"/>
          <w:szCs w:val="32"/>
          <w:highlight w:val="none"/>
        </w:rPr>
      </w:pPr>
      <w:bookmarkStart w:id="55" w:name="_Toc15377216"/>
      <w:r>
        <w:rPr>
          <w:rFonts w:hint="eastAsia" w:ascii="仿宋" w:hAnsi="仿宋" w:eastAsia="仿宋"/>
          <w:b/>
          <w:color w:val="auto"/>
          <w:sz w:val="32"/>
          <w:szCs w:val="32"/>
          <w:highlight w:val="none"/>
        </w:rPr>
        <w:t>（一）“三公”经费财政拨款支出决算总体情况说明</w:t>
      </w:r>
      <w:bookmarkEnd w:id="55"/>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0.54</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减少0.06万元，下降10%。</w:t>
      </w:r>
      <w:r>
        <w:rPr>
          <w:rFonts w:hint="eastAsia" w:ascii="仿宋" w:hAnsi="仿宋" w:eastAsia="仿宋"/>
          <w:color w:val="auto"/>
          <w:sz w:val="32"/>
          <w:szCs w:val="32"/>
          <w:highlight w:val="none"/>
        </w:rPr>
        <w:t>决算数与预算数持平的主要原因是</w:t>
      </w:r>
      <w:r>
        <w:rPr>
          <w:rFonts w:hint="eastAsia" w:ascii="仿宋" w:hAnsi="仿宋" w:eastAsia="仿宋"/>
          <w:color w:val="auto"/>
          <w:sz w:val="32"/>
          <w:szCs w:val="32"/>
          <w:highlight w:val="none"/>
          <w:lang w:val="en-US" w:eastAsia="zh-CN"/>
        </w:rPr>
        <w:t>厉行节约，严格按照预算执行</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56" w:name="_Toc15377217"/>
      <w:r>
        <w:rPr>
          <w:rFonts w:hint="eastAsia" w:ascii="仿宋" w:hAnsi="仿宋" w:eastAsia="仿宋"/>
          <w:b/>
          <w:color w:val="auto"/>
          <w:sz w:val="32"/>
          <w:szCs w:val="32"/>
          <w:highlight w:val="none"/>
        </w:rPr>
        <w:t>（二）“三公”经费财政拨款支出决算具体情况说明</w:t>
      </w:r>
      <w:bookmarkEnd w:id="56"/>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0.54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
      </w:pPr>
      <w:r>
        <w:drawing>
          <wp:inline distT="0" distB="0" distL="114300" distR="114300">
            <wp:extent cx="4017645" cy="1591945"/>
            <wp:effectExtent l="4445" t="5080" r="16510" b="22225"/>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jc w:val="both"/>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spacing w:line="600" w:lineRule="exact"/>
        <w:ind w:firstLine="640"/>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7"/>
          <w:rFonts w:hint="eastAsia" w:ascii="仿宋" w:hAnsi="仿宋" w:eastAsia="仿宋"/>
          <w:b w:val="0"/>
          <w:bCs/>
          <w:color w:val="auto"/>
          <w:sz w:val="32"/>
          <w:szCs w:val="32"/>
          <w:highlight w:val="none"/>
          <w:lang w:val="en-US" w:eastAsia="zh-CN"/>
        </w:rPr>
        <w:t>年初未安排预算。</w:t>
      </w:r>
      <w:r>
        <w:rPr>
          <w:rFonts w:hint="eastAsia" w:ascii="仿宋_GB2312" w:eastAsia="仿宋_GB2312"/>
          <w:color w:val="auto"/>
          <w:sz w:val="32"/>
          <w:szCs w:val="32"/>
          <w:highlight w:val="none"/>
        </w:rPr>
        <w:t>因公出国（境）支出决算</w:t>
      </w:r>
      <w:r>
        <w:rPr>
          <w:rFonts w:hint="eastAsia" w:ascii="仿宋_GB2312" w:eastAsia="仿宋_GB2312"/>
          <w:color w:val="auto"/>
          <w:sz w:val="32"/>
          <w:szCs w:val="32"/>
          <w:highlight w:val="none"/>
          <w:lang w:val="en-US" w:eastAsia="zh-CN"/>
        </w:rPr>
        <w:t>较2021年无变化</w:t>
      </w:r>
      <w:r>
        <w:rPr>
          <w:rFonts w:hint="eastAsia" w:ascii="仿宋_GB2312" w:eastAsia="仿宋_GB2312"/>
          <w:color w:val="auto"/>
          <w:sz w:val="32"/>
          <w:szCs w:val="32"/>
          <w:highlight w:val="none"/>
          <w:lang w:eastAsia="zh-CN"/>
        </w:rPr>
        <w:t>。</w:t>
      </w:r>
    </w:p>
    <w:p>
      <w:pPr>
        <w:spacing w:line="600" w:lineRule="exact"/>
        <w:ind w:firstLine="640"/>
        <w:rPr>
          <w:rFonts w:hint="default"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7"/>
          <w:rFonts w:hint="eastAsia" w:ascii="仿宋" w:hAnsi="仿宋" w:eastAsia="仿宋"/>
          <w:b w:val="0"/>
          <w:bCs/>
          <w:color w:val="auto"/>
          <w:sz w:val="32"/>
          <w:szCs w:val="32"/>
          <w:highlight w:val="none"/>
          <w:lang w:val="en-US" w:eastAsia="zh-CN"/>
        </w:rPr>
        <w:t>年初未安排预算。</w:t>
      </w:r>
      <w:r>
        <w:rPr>
          <w:rFonts w:hint="eastAsia" w:ascii="仿宋_GB2312" w:eastAsia="仿宋_GB2312"/>
          <w:color w:val="auto"/>
          <w:sz w:val="32"/>
          <w:szCs w:val="32"/>
          <w:highlight w:val="none"/>
        </w:rPr>
        <w:t>因公出国（境）支出决算</w:t>
      </w:r>
      <w:r>
        <w:rPr>
          <w:rFonts w:hint="eastAsia" w:ascii="仿宋_GB2312" w:eastAsia="仿宋_GB2312"/>
          <w:color w:val="auto"/>
          <w:sz w:val="32"/>
          <w:szCs w:val="32"/>
          <w:highlight w:val="none"/>
          <w:lang w:val="en-US" w:eastAsia="zh-CN"/>
        </w:rPr>
        <w:t>较2021年无变化</w:t>
      </w:r>
      <w:r>
        <w:rPr>
          <w:rFonts w:hint="eastAsia" w:ascii="仿宋_GB2312" w:eastAsia="仿宋_GB2312"/>
          <w:color w:val="auto"/>
          <w:sz w:val="32"/>
          <w:szCs w:val="32"/>
          <w:highlight w:val="none"/>
          <w:lang w:eastAsia="zh-CN"/>
        </w:rPr>
        <w:t>。</w:t>
      </w:r>
      <w:r>
        <w:rPr>
          <w:rFonts w:hint="default" w:ascii="仿宋_GB2312" w:eastAsia="仿宋_GB2312"/>
          <w:color w:val="auto"/>
          <w:sz w:val="32"/>
          <w:szCs w:val="32"/>
          <w:highlight w:val="none"/>
          <w:lang w:eastAsia="zh-CN"/>
        </w:rPr>
        <w:t>截至2022年12月底我单位无公务用车。</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0.54</w:t>
      </w:r>
      <w:r>
        <w:rPr>
          <w:rFonts w:hint="eastAsia" w:ascii="仿宋_GB2312" w:eastAsia="仿宋_GB2312"/>
          <w:color w:val="auto"/>
          <w:sz w:val="32"/>
          <w:szCs w:val="32"/>
          <w:highlight w:val="none"/>
        </w:rPr>
        <w:t>万元，</w:t>
      </w:r>
      <w:r>
        <w:rPr>
          <w:rStyle w:val="17"/>
          <w:rFonts w:hint="eastAsia" w:ascii="仿宋" w:hAnsi="仿宋" w:eastAsia="仿宋"/>
          <w:b w:val="0"/>
          <w:bCs/>
          <w:color w:val="auto"/>
          <w:sz w:val="32"/>
          <w:szCs w:val="32"/>
          <w:highlight w:val="none"/>
        </w:rPr>
        <w:t>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0.06</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10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本年度减少接待事宜</w:t>
      </w:r>
      <w:r>
        <w:rPr>
          <w:rFonts w:hint="eastAsia" w:ascii="仿宋_GB2312" w:eastAsia="仿宋_GB2312"/>
          <w:color w:val="auto"/>
          <w:sz w:val="32"/>
          <w:szCs w:val="32"/>
          <w:highlight w:val="none"/>
        </w:rPr>
        <w:t>。其中：</w:t>
      </w:r>
    </w:p>
    <w:p>
      <w:pPr>
        <w:spacing w:line="600" w:lineRule="exact"/>
        <w:ind w:firstLine="640"/>
        <w:rPr>
          <w:rFonts w:hint="eastAsia" w:ascii="仿宋_GB2312" w:eastAsia="仿宋_GB2312"/>
          <w:color w:val="auto"/>
          <w:sz w:val="32"/>
          <w:szCs w:val="32"/>
          <w:highlight w:val="none"/>
          <w:lang w:val="en-US" w:eastAsia="zh-CN"/>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0.54</w:t>
      </w:r>
      <w:r>
        <w:rPr>
          <w:rFonts w:hint="eastAsia" w:ascii="仿宋_GB2312" w:eastAsia="仿宋_GB2312"/>
          <w:color w:val="auto"/>
          <w:sz w:val="32"/>
          <w:szCs w:val="32"/>
          <w:highlight w:val="none"/>
        </w:rPr>
        <w:t>万元，主要用于开展业务活动开支的用餐费</w:t>
      </w:r>
      <w:r>
        <w:rPr>
          <w:rFonts w:hint="eastAsia" w:ascii="仿宋_GB2312" w:eastAsia="仿宋_GB2312"/>
          <w:color w:val="auto"/>
          <w:sz w:val="32"/>
          <w:szCs w:val="32"/>
          <w:highlight w:val="none"/>
          <w:lang w:val="en-US" w:eastAsia="zh-CN"/>
        </w:rPr>
        <w:t>用</w:t>
      </w:r>
      <w:r>
        <w:rPr>
          <w:rFonts w:hint="eastAsia" w:ascii="仿宋_GB2312" w:eastAsia="仿宋_GB2312"/>
          <w:color w:val="auto"/>
          <w:sz w:val="32"/>
          <w:szCs w:val="32"/>
          <w:highlight w:val="none"/>
        </w:rPr>
        <w:t>。国内公务接待</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50</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0.54</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val="en-US" w:eastAsia="zh-CN"/>
        </w:rPr>
        <w:t>开展文艺活动接待用餐等。</w:t>
      </w:r>
    </w:p>
    <w:p>
      <w:pPr>
        <w:keepNext w:val="0"/>
        <w:keepLines w:val="0"/>
        <w:widowControl w:val="0"/>
        <w:suppressLineNumbers w:val="0"/>
        <w:spacing w:before="0" w:beforeAutospacing="0" w:after="0" w:afterAutospacing="0" w:line="600" w:lineRule="exact"/>
        <w:ind w:left="0" w:right="0" w:firstLine="643" w:firstLineChars="200"/>
        <w:jc w:val="both"/>
        <w:rPr>
          <w:rFonts w:hint="default"/>
          <w:lang w:val="en-US" w:eastAsia="zh-CN"/>
        </w:rPr>
      </w:pPr>
      <w:r>
        <w:rPr>
          <w:rFonts w:hint="eastAsia" w:ascii="仿宋" w:hAnsi="仿宋" w:eastAsia="仿宋" w:cs="仿宋"/>
          <w:b/>
          <w:bCs w:val="0"/>
          <w:kern w:val="2"/>
          <w:sz w:val="32"/>
          <w:szCs w:val="32"/>
          <w:lang w:val="en-US" w:eastAsia="zh-CN" w:bidi="ar"/>
        </w:rPr>
        <w:t>外事接待支出</w:t>
      </w:r>
      <w:r>
        <w:rPr>
          <w:rFonts w:hint="eastAsia" w:ascii="仿宋" w:hAnsi="仿宋" w:eastAsia="仿宋" w:cs="仿宋"/>
          <w:kern w:val="2"/>
          <w:sz w:val="32"/>
          <w:szCs w:val="32"/>
          <w:lang w:val="en-US" w:eastAsia="zh-CN" w:bidi="ar"/>
        </w:rPr>
        <w:t>0</w:t>
      </w:r>
      <w:r>
        <w:rPr>
          <w:rFonts w:hint="default" w:ascii="仿宋_GB2312" w:hAnsi="Times New Roman" w:eastAsia="仿宋_GB2312" w:cs="仿宋_GB2312"/>
          <w:kern w:val="2"/>
          <w:sz w:val="32"/>
          <w:szCs w:val="32"/>
          <w:lang w:val="en-US" w:eastAsia="zh-CN" w:bidi="ar"/>
        </w:rPr>
        <w:t>万元，外事接待0批次，0人次，共计支出0万元。</w:t>
      </w:r>
    </w:p>
    <w:p>
      <w:pPr>
        <w:spacing w:line="600" w:lineRule="exact"/>
        <w:ind w:firstLine="640"/>
        <w:outlineLvl w:val="1"/>
        <w:rPr>
          <w:rStyle w:val="20"/>
          <w:rFonts w:ascii="黑体" w:hAnsi="黑体" w:eastAsia="黑体"/>
          <w:color w:val="auto"/>
          <w:highlight w:val="none"/>
        </w:rPr>
      </w:pPr>
      <w:bookmarkStart w:id="57" w:name="_Toc29857"/>
      <w:bookmarkStart w:id="58" w:name="_Toc15396610"/>
      <w:bookmarkStart w:id="59" w:name="_Toc15377218"/>
      <w:r>
        <w:rPr>
          <w:rFonts w:hint="eastAsia" w:ascii="黑体" w:eastAsia="黑体"/>
          <w:color w:val="auto"/>
          <w:sz w:val="32"/>
          <w:szCs w:val="32"/>
          <w:highlight w:val="none"/>
        </w:rPr>
        <w:t>八、</w:t>
      </w:r>
      <w:r>
        <w:rPr>
          <w:rStyle w:val="20"/>
          <w:rFonts w:hint="eastAsia" w:ascii="黑体" w:hAnsi="黑体" w:eastAsia="黑体"/>
          <w:b w:val="0"/>
          <w:color w:val="auto"/>
          <w:highlight w:val="none"/>
        </w:rPr>
        <w:t>政府性基金预算支出决算情况说明</w:t>
      </w:r>
      <w:bookmarkEnd w:id="57"/>
      <w:bookmarkEnd w:id="58"/>
      <w:bookmarkEnd w:id="59"/>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4"/>
        </w:numPr>
        <w:spacing w:line="600" w:lineRule="exact"/>
        <w:ind w:firstLine="640"/>
        <w:outlineLvl w:val="1"/>
        <w:rPr>
          <w:rStyle w:val="20"/>
          <w:rFonts w:ascii="黑体" w:hAnsi="黑体" w:eastAsia="黑体"/>
          <w:b w:val="0"/>
          <w:color w:val="auto"/>
          <w:highlight w:val="none"/>
        </w:rPr>
      </w:pPr>
      <w:bookmarkStart w:id="60" w:name="_Toc12270"/>
      <w:bookmarkStart w:id="61" w:name="_Toc15377219"/>
      <w:bookmarkStart w:id="62" w:name="_Toc15396611"/>
      <w:r>
        <w:rPr>
          <w:rStyle w:val="20"/>
          <w:rFonts w:hint="eastAsia" w:ascii="黑体" w:hAnsi="黑体" w:eastAsia="黑体"/>
          <w:b w:val="0"/>
          <w:color w:val="auto"/>
          <w:highlight w:val="none"/>
        </w:rPr>
        <w:t>国有资本经营预算支出决算情况说明</w:t>
      </w:r>
      <w:bookmarkEnd w:id="60"/>
      <w:bookmarkEnd w:id="61"/>
      <w:bookmarkEnd w:id="62"/>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4"/>
        </w:numPr>
        <w:spacing w:line="600" w:lineRule="exact"/>
        <w:ind w:firstLine="640"/>
        <w:outlineLvl w:val="1"/>
        <w:rPr>
          <w:rStyle w:val="20"/>
          <w:rFonts w:hint="eastAsia" w:ascii="黑体" w:hAnsi="黑体" w:eastAsia="黑体"/>
          <w:b w:val="0"/>
          <w:color w:val="auto"/>
          <w:highlight w:val="none"/>
        </w:rPr>
      </w:pPr>
      <w:bookmarkStart w:id="63" w:name="_Toc15377221"/>
      <w:bookmarkStart w:id="64" w:name="_Toc23668"/>
      <w:bookmarkStart w:id="65" w:name="_Toc15396612"/>
      <w:r>
        <w:rPr>
          <w:rStyle w:val="20"/>
          <w:rFonts w:hint="eastAsia" w:ascii="黑体" w:hAnsi="黑体" w:eastAsia="黑体"/>
          <w:b w:val="0"/>
          <w:color w:val="auto"/>
          <w:highlight w:val="none"/>
        </w:rPr>
        <w:t>其他重要事项的情况说明</w:t>
      </w:r>
      <w:bookmarkEnd w:id="63"/>
      <w:bookmarkEnd w:id="64"/>
      <w:bookmarkEnd w:id="65"/>
    </w:p>
    <w:p>
      <w:pPr>
        <w:spacing w:line="600" w:lineRule="exact"/>
        <w:ind w:firstLine="643" w:firstLineChars="200"/>
        <w:outlineLvl w:val="2"/>
        <w:rPr>
          <w:rFonts w:ascii="仿宋" w:hAnsi="仿宋" w:eastAsia="仿宋"/>
          <w:color w:val="auto"/>
          <w:sz w:val="32"/>
          <w:szCs w:val="32"/>
          <w:highlight w:val="none"/>
        </w:rPr>
      </w:pPr>
      <w:bookmarkStart w:id="66" w:name="_Toc15377222"/>
      <w:r>
        <w:rPr>
          <w:rFonts w:hint="eastAsia" w:ascii="仿宋" w:hAnsi="仿宋" w:eastAsia="仿宋"/>
          <w:b/>
          <w:color w:val="auto"/>
          <w:sz w:val="32"/>
          <w:szCs w:val="32"/>
          <w:highlight w:val="none"/>
        </w:rPr>
        <w:t>（一）机关运行经费支出情况</w:t>
      </w:r>
      <w:bookmarkEnd w:id="66"/>
    </w:p>
    <w:p>
      <w:pPr>
        <w:spacing w:line="600" w:lineRule="exact"/>
        <w:ind w:firstLine="64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未发生机关运行经费16.86万元，与2021年决算数相比减少4.07万元，其主要原因是厉行节约，减少机关运行开支。</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7" w:name="_Toc15377223"/>
      <w:r>
        <w:rPr>
          <w:rFonts w:hint="eastAsia" w:ascii="仿宋" w:hAnsi="仿宋" w:eastAsia="仿宋"/>
          <w:b/>
          <w:color w:val="auto"/>
          <w:sz w:val="32"/>
          <w:szCs w:val="32"/>
          <w:highlight w:val="none"/>
        </w:rPr>
        <w:t>（二）政府采购支出情况</w:t>
      </w:r>
      <w:bookmarkEnd w:id="67"/>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广元市文学艺术界联合会</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8" w:name="_Toc15377224"/>
      <w:r>
        <w:rPr>
          <w:rFonts w:hint="eastAsia" w:ascii="仿宋" w:hAnsi="仿宋" w:eastAsia="仿宋"/>
          <w:b/>
          <w:color w:val="auto"/>
          <w:sz w:val="32"/>
          <w:szCs w:val="32"/>
          <w:highlight w:val="none"/>
        </w:rPr>
        <w:t>（三）国有资产占有使用情况</w:t>
      </w:r>
      <w:bookmarkEnd w:id="68"/>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广元市文学艺术界联合会</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default" w:ascii="仿宋_GB2312" w:eastAsia="仿宋_GB2312"/>
          <w:color w:val="auto"/>
          <w:sz w:val="32"/>
          <w:szCs w:val="32"/>
          <w:highlight w:val="none"/>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8"/>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年度预算编制阶段，组织对重大主题文艺活动“</w:t>
      </w:r>
      <w:r>
        <w:rPr>
          <w:rFonts w:hint="eastAsia"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三下乡</w:t>
      </w:r>
      <w:r>
        <w:rPr>
          <w:rFonts w:hint="default"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及文艺志愿服务活动经费</w:t>
      </w:r>
      <w:r>
        <w:rPr>
          <w:rFonts w:hint="eastAsia" w:hAnsi="仿宋_GB2312" w:cs="仿宋_GB2312"/>
          <w:color w:val="auto"/>
          <w:sz w:val="32"/>
          <w:szCs w:val="32"/>
          <w:highlight w:val="none"/>
          <w:lang w:eastAsia="zh-CN"/>
        </w:rPr>
        <w:t>、春节活动、公共文化服务体系建设补助资金”</w:t>
      </w:r>
      <w:r>
        <w:rPr>
          <w:rFonts w:hint="eastAsia" w:ascii="仿宋_GB2312" w:hAnsi="仿宋_GB2312" w:eastAsia="仿宋_GB2312" w:cs="仿宋_GB2312"/>
          <w:color w:val="auto"/>
          <w:sz w:val="32"/>
          <w:szCs w:val="32"/>
          <w:highlight w:val="none"/>
        </w:rPr>
        <w:t>项目</w:t>
      </w:r>
      <w:r>
        <w:rPr>
          <w:rFonts w:hint="eastAsia"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5"/>
        </w:numPr>
        <w:spacing w:line="600" w:lineRule="exact"/>
        <w:ind w:firstLine="660" w:firstLineChars="150"/>
        <w:jc w:val="center"/>
        <w:outlineLvl w:val="0"/>
        <w:rPr>
          <w:rStyle w:val="19"/>
          <w:rFonts w:ascii="黑体" w:hAnsi="黑体" w:eastAsia="黑体"/>
          <w:b w:val="0"/>
          <w:color w:val="auto"/>
          <w:highlight w:val="none"/>
        </w:rPr>
      </w:pPr>
      <w:bookmarkStart w:id="69" w:name="_Toc2828"/>
      <w:bookmarkStart w:id="70" w:name="_Toc15396613"/>
      <w:bookmarkStart w:id="71" w:name="_Toc15377225"/>
      <w:r>
        <w:rPr>
          <w:rFonts w:hint="eastAsia" w:ascii="黑体" w:hAnsi="黑体" w:eastAsia="黑体"/>
          <w:color w:val="auto"/>
          <w:sz w:val="44"/>
          <w:szCs w:val="44"/>
          <w:highlight w:val="none"/>
        </w:rPr>
        <w:t>名</w:t>
      </w:r>
      <w:r>
        <w:rPr>
          <w:rStyle w:val="19"/>
          <w:rFonts w:hint="eastAsia" w:ascii="黑体" w:hAnsi="黑体" w:eastAsia="黑体"/>
          <w:b w:val="0"/>
          <w:color w:val="auto"/>
          <w:highlight w:val="none"/>
        </w:rPr>
        <w:t>词解释</w:t>
      </w:r>
      <w:bookmarkEnd w:id="69"/>
      <w:bookmarkEnd w:id="70"/>
      <w:bookmarkEnd w:id="71"/>
    </w:p>
    <w:p>
      <w:pPr>
        <w:spacing w:line="600" w:lineRule="exact"/>
        <w:jc w:val="left"/>
        <w:rPr>
          <w:rFonts w:ascii="宋体"/>
          <w:b/>
          <w:color w:val="auto"/>
          <w:sz w:val="44"/>
          <w:szCs w:val="44"/>
          <w:highlight w:val="none"/>
        </w:rPr>
      </w:pPr>
    </w:p>
    <w:p>
      <w:pPr>
        <w:pStyle w:val="28"/>
        <w:numPr>
          <w:ilvl w:val="0"/>
          <w:numId w:val="6"/>
        </w:numP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财政拨款收入：指单位从同级财政部门取得的财政预算资金。</w:t>
      </w:r>
    </w:p>
    <w:p>
      <w:pPr>
        <w:pStyle w:val="28"/>
        <w:numPr>
          <w:ilvl w:val="0"/>
          <w:numId w:val="6"/>
        </w:numP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其他收入：</w:t>
      </w:r>
      <w:r>
        <w:rPr>
          <w:rFonts w:hint="eastAsia" w:ascii="仿宋_GB2312" w:hAnsi="仿宋_GB2312" w:eastAsia="仿宋_GB2312" w:cs="仿宋_GB2312"/>
          <w:sz w:val="32"/>
          <w:szCs w:val="32"/>
        </w:rPr>
        <w:t>指单位取得的除上述收入以外的各项收入。主要是中宣部、省委宣传部拨款收入等。</w:t>
      </w:r>
    </w:p>
    <w:p>
      <w:pPr>
        <w:pStyle w:val="28"/>
        <w:numPr>
          <w:ilvl w:val="0"/>
          <w:numId w:val="6"/>
        </w:numP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年初结转和结余：</w:t>
      </w:r>
      <w:r>
        <w:rPr>
          <w:rFonts w:hint="eastAsia" w:ascii="仿宋_GB2312" w:hAnsi="仿宋_GB2312" w:eastAsia="仿宋_GB2312" w:cs="仿宋_GB2312"/>
          <w:sz w:val="32"/>
          <w:szCs w:val="32"/>
        </w:rPr>
        <w:t>指以前年度尚未完成、结转到本年按有关规定继续使用的资金。</w:t>
      </w:r>
    </w:p>
    <w:p>
      <w:pPr>
        <w:numPr>
          <w:ilvl w:val="0"/>
          <w:numId w:val="6"/>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一般公共服务（类）</w:t>
      </w:r>
      <w:r>
        <w:rPr>
          <w:rFonts w:hint="eastAsia" w:ascii="仿宋_GB2312" w:hAnsi="仿宋_GB2312" w:eastAsia="仿宋_GB2312" w:cs="仿宋_GB2312"/>
          <w:sz w:val="32"/>
          <w:szCs w:val="32"/>
        </w:rPr>
        <w:t>群众团体事务</w:t>
      </w:r>
      <w:r>
        <w:rPr>
          <w:rFonts w:hint="eastAsia" w:ascii="仿宋_GB2312" w:eastAsia="仿宋_GB2312"/>
          <w:color w:val="auto"/>
          <w:sz w:val="32"/>
          <w:szCs w:val="32"/>
          <w:highlight w:val="none"/>
        </w:rPr>
        <w:t>（款）</w:t>
      </w:r>
      <w:r>
        <w:rPr>
          <w:rFonts w:hint="eastAsia" w:ascii="仿宋_GB2312" w:hAnsi="仿宋_GB2312" w:eastAsia="仿宋_GB2312" w:cs="仿宋_GB2312"/>
          <w:sz w:val="32"/>
          <w:szCs w:val="32"/>
        </w:rPr>
        <w:t>行政运行</w:t>
      </w:r>
      <w:r>
        <w:rPr>
          <w:rFonts w:hint="eastAsia" w:ascii="仿宋_GB2312" w:eastAsia="仿宋_GB2312"/>
          <w:color w:val="auto"/>
          <w:sz w:val="32"/>
          <w:szCs w:val="32"/>
          <w:highlight w:val="none"/>
        </w:rPr>
        <w:t>（项）：指</w:t>
      </w:r>
      <w:r>
        <w:rPr>
          <w:rFonts w:hint="eastAsia" w:ascii="仿宋_GB2312" w:hAnsi="仿宋_GB2312" w:eastAsia="仿宋_GB2312" w:cs="仿宋_GB2312"/>
          <w:sz w:val="32"/>
          <w:szCs w:val="32"/>
        </w:rPr>
        <w:t>反映行政单位（包括实行公务员管理的事业单位）的基本支出</w:t>
      </w:r>
      <w:r>
        <w:rPr>
          <w:rFonts w:hint="eastAsia" w:ascii="仿宋_GB2312" w:eastAsia="仿宋_GB2312"/>
          <w:color w:val="auto"/>
          <w:sz w:val="32"/>
          <w:szCs w:val="32"/>
          <w:highlight w:val="none"/>
        </w:rPr>
        <w:t>。</w:t>
      </w:r>
    </w:p>
    <w:p>
      <w:pPr>
        <w:numPr>
          <w:ilvl w:val="0"/>
          <w:numId w:val="6"/>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一般公共服务（类）</w:t>
      </w:r>
      <w:r>
        <w:rPr>
          <w:rFonts w:hint="eastAsia" w:ascii="仿宋_GB2312" w:hAnsi="仿宋_GB2312" w:eastAsia="仿宋_GB2312" w:cs="仿宋_GB2312"/>
          <w:sz w:val="32"/>
          <w:szCs w:val="32"/>
        </w:rPr>
        <w:t>群众团体事务</w:t>
      </w:r>
      <w:r>
        <w:rPr>
          <w:rFonts w:hint="eastAsia" w:ascii="仿宋_GB2312" w:eastAsia="仿宋_GB2312"/>
          <w:color w:val="auto"/>
          <w:sz w:val="32"/>
          <w:szCs w:val="32"/>
          <w:highlight w:val="none"/>
        </w:rPr>
        <w:t>（款）</w:t>
      </w:r>
      <w:r>
        <w:rPr>
          <w:rFonts w:hint="eastAsia" w:ascii="仿宋_GB2312" w:hAnsi="仿宋_GB2312" w:eastAsia="仿宋_GB2312" w:cs="仿宋_GB2312"/>
          <w:sz w:val="32"/>
          <w:szCs w:val="32"/>
        </w:rPr>
        <w:t>一般行政管理事务</w:t>
      </w:r>
      <w:r>
        <w:rPr>
          <w:rFonts w:hint="eastAsia" w:ascii="仿宋_GB2312" w:eastAsia="仿宋_GB2312"/>
          <w:color w:val="auto"/>
          <w:sz w:val="32"/>
          <w:szCs w:val="32"/>
          <w:highlight w:val="none"/>
        </w:rPr>
        <w:t>（项）：</w:t>
      </w:r>
      <w:r>
        <w:rPr>
          <w:rFonts w:hint="eastAsia" w:ascii="仿宋_GB2312" w:hAnsi="仿宋_GB2312" w:eastAsia="仿宋_GB2312" w:cs="仿宋_GB2312"/>
          <w:sz w:val="32"/>
          <w:szCs w:val="32"/>
        </w:rPr>
        <w:t>反映行政单位（包括实行公务员管理的事业单位）未单独设置项级科目的其他项目支出。</w:t>
      </w:r>
    </w:p>
    <w:p>
      <w:pPr>
        <w:numPr>
          <w:ilvl w:val="0"/>
          <w:numId w:val="6"/>
        </w:numPr>
        <w:ind w:left="0" w:leftChars="0" w:firstLine="400" w:firstLineChars="0"/>
        <w:rPr>
          <w:rFonts w:ascii="仿宋_GB2312" w:eastAsia="仿宋_GB2312"/>
          <w:color w:val="auto"/>
          <w:sz w:val="32"/>
          <w:szCs w:val="32"/>
          <w:highlight w:val="none"/>
        </w:rPr>
      </w:pPr>
      <w:r>
        <w:rPr>
          <w:rFonts w:hint="eastAsia" w:ascii="仿宋_GB2312" w:hAnsi="仿宋_GB2312" w:eastAsia="仿宋_GB2312" w:cs="仿宋_GB2312"/>
          <w:sz w:val="32"/>
          <w:szCs w:val="32"/>
        </w:rPr>
        <w:t>社会保障和就业（类）行政事业单位养老支出（款）机关事业单位基本养老保险缴费支出（项）:反映机关事业单位实施养老保险制度由单位缴纳的基本养老保险费支出。</w:t>
      </w:r>
    </w:p>
    <w:p>
      <w:pPr>
        <w:numPr>
          <w:ilvl w:val="0"/>
          <w:numId w:val="6"/>
        </w:numPr>
        <w:adjustRightInd w:val="0"/>
        <w:snapToGrid w:val="0"/>
        <w:spacing w:line="576" w:lineRule="exact"/>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社会保障和就业（类）其他社会保障和就业支出（款）其他社会保障和就业支出（项）:指其他用于社会保障和就业方面的支出。</w:t>
      </w:r>
    </w:p>
    <w:p>
      <w:pPr>
        <w:numPr>
          <w:ilvl w:val="0"/>
          <w:numId w:val="6"/>
        </w:numPr>
        <w:adjustRightInd w:val="0"/>
        <w:snapToGri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卫生健康（类）行政事业单位医疗（款）行政单位医疗（项）:反映财政部门集中安排的行政单位基本医疗保险缴费经费。</w:t>
      </w:r>
    </w:p>
    <w:p>
      <w:pPr>
        <w:numPr>
          <w:ilvl w:val="0"/>
          <w:numId w:val="6"/>
        </w:numPr>
        <w:ind w:left="0" w:leftChars="0" w:firstLine="40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住房保障支出（类）住房改革支出（款）住房公积金（项）:反映行政事业单位按人力资源和社会保障部、财政部规定的基本工资和津贴补贴以及规定比例为职工缴纳的住房公积金。</w:t>
      </w:r>
    </w:p>
    <w:p>
      <w:pPr>
        <w:numPr>
          <w:ilvl w:val="0"/>
          <w:numId w:val="6"/>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numPr>
          <w:ilvl w:val="0"/>
          <w:numId w:val="6"/>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p>
    <w:p>
      <w:pPr>
        <w:pStyle w:val="28"/>
        <w:numPr>
          <w:ilvl w:val="0"/>
          <w:numId w:val="6"/>
        </w:numPr>
        <w:spacing w:line="560" w:lineRule="exact"/>
        <w:ind w:left="0" w:leftChars="0" w:firstLine="400" w:firstLineChars="0"/>
        <w:rPr>
          <w:rFonts w:ascii="仿宋_GB2312" w:eastAsia="仿宋_GB2312" w:cs="黑体"/>
          <w:color w:val="auto"/>
          <w:sz w:val="32"/>
          <w:szCs w:val="32"/>
          <w:highlight w:val="none"/>
        </w:rPr>
      </w:pP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9"/>
        <w:rPr>
          <w:rFonts w:hint="eastAsia" w:ascii="黑体" w:hAnsi="黑体" w:eastAsia="黑体"/>
          <w:color w:val="auto"/>
          <w:sz w:val="44"/>
          <w:szCs w:val="44"/>
          <w:highlight w:val="none"/>
        </w:rPr>
      </w:pPr>
      <w:bookmarkStart w:id="72" w:name="_Toc15396614"/>
      <w:bookmarkStart w:id="73" w:name="_Toc15377226"/>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both"/>
        <w:outlineLvl w:val="9"/>
        <w:rPr>
          <w:rFonts w:hint="eastAsia" w:ascii="黑体" w:hAnsi="黑体" w:eastAsia="黑体"/>
          <w:color w:val="auto"/>
          <w:sz w:val="44"/>
          <w:szCs w:val="44"/>
          <w:highlight w:val="none"/>
        </w:rPr>
      </w:pPr>
    </w:p>
    <w:p>
      <w:pPr>
        <w:spacing w:line="600" w:lineRule="exact"/>
        <w:jc w:val="both"/>
        <w:outlineLvl w:val="9"/>
        <w:rPr>
          <w:rFonts w:hint="eastAsia" w:ascii="黑体" w:hAnsi="黑体" w:eastAsia="黑体"/>
          <w:color w:val="auto"/>
          <w:sz w:val="44"/>
          <w:szCs w:val="44"/>
          <w:highlight w:val="none"/>
        </w:rPr>
      </w:pPr>
    </w:p>
    <w:p>
      <w:pPr>
        <w:numPr>
          <w:ilvl w:val="0"/>
          <w:numId w:val="5"/>
        </w:numPr>
        <w:spacing w:line="600" w:lineRule="exact"/>
        <w:ind w:left="0" w:leftChars="0" w:firstLine="660" w:firstLineChars="150"/>
        <w:jc w:val="center"/>
        <w:outlineLvl w:val="0"/>
        <w:rPr>
          <w:rStyle w:val="19"/>
          <w:rFonts w:hint="eastAsia" w:ascii="黑体" w:hAnsi="黑体" w:eastAsia="黑体"/>
          <w:b w:val="0"/>
          <w:color w:val="auto"/>
          <w:highlight w:val="none"/>
        </w:rPr>
      </w:pPr>
      <w:bookmarkStart w:id="74" w:name="_Toc13435"/>
      <w:r>
        <w:rPr>
          <w:rStyle w:val="19"/>
          <w:rFonts w:hint="eastAsia" w:ascii="黑体" w:hAnsi="黑体" w:eastAsia="黑体"/>
          <w:b w:val="0"/>
          <w:color w:val="auto"/>
          <w:highlight w:val="none"/>
        </w:rPr>
        <w:t>附件</w:t>
      </w:r>
      <w:bookmarkEnd w:id="72"/>
      <w:bookmarkEnd w:id="74"/>
      <w:bookmarkStart w:id="75" w:name="_Toc15396618"/>
    </w:p>
    <w:p>
      <w:pPr>
        <w:pStyle w:val="2"/>
        <w:outlineLvl w:val="1"/>
        <w:rPr>
          <w:rFonts w:hint="eastAsia" w:ascii="宋体" w:hAnsi="宋体" w:eastAsia="宋体" w:cs="宋体"/>
          <w:b/>
          <w:bCs/>
          <w:i w:val="0"/>
          <w:iCs w:val="0"/>
          <w:color w:val="000000"/>
          <w:kern w:val="0"/>
          <w:sz w:val="32"/>
          <w:szCs w:val="32"/>
          <w:u w:val="none"/>
          <w:lang w:val="en-US" w:eastAsia="zh-CN" w:bidi="ar"/>
        </w:rPr>
      </w:pPr>
      <w:bookmarkStart w:id="76" w:name="_Toc25467"/>
      <w:r>
        <w:rPr>
          <w:rFonts w:hint="eastAsia" w:ascii="宋体" w:hAnsi="宋体" w:eastAsia="宋体" w:cs="宋体"/>
          <w:b/>
          <w:bCs/>
          <w:i w:val="0"/>
          <w:iCs w:val="0"/>
          <w:color w:val="000000"/>
          <w:kern w:val="0"/>
          <w:sz w:val="32"/>
          <w:szCs w:val="32"/>
          <w:u w:val="none"/>
          <w:lang w:val="en-US" w:eastAsia="zh-CN" w:bidi="ar"/>
        </w:rPr>
        <w:t>附件1</w:t>
      </w:r>
      <w:bookmarkEnd w:id="76"/>
    </w:p>
    <w:tbl>
      <w:tblPr>
        <w:tblStyle w:val="15"/>
        <w:tblW w:w="0" w:type="auto"/>
        <w:tblInd w:w="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4"/>
        <w:gridCol w:w="1127"/>
        <w:gridCol w:w="765"/>
        <w:gridCol w:w="932"/>
        <w:gridCol w:w="474"/>
        <w:gridCol w:w="536"/>
        <w:gridCol w:w="474"/>
        <w:gridCol w:w="918"/>
        <w:gridCol w:w="493"/>
        <w:gridCol w:w="410"/>
        <w:gridCol w:w="17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761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9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36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39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9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118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75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广元市文学艺术界联合会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1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9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86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9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86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完成2022年度工资发放。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36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完成2022年度工资发放。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84.29</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141.76</w:t>
            </w:r>
          </w:p>
        </w:tc>
        <w:tc>
          <w:tcPr>
            <w:tcW w:w="22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141.76</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84.29</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122.51</w:t>
            </w:r>
          </w:p>
        </w:tc>
        <w:tc>
          <w:tcPr>
            <w:tcW w:w="22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122.51</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19.25</w:t>
            </w:r>
          </w:p>
        </w:tc>
        <w:tc>
          <w:tcPr>
            <w:tcW w:w="22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19.25</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sz w:val="16"/>
                <w:szCs w:val="16"/>
                <w:u w:val="none"/>
                <w:lang w:val="en-US" w:eastAsia="zh-CN"/>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10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5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68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该项目绩效目标评价得分100分，总分100分；绩效管理情况较为理想，达到了年初各项绩效目标，所有资金使用严格按审批程序办理、操作规范，会计核算结果真实、准确，各项支出严格按照各项制度执行。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68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一是在部门整体支出绩效目标与生态指标和经济指标缺乏对应性，关联性和可操作性不强；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68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随着资金改革的进一步推进，我单位内部机构进行了相应的优化，建立健全了财务管理制度、固定资产管理制度、费用报销流程制度，但仍需要进一步加强财务约束监督体制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4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项目负责人：宋军</w:t>
            </w:r>
          </w:p>
        </w:tc>
        <w:tc>
          <w:tcPr>
            <w:tcW w:w="101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财务负责人：张冬梅</w:t>
            </w:r>
          </w:p>
        </w:tc>
      </w:tr>
    </w:tbl>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2"/>
        <w:ind w:left="0" w:leftChars="0" w:firstLine="0" w:firstLineChars="0"/>
        <w:outlineLvl w:val="1"/>
        <w:rPr>
          <w:rFonts w:hint="eastAsia"/>
          <w:lang w:val="en-US" w:eastAsia="zh-CN"/>
        </w:rPr>
      </w:pPr>
      <w:r>
        <w:rPr>
          <w:rFonts w:hint="eastAsia" w:ascii="宋体" w:hAnsi="宋体" w:eastAsia="宋体" w:cs="宋体"/>
          <w:b/>
          <w:bCs/>
          <w:i w:val="0"/>
          <w:iCs w:val="0"/>
          <w:color w:val="000000"/>
          <w:kern w:val="0"/>
          <w:sz w:val="32"/>
          <w:szCs w:val="32"/>
          <w:u w:val="none"/>
          <w:lang w:val="en-US" w:eastAsia="zh-CN" w:bidi="ar"/>
        </w:rPr>
        <w:t>附件</w:t>
      </w:r>
      <w:r>
        <w:rPr>
          <w:rFonts w:hint="eastAsia" w:ascii="宋体" w:hAnsi="宋体" w:cs="宋体"/>
          <w:b/>
          <w:bCs/>
          <w:i w:val="0"/>
          <w:iCs w:val="0"/>
          <w:color w:val="000000"/>
          <w:kern w:val="0"/>
          <w:sz w:val="32"/>
          <w:szCs w:val="32"/>
          <w:u w:val="none"/>
          <w:lang w:val="en-US" w:eastAsia="zh-CN" w:bidi="ar"/>
        </w:rPr>
        <w:t>2</w:t>
      </w: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43"/>
        <w:gridCol w:w="818"/>
        <w:gridCol w:w="1206"/>
        <w:gridCol w:w="396"/>
        <w:gridCol w:w="894"/>
        <w:gridCol w:w="396"/>
        <w:gridCol w:w="847"/>
        <w:gridCol w:w="577"/>
        <w:gridCol w:w="397"/>
        <w:gridCol w:w="13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51000021Y000000011490-定额公用经费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514"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33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广元市文学艺术界联合会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5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185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完成2022年定额公用经费使用。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8.94</w:t>
            </w:r>
          </w:p>
        </w:tc>
        <w:tc>
          <w:tcPr>
            <w:tcW w:w="10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8.94</w:t>
            </w:r>
          </w:p>
        </w:tc>
        <w:tc>
          <w:tcPr>
            <w:tcW w:w="10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8.94</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10次</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6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7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该项目绩效目标评价得分100分，总分100分；绩效管理情况较为理想，达到了年初各项绩效目标，所有资金使用严格按审批程序办理、操作规范，会计核算结果真实、准确，各项支出严格按照各项制度执行。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7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一是在部门整体支出绩效目标与生态指标和经济指标缺乏对应性，关联性和可操作性不强；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7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随着资金改革的进一步推进，我单位内部机构进行了相应的优化，建立健全了财务管理制度、固定资产管理制度、费用报销流程制度，但仍需要进一步加强财务约束监督体制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项目负责人：宋军</w:t>
            </w:r>
          </w:p>
        </w:tc>
        <w:tc>
          <w:tcPr>
            <w:tcW w:w="261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财务负责人：张冬梅</w:t>
            </w:r>
          </w:p>
        </w:tc>
      </w:tr>
    </w:tbl>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2"/>
        <w:ind w:left="0" w:leftChars="0" w:firstLine="0" w:firstLineChars="0"/>
        <w:outlineLvl w:val="1"/>
        <w:rPr>
          <w:rFonts w:hint="eastAsia"/>
          <w:lang w:val="en-US" w:eastAsia="zh-CN"/>
        </w:rPr>
      </w:pPr>
      <w:r>
        <w:rPr>
          <w:rFonts w:hint="eastAsia" w:ascii="宋体" w:hAnsi="宋体" w:eastAsia="宋体" w:cs="宋体"/>
          <w:b/>
          <w:bCs/>
          <w:i w:val="0"/>
          <w:iCs w:val="0"/>
          <w:color w:val="000000"/>
          <w:kern w:val="0"/>
          <w:sz w:val="32"/>
          <w:szCs w:val="32"/>
          <w:u w:val="none"/>
          <w:lang w:val="en-US" w:eastAsia="zh-CN" w:bidi="ar"/>
        </w:rPr>
        <w:t>附件</w:t>
      </w:r>
      <w:r>
        <w:rPr>
          <w:rFonts w:hint="eastAsia" w:ascii="宋体" w:hAnsi="宋体" w:cs="宋体"/>
          <w:b/>
          <w:bCs/>
          <w:i w:val="0"/>
          <w:iCs w:val="0"/>
          <w:color w:val="000000"/>
          <w:kern w:val="0"/>
          <w:sz w:val="32"/>
          <w:szCs w:val="32"/>
          <w:u w:val="none"/>
          <w:lang w:val="en-US" w:eastAsia="zh-CN" w:bidi="ar"/>
        </w:rPr>
        <w:t>3</w:t>
      </w:r>
    </w:p>
    <w:tbl>
      <w:tblPr>
        <w:tblStyle w:val="1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6"/>
        <w:gridCol w:w="855"/>
        <w:gridCol w:w="688"/>
        <w:gridCol w:w="2043"/>
        <w:gridCol w:w="480"/>
        <w:gridCol w:w="528"/>
        <w:gridCol w:w="480"/>
        <w:gridCol w:w="986"/>
        <w:gridCol w:w="576"/>
        <w:gridCol w:w="424"/>
        <w:gridCol w:w="5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广元市文学艺术界联合会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完成2022年其他公用经费使用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8.63</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8.63</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4"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该项目绩效目标评价得分100分，总分100分；绩效管理情况较为理想，达到了年初各项绩效目标，所有资金使用严格按审批程序办理、操作规范，会计核算结果真实、准确，各项支出严格按照各项制度执行。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一是在部门整体支出绩效目标与生态指标和经济指标缺乏对应性，关联性和可操作性不强；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随着资金改革的进一步推进，我单位内部机构进行了相应的优化，建立健全了财务管理制度、固定资产管理制度、费用报销流程制度，但仍需要进一步加强财务约束监督体制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项目负责人：宋军</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财务负责人：张冬梅</w:t>
            </w:r>
          </w:p>
        </w:tc>
      </w:tr>
    </w:tbl>
    <w:p>
      <w:pPr>
        <w:pStyle w:val="3"/>
        <w:rPr>
          <w:rFonts w:hint="eastAsia"/>
          <w:lang w:val="en-US" w:eastAsia="zh-CN"/>
        </w:rPr>
      </w:pPr>
    </w:p>
    <w:p>
      <w:pPr>
        <w:pStyle w:val="2"/>
        <w:rPr>
          <w:rFonts w:hint="eastAsia"/>
          <w:lang w:val="en-US" w:eastAsia="zh-CN"/>
        </w:rPr>
      </w:pPr>
    </w:p>
    <w:p>
      <w:pPr>
        <w:pStyle w:val="3"/>
        <w:jc w:val="left"/>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p>
      <w:pPr>
        <w:pStyle w:val="2"/>
        <w:ind w:left="0" w:leftChars="0" w:firstLine="0" w:firstLineChars="0"/>
        <w:outlineLvl w:val="1"/>
        <w:rPr>
          <w:rFonts w:hint="default"/>
          <w:lang w:val="en-US" w:eastAsia="zh-CN"/>
        </w:rPr>
      </w:pPr>
      <w:r>
        <w:rPr>
          <w:rFonts w:hint="eastAsia" w:ascii="宋体" w:hAnsi="宋体" w:eastAsia="宋体" w:cs="宋体"/>
          <w:b/>
          <w:bCs/>
          <w:i w:val="0"/>
          <w:iCs w:val="0"/>
          <w:color w:val="000000"/>
          <w:kern w:val="0"/>
          <w:sz w:val="32"/>
          <w:szCs w:val="32"/>
          <w:u w:val="none"/>
          <w:lang w:val="en-US" w:eastAsia="zh-CN" w:bidi="ar"/>
        </w:rPr>
        <w:t>附件</w:t>
      </w:r>
      <w:r>
        <w:rPr>
          <w:rFonts w:hint="eastAsia" w:ascii="宋体" w:hAnsi="宋体" w:cs="宋体"/>
          <w:b/>
          <w:bCs/>
          <w:i w:val="0"/>
          <w:iCs w:val="0"/>
          <w:color w:val="000000"/>
          <w:kern w:val="0"/>
          <w:sz w:val="32"/>
          <w:szCs w:val="32"/>
          <w:u w:val="none"/>
          <w:lang w:val="en-US" w:eastAsia="zh-CN" w:bidi="ar"/>
        </w:rPr>
        <w:t>4</w:t>
      </w:r>
    </w:p>
    <w:tbl>
      <w:tblPr>
        <w:tblStyle w:val="15"/>
        <w:tblW w:w="123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8"/>
        <w:gridCol w:w="1116"/>
        <w:gridCol w:w="796"/>
        <w:gridCol w:w="2475"/>
        <w:gridCol w:w="561"/>
        <w:gridCol w:w="572"/>
        <w:gridCol w:w="561"/>
        <w:gridCol w:w="1123"/>
        <w:gridCol w:w="583"/>
        <w:gridCol w:w="454"/>
        <w:gridCol w:w="721"/>
        <w:gridCol w:w="222"/>
        <w:gridCol w:w="222"/>
        <w:gridCol w:w="306"/>
        <w:gridCol w:w="640"/>
        <w:gridCol w:w="576"/>
        <w:gridCol w:w="222"/>
        <w:gridCol w:w="2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gridAfter w:val="7"/>
          <w:wAfter w:w="0" w:type="auto"/>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7"/>
          <w:wAfter w:w="0" w:type="auto"/>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7"/>
          <w:wAfter w:w="0" w:type="auto"/>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广元市文学艺术界联合会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7"/>
          <w:wAfter w:w="0" w:type="auto"/>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7"/>
          <w:wAfter w:w="0" w:type="auto"/>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完成2022年度工资发放。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7"/>
          <w:wAfter w:w="0" w:type="auto"/>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完成2022年度工资发放。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7"/>
          <w:wAfter w:w="0" w:type="auto"/>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7"/>
          <w:wAfter w:w="0" w:type="auto"/>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7"/>
          <w:wAfter w:w="0" w:type="auto"/>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7"/>
          <w:wAfter w:w="0" w:type="auto"/>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7"/>
          <w:wAfter w:w="0" w:type="auto"/>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7"/>
          <w:wAfter w:w="0" w:type="auto"/>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7"/>
          <w:wAfter w:w="0" w:type="auto"/>
          <w:trHeight w:val="452" w:hRule="atLeast"/>
        </w:trPr>
        <w:tc>
          <w:tcPr>
            <w:tcW w:w="0" w:type="auto"/>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7"/>
          <w:wAfter w:w="0" w:type="auto"/>
          <w:trHeight w:val="339" w:hRule="atLeast"/>
        </w:trPr>
        <w:tc>
          <w:tcPr>
            <w:tcW w:w="0" w:type="auto"/>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科目调整次数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r>
              <w:rPr>
                <w:rFonts w:hint="eastAsia" w:ascii="微软雅黑" w:hAnsi="微软雅黑" w:eastAsia="微软雅黑" w:cs="微软雅黑"/>
                <w:i/>
                <w:iCs/>
                <w:color w:val="000000"/>
                <w:sz w:val="16"/>
                <w:szCs w:val="16"/>
                <w:u w:val="none"/>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7"/>
          <w:wAfter w:w="0" w:type="auto"/>
          <w:trHeight w:val="339" w:hRule="atLeast"/>
        </w:trPr>
        <w:tc>
          <w:tcPr>
            <w:tcW w:w="0" w:type="auto"/>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r>
              <w:rPr>
                <w:rFonts w:hint="eastAsia" w:ascii="微软雅黑" w:hAnsi="微软雅黑" w:eastAsia="微软雅黑" w:cs="微软雅黑"/>
                <w:i/>
                <w:iCs/>
                <w:color w:val="000000"/>
                <w:sz w:val="16"/>
                <w:szCs w:val="16"/>
                <w:u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7"/>
          <w:wAfter w:w="0" w:type="auto"/>
          <w:trHeight w:val="339" w:hRule="atLeast"/>
        </w:trPr>
        <w:tc>
          <w:tcPr>
            <w:tcW w:w="0" w:type="auto"/>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kern w:val="0"/>
                <w:sz w:val="18"/>
                <w:szCs w:val="18"/>
                <w:u w:val="none"/>
                <w:lang w:val="en-US" w:eastAsia="zh-CN" w:bidi="ar"/>
              </w:rPr>
              <w:t>支出</w:t>
            </w:r>
            <w:r>
              <w:rPr>
                <w:rFonts w:ascii="宋体" w:hAnsi="宋体" w:eastAsia="宋体" w:cs="宋体"/>
                <w:i w:val="0"/>
                <w:iCs w:val="0"/>
                <w:color w:val="000000"/>
                <w:kern w:val="0"/>
                <w:sz w:val="18"/>
                <w:szCs w:val="18"/>
                <w:u w:val="none"/>
                <w:lang w:val="en-US" w:eastAsia="zh-CN" w:bidi="ar"/>
              </w:rPr>
              <w:t>控制率[计算方法为：（实际支出数/预算安排数]×100%）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r>
              <w:rPr>
                <w:rFonts w:hint="eastAsia" w:ascii="微软雅黑" w:hAnsi="微软雅黑" w:eastAsia="微软雅黑" w:cs="微软雅黑"/>
                <w:i/>
                <w:iCs/>
                <w:color w:val="000000"/>
                <w:sz w:val="16"/>
                <w:szCs w:val="16"/>
                <w:u w:val="none"/>
                <w:lang w:val="en-US" w:eastAsia="zh-CN"/>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r>
              <w:rPr>
                <w:rFonts w:hint="eastAsia" w:ascii="微软雅黑" w:hAnsi="微软雅黑" w:eastAsia="微软雅黑" w:cs="微软雅黑"/>
                <w:i/>
                <w:iCs/>
                <w:color w:val="000000"/>
                <w:sz w:val="16"/>
                <w:szCs w:val="16"/>
                <w:u w:val="none"/>
                <w:lang w:val="en-US" w:eastAsia="zh-CN"/>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0" w:type="auto"/>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该项目绩效目标评价得分100分，总分100分；绩效管理情况较为理想，达到了年初各项绩效目标，所有资金使用严格按审批程序办理、操作规范，会计核算结果真实、准确，各项支出严格按照各项制度执行。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7"/>
          <w:wAfter w:w="0" w:type="auto"/>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一是在部门整体支出绩效目标与生态指标和经济指标缺乏对应性，关联性和可操作性不强；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7"/>
          <w:wAfter w:w="0" w:type="auto"/>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随着资金改革的进一步推进，我单位内部机构进行了相应的优化，建立健全了财务管理制度、固定资产管理制度、费用报销流程制度，但仍需要进一步加强财务约束监督体制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7"/>
          <w:wAfter w:w="0" w:type="auto"/>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项目负责人：宋军</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财务负责人：张冬梅</w:t>
            </w:r>
          </w:p>
        </w:tc>
      </w:tr>
    </w:tbl>
    <w:p>
      <w:pPr>
        <w:pStyle w:val="2"/>
        <w:ind w:left="0" w:leftChars="0" w:firstLine="0" w:firstLineChars="0"/>
        <w:outlineLvl w:val="1"/>
        <w:rPr>
          <w:rFonts w:hint="default"/>
          <w:lang w:val="en-US" w:eastAsia="zh-CN"/>
        </w:rPr>
      </w:pPr>
      <w:r>
        <w:rPr>
          <w:rFonts w:hint="eastAsia" w:ascii="宋体" w:hAnsi="宋体" w:eastAsia="宋体" w:cs="宋体"/>
          <w:b/>
          <w:bCs/>
          <w:i w:val="0"/>
          <w:iCs w:val="0"/>
          <w:color w:val="000000"/>
          <w:kern w:val="0"/>
          <w:sz w:val="32"/>
          <w:szCs w:val="32"/>
          <w:u w:val="none"/>
          <w:lang w:val="en-US" w:eastAsia="zh-CN" w:bidi="ar"/>
        </w:rPr>
        <w:t>附件</w:t>
      </w:r>
      <w:r>
        <w:rPr>
          <w:rFonts w:hint="eastAsia" w:ascii="宋体" w:hAnsi="宋体" w:cs="宋体"/>
          <w:b/>
          <w:bCs/>
          <w:i w:val="0"/>
          <w:iCs w:val="0"/>
          <w:color w:val="000000"/>
          <w:kern w:val="0"/>
          <w:sz w:val="32"/>
          <w:szCs w:val="32"/>
          <w:u w:val="none"/>
          <w:lang w:val="en-US" w:eastAsia="zh-CN" w:bidi="ar"/>
        </w:rPr>
        <w:t>5</w:t>
      </w:r>
    </w:p>
    <w:tbl>
      <w:tblPr>
        <w:tblStyle w:val="15"/>
        <w:tblW w:w="863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6"/>
        <w:gridCol w:w="1095"/>
        <w:gridCol w:w="600"/>
        <w:gridCol w:w="1170"/>
        <w:gridCol w:w="585"/>
        <w:gridCol w:w="660"/>
        <w:gridCol w:w="883"/>
        <w:gridCol w:w="887"/>
        <w:gridCol w:w="645"/>
        <w:gridCol w:w="435"/>
        <w:gridCol w:w="1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499" w:hRule="atLeast"/>
        </w:trPr>
        <w:tc>
          <w:tcPr>
            <w:tcW w:w="863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253"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69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51080022T000005960792-工会经费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499"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8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887"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1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广元市文学艺术界联合会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253"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8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0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686"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89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rPr>
            </w:pPr>
            <w:r>
              <w:rPr>
                <w:rFonts w:ascii="宋体" w:hAnsi="宋体" w:eastAsia="宋体" w:cs="宋体"/>
                <w:i w:val="0"/>
                <w:iCs w:val="0"/>
                <w:color w:val="000000"/>
                <w:kern w:val="0"/>
                <w:sz w:val="18"/>
                <w:szCs w:val="18"/>
                <w:u w:val="none"/>
                <w:lang w:val="en-US" w:eastAsia="zh-CN" w:bidi="ar"/>
              </w:rPr>
              <w:t>严格执行相关政策</w:t>
            </w:r>
            <w:r>
              <w:rPr>
                <w:rFonts w:hint="eastAsia" w:ascii="宋体" w:hAnsi="宋体" w:cs="宋体"/>
                <w:i w:val="0"/>
                <w:iCs w:val="0"/>
                <w:color w:val="000000"/>
                <w:kern w:val="0"/>
                <w:sz w:val="18"/>
                <w:szCs w:val="18"/>
                <w:u w:val="none"/>
                <w:lang w:val="en-US" w:eastAsia="zh-CN" w:bidi="ar"/>
              </w:rPr>
              <w:t>，科学编制预算，及时支付资金，减少结余资金</w:t>
            </w:r>
          </w:p>
        </w:tc>
        <w:tc>
          <w:tcPr>
            <w:tcW w:w="30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w:t>
            </w:r>
            <w:r>
              <w:rPr>
                <w:rFonts w:hint="eastAsia" w:ascii="宋体" w:hAnsi="宋体" w:cs="宋体"/>
                <w:i w:val="0"/>
                <w:iCs w:val="0"/>
                <w:color w:val="000000"/>
                <w:kern w:val="0"/>
                <w:sz w:val="18"/>
                <w:szCs w:val="18"/>
                <w:u w:val="none"/>
                <w:lang w:val="en-US" w:eastAsia="zh-CN" w:bidi="ar"/>
              </w:rPr>
              <w:t>，科学编制预算，及时支付资金，减少结余资金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694"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69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保障单位工会活动经费运转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639"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1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253"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0.18</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0.18</w:t>
            </w:r>
          </w:p>
        </w:tc>
        <w:tc>
          <w:tcPr>
            <w:tcW w:w="21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0.18</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74"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0.18</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0.18</w:t>
            </w:r>
          </w:p>
        </w:tc>
        <w:tc>
          <w:tcPr>
            <w:tcW w:w="21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0.18</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65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364"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20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1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791"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66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数量指标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科目调整次数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10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次</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r>
              <w:rPr>
                <w:rFonts w:hint="eastAsia" w:ascii="微软雅黑" w:hAnsi="微软雅黑" w:eastAsia="微软雅黑" w:cs="微软雅黑"/>
                <w:i/>
                <w:iCs/>
                <w:color w:val="000000"/>
                <w:sz w:val="16"/>
                <w:szCs w:val="16"/>
                <w:u w:val="none"/>
                <w:lang w:val="en-US" w:eastAsia="zh-CN"/>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98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质量指标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预算编制准确率</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5</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r>
              <w:rPr>
                <w:rFonts w:hint="eastAsia" w:ascii="微软雅黑" w:hAnsi="微软雅黑" w:eastAsia="微软雅黑" w:cs="微软雅黑"/>
                <w:i/>
                <w:iCs/>
                <w:color w:val="000000"/>
                <w:sz w:val="16"/>
                <w:szCs w:val="16"/>
                <w:u w:val="none"/>
                <w:lang w:val="en-US" w:eastAsia="zh-CN"/>
              </w:rPr>
              <w:t>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98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效益指标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经济效益指标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kern w:val="0"/>
                <w:sz w:val="18"/>
                <w:szCs w:val="18"/>
                <w:u w:val="none"/>
                <w:lang w:val="en-US" w:eastAsia="zh-CN" w:bidi="ar"/>
              </w:rPr>
              <w:t>支出</w:t>
            </w:r>
            <w:r>
              <w:rPr>
                <w:rFonts w:ascii="宋体" w:hAnsi="宋体" w:eastAsia="宋体" w:cs="宋体"/>
                <w:i w:val="0"/>
                <w:iCs w:val="0"/>
                <w:color w:val="000000"/>
                <w:kern w:val="0"/>
                <w:sz w:val="18"/>
                <w:szCs w:val="18"/>
                <w:u w:val="none"/>
                <w:lang w:val="en-US" w:eastAsia="zh-CN" w:bidi="ar"/>
              </w:rPr>
              <w:t>控制率</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100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r>
              <w:rPr>
                <w:rFonts w:hint="eastAsia" w:ascii="微软雅黑" w:hAnsi="微软雅黑" w:eastAsia="微软雅黑" w:cs="微软雅黑"/>
                <w:i/>
                <w:iCs/>
                <w:color w:val="000000"/>
                <w:sz w:val="16"/>
                <w:szCs w:val="16"/>
                <w:u w:val="none"/>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253" w:hRule="atLeast"/>
        </w:trPr>
        <w:tc>
          <w:tcPr>
            <w:tcW w:w="6456"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45"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5" w:type="dxa"/>
            <w:tcBorders>
              <w:top w:val="single" w:color="auto" w:sz="4" w:space="0"/>
              <w:left w:val="single" w:color="000000" w:sz="4" w:space="0"/>
              <w:bottom w:val="single" w:color="auto" w:sz="4" w:space="0"/>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5" w:type="dxa"/>
            <w:tcBorders>
              <w:top w:val="single" w:color="auto" w:sz="4" w:space="0"/>
              <w:left w:val="single" w:color="000000"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74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0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该项目绩效目标评价得分100分，总分100分；绩效管理情况较为理想，达到了年初各项绩效目标，所有资金使用严格按审批程序办理、操作规范，会计核算结果真实、准确，各项支出严格按照各项制度执行。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49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0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一是在部门整体支出绩效目标与生态指标和经济指标缺乏对应性，关联性和可操作性不强；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49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0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随着资金改革的进一步推进，我单位内部机构进行了相应的优化，建立健全了财务管理制度、固定资产管理制度、费用报销流程制度，但仍需要进一步加强财务约束监督体制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After w:w="0" w:type="auto"/>
          <w:trHeight w:val="261" w:hRule="atLeast"/>
        </w:trPr>
        <w:tc>
          <w:tcPr>
            <w:tcW w:w="40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项目负责人：宋军</w:t>
            </w:r>
          </w:p>
        </w:tc>
        <w:tc>
          <w:tcPr>
            <w:tcW w:w="46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财务负责人：张冬梅</w:t>
            </w:r>
          </w:p>
        </w:tc>
      </w:tr>
    </w:tbl>
    <w:p>
      <w:pPr>
        <w:pStyle w:val="2"/>
        <w:ind w:left="0" w:leftChars="0" w:firstLine="0" w:firstLineChars="0"/>
        <w:outlineLvl w:val="1"/>
        <w:rPr>
          <w:rFonts w:hint="default"/>
          <w:lang w:val="en-US" w:eastAsia="zh-CN"/>
        </w:rPr>
      </w:pPr>
      <w:r>
        <w:rPr>
          <w:rFonts w:hint="eastAsia" w:ascii="宋体" w:hAnsi="宋体" w:eastAsia="宋体" w:cs="宋体"/>
          <w:b/>
          <w:bCs/>
          <w:i w:val="0"/>
          <w:iCs w:val="0"/>
          <w:color w:val="000000"/>
          <w:kern w:val="0"/>
          <w:sz w:val="32"/>
          <w:szCs w:val="32"/>
          <w:u w:val="none"/>
          <w:lang w:val="en-US" w:eastAsia="zh-CN" w:bidi="ar"/>
        </w:rPr>
        <w:t>附件</w:t>
      </w:r>
      <w:r>
        <w:rPr>
          <w:rFonts w:hint="eastAsia" w:ascii="宋体" w:hAnsi="宋体" w:cs="宋体"/>
          <w:b/>
          <w:bCs/>
          <w:i w:val="0"/>
          <w:iCs w:val="0"/>
          <w:color w:val="000000"/>
          <w:kern w:val="0"/>
          <w:sz w:val="32"/>
          <w:szCs w:val="32"/>
          <w:u w:val="none"/>
          <w:lang w:val="en-US" w:eastAsia="zh-CN" w:bidi="ar"/>
        </w:rPr>
        <w:t>6</w:t>
      </w:r>
    </w:p>
    <w:tbl>
      <w:tblPr>
        <w:tblStyle w:val="1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4"/>
        <w:gridCol w:w="945"/>
        <w:gridCol w:w="887"/>
        <w:gridCol w:w="944"/>
        <w:gridCol w:w="624"/>
        <w:gridCol w:w="641"/>
        <w:gridCol w:w="624"/>
        <w:gridCol w:w="1203"/>
        <w:gridCol w:w="667"/>
        <w:gridCol w:w="441"/>
        <w:gridCol w:w="6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51080022T000005973796-工资性支出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105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广元市文学艺术界联合会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eastAsia="zh-CN"/>
              </w:rPr>
            </w:pPr>
            <w:r>
              <w:rPr>
                <w:rFonts w:hint="eastAsia" w:ascii="黑体" w:hAnsi="黑体" w:eastAsia="黑体" w:cs="黑体"/>
                <w:i w:val="0"/>
                <w:iCs w:val="0"/>
                <w:color w:val="000000"/>
                <w:sz w:val="18"/>
                <w:szCs w:val="18"/>
                <w:u w:val="none"/>
                <w:lang w:val="en-US" w:eastAsia="zh-CN"/>
              </w:rPr>
              <w:t>完成2022年度工资发放。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0.05</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0.05</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0.05</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产出指标</w:t>
            </w:r>
          </w:p>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科目调整次数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次</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r>
              <w:rPr>
                <w:rFonts w:hint="eastAsia" w:ascii="微软雅黑" w:hAnsi="微软雅黑" w:eastAsia="微软雅黑" w:cs="微软雅黑"/>
                <w:i/>
                <w:iCs/>
                <w:color w:val="000000"/>
                <w:sz w:val="16"/>
                <w:szCs w:val="16"/>
                <w:u w:val="none"/>
                <w:lang w:val="en-US" w:eastAsia="zh-CN"/>
              </w:rPr>
              <w:t>10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预算编制准确率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r>
              <w:rPr>
                <w:rFonts w:hint="eastAsia" w:ascii="微软雅黑" w:hAnsi="微软雅黑" w:eastAsia="微软雅黑" w:cs="微软雅黑"/>
                <w:i/>
                <w:iCs/>
                <w:color w:val="000000"/>
                <w:sz w:val="16"/>
                <w:szCs w:val="16"/>
                <w:u w:val="none"/>
                <w:lang w:val="en-US" w:eastAsia="zh-CN"/>
              </w:rPr>
              <w:t>5%</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kern w:val="0"/>
                <w:sz w:val="18"/>
                <w:szCs w:val="18"/>
                <w:u w:val="none"/>
                <w:lang w:val="en-US" w:eastAsia="zh-CN" w:bidi="ar"/>
              </w:rPr>
              <w:t>支出</w:t>
            </w:r>
            <w:r>
              <w:rPr>
                <w:rFonts w:ascii="宋体" w:hAnsi="宋体" w:eastAsia="宋体" w:cs="宋体"/>
                <w:i w:val="0"/>
                <w:iCs w:val="0"/>
                <w:color w:val="000000"/>
                <w:kern w:val="0"/>
                <w:sz w:val="18"/>
                <w:szCs w:val="18"/>
                <w:u w:val="none"/>
                <w:lang w:val="en-US" w:eastAsia="zh-CN" w:bidi="ar"/>
              </w:rPr>
              <w:t>控制率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r>
              <w:rPr>
                <w:rFonts w:hint="eastAsia" w:ascii="微软雅黑" w:hAnsi="微软雅黑" w:eastAsia="微软雅黑" w:cs="微软雅黑"/>
                <w:i/>
                <w:iCs/>
                <w:color w:val="000000"/>
                <w:sz w:val="16"/>
                <w:szCs w:val="16"/>
                <w:u w:val="none"/>
                <w:lang w:val="en-US" w:eastAsia="zh-CN"/>
              </w:rPr>
              <w:t>100%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76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该项目绩效目标评价得分100分，总分100分；绩效管理情况较为理想，达到了年初各项绩效目标，所有资金使用严格按审批程序办理、操作规范，会计核算结果真实、准确，各项支出严格按照各项制度执行。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一是在部门整体支出绩效目标与生态指标和经济指标缺乏对应性，关联性和可操作性不强；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随着资金改革的进一步推进，我单位内部机构进行了相应的优化，建立健全了财务管理制度、固定资产管理制度、费用报销流程制度，但仍需要进一步加强财务约束监督体制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pStyle w:val="2"/>
        <w:ind w:left="0" w:leftChars="0" w:firstLine="0" w:firstLineChars="0"/>
        <w:outlineLvl w:val="1"/>
        <w:rPr>
          <w:rFonts w:hint="default"/>
          <w:lang w:val="en-US" w:eastAsia="zh-CN"/>
        </w:rPr>
      </w:pPr>
      <w:r>
        <w:rPr>
          <w:rFonts w:hint="eastAsia" w:ascii="宋体" w:hAnsi="宋体" w:eastAsia="宋体" w:cs="宋体"/>
          <w:b/>
          <w:bCs/>
          <w:i w:val="0"/>
          <w:iCs w:val="0"/>
          <w:color w:val="000000"/>
          <w:kern w:val="0"/>
          <w:sz w:val="32"/>
          <w:szCs w:val="32"/>
          <w:u w:val="none"/>
          <w:lang w:val="en-US" w:eastAsia="zh-CN" w:bidi="ar"/>
        </w:rPr>
        <w:t>附件</w:t>
      </w:r>
      <w:r>
        <w:rPr>
          <w:rFonts w:hint="eastAsia" w:ascii="宋体" w:hAnsi="宋体" w:cs="宋体"/>
          <w:b/>
          <w:bCs/>
          <w:i w:val="0"/>
          <w:iCs w:val="0"/>
          <w:color w:val="000000"/>
          <w:kern w:val="0"/>
          <w:sz w:val="32"/>
          <w:szCs w:val="32"/>
          <w:u w:val="none"/>
          <w:lang w:val="en-US" w:eastAsia="zh-CN" w:bidi="ar"/>
        </w:rPr>
        <w:t>7</w:t>
      </w:r>
    </w:p>
    <w:tbl>
      <w:tblPr>
        <w:tblStyle w:val="1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5"/>
        <w:gridCol w:w="964"/>
        <w:gridCol w:w="929"/>
        <w:gridCol w:w="994"/>
        <w:gridCol w:w="655"/>
        <w:gridCol w:w="662"/>
        <w:gridCol w:w="655"/>
        <w:gridCol w:w="1046"/>
        <w:gridCol w:w="582"/>
        <w:gridCol w:w="438"/>
        <w:gridCol w:w="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广元市文学艺术界联合会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w:t>
            </w:r>
            <w:r>
              <w:rPr>
                <w:rFonts w:hint="eastAsia" w:ascii="宋体" w:hAnsi="宋体" w:eastAsia="宋体" w:cs="宋体"/>
                <w:i w:val="0"/>
                <w:iCs w:val="0"/>
                <w:color w:val="000000"/>
                <w:kern w:val="0"/>
                <w:sz w:val="18"/>
                <w:szCs w:val="18"/>
                <w:u w:val="none"/>
                <w:lang w:val="en-US" w:eastAsia="zh-CN" w:bidi="ar"/>
              </w:rPr>
              <w:t>基础绩效奖</w:t>
            </w:r>
            <w:r>
              <w:rPr>
                <w:rFonts w:ascii="宋体" w:hAnsi="宋体" w:eastAsia="宋体" w:cs="宋体"/>
                <w:i w:val="0"/>
                <w:iCs w:val="0"/>
                <w:color w:val="000000"/>
                <w:kern w:val="0"/>
                <w:sz w:val="18"/>
                <w:szCs w:val="18"/>
                <w:u w:val="none"/>
                <w:lang w:val="en-US" w:eastAsia="zh-CN" w:bidi="ar"/>
              </w:rPr>
              <w:t>及时、足额发放或社保及时、足额缴纳，预算编制科学合理，减少结余资金。</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完成2022年市级基础绩效奖及生活补助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w:t>
            </w:r>
            <w:r>
              <w:rPr>
                <w:rFonts w:hint="eastAsia" w:ascii="宋体" w:hAnsi="宋体" w:eastAsia="宋体" w:cs="宋体"/>
                <w:i w:val="0"/>
                <w:iCs w:val="0"/>
                <w:color w:val="000000"/>
                <w:kern w:val="0"/>
                <w:sz w:val="18"/>
                <w:szCs w:val="18"/>
                <w:u w:val="none"/>
                <w:lang w:val="en-US" w:eastAsia="zh-CN" w:bidi="ar"/>
              </w:rPr>
              <w:t>基础绩效奖</w:t>
            </w:r>
            <w:r>
              <w:rPr>
                <w:rFonts w:ascii="宋体" w:hAnsi="宋体" w:eastAsia="宋体" w:cs="宋体"/>
                <w:i w:val="0"/>
                <w:iCs w:val="0"/>
                <w:color w:val="000000"/>
                <w:kern w:val="0"/>
                <w:sz w:val="18"/>
                <w:szCs w:val="18"/>
                <w:u w:val="none"/>
                <w:lang w:val="en-US" w:eastAsia="zh-CN" w:bidi="ar"/>
              </w:rPr>
              <w:t>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6.24</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6.24</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产出指标</w:t>
            </w:r>
          </w:p>
          <w:p>
            <w:pPr>
              <w:jc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科目调整次数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r>
              <w:rPr>
                <w:rFonts w:hint="eastAsia" w:ascii="微软雅黑" w:hAnsi="微软雅黑" w:eastAsia="微软雅黑" w:cs="微软雅黑"/>
                <w:i/>
                <w:iCs/>
                <w:color w:val="000000"/>
                <w:sz w:val="16"/>
                <w:szCs w:val="16"/>
                <w:u w:val="none"/>
                <w:lang w:val="en-US" w:eastAsia="zh-CN"/>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预算编制准确率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r>
              <w:rPr>
                <w:rFonts w:hint="eastAsia" w:ascii="微软雅黑" w:hAnsi="微软雅黑" w:eastAsia="微软雅黑" w:cs="微软雅黑"/>
                <w:i/>
                <w:iCs/>
                <w:color w:val="000000"/>
                <w:sz w:val="16"/>
                <w:szCs w:val="16"/>
                <w:u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0" w:type="auto"/>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kern w:val="0"/>
                <w:sz w:val="18"/>
                <w:szCs w:val="18"/>
                <w:u w:val="none"/>
                <w:lang w:val="en-US" w:eastAsia="zh-CN" w:bidi="ar"/>
              </w:rPr>
              <w:t>支出</w:t>
            </w:r>
            <w:r>
              <w:rPr>
                <w:rFonts w:ascii="宋体" w:hAnsi="宋体" w:eastAsia="宋体" w:cs="宋体"/>
                <w:i w:val="0"/>
                <w:iCs w:val="0"/>
                <w:color w:val="000000"/>
                <w:kern w:val="0"/>
                <w:sz w:val="18"/>
                <w:szCs w:val="18"/>
                <w:u w:val="none"/>
                <w:lang w:val="en-US" w:eastAsia="zh-CN" w:bidi="ar"/>
              </w:rPr>
              <w:t>控制率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r>
              <w:rPr>
                <w:rFonts w:hint="eastAsia" w:ascii="微软雅黑" w:hAnsi="微软雅黑" w:eastAsia="微软雅黑" w:cs="微软雅黑"/>
                <w:i/>
                <w:iCs/>
                <w:color w:val="000000"/>
                <w:sz w:val="16"/>
                <w:szCs w:val="16"/>
                <w:u w:val="none"/>
                <w:lang w:val="en-US" w:eastAsia="zh-CN"/>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该项目绩效目标评价得分100分，总分100分；绩效管理情况较为理想，达到了年初各项绩效目标，所有资金使用严格按审批程序办理、操作规范，会计核算结果真实、准确，各项支出严格按照各项制度执行。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一是在部门整体支出绩效目标与生态指标和经济指标缺乏对应性，关联性和可操作性不强；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随着资金改革的进一步推进，我单位内部机构进行了相应的优化，建立健全了财务管理制度、固定资产管理制度、费用报销流程制度，但仍需要进一步加强财务约束监督体制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项目负责人：宋军</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财务负责人：张冬梅</w:t>
            </w:r>
          </w:p>
        </w:tc>
      </w:tr>
    </w:tbl>
    <w:p>
      <w:pPr>
        <w:pStyle w:val="2"/>
        <w:ind w:left="0" w:leftChars="0" w:firstLine="0" w:firstLineChars="0"/>
        <w:outlineLvl w:val="1"/>
        <w:rPr>
          <w:rFonts w:hint="default"/>
          <w:lang w:val="en-US" w:eastAsia="zh-CN"/>
        </w:rPr>
      </w:pPr>
      <w:bookmarkStart w:id="104" w:name="_GoBack"/>
      <w:bookmarkEnd w:id="104"/>
      <w:r>
        <w:rPr>
          <w:rFonts w:hint="eastAsia" w:ascii="宋体" w:hAnsi="宋体" w:eastAsia="宋体" w:cs="宋体"/>
          <w:b/>
          <w:bCs/>
          <w:i w:val="0"/>
          <w:iCs w:val="0"/>
          <w:color w:val="000000"/>
          <w:kern w:val="0"/>
          <w:sz w:val="32"/>
          <w:szCs w:val="32"/>
          <w:u w:val="none"/>
          <w:lang w:val="en-US" w:eastAsia="zh-CN" w:bidi="ar"/>
        </w:rPr>
        <w:t>附件</w:t>
      </w:r>
      <w:r>
        <w:rPr>
          <w:rFonts w:hint="eastAsia" w:ascii="宋体" w:hAnsi="宋体" w:cs="宋体"/>
          <w:b/>
          <w:bCs/>
          <w:i w:val="0"/>
          <w:iCs w:val="0"/>
          <w:color w:val="000000"/>
          <w:kern w:val="0"/>
          <w:sz w:val="32"/>
          <w:szCs w:val="32"/>
          <w:u w:val="none"/>
          <w:lang w:val="en-US" w:eastAsia="zh-CN" w:bidi="ar"/>
        </w:rPr>
        <w:t>8</w:t>
      </w:r>
    </w:p>
    <w:tbl>
      <w:tblPr>
        <w:tblStyle w:val="15"/>
        <w:tblpPr w:leftFromText="180" w:rightFromText="180" w:vertAnchor="text" w:horzAnchor="page" w:tblpXSpec="center" w:tblpY="361"/>
        <w:tblOverlap w:val="never"/>
        <w:tblW w:w="84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8"/>
        <w:gridCol w:w="133"/>
        <w:gridCol w:w="722"/>
        <w:gridCol w:w="310"/>
        <w:gridCol w:w="37"/>
        <w:gridCol w:w="235"/>
        <w:gridCol w:w="440"/>
        <w:gridCol w:w="190"/>
        <w:gridCol w:w="158"/>
        <w:gridCol w:w="520"/>
        <w:gridCol w:w="317"/>
        <w:gridCol w:w="375"/>
        <w:gridCol w:w="330"/>
        <w:gridCol w:w="435"/>
        <w:gridCol w:w="180"/>
        <w:gridCol w:w="270"/>
        <w:gridCol w:w="465"/>
        <w:gridCol w:w="218"/>
        <w:gridCol w:w="449"/>
        <w:gridCol w:w="17"/>
        <w:gridCol w:w="36"/>
        <w:gridCol w:w="529"/>
        <w:gridCol w:w="14"/>
        <w:gridCol w:w="36"/>
        <w:gridCol w:w="147"/>
        <w:gridCol w:w="99"/>
        <w:gridCol w:w="125"/>
        <w:gridCol w:w="57"/>
        <w:gridCol w:w="598"/>
        <w:gridCol w:w="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519" w:hRule="atLeast"/>
          <w:jc w:val="center"/>
        </w:trPr>
        <w:tc>
          <w:tcPr>
            <w:tcW w:w="8340" w:type="dxa"/>
            <w:gridSpan w:val="2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90" w:hRule="atLeast"/>
          <w:jc w:val="center"/>
        </w:trPr>
        <w:tc>
          <w:tcPr>
            <w:tcW w:w="2100" w:type="dxa"/>
            <w:gridSpan w:val="5"/>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6240" w:type="dxa"/>
            <w:gridSpan w:val="24"/>
            <w:tcBorders>
              <w:top w:val="single" w:color="000000" w:sz="8" w:space="0"/>
              <w:left w:val="nil"/>
              <w:bottom w:val="nil"/>
              <w:right w:val="single" w:color="000000" w:sz="8" w:space="0"/>
            </w:tcBorders>
            <w:shd w:val="clear" w:color="auto" w:fill="auto"/>
            <w:vAlign w:val="center"/>
          </w:tcPr>
          <w:p>
            <w:pPr>
              <w:jc w:val="center"/>
              <w:rPr>
                <w:rFonts w:hint="eastAsia"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90" w:hRule="atLeast"/>
          <w:jc w:val="center"/>
        </w:trPr>
        <w:tc>
          <w:tcPr>
            <w:tcW w:w="2100" w:type="dxa"/>
            <w:gridSpan w:val="5"/>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40" w:type="dxa"/>
            <w:gridSpan w:val="2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重大主题文艺活动“三下乡”及文艺志愿服务活动经费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90" w:hRule="atLeast"/>
          <w:jc w:val="center"/>
        </w:trPr>
        <w:tc>
          <w:tcPr>
            <w:tcW w:w="2100" w:type="dxa"/>
            <w:gridSpan w:val="5"/>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主管部门(盖章)</w:t>
            </w:r>
          </w:p>
        </w:tc>
        <w:tc>
          <w:tcPr>
            <w:tcW w:w="2235" w:type="dxa"/>
            <w:gridSpan w:val="7"/>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215" w:type="dxa"/>
            <w:gridSpan w:val="4"/>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sz w:val="18"/>
                <w:szCs w:val="18"/>
                <w:lang w:val="en-US" w:eastAsia="zh-CN" w:bidi="ar"/>
              </w:rPr>
              <w:t>实施单位(盖章)</w:t>
            </w:r>
          </w:p>
        </w:tc>
        <w:tc>
          <w:tcPr>
            <w:tcW w:w="2790" w:type="dxa"/>
            <w:gridSpan w:val="13"/>
            <w:tcBorders>
              <w:top w:val="single" w:color="000000" w:sz="8" w:space="0"/>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216" w:hRule="atLeast"/>
          <w:jc w:val="center"/>
        </w:trPr>
        <w:tc>
          <w:tcPr>
            <w:tcW w:w="2100" w:type="dxa"/>
            <w:gridSpan w:val="5"/>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5" w:type="dxa"/>
            <w:gridSpan w:val="7"/>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广元市委宣传部</w:t>
            </w:r>
          </w:p>
        </w:tc>
        <w:tc>
          <w:tcPr>
            <w:tcW w:w="1215" w:type="dxa"/>
            <w:gridSpan w:val="4"/>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90" w:type="dxa"/>
            <w:gridSpan w:val="13"/>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广元市文学艺术界联合会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90" w:hRule="atLeast"/>
          <w:jc w:val="center"/>
        </w:trPr>
        <w:tc>
          <w:tcPr>
            <w:tcW w:w="2100" w:type="dxa"/>
            <w:gridSpan w:val="5"/>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5" w:type="dxa"/>
            <w:gridSpan w:val="7"/>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gridSpan w:val="4"/>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790" w:type="dxa"/>
            <w:gridSpan w:val="1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69" w:type="dxa"/>
            <w:gridSpan w:val="3"/>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2235" w:type="dxa"/>
            <w:gridSpan w:val="7"/>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4005" w:type="dxa"/>
            <w:gridSpan w:val="17"/>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90"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69" w:type="dxa"/>
            <w:gridSpan w:val="3"/>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sz w:val="18"/>
                <w:szCs w:val="18"/>
                <w:lang w:val="en-US" w:eastAsia="zh-CN" w:bidi="ar"/>
              </w:rPr>
              <w:t>1.项目年度目标完成情况</w:t>
            </w:r>
          </w:p>
        </w:tc>
        <w:tc>
          <w:tcPr>
            <w:tcW w:w="2235" w:type="dxa"/>
            <w:gridSpan w:val="7"/>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05" w:type="dxa"/>
            <w:gridSpan w:val="17"/>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2047"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69" w:type="dxa"/>
            <w:gridSpan w:val="3"/>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5" w:type="dxa"/>
            <w:gridSpan w:val="7"/>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Style w:val="34"/>
                <w:rFonts w:eastAsia="宋体"/>
                <w:sz w:val="18"/>
                <w:szCs w:val="18"/>
                <w:lang w:val="en-US" w:eastAsia="zh-CN" w:bidi="ar"/>
              </w:rPr>
              <w:t>开展主题文艺作品创作，推出文艺精品</w:t>
            </w:r>
            <w:r>
              <w:rPr>
                <w:rStyle w:val="33"/>
                <w:sz w:val="18"/>
                <w:szCs w:val="18"/>
                <w:lang w:val="en-US" w:eastAsia="zh-CN" w:bidi="ar"/>
              </w:rPr>
              <w:t>100件以上；组织开展采风、创作、展演、交流等文艺惠民活动30场次左右；组织市级各文艺家协会和文艺志愿者，培训指导基层文艺人才15人以上。</w:t>
            </w:r>
          </w:p>
        </w:tc>
        <w:tc>
          <w:tcPr>
            <w:tcW w:w="4005" w:type="dxa"/>
            <w:gridSpan w:val="17"/>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Style w:val="34"/>
                <w:rFonts w:eastAsia="宋体"/>
                <w:sz w:val="18"/>
                <w:szCs w:val="18"/>
                <w:lang w:val="en-US" w:eastAsia="zh-CN" w:bidi="ar"/>
              </w:rPr>
              <w:t>开展主题文艺作品创作，推出文艺精品</w:t>
            </w:r>
            <w:r>
              <w:rPr>
                <w:rStyle w:val="33"/>
                <w:sz w:val="18"/>
                <w:szCs w:val="18"/>
                <w:lang w:val="en-US" w:eastAsia="zh-CN" w:bidi="ar"/>
              </w:rPr>
              <w:t>100件以上；组织开展采风、创作、展演、交流等文艺惠民活动30场次左右；组织市级各文艺家协会和文艺志愿者，培训指导基层文艺人才15人以上。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803"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1069"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sz w:val="18"/>
                <w:szCs w:val="18"/>
                <w:lang w:val="en-US" w:eastAsia="zh-CN" w:bidi="ar"/>
              </w:rPr>
              <w:t>2.项目实施内容及过程概述</w:t>
            </w:r>
          </w:p>
        </w:tc>
        <w:tc>
          <w:tcPr>
            <w:tcW w:w="6240" w:type="dxa"/>
            <w:gridSpan w:val="2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Style w:val="34"/>
                <w:rFonts w:eastAsia="宋体"/>
                <w:sz w:val="18"/>
                <w:szCs w:val="18"/>
                <w:lang w:val="en-US" w:eastAsia="zh-CN" w:bidi="ar"/>
              </w:rPr>
              <w:t>围绕市委市政府中心工作，组织开展主题文艺作品创作，推出文艺精品</w:t>
            </w:r>
            <w:r>
              <w:rPr>
                <w:rStyle w:val="33"/>
                <w:sz w:val="18"/>
                <w:szCs w:val="18"/>
                <w:lang w:val="en-US" w:eastAsia="zh-CN" w:bidi="ar"/>
              </w:rPr>
              <w:t>；组织开展采风、创作、展演、交流等文艺惠民活动；组织市级各文艺家协会和文艺志愿者，培训指导基层文艺人才。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59"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69" w:type="dxa"/>
            <w:gridSpan w:val="3"/>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w:t>
            </w:r>
          </w:p>
        </w:tc>
        <w:tc>
          <w:tcPr>
            <w:tcW w:w="675" w:type="dxa"/>
            <w:gridSpan w:val="2"/>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68" w:type="dxa"/>
            <w:gridSpan w:val="3"/>
            <w:tcBorders>
              <w:top w:val="single" w:color="000000" w:sz="8" w:space="0"/>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92" w:type="dxa"/>
            <w:gridSpan w:val="2"/>
            <w:tcBorders>
              <w:top w:val="single" w:color="000000" w:sz="8" w:space="0"/>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215" w:type="dxa"/>
            <w:gridSpan w:val="4"/>
            <w:tcBorders>
              <w:top w:val="single" w:color="000000" w:sz="8" w:space="0"/>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tcBorders>
              <w:top w:val="single" w:color="000000" w:sz="8" w:space="0"/>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502" w:type="dxa"/>
            <w:gridSpan w:val="3"/>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sz w:val="18"/>
                <w:szCs w:val="18"/>
                <w:lang w:val="en-US" w:eastAsia="zh-CN" w:bidi="ar"/>
              </w:rPr>
              <w:t>部门自评得分</w:t>
            </w:r>
          </w:p>
        </w:tc>
        <w:tc>
          <w:tcPr>
            <w:tcW w:w="1605" w:type="dxa"/>
            <w:gridSpan w:val="8"/>
            <w:tcBorders>
              <w:top w:val="single" w:color="000000" w:sz="8" w:space="0"/>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686"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69"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sz w:val="18"/>
                <w:szCs w:val="18"/>
                <w:lang w:val="en-US" w:eastAsia="zh-CN" w:bidi="ar"/>
              </w:rPr>
              <w:t>元)</w:t>
            </w:r>
          </w:p>
        </w:tc>
        <w:tc>
          <w:tcPr>
            <w:tcW w:w="67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868"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692"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121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683"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502" w:type="dxa"/>
            <w:gridSpan w:val="3"/>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05" w:type="dxa"/>
            <w:gridSpan w:val="8"/>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sz w:val="18"/>
                <w:szCs w:val="18"/>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90"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69"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675" w:type="dxa"/>
            <w:gridSpan w:val="2"/>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8" w:type="dxa"/>
            <w:gridSpan w:val="3"/>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gridSpan w:val="4"/>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3"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2" w:type="dxa"/>
            <w:gridSpan w:val="3"/>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05" w:type="dxa"/>
            <w:gridSpan w:val="8"/>
            <w:vMerge w:val="restart"/>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69"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0.01</w:t>
            </w:r>
          </w:p>
        </w:tc>
        <w:tc>
          <w:tcPr>
            <w:tcW w:w="868"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0.01</w:t>
            </w:r>
          </w:p>
        </w:tc>
        <w:tc>
          <w:tcPr>
            <w:tcW w:w="692"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0.01</w:t>
            </w:r>
          </w:p>
        </w:tc>
        <w:tc>
          <w:tcPr>
            <w:tcW w:w="1215"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83"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2"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30</w:t>
            </w:r>
          </w:p>
        </w:tc>
        <w:tc>
          <w:tcPr>
            <w:tcW w:w="1605" w:type="dxa"/>
            <w:gridSpan w:val="8"/>
            <w:vMerge w:val="continue"/>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90"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69"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675" w:type="dxa"/>
            <w:gridSpan w:val="2"/>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8" w:type="dxa"/>
            <w:gridSpan w:val="3"/>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15" w:type="dxa"/>
            <w:gridSpan w:val="4"/>
            <w:vMerge w:val="restart"/>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83" w:type="dxa"/>
            <w:gridSpan w:val="2"/>
            <w:vMerge w:val="restart"/>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lang w:val="en-US" w:eastAsia="zh-CN"/>
              </w:rPr>
            </w:pPr>
            <w:r>
              <w:rPr>
                <w:rFonts w:hint="eastAsia" w:ascii="Arial" w:hAnsi="Arial" w:eastAsia="宋体" w:cs="Arial"/>
                <w:i w:val="0"/>
                <w:iCs w:val="0"/>
                <w:color w:val="000000"/>
                <w:sz w:val="18"/>
                <w:szCs w:val="18"/>
                <w:u w:val="none"/>
                <w:lang w:val="en-US" w:eastAsia="zh-CN"/>
              </w:rPr>
              <w:t>10</w:t>
            </w:r>
          </w:p>
        </w:tc>
        <w:tc>
          <w:tcPr>
            <w:tcW w:w="502" w:type="dxa"/>
            <w:gridSpan w:val="3"/>
            <w:vMerge w:val="restart"/>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lang w:val="en-US" w:eastAsia="zh-CN"/>
              </w:rPr>
            </w:pPr>
            <w:r>
              <w:rPr>
                <w:rFonts w:hint="eastAsia" w:ascii="Arial" w:hAnsi="Arial" w:eastAsia="宋体" w:cs="Arial"/>
                <w:i w:val="0"/>
                <w:iCs w:val="0"/>
                <w:color w:val="000000"/>
                <w:sz w:val="18"/>
                <w:szCs w:val="18"/>
                <w:u w:val="none"/>
                <w:lang w:val="en-US" w:eastAsia="zh-CN"/>
              </w:rPr>
              <w:t>0</w:t>
            </w:r>
          </w:p>
        </w:tc>
        <w:tc>
          <w:tcPr>
            <w:tcW w:w="1605" w:type="dxa"/>
            <w:gridSpan w:val="8"/>
            <w:vMerge w:val="continue"/>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271" w:hRule="atLeast"/>
          <w:jc w:val="center"/>
        </w:trPr>
        <w:tc>
          <w:tcPr>
            <w:tcW w:w="1031" w:type="dxa"/>
            <w:gridSpan w:val="2"/>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ind w:left="0" w:lef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w:t>
            </w:r>
            <w:r>
              <w:rPr>
                <w:rStyle w:val="33"/>
                <w:sz w:val="18"/>
                <w:szCs w:val="18"/>
                <w:lang w:val="en-US" w:eastAsia="zh-CN" w:bidi="ar"/>
              </w:rPr>
              <w:t>分</w:t>
            </w:r>
          </w:p>
        </w:tc>
        <w:tc>
          <w:tcPr>
            <w:tcW w:w="1069"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0.01</w:t>
            </w:r>
          </w:p>
        </w:tc>
        <w:tc>
          <w:tcPr>
            <w:tcW w:w="868"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0.01</w:t>
            </w:r>
          </w:p>
        </w:tc>
        <w:tc>
          <w:tcPr>
            <w:tcW w:w="692"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0.01</w:t>
            </w:r>
            <w:r>
              <w:rPr>
                <w:rFonts w:hint="eastAsia" w:ascii="宋体" w:hAnsi="宋体" w:eastAsia="宋体" w:cs="宋体"/>
                <w:i w:val="0"/>
                <w:iCs w:val="0"/>
                <w:color w:val="000000"/>
                <w:kern w:val="0"/>
                <w:sz w:val="18"/>
                <w:szCs w:val="18"/>
                <w:u w:val="none"/>
                <w:lang w:val="en-US" w:eastAsia="zh-CN" w:bidi="ar"/>
              </w:rPr>
              <w:t>8</w:t>
            </w:r>
          </w:p>
        </w:tc>
        <w:tc>
          <w:tcPr>
            <w:tcW w:w="1215" w:type="dxa"/>
            <w:gridSpan w:val="4"/>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502"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605" w:type="dxa"/>
            <w:gridSpan w:val="8"/>
            <w:vMerge w:val="continue"/>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90" w:hRule="atLeast"/>
          <w:jc w:val="center"/>
        </w:trPr>
        <w:tc>
          <w:tcPr>
            <w:tcW w:w="1031" w:type="dxa"/>
            <w:gridSpan w:val="2"/>
            <w:vMerge w:val="continue"/>
            <w:tcBorders>
              <w:left w:val="single" w:color="000000" w:sz="8" w:space="0"/>
              <w:bottom w:val="nil"/>
              <w:right w:val="single" w:color="000000" w:sz="8" w:space="0"/>
            </w:tcBorders>
            <w:shd w:val="clear" w:color="auto" w:fill="auto"/>
            <w:vAlign w:val="center"/>
          </w:tcPr>
          <w:p>
            <w:pPr>
              <w:keepNext w:val="0"/>
              <w:keepLines w:val="0"/>
              <w:widowControl/>
              <w:suppressLineNumbers w:val="0"/>
              <w:ind w:left="0" w:leftChars="0"/>
              <w:jc w:val="center"/>
              <w:textAlignment w:val="center"/>
              <w:rPr>
                <w:rFonts w:hint="eastAsia" w:ascii="宋体" w:hAnsi="宋体" w:eastAsia="宋体" w:cs="宋体"/>
                <w:i w:val="0"/>
                <w:iCs w:val="0"/>
                <w:color w:val="000000"/>
                <w:sz w:val="18"/>
                <w:szCs w:val="18"/>
                <w:u w:val="none"/>
              </w:rPr>
            </w:pPr>
          </w:p>
        </w:tc>
        <w:tc>
          <w:tcPr>
            <w:tcW w:w="1069"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675" w:type="dxa"/>
            <w:gridSpan w:val="2"/>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68"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92" w:type="dxa"/>
            <w:gridSpan w:val="2"/>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215" w:type="dxa"/>
            <w:gridSpan w:val="4"/>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502"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605" w:type="dxa"/>
            <w:gridSpan w:val="8"/>
            <w:vMerge w:val="continue"/>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84"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9"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675" w:type="dxa"/>
            <w:gridSpan w:val="2"/>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68"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92" w:type="dxa"/>
            <w:gridSpan w:val="2"/>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215" w:type="dxa"/>
            <w:gridSpan w:val="4"/>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502"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605" w:type="dxa"/>
            <w:gridSpan w:val="8"/>
            <w:vMerge w:val="continue"/>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252"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9"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675" w:type="dxa"/>
            <w:gridSpan w:val="2"/>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68"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92" w:type="dxa"/>
            <w:gridSpan w:val="2"/>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215" w:type="dxa"/>
            <w:gridSpan w:val="4"/>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502"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605" w:type="dxa"/>
            <w:gridSpan w:val="8"/>
            <w:tcBorders>
              <w:top w:val="nil"/>
              <w:left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1295"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69"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67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868"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92"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sz w:val="18"/>
                <w:szCs w:val="18"/>
                <w:lang w:val="en-US" w:eastAsia="zh-CN" w:bidi="ar"/>
              </w:rPr>
              <w:t>指标性质</w:t>
            </w:r>
          </w:p>
        </w:tc>
        <w:tc>
          <w:tcPr>
            <w:tcW w:w="76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45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sz w:val="18"/>
                <w:szCs w:val="18"/>
                <w:lang w:val="en-US" w:eastAsia="zh-CN" w:bidi="ar"/>
              </w:rPr>
              <w:t>度量单位</w:t>
            </w:r>
          </w:p>
        </w:tc>
        <w:tc>
          <w:tcPr>
            <w:tcW w:w="683"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02"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579"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sz w:val="18"/>
                <w:szCs w:val="18"/>
                <w:lang w:val="en-US" w:eastAsia="zh-CN" w:bidi="ar"/>
              </w:rPr>
              <w:t>部门自评得分</w:t>
            </w:r>
          </w:p>
        </w:tc>
        <w:tc>
          <w:tcPr>
            <w:tcW w:w="1026"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1045"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69" w:type="dxa"/>
            <w:gridSpan w:val="3"/>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Style w:val="34"/>
                <w:rFonts w:eastAsia="宋体"/>
                <w:sz w:val="18"/>
                <w:szCs w:val="18"/>
                <w:lang w:val="en-US" w:eastAsia="zh-CN" w:bidi="ar"/>
              </w:rPr>
              <w:t>文艺作品</w:t>
            </w:r>
            <w:r>
              <w:rPr>
                <w:rStyle w:val="33"/>
                <w:sz w:val="18"/>
                <w:szCs w:val="18"/>
                <w:lang w:val="en-US" w:eastAsia="zh-CN" w:bidi="ar"/>
              </w:rPr>
              <w:t>、精品数量</w:t>
            </w:r>
          </w:p>
        </w:tc>
        <w:tc>
          <w:tcPr>
            <w:tcW w:w="868"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100件以上</w:t>
            </w:r>
          </w:p>
        </w:tc>
        <w:tc>
          <w:tcPr>
            <w:tcW w:w="692"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76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5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683"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502"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79"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026"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1502"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69"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67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线上活动和线下活动场次</w:t>
            </w:r>
          </w:p>
        </w:tc>
        <w:tc>
          <w:tcPr>
            <w:tcW w:w="868"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30场次以上</w:t>
            </w:r>
          </w:p>
        </w:tc>
        <w:tc>
          <w:tcPr>
            <w:tcW w:w="692"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76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45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w:t>
            </w:r>
          </w:p>
        </w:tc>
        <w:tc>
          <w:tcPr>
            <w:tcW w:w="683"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502"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79"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026"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254"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69" w:type="dxa"/>
            <w:gridSpan w:val="3"/>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gridSpan w:val="2"/>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68"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增强社会公众对社会主义核心价值观</w:t>
            </w:r>
          </w:p>
        </w:tc>
        <w:tc>
          <w:tcPr>
            <w:tcW w:w="692"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765"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好坏</w:t>
            </w:r>
          </w:p>
        </w:tc>
        <w:tc>
          <w:tcPr>
            <w:tcW w:w="450" w:type="dxa"/>
            <w:gridSpan w:val="2"/>
            <w:vMerge w:val="restart"/>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好</w:t>
            </w:r>
          </w:p>
        </w:tc>
        <w:tc>
          <w:tcPr>
            <w:tcW w:w="502"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79"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26" w:type="dxa"/>
            <w:gridSpan w:val="5"/>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90"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9" w:type="dxa"/>
            <w:gridSpan w:val="3"/>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gridSpan w:val="2"/>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68"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92"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5"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450"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2"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9"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6" w:type="dxa"/>
            <w:gridSpan w:val="5"/>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973"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1069" w:type="dxa"/>
            <w:gridSpan w:val="3"/>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67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社会效益指标</w:t>
            </w:r>
          </w:p>
        </w:tc>
        <w:tc>
          <w:tcPr>
            <w:tcW w:w="868"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92"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5"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450"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2"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9"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6" w:type="dxa"/>
            <w:gridSpan w:val="5"/>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9" w:type="dxa"/>
            <w:gridSpan w:val="3"/>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可持续发展指标</w:t>
            </w:r>
          </w:p>
        </w:tc>
        <w:tc>
          <w:tcPr>
            <w:tcW w:w="868"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公众对社会主义核心价值观增强意识</w:t>
            </w:r>
          </w:p>
        </w:tc>
        <w:tc>
          <w:tcPr>
            <w:tcW w:w="692"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765"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优良中低差</w:t>
            </w:r>
          </w:p>
        </w:tc>
        <w:tc>
          <w:tcPr>
            <w:tcW w:w="450" w:type="dxa"/>
            <w:gridSpan w:val="2"/>
            <w:vMerge w:val="restart"/>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优</w:t>
            </w:r>
          </w:p>
        </w:tc>
        <w:tc>
          <w:tcPr>
            <w:tcW w:w="502"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79"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26" w:type="dxa"/>
            <w:gridSpan w:val="5"/>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929"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9"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68"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5"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450"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502"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9"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6"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1115"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9" w:type="dxa"/>
            <w:gridSpan w:val="3"/>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675" w:type="dxa"/>
            <w:gridSpan w:val="2"/>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人民群众满意度</w:t>
            </w:r>
          </w:p>
        </w:tc>
        <w:tc>
          <w:tcPr>
            <w:tcW w:w="868" w:type="dxa"/>
            <w:gridSpan w:val="3"/>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到达90%满意度</w:t>
            </w:r>
          </w:p>
        </w:tc>
        <w:tc>
          <w:tcPr>
            <w:tcW w:w="692" w:type="dxa"/>
            <w:gridSpan w:val="2"/>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765" w:type="dxa"/>
            <w:gridSpan w:val="2"/>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到达90%满意度</w:t>
            </w:r>
          </w:p>
        </w:tc>
        <w:tc>
          <w:tcPr>
            <w:tcW w:w="450" w:type="dxa"/>
            <w:gridSpan w:val="2"/>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Style w:val="34"/>
                <w:rFonts w:eastAsia="宋体"/>
                <w:sz w:val="18"/>
                <w:szCs w:val="18"/>
                <w:lang w:val="en-US" w:eastAsia="zh-CN" w:bidi="ar"/>
              </w:rPr>
              <w:t>到达90%</w:t>
            </w:r>
            <w:r>
              <w:rPr>
                <w:rStyle w:val="33"/>
                <w:sz w:val="18"/>
                <w:szCs w:val="18"/>
                <w:lang w:val="en-US" w:eastAsia="zh-CN" w:bidi="ar"/>
              </w:rPr>
              <w:t>以上</w:t>
            </w:r>
          </w:p>
        </w:tc>
        <w:tc>
          <w:tcPr>
            <w:tcW w:w="502" w:type="dxa"/>
            <w:gridSpan w:val="3"/>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79" w:type="dxa"/>
            <w:gridSpan w:val="3"/>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w:t>
            </w:r>
          </w:p>
        </w:tc>
        <w:tc>
          <w:tcPr>
            <w:tcW w:w="1026" w:type="dxa"/>
            <w:gridSpan w:val="5"/>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2100" w:type="dxa"/>
            <w:gridSpan w:val="5"/>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主管部门(盖章)</w:t>
            </w:r>
          </w:p>
        </w:tc>
        <w:tc>
          <w:tcPr>
            <w:tcW w:w="1543" w:type="dxa"/>
            <w:gridSpan w:val="5"/>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92"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4005" w:type="dxa"/>
            <w:gridSpan w:val="17"/>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广元市文学艺术界联合会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12" w:hRule="atLeast"/>
          <w:jc w:val="center"/>
        </w:trPr>
        <w:tc>
          <w:tcPr>
            <w:tcW w:w="2100" w:type="dxa"/>
            <w:gridSpan w:val="5"/>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43" w:type="dxa"/>
            <w:gridSpan w:val="5"/>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92"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05" w:type="dxa"/>
            <w:gridSpan w:val="17"/>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424" w:hRule="atLeast"/>
          <w:jc w:val="center"/>
        </w:trPr>
        <w:tc>
          <w:tcPr>
            <w:tcW w:w="5550" w:type="dxa"/>
            <w:gridSpan w:val="16"/>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683"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02"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605" w:type="dxa"/>
            <w:gridSpan w:val="8"/>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1031"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sz w:val="18"/>
                <w:szCs w:val="18"/>
                <w:lang w:val="en-US" w:eastAsia="zh-CN" w:bidi="ar"/>
              </w:rPr>
              <w:t>部门(单位)自评结论</w:t>
            </w:r>
          </w:p>
        </w:tc>
        <w:tc>
          <w:tcPr>
            <w:tcW w:w="7309" w:type="dxa"/>
            <w:gridSpan w:val="27"/>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该项目绩效目标评价得分100分，总分100分；绩效管理情况较为理想，达到了年初各项绩效目标，所有资金使用严格按审批程序办理、操作规范，会计核算结果真实、准确，各项支出严格按照各项制度执行。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1031"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09" w:type="dxa"/>
            <w:gridSpan w:val="27"/>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12" w:hRule="atLeast"/>
          <w:jc w:val="center"/>
        </w:trPr>
        <w:tc>
          <w:tcPr>
            <w:tcW w:w="1031"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09" w:type="dxa"/>
            <w:gridSpan w:val="27"/>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1031"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sz w:val="18"/>
                <w:szCs w:val="18"/>
                <w:lang w:val="en-US" w:eastAsia="zh-CN" w:bidi="ar"/>
              </w:rPr>
              <w:t>部门(单位)自评存在问题</w:t>
            </w:r>
          </w:p>
        </w:tc>
        <w:tc>
          <w:tcPr>
            <w:tcW w:w="7309" w:type="dxa"/>
            <w:gridSpan w:val="27"/>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一是在部门整体支出绩效目标与生态指标和经济指标缺乏对应性，关联性和可操作性不强；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12" w:hRule="atLeast"/>
          <w:jc w:val="center"/>
        </w:trPr>
        <w:tc>
          <w:tcPr>
            <w:tcW w:w="1031"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309" w:type="dxa"/>
            <w:gridSpan w:val="27"/>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741" w:hRule="atLeast"/>
          <w:jc w:val="center"/>
        </w:trPr>
        <w:tc>
          <w:tcPr>
            <w:tcW w:w="1031"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3"/>
                <w:sz w:val="18"/>
                <w:szCs w:val="18"/>
                <w:lang w:val="en-US" w:eastAsia="zh-CN" w:bidi="ar"/>
              </w:rPr>
              <w:t>部门(单位)自评改进措施</w:t>
            </w:r>
          </w:p>
        </w:tc>
        <w:tc>
          <w:tcPr>
            <w:tcW w:w="7309" w:type="dxa"/>
            <w:gridSpan w:val="27"/>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随着资金改革的进一步推进，我单位内部机构进行了相应的优化，建立健全了财务管理制度、固定资产管理制度、费用报销流程制度，但仍需要进一步加强财务约束监督体制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90" w:hRule="atLeast"/>
          <w:jc w:val="center"/>
        </w:trPr>
        <w:tc>
          <w:tcPr>
            <w:tcW w:w="2775" w:type="dxa"/>
            <w:gridSpan w:val="7"/>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单位项目负责人：宋军</w:t>
            </w:r>
          </w:p>
        </w:tc>
        <w:tc>
          <w:tcPr>
            <w:tcW w:w="5565" w:type="dxa"/>
            <w:gridSpan w:val="2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单位财务负责人：张冬梅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642" w:hRule="atLeast"/>
          <w:jc w:val="center"/>
        </w:trPr>
        <w:tc>
          <w:tcPr>
            <w:tcW w:w="8340" w:type="dxa"/>
            <w:gridSpan w:val="29"/>
            <w:tcBorders>
              <w:top w:val="nil"/>
              <w:left w:val="nil"/>
              <w:bottom w:val="nil"/>
              <w:right w:val="nil"/>
            </w:tcBorders>
            <w:shd w:val="clear" w:color="auto" w:fill="auto"/>
            <w:noWrap/>
            <w:vAlign w:val="center"/>
          </w:tcPr>
          <w:p>
            <w:pPr>
              <w:pStyle w:val="2"/>
              <w:ind w:left="0" w:leftChars="0" w:firstLine="0" w:firstLineChars="0"/>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附件</w:t>
            </w:r>
            <w:r>
              <w:rPr>
                <w:rFonts w:hint="eastAsia" w:ascii="宋体" w:hAnsi="宋体" w:cs="宋体"/>
                <w:b/>
                <w:bCs/>
                <w:i w:val="0"/>
                <w:iCs w:val="0"/>
                <w:color w:val="000000"/>
                <w:kern w:val="0"/>
                <w:sz w:val="32"/>
                <w:szCs w:val="32"/>
                <w:u w:val="none"/>
                <w:lang w:val="en-US" w:eastAsia="zh-CN" w:bidi="ar"/>
              </w:rPr>
              <w:t>9</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1753"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6587" w:type="dxa"/>
            <w:gridSpan w:val="26"/>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春节活动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90" w:hRule="atLeast"/>
          <w:jc w:val="center"/>
        </w:trPr>
        <w:tc>
          <w:tcPr>
            <w:tcW w:w="1753" w:type="dxa"/>
            <w:gridSpan w:val="3"/>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主管部门(盖章)</w:t>
            </w:r>
          </w:p>
        </w:tc>
        <w:tc>
          <w:tcPr>
            <w:tcW w:w="3347" w:type="dxa"/>
            <w:gridSpan w:val="11"/>
            <w:tcBorders>
              <w:top w:val="nil"/>
              <w:left w:val="nil"/>
              <w:bottom w:val="nil"/>
              <w:right w:val="single" w:color="000000" w:sz="8" w:space="0"/>
            </w:tcBorders>
            <w:shd w:val="clear" w:color="auto" w:fill="auto"/>
            <w:vAlign w:val="center"/>
          </w:tcPr>
          <w:p>
            <w:pPr>
              <w:jc w:val="center"/>
              <w:rPr>
                <w:rFonts w:hint="eastAsia" w:ascii="Arial" w:hAnsi="Arial" w:eastAsia="宋体" w:cs="Arial"/>
                <w:i w:val="0"/>
                <w:iCs w:val="0"/>
                <w:color w:val="000000"/>
                <w:sz w:val="18"/>
                <w:szCs w:val="18"/>
                <w:u w:val="none"/>
              </w:rPr>
            </w:pPr>
          </w:p>
        </w:tc>
        <w:tc>
          <w:tcPr>
            <w:tcW w:w="1133" w:type="dxa"/>
            <w:gridSpan w:val="4"/>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w:t>
            </w:r>
          </w:p>
        </w:tc>
        <w:tc>
          <w:tcPr>
            <w:tcW w:w="2107" w:type="dxa"/>
            <w:gridSpan w:val="11"/>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187" w:hRule="atLeast"/>
          <w:jc w:val="center"/>
        </w:trPr>
        <w:tc>
          <w:tcPr>
            <w:tcW w:w="1753" w:type="dxa"/>
            <w:gridSpan w:val="3"/>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47" w:type="dxa"/>
            <w:gridSpan w:val="11"/>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广元市委宣传部</w:t>
            </w:r>
          </w:p>
        </w:tc>
        <w:tc>
          <w:tcPr>
            <w:tcW w:w="1133" w:type="dxa"/>
            <w:gridSpan w:val="4"/>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07" w:type="dxa"/>
            <w:gridSpan w:val="11"/>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广元市文学艺术界联合会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209" w:hRule="atLeast"/>
          <w:jc w:val="center"/>
        </w:trPr>
        <w:tc>
          <w:tcPr>
            <w:tcW w:w="1753" w:type="dxa"/>
            <w:gridSpan w:val="3"/>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347" w:type="dxa"/>
            <w:gridSpan w:val="11"/>
            <w:tcBorders>
              <w:top w:val="nil"/>
              <w:left w:val="nil"/>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133" w:type="dxa"/>
            <w:gridSpan w:val="4"/>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07" w:type="dxa"/>
            <w:gridSpan w:val="11"/>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898" w:type="dxa"/>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55" w:type="dxa"/>
            <w:gridSpan w:val="2"/>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3347" w:type="dxa"/>
            <w:gridSpan w:val="11"/>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开展春节活动5场次以上，开展线上有关节日氛围相关活动</w:t>
            </w:r>
            <w:r>
              <w:rPr>
                <w:rFonts w:hint="default" w:ascii="Arial" w:hAnsi="Arial" w:eastAsia="宋体" w:cs="Arial"/>
                <w:i w:val="0"/>
                <w:iCs w:val="0"/>
                <w:color w:val="000000"/>
                <w:kern w:val="0"/>
                <w:sz w:val="18"/>
                <w:szCs w:val="18"/>
                <w:u w:val="none"/>
                <w:lang w:val="en-US" w:eastAsia="zh-CN" w:bidi="ar"/>
              </w:rPr>
              <w:t>5</w:t>
            </w:r>
            <w:r>
              <w:rPr>
                <w:rFonts w:hint="eastAsia" w:ascii="宋体" w:hAnsi="宋体" w:eastAsia="宋体" w:cs="宋体"/>
                <w:i w:val="0"/>
                <w:iCs w:val="0"/>
                <w:color w:val="000000"/>
                <w:kern w:val="0"/>
                <w:sz w:val="18"/>
                <w:szCs w:val="18"/>
                <w:u w:val="none"/>
                <w:lang w:val="en-US" w:eastAsia="zh-CN" w:bidi="ar"/>
              </w:rPr>
              <w:t>场次</w:t>
            </w:r>
          </w:p>
        </w:tc>
        <w:tc>
          <w:tcPr>
            <w:tcW w:w="3240" w:type="dxa"/>
            <w:gridSpan w:val="15"/>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展春节活动5场次以上，开展线上有关节日氛围相关活动</w:t>
            </w:r>
            <w:r>
              <w:rPr>
                <w:rFonts w:hint="default" w:ascii="Arial" w:hAnsi="Arial" w:eastAsia="宋体" w:cs="Arial"/>
                <w:i w:val="0"/>
                <w:iCs w:val="0"/>
                <w:color w:val="000000"/>
                <w:kern w:val="0"/>
                <w:sz w:val="18"/>
                <w:szCs w:val="18"/>
                <w:u w:val="none"/>
                <w:lang w:val="en-US" w:eastAsia="zh-CN" w:bidi="ar"/>
              </w:rPr>
              <w:t>5</w:t>
            </w:r>
            <w:r>
              <w:rPr>
                <w:rFonts w:hint="eastAsia" w:ascii="宋体" w:hAnsi="宋体" w:eastAsia="宋体" w:cs="宋体"/>
                <w:i w:val="0"/>
                <w:iCs w:val="0"/>
                <w:color w:val="000000"/>
                <w:kern w:val="0"/>
                <w:sz w:val="18"/>
                <w:szCs w:val="18"/>
                <w:u w:val="none"/>
                <w:lang w:val="en-US" w:eastAsia="zh-CN" w:bidi="ar"/>
              </w:rPr>
              <w:t>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803" w:hRule="atLeast"/>
          <w:jc w:val="center"/>
        </w:trPr>
        <w:tc>
          <w:tcPr>
            <w:tcW w:w="898" w:type="dxa"/>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55" w:type="dxa"/>
            <w:gridSpan w:val="2"/>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3347" w:type="dxa"/>
            <w:gridSpan w:val="11"/>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15"/>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953" w:hRule="atLeast"/>
          <w:jc w:val="center"/>
        </w:trPr>
        <w:tc>
          <w:tcPr>
            <w:tcW w:w="898" w:type="dxa"/>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85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6587" w:type="dxa"/>
            <w:gridSpan w:val="2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围绕市委市政府中心工作</w:t>
            </w:r>
            <w:r>
              <w:rPr>
                <w:rFonts w:hint="eastAsia" w:ascii="宋体" w:hAnsi="宋体" w:eastAsia="宋体" w:cs="宋体"/>
                <w:i w:val="0"/>
                <w:iCs w:val="0"/>
                <w:color w:val="000000"/>
                <w:kern w:val="0"/>
                <w:sz w:val="18"/>
                <w:szCs w:val="18"/>
                <w:u w:val="none"/>
                <w:lang w:val="en-US" w:eastAsia="zh-CN" w:bidi="ar"/>
              </w:rPr>
              <w:t>，奋力</w:t>
            </w:r>
            <w:r>
              <w:rPr>
                <w:rFonts w:hint="default" w:ascii="Arial" w:hAnsi="Arial" w:eastAsia="宋体" w:cs="Arial"/>
                <w:i w:val="0"/>
                <w:iCs w:val="0"/>
                <w:color w:val="000000"/>
                <w:kern w:val="0"/>
                <w:sz w:val="18"/>
                <w:szCs w:val="18"/>
                <w:u w:val="none"/>
                <w:lang w:val="en-US" w:eastAsia="zh-CN" w:bidi="ar"/>
              </w:rPr>
              <w:t>推动我市文化旅游高质量发展，让广大人民群众共享文化发展成果，营造欢乐，喜庆，祥和的浓厚节日氛围。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953" w:hRule="atLeast"/>
          <w:jc w:val="center"/>
        </w:trPr>
        <w:tc>
          <w:tcPr>
            <w:tcW w:w="898" w:type="dxa"/>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5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582"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788"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1977"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1133"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502"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726"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部门自评得分</w:t>
            </w:r>
          </w:p>
        </w:tc>
        <w:tc>
          <w:tcPr>
            <w:tcW w:w="879"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898" w:type="dxa"/>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5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582"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5.83</w:t>
            </w:r>
          </w:p>
        </w:tc>
        <w:tc>
          <w:tcPr>
            <w:tcW w:w="788"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5.83</w:t>
            </w:r>
          </w:p>
        </w:tc>
        <w:tc>
          <w:tcPr>
            <w:tcW w:w="1977"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5.83</w:t>
            </w:r>
          </w:p>
        </w:tc>
        <w:tc>
          <w:tcPr>
            <w:tcW w:w="1133"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02"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6"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879" w:type="dxa"/>
            <w:gridSpan w:val="4"/>
            <w:vMerge w:val="restart"/>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642" w:hRule="atLeast"/>
          <w:jc w:val="center"/>
        </w:trPr>
        <w:tc>
          <w:tcPr>
            <w:tcW w:w="898" w:type="dxa"/>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5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582"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5.83</w:t>
            </w:r>
          </w:p>
        </w:tc>
        <w:tc>
          <w:tcPr>
            <w:tcW w:w="788"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5.83</w:t>
            </w:r>
          </w:p>
        </w:tc>
        <w:tc>
          <w:tcPr>
            <w:tcW w:w="1977"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5.83</w:t>
            </w:r>
          </w:p>
        </w:tc>
        <w:tc>
          <w:tcPr>
            <w:tcW w:w="1133" w:type="dxa"/>
            <w:gridSpan w:val="4"/>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502"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726" w:type="dxa"/>
            <w:gridSpan w:val="4"/>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79" w:type="dxa"/>
            <w:gridSpan w:val="4"/>
            <w:vMerge w:val="continue"/>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642" w:hRule="atLeast"/>
          <w:jc w:val="center"/>
        </w:trPr>
        <w:tc>
          <w:tcPr>
            <w:tcW w:w="898" w:type="dxa"/>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5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582"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788"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977" w:type="dxa"/>
            <w:gridSpan w:val="5"/>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133" w:type="dxa"/>
            <w:gridSpan w:val="4"/>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502"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726" w:type="dxa"/>
            <w:gridSpan w:val="4"/>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79" w:type="dxa"/>
            <w:gridSpan w:val="4"/>
            <w:vMerge w:val="continue"/>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953" w:hRule="atLeast"/>
          <w:jc w:val="center"/>
        </w:trPr>
        <w:tc>
          <w:tcPr>
            <w:tcW w:w="898" w:type="dxa"/>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w:t>
            </w:r>
          </w:p>
        </w:tc>
        <w:tc>
          <w:tcPr>
            <w:tcW w:w="85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582"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788"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977" w:type="dxa"/>
            <w:gridSpan w:val="5"/>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133" w:type="dxa"/>
            <w:gridSpan w:val="4"/>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502"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726" w:type="dxa"/>
            <w:gridSpan w:val="4"/>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79" w:type="dxa"/>
            <w:gridSpan w:val="4"/>
            <w:vMerge w:val="continue"/>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898" w:type="dxa"/>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w:t>
            </w:r>
          </w:p>
        </w:tc>
        <w:tc>
          <w:tcPr>
            <w:tcW w:w="85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582"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788"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977" w:type="dxa"/>
            <w:gridSpan w:val="5"/>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133" w:type="dxa"/>
            <w:gridSpan w:val="4"/>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502"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726" w:type="dxa"/>
            <w:gridSpan w:val="4"/>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79" w:type="dxa"/>
            <w:gridSpan w:val="4"/>
            <w:vMerge w:val="continue"/>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1231" w:hRule="atLeast"/>
          <w:jc w:val="center"/>
        </w:trPr>
        <w:tc>
          <w:tcPr>
            <w:tcW w:w="898" w:type="dxa"/>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5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582"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308"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92"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76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45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683"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02"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726"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部门自评得分</w:t>
            </w:r>
          </w:p>
        </w:tc>
        <w:tc>
          <w:tcPr>
            <w:tcW w:w="879" w:type="dxa"/>
            <w:gridSpan w:val="4"/>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642" w:hRule="atLeast"/>
          <w:jc w:val="center"/>
        </w:trPr>
        <w:tc>
          <w:tcPr>
            <w:tcW w:w="898" w:type="dxa"/>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55" w:type="dxa"/>
            <w:gridSpan w:val="2"/>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2"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开展春节活动</w:t>
            </w:r>
          </w:p>
        </w:tc>
        <w:tc>
          <w:tcPr>
            <w:tcW w:w="1308"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5场以上</w:t>
            </w:r>
          </w:p>
        </w:tc>
        <w:tc>
          <w:tcPr>
            <w:tcW w:w="692"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76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w:t>
            </w:r>
          </w:p>
        </w:tc>
        <w:tc>
          <w:tcPr>
            <w:tcW w:w="683"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02"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26"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79"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1187" w:hRule="atLeast"/>
          <w:jc w:val="center"/>
        </w:trPr>
        <w:tc>
          <w:tcPr>
            <w:tcW w:w="898" w:type="dxa"/>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85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582"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线上活动和线下活动场次</w:t>
            </w:r>
          </w:p>
        </w:tc>
        <w:tc>
          <w:tcPr>
            <w:tcW w:w="1308"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5场次以上</w:t>
            </w:r>
          </w:p>
        </w:tc>
        <w:tc>
          <w:tcPr>
            <w:tcW w:w="692"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76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w:t>
            </w:r>
          </w:p>
        </w:tc>
        <w:tc>
          <w:tcPr>
            <w:tcW w:w="683"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02"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26"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79"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953" w:hRule="atLeast"/>
          <w:jc w:val="center"/>
        </w:trPr>
        <w:tc>
          <w:tcPr>
            <w:tcW w:w="898" w:type="dxa"/>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855" w:type="dxa"/>
            <w:gridSpan w:val="2"/>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2" w:type="dxa"/>
            <w:gridSpan w:val="3"/>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社会效益指标</w:t>
            </w:r>
          </w:p>
        </w:tc>
        <w:tc>
          <w:tcPr>
            <w:tcW w:w="1308" w:type="dxa"/>
            <w:gridSpan w:val="4"/>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增强人民群众幸福指数</w:t>
            </w:r>
          </w:p>
        </w:tc>
        <w:tc>
          <w:tcPr>
            <w:tcW w:w="692"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765"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优良中低差</w:t>
            </w:r>
          </w:p>
        </w:tc>
        <w:tc>
          <w:tcPr>
            <w:tcW w:w="450" w:type="dxa"/>
            <w:gridSpan w:val="2"/>
            <w:vMerge w:val="restart"/>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优</w:t>
            </w:r>
          </w:p>
        </w:tc>
        <w:tc>
          <w:tcPr>
            <w:tcW w:w="502"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6" w:type="dxa"/>
            <w:gridSpan w:val="4"/>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79" w:type="dxa"/>
            <w:gridSpan w:val="4"/>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213" w:hRule="atLeast"/>
          <w:jc w:val="center"/>
        </w:trPr>
        <w:tc>
          <w:tcPr>
            <w:tcW w:w="898" w:type="dxa"/>
            <w:tcBorders>
              <w:top w:val="nil"/>
              <w:left w:val="single" w:color="000000" w:sz="8" w:space="0"/>
              <w:bottom w:val="nil"/>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855" w:type="dxa"/>
            <w:gridSpan w:val="2"/>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2"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p>
        </w:tc>
        <w:tc>
          <w:tcPr>
            <w:tcW w:w="1308" w:type="dxa"/>
            <w:gridSpan w:val="4"/>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5"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450"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502"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6" w:type="dxa"/>
            <w:gridSpan w:val="4"/>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79"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898" w:type="dxa"/>
            <w:tcBorders>
              <w:top w:val="nil"/>
              <w:left w:val="single" w:color="000000" w:sz="8" w:space="0"/>
              <w:bottom w:val="nil"/>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855" w:type="dxa"/>
            <w:gridSpan w:val="2"/>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582"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可持续发展指标</w:t>
            </w:r>
          </w:p>
        </w:tc>
        <w:tc>
          <w:tcPr>
            <w:tcW w:w="1308" w:type="dxa"/>
            <w:gridSpan w:val="4"/>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公众对社会主义核心价值观增强意识</w:t>
            </w:r>
          </w:p>
        </w:tc>
        <w:tc>
          <w:tcPr>
            <w:tcW w:w="692"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765"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优良中低差</w:t>
            </w:r>
          </w:p>
        </w:tc>
        <w:tc>
          <w:tcPr>
            <w:tcW w:w="450" w:type="dxa"/>
            <w:gridSpan w:val="2"/>
            <w:vMerge w:val="restart"/>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优</w:t>
            </w:r>
          </w:p>
        </w:tc>
        <w:tc>
          <w:tcPr>
            <w:tcW w:w="502"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26" w:type="dxa"/>
            <w:gridSpan w:val="4"/>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79" w:type="dxa"/>
            <w:gridSpan w:val="4"/>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324" w:hRule="atLeast"/>
          <w:jc w:val="center"/>
        </w:trPr>
        <w:tc>
          <w:tcPr>
            <w:tcW w:w="898" w:type="dxa"/>
            <w:tcBorders>
              <w:top w:val="nil"/>
              <w:left w:val="single" w:color="000000" w:sz="8" w:space="0"/>
              <w:bottom w:val="nil"/>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855" w:type="dxa"/>
            <w:gridSpan w:val="2"/>
            <w:tcBorders>
              <w:top w:val="nil"/>
              <w:left w:val="nil"/>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82"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308" w:type="dxa"/>
            <w:gridSpan w:val="4"/>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5"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450"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502"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6" w:type="dxa"/>
            <w:gridSpan w:val="4"/>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79"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898" w:type="dxa"/>
            <w:tcBorders>
              <w:top w:val="nil"/>
              <w:left w:val="single" w:color="000000" w:sz="8" w:space="0"/>
              <w:bottom w:val="nil"/>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855"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582"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人民群众满意度</w:t>
            </w:r>
          </w:p>
        </w:tc>
        <w:tc>
          <w:tcPr>
            <w:tcW w:w="1308" w:type="dxa"/>
            <w:gridSpan w:val="4"/>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到达90%满意度</w:t>
            </w:r>
          </w:p>
        </w:tc>
        <w:tc>
          <w:tcPr>
            <w:tcW w:w="692"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765"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到达90%满意度</w:t>
            </w:r>
          </w:p>
        </w:tc>
        <w:tc>
          <w:tcPr>
            <w:tcW w:w="450" w:type="dxa"/>
            <w:gridSpan w:val="2"/>
            <w:vMerge w:val="restart"/>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到达90%</w:t>
            </w:r>
            <w:r>
              <w:rPr>
                <w:rFonts w:hint="eastAsia" w:ascii="宋体" w:hAnsi="宋体" w:eastAsia="宋体" w:cs="宋体"/>
                <w:i w:val="0"/>
                <w:iCs w:val="0"/>
                <w:color w:val="000000"/>
                <w:kern w:val="0"/>
                <w:sz w:val="18"/>
                <w:szCs w:val="18"/>
                <w:u w:val="none"/>
                <w:lang w:val="en-US" w:eastAsia="zh-CN" w:bidi="ar"/>
              </w:rPr>
              <w:t>以上</w:t>
            </w:r>
          </w:p>
        </w:tc>
        <w:tc>
          <w:tcPr>
            <w:tcW w:w="502"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26" w:type="dxa"/>
            <w:gridSpan w:val="4"/>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79" w:type="dxa"/>
            <w:gridSpan w:val="4"/>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933" w:hRule="atLeast"/>
          <w:jc w:val="center"/>
        </w:trPr>
        <w:tc>
          <w:tcPr>
            <w:tcW w:w="898" w:type="dxa"/>
            <w:tcBorders>
              <w:top w:val="nil"/>
              <w:left w:val="single" w:color="000000" w:sz="8" w:space="0"/>
              <w:bottom w:val="nil"/>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855"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2"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8" w:type="dxa"/>
            <w:gridSpan w:val="4"/>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92"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765"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450"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502"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6" w:type="dxa"/>
            <w:gridSpan w:val="4"/>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79"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1753" w:type="dxa"/>
            <w:gridSpan w:val="3"/>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主管部门(盖章)</w:t>
            </w:r>
          </w:p>
        </w:tc>
        <w:tc>
          <w:tcPr>
            <w:tcW w:w="1890" w:type="dxa"/>
            <w:gridSpan w:val="7"/>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92"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4005" w:type="dxa"/>
            <w:gridSpan w:val="17"/>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广元市文学艺术界联合会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12" w:hRule="atLeast"/>
          <w:jc w:val="center"/>
        </w:trPr>
        <w:tc>
          <w:tcPr>
            <w:tcW w:w="1753" w:type="dxa"/>
            <w:gridSpan w:val="3"/>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90" w:type="dxa"/>
            <w:gridSpan w:val="7"/>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92"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05" w:type="dxa"/>
            <w:gridSpan w:val="17"/>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349" w:hRule="atLeast"/>
          <w:jc w:val="center"/>
        </w:trPr>
        <w:tc>
          <w:tcPr>
            <w:tcW w:w="6233" w:type="dxa"/>
            <w:gridSpan w:val="18"/>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502"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25"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3"/>
            <w:tcBorders>
              <w:top w:val="single" w:color="000000" w:sz="8" w:space="0"/>
              <w:left w:val="nil"/>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331" w:hRule="atLeast"/>
          <w:jc w:val="center"/>
        </w:trPr>
        <w:tc>
          <w:tcPr>
            <w:tcW w:w="89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部门(单位)自评结论</w:t>
            </w:r>
          </w:p>
        </w:tc>
        <w:tc>
          <w:tcPr>
            <w:tcW w:w="7442" w:type="dxa"/>
            <w:gridSpan w:val="28"/>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该项目绩效目标评价得分100分，总分100分；绩效管理情况较为理想，达到了年初各项绩效目标，所有资金使用严格按审批程序办理、操作规范，会计核算结果真实、准确，各项支出严格按照各项制度执行。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89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442" w:type="dxa"/>
            <w:gridSpan w:val="28"/>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12" w:hRule="atLeast"/>
          <w:jc w:val="center"/>
        </w:trPr>
        <w:tc>
          <w:tcPr>
            <w:tcW w:w="89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442" w:type="dxa"/>
            <w:gridSpan w:val="28"/>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89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部门(单位)自评存在问题</w:t>
            </w:r>
          </w:p>
        </w:tc>
        <w:tc>
          <w:tcPr>
            <w:tcW w:w="7442" w:type="dxa"/>
            <w:gridSpan w:val="28"/>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一是在部门整体支出绩效目标与生态指标和经济指标缺乏对应性，关联性和可操作性不强；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622" w:hRule="atLeast"/>
          <w:jc w:val="center"/>
        </w:trPr>
        <w:tc>
          <w:tcPr>
            <w:tcW w:w="89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442" w:type="dxa"/>
            <w:gridSpan w:val="28"/>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89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部门(单位)自评改进措施</w:t>
            </w:r>
          </w:p>
        </w:tc>
        <w:tc>
          <w:tcPr>
            <w:tcW w:w="7442" w:type="dxa"/>
            <w:gridSpan w:val="28"/>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随着资金改革的进一步推进，我单位内部机构进行了相应的优化，建立健全了财务管理制度、固定资产管理制度、费用报销流程制度，但仍需要进一步加强财务约束监督体制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547" w:hRule="atLeast"/>
          <w:jc w:val="center"/>
        </w:trPr>
        <w:tc>
          <w:tcPr>
            <w:tcW w:w="89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442" w:type="dxa"/>
            <w:gridSpan w:val="28"/>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176" w:hRule="atLeast"/>
          <w:jc w:val="center"/>
        </w:trPr>
        <w:tc>
          <w:tcPr>
            <w:tcW w:w="2335"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单位项目负责人：宋军</w:t>
            </w:r>
          </w:p>
        </w:tc>
        <w:tc>
          <w:tcPr>
            <w:tcW w:w="6005" w:type="dxa"/>
            <w:gridSpan w:val="2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单位财务负责人：张冬梅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937" w:hRule="atLeast"/>
          <w:jc w:val="center"/>
        </w:trPr>
        <w:tc>
          <w:tcPr>
            <w:tcW w:w="8340" w:type="dxa"/>
            <w:gridSpan w:val="29"/>
            <w:tcBorders>
              <w:top w:val="nil"/>
              <w:left w:val="nil"/>
              <w:bottom w:val="nil"/>
              <w:right w:val="nil"/>
            </w:tcBorders>
            <w:shd w:val="clear" w:color="auto" w:fill="auto"/>
            <w:noWrap/>
            <w:vAlign w:val="center"/>
          </w:tcPr>
          <w:p>
            <w:pPr>
              <w:pStyle w:val="2"/>
              <w:rPr>
                <w:rFonts w:hint="eastAsia" w:ascii="宋体" w:hAnsi="宋体" w:eastAsia="宋体" w:cs="宋体"/>
                <w:b/>
                <w:bCs/>
                <w:i w:val="0"/>
                <w:iCs w:val="0"/>
                <w:color w:val="000000"/>
                <w:kern w:val="0"/>
                <w:sz w:val="32"/>
                <w:szCs w:val="32"/>
                <w:u w:val="none"/>
                <w:lang w:val="en-US" w:eastAsia="zh-CN" w:bidi="ar"/>
              </w:rPr>
            </w:pPr>
          </w:p>
          <w:p>
            <w:pPr>
              <w:pStyle w:val="3"/>
              <w:rPr>
                <w:rFonts w:hint="eastAsia" w:ascii="宋体" w:hAnsi="宋体" w:eastAsia="宋体" w:cs="宋体"/>
                <w:b/>
                <w:bCs/>
                <w:i w:val="0"/>
                <w:iCs w:val="0"/>
                <w:color w:val="000000"/>
                <w:kern w:val="0"/>
                <w:sz w:val="32"/>
                <w:szCs w:val="32"/>
                <w:u w:val="none"/>
                <w:lang w:val="en-US" w:eastAsia="zh-CN" w:bidi="ar"/>
              </w:rPr>
            </w:pPr>
          </w:p>
          <w:p>
            <w:pPr>
              <w:pStyle w:val="2"/>
              <w:rPr>
                <w:rFonts w:hint="eastAsia"/>
                <w:lang w:val="en-US" w:eastAsia="zh-CN"/>
              </w:rPr>
            </w:pPr>
          </w:p>
          <w:p>
            <w:pPr>
              <w:pStyle w:val="2"/>
              <w:rPr>
                <w:rFonts w:hint="eastAsia" w:ascii="宋体" w:hAnsi="宋体" w:eastAsia="宋体" w:cs="宋体"/>
                <w:b/>
                <w:bCs/>
                <w:i w:val="0"/>
                <w:iCs w:val="0"/>
                <w:color w:val="000000"/>
                <w:kern w:val="0"/>
                <w:sz w:val="32"/>
                <w:szCs w:val="32"/>
                <w:u w:val="none"/>
                <w:lang w:val="en-US" w:eastAsia="zh-CN" w:bidi="ar"/>
              </w:rPr>
            </w:pPr>
          </w:p>
          <w:p>
            <w:pPr>
              <w:pStyle w:val="2"/>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pStyle w:val="2"/>
              <w:ind w:left="0" w:leftChars="0" w:firstLine="0" w:firstLineChars="0"/>
              <w:rPr>
                <w:rFonts w:hint="default"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附件</w:t>
            </w:r>
            <w:r>
              <w:rPr>
                <w:rFonts w:hint="eastAsia" w:ascii="宋体" w:hAnsi="宋体" w:cs="宋体"/>
                <w:b/>
                <w:bCs/>
                <w:i w:val="0"/>
                <w:iCs w:val="0"/>
                <w:color w:val="000000"/>
                <w:kern w:val="0"/>
                <w:sz w:val="32"/>
                <w:szCs w:val="32"/>
                <w:u w:val="none"/>
                <w:lang w:val="en-US" w:eastAsia="zh-CN" w:bidi="ar"/>
              </w:rPr>
              <w:t>10</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部预算项目支出绩效目标自评表(2022年度)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2063"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6277" w:type="dxa"/>
            <w:gridSpan w:val="25"/>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公共文化服务体系建设补助资金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1098" w:hRule="atLeast"/>
          <w:jc w:val="center"/>
        </w:trPr>
        <w:tc>
          <w:tcPr>
            <w:tcW w:w="1031"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主管部门(盖章)</w:t>
            </w:r>
          </w:p>
        </w:tc>
        <w:tc>
          <w:tcPr>
            <w:tcW w:w="1032" w:type="dxa"/>
            <w:gridSpan w:val="2"/>
            <w:tcBorders>
              <w:top w:val="nil"/>
              <w:left w:val="single" w:color="000000" w:sz="8" w:space="0"/>
              <w:bottom w:val="single" w:color="000000" w:sz="8"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17" w:type="dxa"/>
            <w:gridSpan w:val="11"/>
            <w:tcBorders>
              <w:top w:val="single" w:color="000000" w:sz="8"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广元市委宣传部</w:t>
            </w:r>
          </w:p>
        </w:tc>
        <w:tc>
          <w:tcPr>
            <w:tcW w:w="73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w:t>
            </w:r>
          </w:p>
        </w:tc>
        <w:tc>
          <w:tcPr>
            <w:tcW w:w="2325" w:type="dxa"/>
            <w:gridSpan w:val="12"/>
            <w:tcBorders>
              <w:top w:val="single" w:color="000000" w:sz="8"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广元市文学艺术界联合会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331"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32" w:type="dxa"/>
            <w:gridSpan w:val="2"/>
            <w:tcBorders>
              <w:top w:val="nil"/>
              <w:left w:val="nil"/>
              <w:bottom w:val="nil"/>
              <w:right w:val="nil"/>
            </w:tcBorders>
            <w:shd w:val="clear" w:color="auto" w:fill="auto"/>
            <w:vAlign w:val="center"/>
          </w:tcPr>
          <w:p>
            <w:pPr>
              <w:jc w:val="center"/>
              <w:rPr>
                <w:rFonts w:hint="default" w:ascii="Arial" w:hAnsi="Arial" w:eastAsia="宋体" w:cs="Arial"/>
                <w:i w:val="0"/>
                <w:iCs w:val="0"/>
                <w:color w:val="000000"/>
                <w:sz w:val="18"/>
                <w:szCs w:val="18"/>
                <w:u w:val="none"/>
              </w:rPr>
            </w:pPr>
          </w:p>
        </w:tc>
        <w:tc>
          <w:tcPr>
            <w:tcW w:w="3217" w:type="dxa"/>
            <w:gridSpan w:val="11"/>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开展主题文艺作品创作，推出文艺精品</w:t>
            </w:r>
            <w:r>
              <w:rPr>
                <w:rFonts w:hint="eastAsia" w:ascii="宋体" w:hAnsi="宋体" w:eastAsia="宋体" w:cs="宋体"/>
                <w:i w:val="0"/>
                <w:iCs w:val="0"/>
                <w:color w:val="000000"/>
                <w:kern w:val="0"/>
                <w:sz w:val="18"/>
                <w:szCs w:val="18"/>
                <w:u w:val="none"/>
                <w:lang w:val="en-US" w:eastAsia="zh-CN" w:bidi="ar"/>
              </w:rPr>
              <w:t>100件以上；组织开展采风、创作、展演、交流等文艺惠民活动30场次左右；组织市级各文艺家协会和文艺志愿者，培训指导基层文艺人才15人以上</w:t>
            </w:r>
            <w:r>
              <w:rPr>
                <w:rFonts w:hint="eastAsia" w:ascii="宋体" w:hAnsi="宋体" w:cs="宋体"/>
                <w:i w:val="0"/>
                <w:iCs w:val="0"/>
                <w:color w:val="000000"/>
                <w:kern w:val="0"/>
                <w:sz w:val="18"/>
                <w:szCs w:val="18"/>
                <w:u w:val="none"/>
                <w:lang w:val="en-US" w:eastAsia="zh-CN" w:bidi="ar"/>
              </w:rPr>
              <w:t>。</w:t>
            </w:r>
          </w:p>
        </w:tc>
        <w:tc>
          <w:tcPr>
            <w:tcW w:w="3060" w:type="dxa"/>
            <w:gridSpan w:val="14"/>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开展主题文艺作品创作，推出文艺精品</w:t>
            </w:r>
            <w:r>
              <w:rPr>
                <w:rFonts w:hint="eastAsia" w:ascii="宋体" w:hAnsi="宋体" w:eastAsia="宋体" w:cs="宋体"/>
                <w:i w:val="0"/>
                <w:iCs w:val="0"/>
                <w:color w:val="000000"/>
                <w:kern w:val="0"/>
                <w:sz w:val="18"/>
                <w:szCs w:val="18"/>
                <w:u w:val="none"/>
                <w:lang w:val="en-US" w:eastAsia="zh-CN" w:bidi="ar"/>
              </w:rPr>
              <w:t>100件以上；组织开展采风、创作、展演、交流等文艺惠民活动30场次左右；组织市级各文艺家协会和文艺志愿者，培训指导基层文艺人才15人以上。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583"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32" w:type="dxa"/>
            <w:gridSpan w:val="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3217" w:type="dxa"/>
            <w:gridSpan w:val="11"/>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60" w:type="dxa"/>
            <w:gridSpan w:val="14"/>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953"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1032"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6277" w:type="dxa"/>
            <w:gridSpan w:val="2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组织采风活动并编书、开展传习大会并展出作品、开展文化进万家惠民活动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32"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实施单位(盖章)元)</w:t>
            </w:r>
          </w:p>
        </w:tc>
        <w:tc>
          <w:tcPr>
            <w:tcW w:w="90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137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945"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73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667"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596" w:type="dxa"/>
            <w:gridSpan w:val="4"/>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部门自评得分</w:t>
            </w:r>
          </w:p>
        </w:tc>
        <w:tc>
          <w:tcPr>
            <w:tcW w:w="1122" w:type="dxa"/>
            <w:gridSpan w:val="7"/>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32"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90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28.14</w:t>
            </w:r>
          </w:p>
        </w:tc>
        <w:tc>
          <w:tcPr>
            <w:tcW w:w="137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28.14</w:t>
            </w:r>
          </w:p>
        </w:tc>
        <w:tc>
          <w:tcPr>
            <w:tcW w:w="945"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28.14</w:t>
            </w:r>
          </w:p>
        </w:tc>
        <w:tc>
          <w:tcPr>
            <w:tcW w:w="73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7"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96" w:type="dxa"/>
            <w:gridSpan w:val="4"/>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122" w:type="dxa"/>
            <w:gridSpan w:val="7"/>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32"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90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28.14</w:t>
            </w:r>
          </w:p>
        </w:tc>
        <w:tc>
          <w:tcPr>
            <w:tcW w:w="1370"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28.14</w:t>
            </w:r>
          </w:p>
        </w:tc>
        <w:tc>
          <w:tcPr>
            <w:tcW w:w="945"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28.14</w:t>
            </w:r>
          </w:p>
        </w:tc>
        <w:tc>
          <w:tcPr>
            <w:tcW w:w="735" w:type="dxa"/>
            <w:gridSpan w:val="2"/>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67" w:type="dxa"/>
            <w:gridSpan w:val="2"/>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596" w:type="dxa"/>
            <w:gridSpan w:val="4"/>
            <w:tcBorders>
              <w:top w:val="nil"/>
              <w:left w:val="nil"/>
              <w:bottom w:val="single" w:color="000000" w:sz="8" w:space="0"/>
              <w:right w:val="nil"/>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122" w:type="dxa"/>
            <w:gridSpan w:val="7"/>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该项目一是因疫情原因，二是因项目实施进度原因，在资金支付进度上略微延后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32"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902" w:type="dxa"/>
            <w:gridSpan w:val="4"/>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370" w:type="dxa"/>
            <w:gridSpan w:val="4"/>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945"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735" w:type="dxa"/>
            <w:gridSpan w:val="2"/>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67" w:type="dxa"/>
            <w:gridSpan w:val="2"/>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596" w:type="dxa"/>
            <w:gridSpan w:val="4"/>
            <w:tcBorders>
              <w:top w:val="nil"/>
              <w:left w:val="nil"/>
              <w:bottom w:val="single" w:color="000000" w:sz="8" w:space="0"/>
              <w:right w:val="nil"/>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122" w:type="dxa"/>
            <w:gridSpan w:val="7"/>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w:t>
            </w:r>
          </w:p>
        </w:tc>
        <w:tc>
          <w:tcPr>
            <w:tcW w:w="1032"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902" w:type="dxa"/>
            <w:gridSpan w:val="4"/>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370" w:type="dxa"/>
            <w:gridSpan w:val="4"/>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945"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735" w:type="dxa"/>
            <w:gridSpan w:val="2"/>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67" w:type="dxa"/>
            <w:gridSpan w:val="2"/>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596" w:type="dxa"/>
            <w:gridSpan w:val="4"/>
            <w:tcBorders>
              <w:top w:val="nil"/>
              <w:left w:val="nil"/>
              <w:bottom w:val="single" w:color="000000" w:sz="8" w:space="0"/>
              <w:right w:val="nil"/>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122" w:type="dxa"/>
            <w:gridSpan w:val="7"/>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1"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69"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865"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370" w:type="dxa"/>
            <w:gridSpan w:val="4"/>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945" w:type="dxa"/>
            <w:gridSpan w:val="3"/>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735" w:type="dxa"/>
            <w:gridSpan w:val="2"/>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67" w:type="dxa"/>
            <w:gridSpan w:val="2"/>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596" w:type="dxa"/>
            <w:gridSpan w:val="4"/>
            <w:tcBorders>
              <w:top w:val="nil"/>
              <w:left w:val="nil"/>
              <w:bottom w:val="single" w:color="000000" w:sz="8" w:space="0"/>
              <w:right w:val="nil"/>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122" w:type="dxa"/>
            <w:gridSpan w:val="7"/>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69"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865"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995"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70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61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27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1132"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596"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464"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部门自评得分</w:t>
            </w:r>
          </w:p>
        </w:tc>
        <w:tc>
          <w:tcPr>
            <w:tcW w:w="658"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69" w:type="dxa"/>
            <w:gridSpan w:val="3"/>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5"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推出展出作品</w:t>
            </w:r>
          </w:p>
        </w:tc>
        <w:tc>
          <w:tcPr>
            <w:tcW w:w="995"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300件</w:t>
            </w:r>
          </w:p>
        </w:tc>
        <w:tc>
          <w:tcPr>
            <w:tcW w:w="70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61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27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683"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1045"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64"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58"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69"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865"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文化进万家惠民活动场次</w:t>
            </w:r>
          </w:p>
        </w:tc>
        <w:tc>
          <w:tcPr>
            <w:tcW w:w="995"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3场次以上</w:t>
            </w:r>
          </w:p>
        </w:tc>
        <w:tc>
          <w:tcPr>
            <w:tcW w:w="70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61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7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w:t>
            </w:r>
          </w:p>
        </w:tc>
        <w:tc>
          <w:tcPr>
            <w:tcW w:w="683"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45"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64"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58"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031" w:type="dxa"/>
            <w:gridSpan w:val="2"/>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1069" w:type="dxa"/>
            <w:gridSpan w:val="3"/>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5" w:type="dxa"/>
            <w:gridSpan w:val="3"/>
            <w:tcBorders>
              <w:top w:val="nil"/>
              <w:left w:val="nil"/>
              <w:bottom w:val="nil"/>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995"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提高人民群众文化传帮带的意识</w:t>
            </w:r>
          </w:p>
        </w:tc>
        <w:tc>
          <w:tcPr>
            <w:tcW w:w="705"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15"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优良中低差</w:t>
            </w:r>
          </w:p>
        </w:tc>
        <w:tc>
          <w:tcPr>
            <w:tcW w:w="270" w:type="dxa"/>
            <w:vMerge w:val="restart"/>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优</w:t>
            </w:r>
          </w:p>
        </w:tc>
        <w:tc>
          <w:tcPr>
            <w:tcW w:w="1045" w:type="dxa"/>
            <w:gridSpan w:val="5"/>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64" w:type="dxa"/>
            <w:gridSpan w:val="5"/>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58" w:type="dxa"/>
            <w:gridSpan w:val="2"/>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031" w:type="dxa"/>
            <w:gridSpan w:val="2"/>
            <w:tcBorders>
              <w:top w:val="nil"/>
              <w:left w:val="single" w:color="000000" w:sz="8" w:space="0"/>
              <w:bottom w:val="nil"/>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069" w:type="dxa"/>
            <w:gridSpan w:val="3"/>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5"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社会效益指标</w:t>
            </w:r>
          </w:p>
        </w:tc>
        <w:tc>
          <w:tcPr>
            <w:tcW w:w="995"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5"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270" w:type="dxa"/>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45" w:type="dxa"/>
            <w:gridSpan w:val="5"/>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4" w:type="dxa"/>
            <w:gridSpan w:val="5"/>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8"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1031" w:type="dxa"/>
            <w:gridSpan w:val="2"/>
            <w:tcBorders>
              <w:top w:val="nil"/>
              <w:left w:val="single" w:color="000000" w:sz="8" w:space="0"/>
              <w:bottom w:val="nil"/>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069" w:type="dxa"/>
            <w:gridSpan w:val="3"/>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865"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可持续发展指标</w:t>
            </w:r>
          </w:p>
        </w:tc>
        <w:tc>
          <w:tcPr>
            <w:tcW w:w="995"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公众对社会主义核心价值观增强意识</w:t>
            </w:r>
          </w:p>
        </w:tc>
        <w:tc>
          <w:tcPr>
            <w:tcW w:w="705"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15"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优良中低差</w:t>
            </w:r>
          </w:p>
        </w:tc>
        <w:tc>
          <w:tcPr>
            <w:tcW w:w="270" w:type="dxa"/>
            <w:vMerge w:val="restart"/>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优</w:t>
            </w:r>
          </w:p>
        </w:tc>
        <w:tc>
          <w:tcPr>
            <w:tcW w:w="1045" w:type="dxa"/>
            <w:gridSpan w:val="5"/>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64" w:type="dxa"/>
            <w:gridSpan w:val="5"/>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58" w:type="dxa"/>
            <w:gridSpan w:val="2"/>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3" w:hRule="atLeast"/>
          <w:jc w:val="center"/>
        </w:trPr>
        <w:tc>
          <w:tcPr>
            <w:tcW w:w="1031" w:type="dxa"/>
            <w:gridSpan w:val="2"/>
            <w:tcBorders>
              <w:top w:val="nil"/>
              <w:left w:val="single" w:color="000000" w:sz="8" w:space="0"/>
              <w:bottom w:val="nil"/>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069" w:type="dxa"/>
            <w:gridSpan w:val="3"/>
            <w:tcBorders>
              <w:top w:val="nil"/>
              <w:left w:val="nil"/>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865"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995"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5"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270" w:type="dxa"/>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45" w:type="dxa"/>
            <w:gridSpan w:val="5"/>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4" w:type="dxa"/>
            <w:gridSpan w:val="5"/>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8"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1031" w:type="dxa"/>
            <w:gridSpan w:val="2"/>
            <w:tcBorders>
              <w:top w:val="nil"/>
              <w:left w:val="single" w:color="000000" w:sz="8" w:space="0"/>
              <w:bottom w:val="nil"/>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069"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65"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人民群众满意度</w:t>
            </w:r>
          </w:p>
        </w:tc>
        <w:tc>
          <w:tcPr>
            <w:tcW w:w="995"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到达90%满意度</w:t>
            </w:r>
          </w:p>
        </w:tc>
        <w:tc>
          <w:tcPr>
            <w:tcW w:w="705"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615"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到达90%满意度</w:t>
            </w:r>
          </w:p>
        </w:tc>
        <w:tc>
          <w:tcPr>
            <w:tcW w:w="270" w:type="dxa"/>
            <w:vMerge w:val="restart"/>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到达90%</w:t>
            </w:r>
            <w:r>
              <w:rPr>
                <w:rFonts w:hint="eastAsia" w:ascii="宋体" w:hAnsi="宋体" w:eastAsia="宋体" w:cs="宋体"/>
                <w:i w:val="0"/>
                <w:iCs w:val="0"/>
                <w:color w:val="000000"/>
                <w:kern w:val="0"/>
                <w:sz w:val="18"/>
                <w:szCs w:val="18"/>
                <w:u w:val="none"/>
                <w:lang w:val="en-US" w:eastAsia="zh-CN" w:bidi="ar"/>
              </w:rPr>
              <w:t>以上</w:t>
            </w:r>
          </w:p>
        </w:tc>
        <w:tc>
          <w:tcPr>
            <w:tcW w:w="1031" w:type="dxa"/>
            <w:gridSpan w:val="4"/>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78" w:type="dxa"/>
            <w:gridSpan w:val="6"/>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58" w:type="dxa"/>
            <w:gridSpan w:val="2"/>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1031" w:type="dxa"/>
            <w:gridSpan w:val="2"/>
            <w:tcBorders>
              <w:top w:val="nil"/>
              <w:left w:val="single" w:color="000000" w:sz="8" w:space="0"/>
              <w:bottom w:val="nil"/>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069"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5"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5" w:type="dxa"/>
            <w:gridSpan w:val="3"/>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705"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15"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270" w:type="dxa"/>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683" w:type="dxa"/>
            <w:gridSpan w:val="2"/>
            <w:vMerge w:val="continue"/>
            <w:tcBorders>
              <w:top w:val="nil"/>
              <w:left w:val="nil"/>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1031" w:type="dxa"/>
            <w:gridSpan w:val="4"/>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8" w:type="dxa"/>
            <w:gridSpan w:val="6"/>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8"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2100" w:type="dxa"/>
            <w:gridSpan w:val="5"/>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主管部门(盖章)</w:t>
            </w:r>
          </w:p>
        </w:tc>
        <w:tc>
          <w:tcPr>
            <w:tcW w:w="1860" w:type="dxa"/>
            <w:gridSpan w:val="6"/>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705"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3735" w:type="dxa"/>
            <w:gridSpan w:val="17"/>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广元市文学艺术界联合会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2100" w:type="dxa"/>
            <w:gridSpan w:val="5"/>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60" w:type="dxa"/>
            <w:gridSpan w:val="6"/>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Arial" w:hAnsi="Arial" w:eastAsia="宋体" w:cs="Arial"/>
                <w:i w:val="0"/>
                <w:iCs w:val="0"/>
                <w:color w:val="000000"/>
                <w:sz w:val="18"/>
                <w:szCs w:val="18"/>
                <w:u w:val="none"/>
              </w:rPr>
            </w:pPr>
          </w:p>
        </w:tc>
        <w:tc>
          <w:tcPr>
            <w:tcW w:w="705"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735" w:type="dxa"/>
            <w:gridSpan w:val="17"/>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5550" w:type="dxa"/>
            <w:gridSpan w:val="16"/>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149"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6" w:type="dxa"/>
            <w:gridSpan w:val="7"/>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15" w:type="dxa"/>
            <w:gridSpan w:val="3"/>
            <w:tcBorders>
              <w:top w:val="single" w:color="000000" w:sz="8" w:space="0"/>
              <w:left w:val="nil"/>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031"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部门(单位)自评结论</w:t>
            </w:r>
          </w:p>
        </w:tc>
        <w:tc>
          <w:tcPr>
            <w:tcW w:w="7369" w:type="dxa"/>
            <w:gridSpan w:val="28"/>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该项目绩效目标评价得分100分，总分100分；绩效管理情况较为理想，达到了年初各项绩效目标，所有资金使用严格按审批程序办理、操作规范，会计核算结果真实、准确，各项支出严格按照各项制度执行。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031"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69" w:type="dxa"/>
            <w:gridSpan w:val="28"/>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1031"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69" w:type="dxa"/>
            <w:gridSpan w:val="28"/>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031"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部门(单位)自评存在问题</w:t>
            </w:r>
          </w:p>
        </w:tc>
        <w:tc>
          <w:tcPr>
            <w:tcW w:w="7369" w:type="dxa"/>
            <w:gridSpan w:val="28"/>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一是在部门整体支出绩效目标与生态指标和经济指标缺乏对应性，关联性和可操作性不强；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4" w:hRule="atLeast"/>
          <w:jc w:val="center"/>
        </w:trPr>
        <w:tc>
          <w:tcPr>
            <w:tcW w:w="1031"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69" w:type="dxa"/>
            <w:gridSpan w:val="28"/>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031"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部门(单位)自评改进措施</w:t>
            </w:r>
          </w:p>
        </w:tc>
        <w:tc>
          <w:tcPr>
            <w:tcW w:w="7369" w:type="dxa"/>
            <w:gridSpan w:val="28"/>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随着资金改革的进一步推进，我单位内部机构进行了相应的优化，建立健全了财务管理制度、固定资产管理制度、费用报销流程制度，但仍需要进一步加强财务约束监督体制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1031"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69" w:type="dxa"/>
            <w:gridSpan w:val="28"/>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spacing w:line="600" w:lineRule="exact"/>
        <w:jc w:val="center"/>
        <w:outlineLvl w:val="9"/>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pStyle w:val="3"/>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pStyle w:val="3"/>
        <w:rPr>
          <w:rFonts w:hint="eastAsia" w:ascii="黑体" w:hAnsi="黑体" w:eastAsia="黑体"/>
          <w:color w:val="auto"/>
          <w:sz w:val="44"/>
          <w:szCs w:val="44"/>
          <w:highlight w:val="none"/>
        </w:rPr>
      </w:pPr>
    </w:p>
    <w:p>
      <w:pPr>
        <w:pStyle w:val="2"/>
        <w:rPr>
          <w:rFonts w:hint="eastAsia"/>
        </w:rPr>
      </w:pPr>
    </w:p>
    <w:p>
      <w:pPr>
        <w:pStyle w:val="3"/>
        <w:rPr>
          <w:rFonts w:hint="eastAsia"/>
        </w:rPr>
      </w:pPr>
    </w:p>
    <w:p>
      <w:pPr>
        <w:pStyle w:val="3"/>
        <w:rPr>
          <w:rFonts w:hint="eastAsia"/>
        </w:rPr>
      </w:pPr>
    </w:p>
    <w:p>
      <w:pPr>
        <w:pStyle w:val="2"/>
        <w:rPr>
          <w:rFonts w:hint="eastAsia"/>
        </w:rPr>
      </w:pPr>
    </w:p>
    <w:p>
      <w:pPr>
        <w:pStyle w:val="3"/>
        <w:rPr>
          <w:rFonts w:hint="eastAsia"/>
        </w:rPr>
      </w:pPr>
    </w:p>
    <w:p>
      <w:pPr>
        <w:pStyle w:val="2"/>
        <w:ind w:left="0" w:leftChars="0" w:firstLine="0" w:firstLineChars="0"/>
        <w:rPr>
          <w:rFonts w:hint="default"/>
          <w:lang w:val="en-US"/>
        </w:rPr>
      </w:pPr>
      <w:r>
        <w:rPr>
          <w:rFonts w:hint="eastAsia" w:ascii="宋体" w:hAnsi="宋体" w:eastAsia="宋体" w:cs="宋体"/>
          <w:b/>
          <w:bCs/>
          <w:i w:val="0"/>
          <w:iCs w:val="0"/>
          <w:color w:val="000000"/>
          <w:kern w:val="0"/>
          <w:sz w:val="32"/>
          <w:szCs w:val="32"/>
          <w:u w:val="none"/>
          <w:lang w:val="en-US" w:eastAsia="zh-CN" w:bidi="ar"/>
        </w:rPr>
        <w:t>附件</w:t>
      </w:r>
      <w:r>
        <w:rPr>
          <w:rFonts w:hint="eastAsia" w:ascii="宋体" w:hAnsi="宋体" w:cs="宋体"/>
          <w:b/>
          <w:bCs/>
          <w:i w:val="0"/>
          <w:iCs w:val="0"/>
          <w:color w:val="000000"/>
          <w:kern w:val="0"/>
          <w:sz w:val="32"/>
          <w:szCs w:val="32"/>
          <w:u w:val="none"/>
          <w:lang w:val="en-US" w:eastAsia="zh-CN" w:bidi="ar"/>
        </w:rPr>
        <w:t>11</w:t>
      </w:r>
    </w:p>
    <w:tbl>
      <w:tblPr>
        <w:tblStyle w:val="15"/>
        <w:tblW w:w="81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0"/>
        <w:gridCol w:w="902"/>
        <w:gridCol w:w="899"/>
        <w:gridCol w:w="1287"/>
        <w:gridCol w:w="513"/>
        <w:gridCol w:w="742"/>
        <w:gridCol w:w="641"/>
        <w:gridCol w:w="670"/>
        <w:gridCol w:w="684"/>
        <w:gridCol w:w="548"/>
        <w:gridCol w:w="6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6" w:hRule="atLeast"/>
        </w:trPr>
        <w:tc>
          <w:tcPr>
            <w:tcW w:w="8160" w:type="dxa"/>
            <w:gridSpan w:val="11"/>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bookmarkStart w:id="77" w:name="_Toc13250"/>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1502"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6658" w:type="dxa"/>
            <w:gridSpan w:val="9"/>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51080022T000004947375-文艺作品创作，推出文艺精品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1" w:hRule="atLeast"/>
        </w:trPr>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0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67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9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广元市文学艺术界联合会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0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5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0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围绕市委市政府中心工作，组织开展主题文艺作品创作4次，推出文艺精品100件以上。</w:t>
            </w:r>
          </w:p>
        </w:tc>
        <w:tc>
          <w:tcPr>
            <w:tcW w:w="25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8"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665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围绕市委市政府中心工作，组织开展主题文艺作品创作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8"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6"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6"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1"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8"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文艺作品4次，文艺精品100件以上</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6"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节约成本，控制预算</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6"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安全指标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安全第一</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8"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增强社会公众对社会主义核心价值观</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丰富市民精神文化</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读者满意度指标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到达%90满意度</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625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8"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75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该项目绩效目标评价得分100分，总分100分；绩效管理情况较为理想，达到了年初各项绩效目标，所有资金使用严格按审批程序办理、操作规范，会计核算结果真实、准确，各项支出严格按照各项制度执行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75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一是在部门整体支出绩效目标与生态指标和经济指标缺乏对应性，关联性和可操作性不强；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6"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75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随着资金改革的进一步推进，我单位内部机构进行了相应的优化，建立健全了财务管理制度、固定资产管理制度、费用报销流程制度，但仍需要进一步加强财务约束监督体制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4201" w:type="dxa"/>
            <w:gridSpan w:val="5"/>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项目负责人：宋军</w:t>
            </w:r>
          </w:p>
        </w:tc>
        <w:tc>
          <w:tcPr>
            <w:tcW w:w="3959" w:type="dxa"/>
            <w:gridSpan w:val="6"/>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财务负责人：张冬梅</w:t>
            </w:r>
          </w:p>
        </w:tc>
      </w:tr>
    </w:tbl>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pStyle w:val="2"/>
        <w:ind w:left="0" w:leftChars="0" w:firstLine="0" w:firstLineChars="0"/>
        <w:rPr>
          <w:rFonts w:hint="default" w:ascii="黑体" w:hAnsi="黑体" w:eastAsia="黑体"/>
          <w:color w:val="auto"/>
          <w:sz w:val="44"/>
          <w:szCs w:val="44"/>
          <w:highlight w:val="none"/>
          <w:lang w:val="en-US"/>
        </w:rPr>
      </w:pPr>
      <w:r>
        <w:rPr>
          <w:rFonts w:hint="eastAsia" w:ascii="宋体" w:hAnsi="宋体" w:eastAsia="宋体" w:cs="宋体"/>
          <w:b/>
          <w:bCs/>
          <w:i w:val="0"/>
          <w:iCs w:val="0"/>
          <w:color w:val="000000"/>
          <w:kern w:val="0"/>
          <w:sz w:val="32"/>
          <w:szCs w:val="32"/>
          <w:u w:val="none"/>
          <w:lang w:val="en-US" w:eastAsia="zh-CN" w:bidi="ar"/>
        </w:rPr>
        <w:t>附件</w:t>
      </w:r>
      <w:r>
        <w:rPr>
          <w:rFonts w:hint="eastAsia" w:ascii="宋体" w:hAnsi="宋体" w:cs="宋体"/>
          <w:b/>
          <w:bCs/>
          <w:i w:val="0"/>
          <w:iCs w:val="0"/>
          <w:color w:val="000000"/>
          <w:kern w:val="0"/>
          <w:sz w:val="32"/>
          <w:szCs w:val="32"/>
          <w:u w:val="none"/>
          <w:lang w:val="en-US" w:eastAsia="zh-CN" w:bidi="ar"/>
        </w:rPr>
        <w:t>12</w:t>
      </w:r>
    </w:p>
    <w:tbl>
      <w:tblPr>
        <w:tblStyle w:val="15"/>
        <w:tblW w:w="88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3"/>
        <w:gridCol w:w="934"/>
        <w:gridCol w:w="939"/>
        <w:gridCol w:w="945"/>
        <w:gridCol w:w="673"/>
        <w:gridCol w:w="945"/>
        <w:gridCol w:w="650"/>
        <w:gridCol w:w="846"/>
        <w:gridCol w:w="653"/>
        <w:gridCol w:w="649"/>
        <w:gridCol w:w="6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8820" w:type="dxa"/>
            <w:gridSpan w:val="11"/>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895"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6925" w:type="dxa"/>
            <w:gridSpan w:val="9"/>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51080022T000004950257-文艺惠民活动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3" w:hRule="atLeast"/>
        </w:trPr>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1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75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9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广元市文学艺术界联合会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9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1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7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4"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1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围绕市委市政府中心工作，组织开展采风、创作、展演、交流等文艺惠民活动30场次以上。</w:t>
            </w:r>
          </w:p>
        </w:tc>
        <w:tc>
          <w:tcPr>
            <w:tcW w:w="27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3"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69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围绕市委市政府中心工作，组织开展采风、创作、展演、交流等文艺惠民活动30场次以上。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9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2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22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22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9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3"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惠民活动30场次以上</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12月底前完成</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30次活动120000元</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120000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1"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群众对文化价值观有新的提升</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高中低</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3"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丰富市民生活，营造氛围</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高中低</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3" w:hRule="atLeast"/>
        </w:trPr>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社会公众对文艺工作满意度90以上</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高中低</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684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787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该项目绩效目标评价得分100分，总分99分；绩效管理情况较为理想，达到了年初各项绩效目标，所有资金使用严格按审批程序办理、操作规范，会计核算结果真实、准确，各项支出严格按照各项制度执行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1" w:hRule="atLeast"/>
        </w:trPr>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787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一是在部门整体支出绩效目标与生态指标和经济指标缺乏对应性，关联性和可操作性不强；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787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随着资金改革的进一步推进，我单位内部机构进行了相应的优化，建立健全了财务管理制度、固定资产管理制度、费用报销流程制度，但仍需要进一步加强财务约束监督体制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4479" w:type="dxa"/>
            <w:gridSpan w:val="5"/>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项目负责人：宋军</w:t>
            </w:r>
          </w:p>
        </w:tc>
        <w:tc>
          <w:tcPr>
            <w:tcW w:w="4341" w:type="dxa"/>
            <w:gridSpan w:val="6"/>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财务负责人：张冬梅</w:t>
            </w:r>
          </w:p>
        </w:tc>
      </w:tr>
      <w:bookmarkEnd w:id="73"/>
      <w:bookmarkEnd w:id="75"/>
      <w:bookmarkEnd w:id="77"/>
    </w:tbl>
    <w:p>
      <w:pPr>
        <w:spacing w:line="600" w:lineRule="exact"/>
        <w:jc w:val="center"/>
        <w:outlineLvl w:val="0"/>
        <w:rPr>
          <w:rFonts w:hint="eastAsia" w:ascii="黑体" w:hAnsi="黑体" w:eastAsia="黑体"/>
          <w:color w:val="auto"/>
          <w:sz w:val="44"/>
          <w:szCs w:val="44"/>
          <w:highlight w:val="none"/>
        </w:rPr>
      </w:pPr>
      <w:bookmarkStart w:id="78" w:name="_Toc19850"/>
      <w:bookmarkStart w:id="79" w:name="_Toc15396619"/>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pStyle w:val="2"/>
        <w:rPr>
          <w:rFonts w:hint="eastAsia"/>
        </w:rPr>
      </w:pPr>
    </w:p>
    <w:p>
      <w:pPr>
        <w:pStyle w:val="2"/>
        <w:ind w:left="0" w:leftChars="0" w:firstLine="0" w:firstLineChars="0"/>
        <w:rPr>
          <w:rFonts w:hint="default" w:ascii="黑体" w:hAnsi="黑体" w:eastAsia="黑体"/>
          <w:color w:val="auto"/>
          <w:sz w:val="44"/>
          <w:szCs w:val="44"/>
          <w:highlight w:val="none"/>
          <w:lang w:val="en-US"/>
        </w:rPr>
      </w:pPr>
      <w:r>
        <w:rPr>
          <w:rFonts w:hint="eastAsia" w:ascii="宋体" w:hAnsi="宋体" w:eastAsia="宋体" w:cs="宋体"/>
          <w:b/>
          <w:bCs/>
          <w:i w:val="0"/>
          <w:iCs w:val="0"/>
          <w:color w:val="000000"/>
          <w:kern w:val="0"/>
          <w:sz w:val="32"/>
          <w:szCs w:val="32"/>
          <w:u w:val="none"/>
          <w:lang w:val="en-US" w:eastAsia="zh-CN" w:bidi="ar"/>
        </w:rPr>
        <w:t>附件</w:t>
      </w:r>
      <w:r>
        <w:rPr>
          <w:rFonts w:hint="eastAsia" w:ascii="宋体" w:hAnsi="宋体" w:cs="宋体"/>
          <w:b/>
          <w:bCs/>
          <w:i w:val="0"/>
          <w:iCs w:val="0"/>
          <w:color w:val="000000"/>
          <w:kern w:val="0"/>
          <w:sz w:val="32"/>
          <w:szCs w:val="32"/>
          <w:u w:val="none"/>
          <w:lang w:val="en-US" w:eastAsia="zh-CN" w:bidi="ar"/>
        </w:rPr>
        <w:t>13</w:t>
      </w:r>
    </w:p>
    <w:tbl>
      <w:tblPr>
        <w:tblStyle w:val="15"/>
        <w:tblW w:w="81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63"/>
        <w:gridCol w:w="1064"/>
        <w:gridCol w:w="628"/>
        <w:gridCol w:w="666"/>
        <w:gridCol w:w="623"/>
        <w:gridCol w:w="666"/>
        <w:gridCol w:w="623"/>
        <w:gridCol w:w="971"/>
        <w:gridCol w:w="625"/>
        <w:gridCol w:w="623"/>
        <w:gridCol w:w="6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175" w:type="dxa"/>
            <w:gridSpan w:val="11"/>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160"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6015" w:type="dxa"/>
            <w:gridSpan w:val="9"/>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51080022T000004950743-结对子、种文化文艺帮扶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1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中国共产党广元市委员会宣传部部门</w:t>
            </w:r>
          </w:p>
        </w:tc>
        <w:tc>
          <w:tcPr>
            <w:tcW w:w="97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广元市文学艺术界联合会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1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8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1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组织市级各文艺家协会10个以上和文艺志愿者10名以上，培训指导基层文艺人才500人次以上</w:t>
            </w:r>
          </w:p>
        </w:tc>
        <w:tc>
          <w:tcPr>
            <w:tcW w:w="28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组织市级各文艺家协会10个以上和文艺志愿者10名以上，培训指导基层文艺人才500人次以上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60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组织市级各文艺家协会和文艺志愿者，培训指导基层文艺人才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2.88</w:t>
            </w:r>
          </w:p>
        </w:tc>
        <w:tc>
          <w:tcPr>
            <w:tcW w:w="1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2.88</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2.88</w:t>
            </w:r>
          </w:p>
        </w:tc>
        <w:tc>
          <w:tcPr>
            <w:tcW w:w="1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2.88</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结对帮扶</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12月底前完成</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28760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28760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增强公众对社会主义核心价值观</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培养文艺人才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高中低</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社会公众满意度为前提</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2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709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该项目绩效目标评价得分100分，总分99分；绩效管理情况较为理想，达到了年初各项绩效目标，所有资金使用严格按审批程序办理、操作规范，会计核算结果真实、准确，各项支出严格按照各项制度执行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709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一是在部门整体支出绩效目标与生态指标和经济指标缺乏对应性，关联性和可操作性不强；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709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随着资金改革的进一步推进，我单位内部机构进行了相应的优化，建立健全了财务管理制度、固定资产管理制度、费用报销流程制度，但仍需要进一步加强财务约束监督体制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0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项目负责人：宋军</w:t>
            </w:r>
          </w:p>
        </w:tc>
        <w:tc>
          <w:tcPr>
            <w:tcW w:w="41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财务负责人：张冬梅</w:t>
            </w:r>
          </w:p>
        </w:tc>
      </w:tr>
    </w:tbl>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pStyle w:val="3"/>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pStyle w:val="3"/>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pStyle w:val="3"/>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pStyle w:val="3"/>
        <w:rPr>
          <w:rFonts w:hint="eastAsia"/>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19"/>
          <w:rFonts w:hint="eastAsia" w:ascii="黑体" w:hAnsi="黑体" w:eastAsia="黑体"/>
          <w:b w:val="0"/>
          <w:color w:val="auto"/>
          <w:highlight w:val="none"/>
        </w:rPr>
        <w:t>五部分附表</w:t>
      </w:r>
    </w:p>
    <w:p>
      <w:pPr>
        <w:pStyle w:val="5"/>
        <w:rPr>
          <w:rFonts w:hint="eastAsia" w:ascii="仿宋" w:hAnsi="仿宋" w:eastAsia="仿宋"/>
          <w:b w:val="0"/>
          <w:color w:val="auto"/>
          <w:highlight w:val="none"/>
        </w:rPr>
      </w:pPr>
    </w:p>
    <w:p>
      <w:pPr>
        <w:pStyle w:val="5"/>
        <w:rPr>
          <w:rFonts w:ascii="仿宋" w:hAnsi="仿宋" w:eastAsia="仿宋"/>
          <w:color w:val="auto"/>
          <w:highlight w:val="none"/>
        </w:rPr>
      </w:pPr>
      <w:r>
        <w:rPr>
          <w:rFonts w:hint="eastAsia" w:ascii="仿宋" w:hAnsi="仿宋" w:eastAsia="仿宋"/>
          <w:b w:val="0"/>
          <w:color w:val="auto"/>
          <w:highlight w:val="none"/>
        </w:rPr>
        <w:t>一、收</w:t>
      </w:r>
      <w:r>
        <w:rPr>
          <w:rStyle w:val="20"/>
          <w:rFonts w:hint="eastAsia" w:ascii="仿宋" w:hAnsi="仿宋" w:eastAsia="仿宋"/>
          <w:b w:val="0"/>
          <w:bCs w:val="0"/>
          <w:color w:val="auto"/>
          <w:highlight w:val="none"/>
        </w:rPr>
        <w:t>入支出决算总表</w:t>
      </w:r>
      <w:bookmarkEnd w:id="78"/>
      <w:bookmarkEnd w:id="79"/>
    </w:p>
    <w:p>
      <w:pPr>
        <w:pStyle w:val="5"/>
        <w:rPr>
          <w:rFonts w:ascii="仿宋" w:hAnsi="仿宋" w:eastAsia="仿宋"/>
          <w:color w:val="auto"/>
          <w:highlight w:val="none"/>
        </w:rPr>
      </w:pPr>
      <w:bookmarkStart w:id="80" w:name="_Toc14598"/>
      <w:bookmarkStart w:id="81" w:name="_Toc15396620"/>
      <w:r>
        <w:rPr>
          <w:rFonts w:hint="eastAsia" w:ascii="仿宋" w:hAnsi="仿宋" w:eastAsia="仿宋"/>
          <w:b w:val="0"/>
          <w:color w:val="auto"/>
          <w:highlight w:val="none"/>
        </w:rPr>
        <w:t>二、收</w:t>
      </w:r>
      <w:r>
        <w:rPr>
          <w:rStyle w:val="20"/>
          <w:rFonts w:hint="eastAsia" w:ascii="仿宋" w:hAnsi="仿宋" w:eastAsia="仿宋"/>
          <w:b w:val="0"/>
          <w:bCs w:val="0"/>
          <w:color w:val="auto"/>
          <w:highlight w:val="none"/>
        </w:rPr>
        <w:t>入决算表</w:t>
      </w:r>
      <w:bookmarkEnd w:id="80"/>
      <w:bookmarkEnd w:id="81"/>
    </w:p>
    <w:p>
      <w:pPr>
        <w:pStyle w:val="5"/>
        <w:rPr>
          <w:rFonts w:ascii="仿宋" w:hAnsi="仿宋" w:eastAsia="仿宋"/>
          <w:color w:val="auto"/>
          <w:highlight w:val="none"/>
        </w:rPr>
      </w:pPr>
      <w:bookmarkStart w:id="82" w:name="_Toc15396621"/>
      <w:bookmarkStart w:id="83" w:name="_Toc517"/>
      <w:r>
        <w:rPr>
          <w:rStyle w:val="2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0"/>
          <w:rFonts w:hint="eastAsia" w:ascii="仿宋" w:hAnsi="仿宋" w:eastAsia="仿宋"/>
          <w:b w:val="0"/>
          <w:bCs w:val="0"/>
          <w:color w:val="auto"/>
          <w:highlight w:val="none"/>
        </w:rPr>
        <w:t>出决算表</w:t>
      </w:r>
      <w:bookmarkEnd w:id="82"/>
      <w:bookmarkEnd w:id="83"/>
    </w:p>
    <w:p>
      <w:pPr>
        <w:pStyle w:val="5"/>
        <w:rPr>
          <w:rFonts w:ascii="仿宋" w:hAnsi="仿宋" w:eastAsia="仿宋"/>
          <w:b w:val="0"/>
          <w:color w:val="auto"/>
          <w:highlight w:val="none"/>
        </w:rPr>
      </w:pPr>
      <w:bookmarkStart w:id="84" w:name="_Toc8932"/>
      <w:bookmarkStart w:id="85" w:name="_Toc15396622"/>
      <w:r>
        <w:rPr>
          <w:rStyle w:val="2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0"/>
          <w:rFonts w:hint="eastAsia" w:ascii="仿宋" w:hAnsi="仿宋" w:eastAsia="仿宋"/>
          <w:b w:val="0"/>
          <w:bCs w:val="0"/>
          <w:color w:val="auto"/>
          <w:highlight w:val="none"/>
        </w:rPr>
        <w:t>政拨款收入支出决算总表</w:t>
      </w:r>
      <w:bookmarkEnd w:id="84"/>
      <w:bookmarkEnd w:id="85"/>
    </w:p>
    <w:p>
      <w:pPr>
        <w:pStyle w:val="5"/>
        <w:rPr>
          <w:rStyle w:val="20"/>
          <w:rFonts w:ascii="仿宋" w:hAnsi="仿宋" w:eastAsia="仿宋"/>
          <w:b w:val="0"/>
          <w:bCs w:val="0"/>
          <w:color w:val="auto"/>
          <w:highlight w:val="none"/>
        </w:rPr>
      </w:pPr>
      <w:bookmarkStart w:id="86" w:name="_Toc12839"/>
      <w:bookmarkStart w:id="87" w:name="_Toc15396623"/>
      <w:r>
        <w:rPr>
          <w:rStyle w:val="2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0"/>
          <w:rFonts w:hint="eastAsia" w:ascii="仿宋" w:hAnsi="仿宋" w:eastAsia="仿宋"/>
          <w:b w:val="0"/>
          <w:bCs w:val="0"/>
          <w:color w:val="auto"/>
          <w:highlight w:val="none"/>
        </w:rPr>
        <w:t>政拨款支出决算明细表</w:t>
      </w:r>
      <w:bookmarkEnd w:id="86"/>
      <w:bookmarkEnd w:id="87"/>
      <w:bookmarkStart w:id="88" w:name="_Toc15396624"/>
    </w:p>
    <w:p>
      <w:pPr>
        <w:pStyle w:val="5"/>
        <w:rPr>
          <w:rFonts w:ascii="仿宋" w:hAnsi="仿宋" w:eastAsia="仿宋"/>
          <w:color w:val="auto"/>
          <w:highlight w:val="none"/>
        </w:rPr>
      </w:pPr>
      <w:bookmarkStart w:id="89" w:name="_Toc15979"/>
      <w:r>
        <w:rPr>
          <w:rStyle w:val="2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般公共预算财政拨款支出决算表</w:t>
      </w:r>
      <w:bookmarkEnd w:id="88"/>
      <w:bookmarkEnd w:id="89"/>
    </w:p>
    <w:p>
      <w:pPr>
        <w:pStyle w:val="5"/>
        <w:rPr>
          <w:rFonts w:ascii="仿宋" w:hAnsi="仿宋" w:eastAsia="仿宋"/>
          <w:color w:val="auto"/>
          <w:highlight w:val="none"/>
        </w:rPr>
      </w:pPr>
      <w:bookmarkStart w:id="90" w:name="_Toc15396625"/>
      <w:bookmarkStart w:id="91" w:name="_Toc31841"/>
      <w:r>
        <w:rPr>
          <w:rStyle w:val="2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般公共预算财政拨款支出决算明细表</w:t>
      </w:r>
      <w:bookmarkEnd w:id="90"/>
      <w:bookmarkEnd w:id="91"/>
    </w:p>
    <w:p>
      <w:pPr>
        <w:pStyle w:val="5"/>
        <w:rPr>
          <w:rFonts w:ascii="仿宋" w:hAnsi="仿宋" w:eastAsia="仿宋"/>
          <w:color w:val="auto"/>
          <w:highlight w:val="none"/>
        </w:rPr>
      </w:pPr>
      <w:bookmarkStart w:id="92" w:name="_Toc10090"/>
      <w:bookmarkStart w:id="93" w:name="_Toc15396626"/>
      <w:r>
        <w:rPr>
          <w:rStyle w:val="2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般公共预算财政拨款基本支出决算表</w:t>
      </w:r>
      <w:bookmarkEnd w:id="92"/>
      <w:bookmarkEnd w:id="93"/>
    </w:p>
    <w:p>
      <w:pPr>
        <w:pStyle w:val="5"/>
        <w:rPr>
          <w:rFonts w:ascii="仿宋" w:hAnsi="仿宋" w:eastAsia="仿宋"/>
          <w:color w:val="auto"/>
          <w:highlight w:val="none"/>
        </w:rPr>
      </w:pPr>
      <w:bookmarkStart w:id="94" w:name="_Toc15396627"/>
      <w:bookmarkStart w:id="95" w:name="_Toc4094"/>
      <w:r>
        <w:rPr>
          <w:rStyle w:val="2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般公共预算财政拨款项目支出决算表</w:t>
      </w:r>
      <w:bookmarkEnd w:id="94"/>
      <w:bookmarkEnd w:id="95"/>
    </w:p>
    <w:p>
      <w:pPr>
        <w:pStyle w:val="5"/>
        <w:rPr>
          <w:rFonts w:ascii="仿宋" w:hAnsi="仿宋" w:eastAsia="仿宋"/>
          <w:color w:val="auto"/>
          <w:highlight w:val="none"/>
        </w:rPr>
      </w:pPr>
      <w:bookmarkStart w:id="96" w:name="_Toc15396628"/>
      <w:bookmarkStart w:id="97" w:name="_Toc4074"/>
      <w:r>
        <w:rPr>
          <w:rStyle w:val="20"/>
          <w:rFonts w:hint="eastAsia" w:ascii="仿宋" w:hAnsi="仿宋" w:eastAsia="仿宋"/>
          <w:b w:val="0"/>
          <w:bCs w:val="0"/>
          <w:color w:val="auto"/>
          <w:highlight w:val="none"/>
        </w:rPr>
        <w:t>十、</w:t>
      </w:r>
      <w:bookmarkEnd w:id="96"/>
      <w:r>
        <w:rPr>
          <w:rFonts w:hint="eastAsia" w:ascii="仿宋" w:hAnsi="仿宋" w:eastAsia="仿宋"/>
          <w:b w:val="0"/>
          <w:color w:val="auto"/>
          <w:highlight w:val="none"/>
        </w:rPr>
        <w:t>政</w:t>
      </w:r>
      <w:r>
        <w:rPr>
          <w:rStyle w:val="20"/>
          <w:rFonts w:hint="eastAsia" w:ascii="仿宋" w:hAnsi="仿宋" w:eastAsia="仿宋"/>
          <w:b w:val="0"/>
          <w:bCs w:val="0"/>
          <w:color w:val="auto"/>
          <w:highlight w:val="none"/>
        </w:rPr>
        <w:t>府性基金预算财政拨款收入支出决算表</w:t>
      </w:r>
      <w:bookmarkEnd w:id="97"/>
    </w:p>
    <w:p>
      <w:pPr>
        <w:pStyle w:val="5"/>
        <w:rPr>
          <w:rFonts w:ascii="仿宋" w:hAnsi="仿宋" w:eastAsia="仿宋"/>
          <w:color w:val="auto"/>
          <w:highlight w:val="none"/>
        </w:rPr>
      </w:pPr>
      <w:bookmarkStart w:id="98" w:name="_Toc15396629"/>
      <w:bookmarkStart w:id="99" w:name="_Toc16163"/>
      <w:r>
        <w:rPr>
          <w:rStyle w:val="20"/>
          <w:rFonts w:hint="eastAsia" w:ascii="仿宋" w:hAnsi="仿宋" w:eastAsia="仿宋"/>
          <w:b w:val="0"/>
          <w:bCs w:val="0"/>
          <w:color w:val="auto"/>
          <w:highlight w:val="none"/>
        </w:rPr>
        <w:t>十一、</w:t>
      </w:r>
      <w:bookmarkEnd w:id="98"/>
      <w:r>
        <w:rPr>
          <w:rFonts w:hint="eastAsia" w:ascii="仿宋" w:hAnsi="仿宋" w:eastAsia="仿宋"/>
          <w:b w:val="0"/>
          <w:color w:val="auto"/>
          <w:highlight w:val="none"/>
        </w:rPr>
        <w:t>国</w:t>
      </w:r>
      <w:r>
        <w:rPr>
          <w:rStyle w:val="20"/>
          <w:rFonts w:hint="eastAsia" w:ascii="仿宋" w:hAnsi="仿宋" w:eastAsia="仿宋"/>
          <w:b w:val="0"/>
          <w:bCs w:val="0"/>
          <w:color w:val="auto"/>
          <w:highlight w:val="none"/>
        </w:rPr>
        <w:t>有资本经营预算</w:t>
      </w:r>
      <w:r>
        <w:rPr>
          <w:rStyle w:val="20"/>
          <w:rFonts w:hint="eastAsia" w:ascii="仿宋" w:hAnsi="仿宋" w:eastAsia="仿宋"/>
          <w:b w:val="0"/>
          <w:bCs w:val="0"/>
          <w:color w:val="auto"/>
          <w:highlight w:val="none"/>
          <w:lang w:eastAsia="zh-CN"/>
        </w:rPr>
        <w:t>财政拨款收入</w:t>
      </w:r>
      <w:r>
        <w:rPr>
          <w:rStyle w:val="20"/>
          <w:rFonts w:hint="eastAsia" w:ascii="仿宋" w:hAnsi="仿宋" w:eastAsia="仿宋"/>
          <w:b w:val="0"/>
          <w:bCs w:val="0"/>
          <w:color w:val="auto"/>
          <w:highlight w:val="none"/>
        </w:rPr>
        <w:t>支出决算表</w:t>
      </w:r>
      <w:bookmarkEnd w:id="99"/>
    </w:p>
    <w:p>
      <w:pPr>
        <w:pStyle w:val="5"/>
        <w:rPr>
          <w:rFonts w:ascii="仿宋" w:hAnsi="仿宋" w:eastAsia="仿宋"/>
          <w:color w:val="auto"/>
          <w:highlight w:val="none"/>
        </w:rPr>
      </w:pPr>
      <w:bookmarkStart w:id="100" w:name="_Toc15396630"/>
      <w:bookmarkStart w:id="101" w:name="_Toc20656"/>
      <w:r>
        <w:rPr>
          <w:rStyle w:val="20"/>
          <w:rFonts w:hint="eastAsia" w:ascii="仿宋" w:hAnsi="仿宋" w:eastAsia="仿宋"/>
          <w:b w:val="0"/>
          <w:bCs w:val="0"/>
          <w:color w:val="auto"/>
          <w:highlight w:val="none"/>
        </w:rPr>
        <w:t>十二、</w:t>
      </w:r>
      <w:bookmarkEnd w:id="100"/>
      <w:r>
        <w:rPr>
          <w:rStyle w:val="20"/>
          <w:rFonts w:hint="eastAsia" w:ascii="仿宋" w:hAnsi="仿宋" w:eastAsia="仿宋"/>
          <w:b w:val="0"/>
          <w:bCs w:val="0"/>
          <w:color w:val="auto"/>
          <w:highlight w:val="none"/>
          <w:lang w:eastAsia="zh-CN"/>
        </w:rPr>
        <w:t>国有资本经营预算财政拨款支出决算表</w:t>
      </w:r>
      <w:bookmarkEnd w:id="101"/>
    </w:p>
    <w:p>
      <w:pPr>
        <w:pStyle w:val="5"/>
        <w:rPr>
          <w:rFonts w:hint="eastAsia" w:eastAsia="仿宋"/>
          <w:color w:val="auto"/>
          <w:highlight w:val="none"/>
          <w:lang w:eastAsia="zh-CN"/>
        </w:rPr>
      </w:pPr>
      <w:bookmarkStart w:id="102" w:name="_Toc15396631"/>
      <w:bookmarkStart w:id="103" w:name="_Toc31183"/>
      <w:r>
        <w:rPr>
          <w:rStyle w:val="20"/>
          <w:rFonts w:hint="eastAsia" w:ascii="仿宋" w:hAnsi="仿宋" w:eastAsia="仿宋"/>
          <w:b w:val="0"/>
          <w:bCs w:val="0"/>
          <w:color w:val="auto"/>
          <w:highlight w:val="none"/>
        </w:rPr>
        <w:t>十三、</w:t>
      </w:r>
      <w:bookmarkEnd w:id="102"/>
      <w:r>
        <w:rPr>
          <w:rStyle w:val="20"/>
          <w:rFonts w:hint="eastAsia" w:ascii="仿宋" w:hAnsi="仿宋" w:eastAsia="仿宋"/>
          <w:b w:val="0"/>
          <w:bCs w:val="0"/>
          <w:color w:val="auto"/>
          <w:highlight w:val="none"/>
          <w:lang w:eastAsia="zh-CN"/>
        </w:rPr>
        <w:t>财政拨款“三公”经费支出决算表</w:t>
      </w:r>
      <w:bookmarkEnd w:id="103"/>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 w:name="文鼎大标宋简">
    <w:altName w:val="微软雅黑"/>
    <w:panose1 w:val="0201060901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1567C65"/>
    <w:multiLevelType w:val="singleLevel"/>
    <w:tmpl w:val="E1567C65"/>
    <w:lvl w:ilvl="0" w:tentative="0">
      <w:start w:val="1"/>
      <w:numFmt w:val="decimal"/>
      <w:suff w:val="nothing"/>
      <w:lvlText w:val="%1．"/>
      <w:lvlJc w:val="left"/>
      <w:pPr>
        <w:ind w:left="0" w:firstLine="400"/>
      </w:pPr>
      <w:rPr>
        <w:rFonts w:hint="default" w:ascii="Times New Roman" w:hAnsi="Times New Roman" w:cs="Times New Roman"/>
        <w:sz w:val="32"/>
        <w:szCs w:val="32"/>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18F9E952"/>
    <w:multiLevelType w:val="singleLevel"/>
    <w:tmpl w:val="18F9E952"/>
    <w:lvl w:ilvl="0" w:tentative="0">
      <w:start w:val="1"/>
      <w:numFmt w:val="decimal"/>
      <w:suff w:val="nothing"/>
      <w:lvlText w:val="%1．"/>
      <w:lvlJc w:val="left"/>
      <w:pPr>
        <w:ind w:left="0" w:firstLine="400"/>
      </w:pPr>
      <w:rPr>
        <w:rFonts w:hint="default"/>
      </w:rPr>
    </w:lvl>
  </w:abstractNum>
  <w:abstractNum w:abstractNumId="5">
    <w:nsid w:val="3818A09A"/>
    <w:multiLevelType w:val="singleLevel"/>
    <w:tmpl w:val="3818A09A"/>
    <w:lvl w:ilvl="0" w:tentative="0">
      <w:start w:val="1"/>
      <w:numFmt w:val="chineseCounting"/>
      <w:suff w:val="nothing"/>
      <w:lvlText w:val="%1、"/>
      <w:lvlJc w:val="left"/>
      <w:rPr>
        <w:rFonts w:hint="eastAsia"/>
      </w:rPr>
    </w:lvl>
  </w:abstractNum>
  <w:num w:numId="1">
    <w:abstractNumId w:val="5"/>
  </w:num>
  <w:num w:numId="2">
    <w:abstractNumId w:val="3"/>
  </w:num>
  <w:num w:numId="3">
    <w:abstractNumId w:val="1"/>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0NDdhZTFhNjQyMWYxZjdmMGE5MTVjZTY5NDQ1MTE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A04E2"/>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286B"/>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3A62B5"/>
    <w:rsid w:val="0728449A"/>
    <w:rsid w:val="084F6F27"/>
    <w:rsid w:val="0A2032A3"/>
    <w:rsid w:val="0B8A37D8"/>
    <w:rsid w:val="10C055FF"/>
    <w:rsid w:val="118107EC"/>
    <w:rsid w:val="11DD6519"/>
    <w:rsid w:val="155C589A"/>
    <w:rsid w:val="16BB723D"/>
    <w:rsid w:val="18015F3F"/>
    <w:rsid w:val="1BE8440E"/>
    <w:rsid w:val="1CC25AC1"/>
    <w:rsid w:val="1D155CEE"/>
    <w:rsid w:val="20F57F95"/>
    <w:rsid w:val="211C020C"/>
    <w:rsid w:val="22787547"/>
    <w:rsid w:val="240371BF"/>
    <w:rsid w:val="25711CC6"/>
    <w:rsid w:val="25B65CEB"/>
    <w:rsid w:val="25C741E6"/>
    <w:rsid w:val="27842671"/>
    <w:rsid w:val="29FD04D3"/>
    <w:rsid w:val="2ABE7A3E"/>
    <w:rsid w:val="2CA234A8"/>
    <w:rsid w:val="2D0224C3"/>
    <w:rsid w:val="2EFA178C"/>
    <w:rsid w:val="30B46D73"/>
    <w:rsid w:val="319F7F4E"/>
    <w:rsid w:val="383D272C"/>
    <w:rsid w:val="39AE70AB"/>
    <w:rsid w:val="3C0C0783"/>
    <w:rsid w:val="3F9F3A96"/>
    <w:rsid w:val="41085755"/>
    <w:rsid w:val="442039B5"/>
    <w:rsid w:val="460A2029"/>
    <w:rsid w:val="48BF60AB"/>
    <w:rsid w:val="493C27E9"/>
    <w:rsid w:val="496F39ED"/>
    <w:rsid w:val="49FF41D3"/>
    <w:rsid w:val="4BE068DB"/>
    <w:rsid w:val="4BF6002B"/>
    <w:rsid w:val="4E05458D"/>
    <w:rsid w:val="4ECE2238"/>
    <w:rsid w:val="4FCD3B6A"/>
    <w:rsid w:val="51DB4B86"/>
    <w:rsid w:val="54986979"/>
    <w:rsid w:val="55333C3E"/>
    <w:rsid w:val="64CA39A1"/>
    <w:rsid w:val="69630ADE"/>
    <w:rsid w:val="6C4A05C8"/>
    <w:rsid w:val="6D3909F8"/>
    <w:rsid w:val="6D3B1A89"/>
    <w:rsid w:val="71BF4EC2"/>
    <w:rsid w:val="71D57FF5"/>
    <w:rsid w:val="72734D90"/>
    <w:rsid w:val="7412278C"/>
    <w:rsid w:val="7904082E"/>
    <w:rsid w:val="79E7B28D"/>
    <w:rsid w:val="7B4B052D"/>
    <w:rsid w:val="7F9F20EE"/>
    <w:rsid w:val="9E3A10E2"/>
    <w:rsid w:val="F2E1F9D4"/>
    <w:rsid w:val="F6ADB26C"/>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3"/>
    <w:qFormat/>
    <w:uiPriority w:val="0"/>
  </w:style>
  <w:style w:type="paragraph" w:styleId="3">
    <w:name w:val="Body Text 2"/>
    <w:basedOn w:val="1"/>
    <w:next w:val="2"/>
    <w:qFormat/>
    <w:uiPriority w:val="0"/>
    <w:pPr>
      <w:ind w:firstLine="640" w:firstLineChars="200"/>
    </w:pPr>
  </w:style>
  <w:style w:type="paragraph" w:styleId="7">
    <w:name w:val="Salutation"/>
    <w:basedOn w:val="1"/>
    <w:next w:val="1"/>
    <w:qFormat/>
    <w:uiPriority w:val="0"/>
    <w:rPr>
      <w:rFonts w:hint="default" w:ascii="Times New Roman" w:hAnsi="Times New Roman" w:eastAsia="宋体" w:cs="Times New Roman"/>
    </w:rPr>
  </w:style>
  <w:style w:type="paragraph" w:styleId="8">
    <w:name w:val="Body Text"/>
    <w:basedOn w:val="1"/>
    <w:link w:val="27"/>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1"/>
    <w:semiHidden/>
    <w:unhideWhenUsed/>
    <w:qFormat/>
    <w:uiPriority w:val="99"/>
    <w:rPr>
      <w:sz w:val="18"/>
      <w:szCs w:val="18"/>
    </w:rPr>
  </w:style>
  <w:style w:type="paragraph" w:styleId="11">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标题 1 Char"/>
    <w:basedOn w:val="16"/>
    <w:link w:val="4"/>
    <w:qFormat/>
    <w:uiPriority w:val="9"/>
    <w:rPr>
      <w:rFonts w:ascii="Times New Roman" w:hAnsi="Times New Roman"/>
      <w:b/>
      <w:bCs/>
      <w:kern w:val="44"/>
      <w:sz w:val="44"/>
      <w:szCs w:val="44"/>
    </w:rPr>
  </w:style>
  <w:style w:type="character" w:customStyle="1" w:styleId="20">
    <w:name w:val="标题 2 Char"/>
    <w:basedOn w:val="16"/>
    <w:link w:val="5"/>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6"/>
    <w:qFormat/>
    <w:uiPriority w:val="9"/>
    <w:rPr>
      <w:rFonts w:ascii="Times New Roman" w:hAnsi="Times New Roman"/>
      <w:b/>
      <w:bCs/>
      <w:kern w:val="2"/>
      <w:sz w:val="32"/>
      <w:szCs w:val="32"/>
    </w:rPr>
  </w:style>
  <w:style w:type="character" w:customStyle="1" w:styleId="22">
    <w:name w:val="Header Char"/>
    <w:basedOn w:val="16"/>
    <w:semiHidden/>
    <w:qFormat/>
    <w:uiPriority w:val="99"/>
    <w:rPr>
      <w:rFonts w:ascii="Times New Roman" w:hAnsi="Times New Roman"/>
      <w:sz w:val="18"/>
      <w:szCs w:val="18"/>
    </w:rPr>
  </w:style>
  <w:style w:type="character" w:customStyle="1" w:styleId="23">
    <w:name w:val="页眉 Char"/>
    <w:link w:val="12"/>
    <w:semiHidden/>
    <w:qFormat/>
    <w:locked/>
    <w:uiPriority w:val="99"/>
    <w:rPr>
      <w:sz w:val="18"/>
    </w:rPr>
  </w:style>
  <w:style w:type="character" w:customStyle="1" w:styleId="24">
    <w:name w:val="Footer Char"/>
    <w:basedOn w:val="16"/>
    <w:semiHidden/>
    <w:qFormat/>
    <w:uiPriority w:val="99"/>
    <w:rPr>
      <w:rFonts w:ascii="Times New Roman" w:hAnsi="Times New Roman"/>
      <w:sz w:val="18"/>
      <w:szCs w:val="18"/>
    </w:rPr>
  </w:style>
  <w:style w:type="character" w:customStyle="1" w:styleId="25">
    <w:name w:val="页脚 Char"/>
    <w:link w:val="11"/>
    <w:qFormat/>
    <w:locked/>
    <w:uiPriority w:val="99"/>
    <w:rPr>
      <w:sz w:val="18"/>
    </w:rPr>
  </w:style>
  <w:style w:type="character" w:customStyle="1" w:styleId="26">
    <w:name w:val="Body Text Char"/>
    <w:basedOn w:val="16"/>
    <w:semiHidden/>
    <w:qFormat/>
    <w:uiPriority w:val="99"/>
    <w:rPr>
      <w:rFonts w:ascii="Times New Roman" w:hAnsi="Times New Roman"/>
      <w:szCs w:val="24"/>
    </w:rPr>
  </w:style>
  <w:style w:type="character" w:customStyle="1" w:styleId="27">
    <w:name w:val="正文文本 Char"/>
    <w:link w:val="8"/>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paragraph" w:customStyle="1" w:styleId="30">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10"/>
    <w:semiHidden/>
    <w:qFormat/>
    <w:uiPriority w:val="99"/>
    <w:rPr>
      <w:rFonts w:ascii="Times New Roman" w:hAnsi="Times New Roman"/>
      <w:kern w:val="2"/>
      <w:sz w:val="18"/>
      <w:szCs w:val="18"/>
    </w:rPr>
  </w:style>
  <w:style w:type="paragraph" w:customStyle="1" w:styleId="32">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font21"/>
    <w:basedOn w:val="16"/>
    <w:qFormat/>
    <w:uiPriority w:val="0"/>
    <w:rPr>
      <w:rFonts w:hint="eastAsia" w:ascii="宋体" w:hAnsi="宋体" w:eastAsia="宋体" w:cs="宋体"/>
      <w:color w:val="000000"/>
      <w:sz w:val="15"/>
      <w:szCs w:val="15"/>
      <w:u w:val="none"/>
    </w:rPr>
  </w:style>
  <w:style w:type="character" w:customStyle="1" w:styleId="34">
    <w:name w:val="font31"/>
    <w:basedOn w:val="16"/>
    <w:qFormat/>
    <w:uiPriority w:val="0"/>
    <w:rPr>
      <w:rFonts w:hint="default" w:ascii="Arial" w:hAnsi="Arial" w:cs="Arial"/>
      <w:color w:val="000000"/>
      <w:sz w:val="15"/>
      <w:szCs w:val="15"/>
      <w:u w:val="none"/>
    </w:rPr>
  </w:style>
  <w:style w:type="character" w:customStyle="1" w:styleId="35">
    <w:name w:val="font51"/>
    <w:basedOn w:val="16"/>
    <w:qFormat/>
    <w:uiPriority w:val="0"/>
    <w:rPr>
      <w:rFonts w:hint="default" w:ascii="Arial" w:hAnsi="Arial" w:cs="Arial"/>
      <w:color w:val="000000"/>
      <w:sz w:val="15"/>
      <w:szCs w:val="15"/>
      <w:u w:val="none"/>
    </w:rPr>
  </w:style>
  <w:style w:type="paragraph" w:customStyle="1" w:styleId="36">
    <w:name w:val="WPSOffice手动目录 1"/>
    <w:qFormat/>
    <w:uiPriority w:val="0"/>
    <w:pPr>
      <w:ind w:leftChars="0"/>
    </w:pPr>
    <w:rPr>
      <w:rFonts w:ascii="Times New Roman" w:hAnsi="Times New Roman" w:eastAsia="宋体" w:cs="Times New Roman"/>
      <w:sz w:val="20"/>
      <w:szCs w:val="20"/>
    </w:rPr>
  </w:style>
  <w:style w:type="paragraph" w:customStyle="1" w:styleId="3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Administrator\Desktop\&#25991;&#32852;&#24037;&#20316;&#20869;&#23481;\2022&#24180;&#20915;&#31639;&#20844;&#24320;\&#22270;&#34920;1.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Administrator\Desktop\&#25991;&#32852;&#24037;&#20316;&#20869;&#23481;\2022&#24180;&#20915;&#31639;&#20844;&#24320;\&#22270;&#349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[工作簿1]Sheet1!$A$1:$A$2</c:f>
              <c:strCache>
                <c:ptCount val="2"/>
                <c:pt idx="0">
                  <c:v>2021年</c:v>
                </c:pt>
                <c:pt idx="1">
                  <c:v>2022年</c:v>
                </c:pt>
              </c:strCache>
            </c:strRef>
          </c:cat>
          <c:val>
            <c:numRef>
              <c:f>[工作簿1]Sheet1!$B$1:$B$2</c:f>
              <c:numCache>
                <c:formatCode>General</c:formatCode>
                <c:ptCount val="2"/>
                <c:pt idx="0">
                  <c:v>150.58</c:v>
                </c:pt>
                <c:pt idx="1">
                  <c:v>195.89</c:v>
                </c:pt>
              </c:numCache>
            </c:numRef>
          </c:val>
        </c:ser>
        <c:dLbls>
          <c:showLegendKey val="0"/>
          <c:showVal val="1"/>
          <c:showCatName val="0"/>
          <c:showSerName val="0"/>
          <c:showPercent val="0"/>
          <c:showBubbleSize val="0"/>
        </c:dLbls>
        <c:gapWidth val="246"/>
        <c:overlap val="-28"/>
        <c:axId val="760504324"/>
        <c:axId val="904831730"/>
      </c:barChart>
      <c:catAx>
        <c:axId val="76050432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04831730"/>
        <c:crosses val="autoZero"/>
        <c:auto val="1"/>
        <c:lblAlgn val="ctr"/>
        <c:lblOffset val="100"/>
        <c:noMultiLvlLbl val="0"/>
      </c:catAx>
      <c:valAx>
        <c:axId val="904831730"/>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605043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121426354203597"/>
                  <c:y val="-0.13577748772904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94678978662229"/>
                  <c:y val="0.027585627516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[工作簿1]Sheet1!$A$21:$A$22</c:f>
              <c:strCache>
                <c:ptCount val="2"/>
                <c:pt idx="0">
                  <c:v>一般公共预算财政拨款收入</c:v>
                </c:pt>
                <c:pt idx="1">
                  <c:v>其他收入</c:v>
                </c:pt>
              </c:strCache>
            </c:strRef>
          </c:cat>
          <c:val>
            <c:numRef>
              <c:f>[工作簿1]Sheet1!$B$21:$B$22</c:f>
              <c:numCache>
                <c:formatCode>General</c:formatCode>
                <c:ptCount val="2"/>
                <c:pt idx="0">
                  <c:v>170.55</c:v>
                </c:pt>
                <c:pt idx="1">
                  <c:v>25.1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0265273311897106"/>
                  <c:y val="-0.011538461538461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bestFit"/>
              <c:showLegendKey val="0"/>
              <c:showVal val="1"/>
              <c:showCatName val="1"/>
              <c:showSerName val="0"/>
              <c:showPercent val="1"/>
              <c:showBubbleSize val="0"/>
              <c:extLst>
                <c:ext xmlns:c15="http://schemas.microsoft.com/office/drawing/2012/chart" uri="{CE6537A1-D6FC-4f65-9D91-7224C49458BB}">
                  <c15:layout/>
                </c:ext>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2"/>
                      </a:solidFill>
                      <a:latin typeface="+mn-lt"/>
                      <a:ea typeface="+mn-ea"/>
                      <a:cs typeface="+mn-cs"/>
                    </a:defRPr>
                  </a:pPr>
                </a:p>
              </c:txPr>
              <c:dLblPos val="outEnd"/>
              <c:showLegendKey val="0"/>
              <c:showVal val="1"/>
              <c:showCatName val="1"/>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1" i="0" u="none" strike="noStrike" kern="1200" spc="0" baseline="0">
                    <a:solidFill>
                      <a:schemeClr val="accent1"/>
                    </a:solidFill>
                    <a:latin typeface="+mn-lt"/>
                    <a:ea typeface="+mn-ea"/>
                    <a:cs typeface="+mn-cs"/>
                  </a:defRPr>
                </a:pPr>
              </a:p>
            </c:txPr>
            <c:dLblPos val="outEnd"/>
            <c:showLegendKey val="0"/>
            <c:showVal val="1"/>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[工作簿1]Sheet1!$A$39:$A$40</c:f>
              <c:strCache>
                <c:ptCount val="2"/>
                <c:pt idx="0">
                  <c:v>基本支出</c:v>
                </c:pt>
                <c:pt idx="1">
                  <c:v>项目支出</c:v>
                </c:pt>
              </c:strCache>
            </c:strRef>
          </c:cat>
          <c:val>
            <c:numRef>
              <c:f>[工作簿1]Sheet1!$B$39:$B$40</c:f>
              <c:numCache>
                <c:formatCode>General</c:formatCode>
                <c:ptCount val="2"/>
                <c:pt idx="0">
                  <c:v>150.93</c:v>
                </c:pt>
                <c:pt idx="1">
                  <c:v>44.96</c:v>
                </c:pt>
              </c:numCache>
            </c:numRef>
          </c:val>
        </c:ser>
        <c:dLbls>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gradFill>
              <a:gsLst>
                <a:gs pos="0">
                  <a:schemeClr val="accent1">
                    <a:lumMod val="40000"/>
                    <a:lumOff val="60000"/>
                  </a:schemeClr>
                </a:gs>
                <a:gs pos="90000">
                  <a:schemeClr val="accent1"/>
                </a:gs>
              </a:gsLst>
              <a:lin ang="5400000" scaled="0"/>
            </a:gradFill>
            <a:ln>
              <a:gradFill>
                <a:gsLst>
                  <a:gs pos="0">
                    <a:schemeClr val="accent1"/>
                  </a:gs>
                  <a:gs pos="100000">
                    <a:schemeClr val="accent1">
                      <a:lumMod val="75000"/>
                    </a:schemeClr>
                  </a:gs>
                </a:gsLst>
                <a:lin ang="5400000" scaled="1"/>
              </a:gradFill>
            </a:ln>
            <a:effectLst>
              <a:outerShdw blurRad="76200" dist="25400" dir="2700000" algn="tl" rotWithShape="0">
                <a:schemeClr val="accent1">
                  <a:lumMod val="50000"/>
                  <a:alpha val="30000"/>
                </a:scheme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[工作簿1]Sheet1!$A$59:$A$60</c:f>
              <c:strCache>
                <c:ptCount val="2"/>
                <c:pt idx="0">
                  <c:v>2021年</c:v>
                </c:pt>
                <c:pt idx="1">
                  <c:v>2022年</c:v>
                </c:pt>
              </c:strCache>
            </c:strRef>
          </c:cat>
          <c:val>
            <c:numRef>
              <c:f>[工作簿1]Sheet1!$B$59:$B$60</c:f>
              <c:numCache>
                <c:formatCode>General</c:formatCode>
                <c:ptCount val="2"/>
                <c:pt idx="0">
                  <c:v>141.76</c:v>
                </c:pt>
                <c:pt idx="1">
                  <c:v>170.79</c:v>
                </c:pt>
              </c:numCache>
            </c:numRef>
          </c:val>
        </c:ser>
        <c:dLbls>
          <c:showLegendKey val="0"/>
          <c:showVal val="1"/>
          <c:showCatName val="0"/>
          <c:showSerName val="0"/>
          <c:showPercent val="0"/>
          <c:showBubbleSize val="0"/>
        </c:dLbls>
        <c:gapWidth val="246"/>
        <c:overlap val="-28"/>
        <c:axId val="989567060"/>
        <c:axId val="342551110"/>
      </c:barChart>
      <c:catAx>
        <c:axId val="98956706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2551110"/>
        <c:crosses val="autoZero"/>
        <c:auto val="1"/>
        <c:lblAlgn val="ctr"/>
        <c:lblOffset val="100"/>
        <c:noMultiLvlLbl val="0"/>
      </c:catAx>
      <c:valAx>
        <c:axId val="342551110"/>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95670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gradFill>
              <a:gsLst>
                <a:gs pos="0">
                  <a:schemeClr val="accent1">
                    <a:lumMod val="40000"/>
                    <a:lumOff val="60000"/>
                  </a:schemeClr>
                </a:gs>
                <a:gs pos="90000">
                  <a:schemeClr val="accent1"/>
                </a:gs>
              </a:gsLst>
              <a:lin ang="5400000" scaled="0"/>
            </a:gradFill>
            <a:ln>
              <a:gradFill>
                <a:gsLst>
                  <a:gs pos="0">
                    <a:schemeClr val="accent1"/>
                  </a:gs>
                  <a:gs pos="100000">
                    <a:schemeClr val="accent1">
                      <a:lumMod val="75000"/>
                    </a:schemeClr>
                  </a:gs>
                </a:gsLst>
                <a:lin ang="5400000" scaled="1"/>
              </a:gradFill>
            </a:ln>
            <a:effectLst>
              <a:outerShdw blurRad="76200" dist="25400" dir="2700000" algn="tl" rotWithShape="0">
                <a:schemeClr val="accent1">
                  <a:lumMod val="50000"/>
                  <a:alpha val="30000"/>
                </a:scheme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[工作簿1]Sheet1!$A$59:$A$60</c:f>
              <c:strCache>
                <c:ptCount val="2"/>
                <c:pt idx="0">
                  <c:v>2021年</c:v>
                </c:pt>
                <c:pt idx="1">
                  <c:v>2022年</c:v>
                </c:pt>
              </c:strCache>
            </c:strRef>
          </c:cat>
          <c:val>
            <c:numRef>
              <c:f>[工作簿1]Sheet1!$B$59:$B$60</c:f>
              <c:numCache>
                <c:formatCode>General</c:formatCode>
                <c:ptCount val="2"/>
                <c:pt idx="0">
                  <c:v>141.76</c:v>
                </c:pt>
                <c:pt idx="1">
                  <c:v>170.79</c:v>
                </c:pt>
              </c:numCache>
            </c:numRef>
          </c:val>
        </c:ser>
        <c:dLbls>
          <c:showLegendKey val="0"/>
          <c:showVal val="1"/>
          <c:showCatName val="0"/>
          <c:showSerName val="0"/>
          <c:showPercent val="0"/>
          <c:showBubbleSize val="0"/>
        </c:dLbls>
        <c:gapWidth val="246"/>
        <c:overlap val="-28"/>
        <c:axId val="989567060"/>
        <c:axId val="342551110"/>
      </c:barChart>
      <c:catAx>
        <c:axId val="98956706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2551110"/>
        <c:crosses val="autoZero"/>
        <c:auto val="1"/>
        <c:lblAlgn val="ctr"/>
        <c:lblOffset val="100"/>
        <c:noMultiLvlLbl val="0"/>
      </c:catAx>
      <c:valAx>
        <c:axId val="342551110"/>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95670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manualLayout>
                  <c:x val="0.149632988593338"/>
                  <c:y val="-0.11534789611805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33913488250635"/>
                  <c:y val="0.058841193365513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517375917351096"/>
                  <c:y val="0.0071293841551296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20881431111102"/>
                  <c:y val="0.0184867728865181"/>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200121531294308"/>
                      <c:h val="0.116839638433211"/>
                    </c:manualLayout>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[工作簿1]Sheet1!$A$78:$A$81</c:f>
              <c:strCache>
                <c:ptCount val="4"/>
                <c:pt idx="0">
                  <c:v>一般公共服务支出</c:v>
                </c:pt>
                <c:pt idx="1">
                  <c:v>会保障和就业支出</c:v>
                </c:pt>
                <c:pt idx="2">
                  <c:v>卫生健康支出</c:v>
                </c:pt>
                <c:pt idx="3">
                  <c:v>住房保障支出</c:v>
                </c:pt>
              </c:strCache>
            </c:strRef>
          </c:cat>
          <c:val>
            <c:numRef>
              <c:f>[工作簿1]Sheet1!$B$78:$B$81</c:f>
              <c:numCache>
                <c:formatCode>General</c:formatCode>
                <c:ptCount val="4"/>
                <c:pt idx="0">
                  <c:v>145.55</c:v>
                </c:pt>
                <c:pt idx="1">
                  <c:v>8.4</c:v>
                </c:pt>
                <c:pt idx="2">
                  <c:v>4.07</c:v>
                </c:pt>
                <c:pt idx="3">
                  <c:v>12.77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manualLayout>
          <c:xMode val="edge"/>
          <c:yMode val="edge"/>
          <c:x val="0.00607656471541422"/>
          <c:y val="0.010043521928356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a:solidFill>
              <a:schemeClr val="accent1">
                <a:lumMod val="60000"/>
                <a:lumOff val="40000"/>
              </a:schemeClr>
            </a:solidFill>
          </c:spPr>
          <c:explosion val="0"/>
          <c:dPt>
            <c:idx val="0"/>
            <c:bubble3D val="0"/>
            <c:spPr>
              <a:solidFill>
                <a:schemeClr val="accent1">
                  <a:lumMod val="60000"/>
                  <a:lumOff val="40000"/>
                </a:schemeClr>
              </a:solidFill>
              <a:ln>
                <a:solidFill>
                  <a:schemeClr val="bg1"/>
                </a:solidFill>
              </a:ln>
              <a:effectLst/>
            </c:spPr>
          </c:dPt>
          <c:dPt>
            <c:idx val="1"/>
            <c:bubble3D val="0"/>
            <c:spPr>
              <a:solidFill>
                <a:schemeClr val="accent1">
                  <a:lumMod val="60000"/>
                  <a:lumOff val="40000"/>
                </a:schemeClr>
              </a:solidFill>
              <a:ln>
                <a:solidFill>
                  <a:schemeClr val="bg1"/>
                </a:solidFill>
              </a:ln>
              <a:effectLst/>
            </c:spPr>
          </c:dPt>
          <c:dPt>
            <c:idx val="2"/>
            <c:bubble3D val="0"/>
            <c:spPr>
              <a:solidFill>
                <a:schemeClr val="accent1">
                  <a:lumMod val="60000"/>
                  <a:lumOff val="40000"/>
                </a:schemeClr>
              </a:solidFill>
              <a:ln>
                <a:solidFill>
                  <a:schemeClr val="bg1"/>
                </a:solidFill>
              </a:ln>
              <a:effectLst/>
            </c:spPr>
          </c:dPt>
          <c:dLbls>
            <c:dLbl>
              <c:idx val="2"/>
              <c:layout>
                <c:manualLayout>
                  <c:x val="0.148025692434885"/>
                  <c:y val="-0.0336401734935122"/>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0.54万元</a:t>
                    </a:r>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[图表1.xlsx]Sheet1!$A$99:$A$101</c:f>
              <c:strCache>
                <c:ptCount val="3"/>
                <c:pt idx="0">
                  <c:v>因公出国（境）费支出</c:v>
                </c:pt>
                <c:pt idx="1">
                  <c:v>公务用车购置及运行维护费支出</c:v>
                </c:pt>
                <c:pt idx="2">
                  <c:v>公务接待费支出决算</c:v>
                </c:pt>
              </c:strCache>
            </c:strRef>
          </c:cat>
          <c:val>
            <c:numRef>
              <c:f>[图表1.xlsx]Sheet1!$B$99:$B$101</c:f>
              <c:numCache>
                <c:formatCode>General</c:formatCode>
                <c:ptCount val="3"/>
                <c:pt idx="2">
                  <c:v>0.54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4">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styleClr val="auto"/>
    </cs:effectRef>
    <cs:fontRef idx="minor">
      <a:schemeClr val="dk1"/>
    </cs:fontRef>
    <cs:spPr>
      <a:gradFill>
        <a:gsLst>
          <a:gs pos="0">
            <a:schemeClr val="phClr">
              <a:lumMod val="40000"/>
              <a:lumOff val="60000"/>
            </a:schemeClr>
          </a:gs>
          <a:gs pos="90000">
            <a:schemeClr val="phClr"/>
          </a:gs>
        </a:gsLst>
        <a:lin ang="5400000" scaled="0"/>
      </a:gradFill>
      <a:ln>
        <a:gradFill>
          <a:gsLst>
            <a:gs pos="0">
              <a:schemeClr val="phClr"/>
            </a:gs>
            <a:gs pos="100000">
              <a:schemeClr val="phClr">
                <a:lumMod val="75000"/>
              </a:schemeClr>
            </a:gs>
          </a:gsLst>
          <a:lin ang="5400000" scaled="1"/>
        </a:gradFill>
      </a:ln>
      <a:effectLst>
        <a:outerShdw blurRad="76200" dist="25400" dir="2700000" algn="tl" rotWithShape="0">
          <a:schemeClr val="phClr">
            <a:lumMod val="50000"/>
            <a:alpha val="30000"/>
          </a:schemeClr>
        </a:outerShdw>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4">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styleClr val="auto"/>
    </cs:effectRef>
    <cs:fontRef idx="minor">
      <a:schemeClr val="dk1"/>
    </cs:fontRef>
    <cs:spPr>
      <a:gradFill>
        <a:gsLst>
          <a:gs pos="0">
            <a:schemeClr val="phClr">
              <a:lumMod val="40000"/>
              <a:lumOff val="60000"/>
            </a:schemeClr>
          </a:gs>
          <a:gs pos="90000">
            <a:schemeClr val="phClr"/>
          </a:gs>
        </a:gsLst>
        <a:lin ang="5400000" scaled="0"/>
      </a:gradFill>
      <a:ln>
        <a:gradFill>
          <a:gsLst>
            <a:gs pos="0">
              <a:schemeClr val="phClr"/>
            </a:gs>
            <a:gs pos="100000">
              <a:schemeClr val="phClr">
                <a:lumMod val="75000"/>
              </a:schemeClr>
            </a:gs>
          </a:gsLst>
          <a:lin ang="5400000" scaled="1"/>
        </a:gradFill>
      </a:ln>
      <a:effectLst>
        <a:outerShdw blurRad="76200" dist="25400" dir="2700000" algn="tl" rotWithShape="0">
          <a:schemeClr val="phClr">
            <a:lumMod val="50000"/>
            <a:alpha val="30000"/>
          </a:schemeClr>
        </a:outerShdw>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4">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cs:styleClr val="auto"/>
    </cs:fontRef>
    <cs:defRPr sz="1000" b="1" i="0" u="none" strike="noStrike" kern="1200" spc="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24</TotalTime>
  <ScaleCrop>false</ScaleCrop>
  <LinksUpToDate>false</LinksUpToDate>
  <CharactersWithSpaces>8692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2020-08-05T09:49:00Z</dcterms:created>
  <dc:creator>曹颖</dc:creator>
  <cp:lastModifiedBy>刘小瘦</cp:lastModifiedBy>
  <cp:lastPrinted>2023-07-31T10:35:00Z</cp:lastPrinted>
  <dcterms:modified xsi:type="dcterms:W3CDTF">2023-10-26T03:28:43Z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41D00FE4B9FC4A54AF4E6ABF01B5B90E_13</vt:lpwstr>
  </property>
</Properties>
</file>