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color w:val="auto"/>
          <w:sz w:val="21"/>
          <w:szCs w:val="21"/>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597"/>
      <w:bookmarkStart w:id="2" w:name="_Toc15377425"/>
      <w:bookmarkStart w:id="3" w:name="_Toc15377193"/>
      <w:bookmarkStart w:id="4" w:name="_Toc15396475"/>
      <w:bookmarkStart w:id="5" w:name="_Toc15378441"/>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val="en-US" w:eastAsia="zh-CN"/>
        </w:rPr>
      </w:pPr>
      <w:bookmarkStart w:id="6" w:name="_Toc15396598"/>
      <w:bookmarkStart w:id="7" w:name="_Toc15377426"/>
      <w:bookmarkStart w:id="8" w:name="_Toc15378442"/>
      <w:bookmarkStart w:id="9" w:name="_Toc15396476"/>
      <w:bookmarkStart w:id="10" w:name="_Toc15377194"/>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1" w:name="_Toc15306268"/>
      <w:r>
        <w:rPr>
          <w:rFonts w:hint="eastAsia" w:ascii="方正小标宋简体" w:hAnsi="方正小标宋简体" w:eastAsia="方正小标宋简体" w:cs="方正小标宋简体"/>
          <w:color w:val="auto"/>
          <w:sz w:val="72"/>
          <w:szCs w:val="72"/>
          <w:highlight w:val="none"/>
          <w:lang w:val="en-US" w:eastAsia="zh-CN"/>
        </w:rPr>
        <w:t>国营中心苗圃</w:t>
      </w: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6"/>
      <w:bookmarkEnd w:id="7"/>
      <w:bookmarkEnd w:id="8"/>
      <w:bookmarkEnd w:id="9"/>
      <w:bookmarkEnd w:id="10"/>
      <w:bookmarkEnd w:id="11"/>
    </w:p>
    <w:p>
      <w:pPr>
        <w:widowControl/>
        <w:jc w:val="center"/>
        <w:rPr>
          <w:rFonts w:hint="eastAsia" w:ascii="黑体" w:hAnsi="黑体" w:eastAsia="黑体"/>
          <w:color w:val="auto"/>
          <w:sz w:val="48"/>
          <w:szCs w:val="48"/>
          <w:highlight w:val="none"/>
        </w:rPr>
        <w:sectPr>
          <w:headerReference r:id="rId3" w:type="default"/>
          <w:footerReference r:id="rId4" w:type="default"/>
          <w:pgSz w:w="11906" w:h="16838"/>
          <w:pgMar w:top="1440" w:right="1803" w:bottom="1440" w:left="1803" w:header="851" w:footer="992" w:gutter="0"/>
          <w:pgNumType w:start="1"/>
          <w:cols w:space="0" w:num="1"/>
          <w:titlePg/>
          <w:rtlGutter w:val="0"/>
          <w:docGrid w:type="lines" w:linePitch="319" w:charSpace="0"/>
        </w:sectPr>
      </w:pPr>
    </w:p>
    <w:p>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pPr>
        <w:widowControl/>
        <w:jc w:val="center"/>
        <w:rPr>
          <w:rFonts w:ascii="黑体" w:hAnsi="黑体" w:eastAsia="黑体" w:cstheme="minorBidi"/>
          <w:color w:val="auto"/>
          <w:sz w:val="28"/>
          <w:szCs w:val="28"/>
          <w:highlight w:val="none"/>
        </w:rPr>
      </w:pPr>
    </w:p>
    <w:p>
      <w:pPr>
        <w:pStyle w:val="10"/>
        <w:rPr>
          <w:rFonts w:hint="eastAsia" w:eastAsia="仿宋"/>
          <w:color w:val="auto"/>
          <w:highlight w:val="none"/>
          <w:lang w:val="en-US"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 xml:space="preserve">18 </w:t>
      </w:r>
      <w:r>
        <w:rPr>
          <w:rFonts w:hint="eastAsia"/>
          <w:color w:val="auto"/>
          <w:highlight w:val="none"/>
        </w:rPr>
        <w:t>日</w:t>
      </w:r>
    </w:p>
    <w:p>
      <w:pPr>
        <w:rPr>
          <w:color w:val="auto"/>
          <w:highlight w:val="none"/>
        </w:rPr>
      </w:pPr>
    </w:p>
    <w:p>
      <w:pPr>
        <w:pStyle w:val="10"/>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...................................................1</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一、</w:t>
      </w:r>
      <w:r>
        <w:rPr>
          <w:rFonts w:hint="eastAsia"/>
          <w:color w:val="auto"/>
          <w:sz w:val="24"/>
          <w:highlight w:val="none"/>
          <w:lang w:eastAsia="zh-CN"/>
        </w:rPr>
        <w:t>主要职责</w:t>
      </w:r>
      <w:r>
        <w:rPr>
          <w:rFonts w:hint="eastAsia"/>
          <w:color w:val="auto"/>
          <w:sz w:val="24"/>
          <w:highlight w:val="none"/>
          <w:lang w:val="en-US" w:eastAsia="zh-CN"/>
        </w:rPr>
        <w:t>...........................................................................................................1</w:t>
      </w:r>
    </w:p>
    <w:p>
      <w:pPr>
        <w:pStyle w:val="11"/>
        <w:adjustRightInd w:val="0"/>
        <w:snapToGrid w:val="0"/>
        <w:spacing w:line="440" w:lineRule="exact"/>
        <w:jc w:val="left"/>
        <w:rPr>
          <w:rFonts w:hint="default" w:eastAsia="宋体"/>
          <w:color w:val="auto"/>
          <w:lang w:val="en-US" w:eastAsia="zh-CN"/>
        </w:rPr>
      </w:pPr>
      <w:r>
        <w:rPr>
          <w:rFonts w:hint="eastAsia"/>
          <w:color w:val="auto"/>
          <w:sz w:val="24"/>
          <w:highlight w:val="none"/>
          <w:lang w:eastAsia="zh-CN"/>
        </w:rPr>
        <w:t>二</w:t>
      </w:r>
      <w:r>
        <w:rPr>
          <w:rFonts w:hint="eastAsia"/>
          <w:color w:val="auto"/>
          <w:sz w:val="24"/>
          <w:highlight w:val="none"/>
        </w:rPr>
        <w:t>、</w:t>
      </w:r>
      <w:r>
        <w:rPr>
          <w:rFonts w:hint="eastAsia"/>
          <w:color w:val="auto"/>
          <w:sz w:val="24"/>
          <w:highlight w:val="none"/>
          <w:lang w:eastAsia="zh-CN"/>
        </w:rPr>
        <w:t>机构设置</w:t>
      </w:r>
      <w:r>
        <w:rPr>
          <w:rFonts w:hint="eastAsia"/>
          <w:color w:val="auto"/>
          <w:sz w:val="24"/>
          <w:highlight w:val="none"/>
          <w:lang w:val="en-US" w:eastAsia="zh-CN"/>
        </w:rPr>
        <w:t>...........................................................................................................1</w:t>
      </w:r>
    </w:p>
    <w:p>
      <w:pPr>
        <w:pStyle w:val="10"/>
        <w:adjustRightInd w:val="0"/>
        <w:snapToGrid w:val="0"/>
        <w:spacing w:before="0" w:line="440" w:lineRule="exact"/>
        <w:jc w:val="left"/>
        <w:rPr>
          <w:rFonts w:hint="default" w:eastAsia="仿宋"/>
          <w:color w:val="auto"/>
          <w:sz w:val="24"/>
          <w:szCs w:val="24"/>
          <w:highlight w:val="none"/>
          <w:lang w:val="en-US" w:eastAsia="zh-CN"/>
        </w:rPr>
      </w:pPr>
      <w:r>
        <w:rPr>
          <w:rFonts w:hint="eastAsia"/>
          <w:color w:val="auto"/>
          <w:sz w:val="24"/>
          <w:highlight w:val="none"/>
        </w:rPr>
        <w:t>第二部分</w:t>
      </w:r>
      <w:r>
        <w:rPr>
          <w:rFonts w:hint="eastAsia"/>
          <w:color w:val="auto"/>
          <w:sz w:val="24"/>
          <w:highlight w:val="none"/>
          <w:lang w:val="en-US" w:eastAsia="zh-CN"/>
        </w:rPr>
        <w:t xml:space="preserve"> 2022年度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 2</w:t>
      </w:r>
    </w:p>
    <w:p>
      <w:pPr>
        <w:pStyle w:val="11"/>
        <w:adjustRightInd w:val="0"/>
        <w:snapToGrid w:val="0"/>
        <w:spacing w:line="440" w:lineRule="exact"/>
        <w:jc w:val="left"/>
        <w:rPr>
          <w:rFonts w:hint="default" w:ascii="仿宋" w:hAnsi="仿宋" w:eastAsia="宋体" w:cstheme="minorBidi"/>
          <w:color w:val="auto"/>
          <w:sz w:val="24"/>
          <w:highlight w:val="none"/>
          <w:lang w:val="en-US" w:eastAsia="zh-CN"/>
        </w:rPr>
      </w:pPr>
      <w:r>
        <w:rPr>
          <w:rFonts w:hint="eastAsia"/>
          <w:color w:val="auto"/>
          <w:sz w:val="24"/>
          <w:highlight w:val="none"/>
        </w:rPr>
        <w:t>一、收入支出决算总体情况说明</w:t>
      </w:r>
      <w:r>
        <w:rPr>
          <w:rFonts w:hint="eastAsia"/>
          <w:color w:val="auto"/>
          <w:sz w:val="24"/>
          <w:highlight w:val="none"/>
          <w:lang w:val="en-US" w:eastAsia="zh-CN"/>
        </w:rPr>
        <w:t>..........................................................................2</w:t>
      </w:r>
    </w:p>
    <w:p>
      <w:pPr>
        <w:pStyle w:val="11"/>
        <w:adjustRightInd w:val="0"/>
        <w:snapToGrid w:val="0"/>
        <w:spacing w:line="440" w:lineRule="exact"/>
        <w:jc w:val="left"/>
        <w:rPr>
          <w:rFonts w:hint="default" w:ascii="仿宋" w:hAnsi="仿宋" w:eastAsia="宋体" w:cstheme="minorBidi"/>
          <w:color w:val="auto"/>
          <w:sz w:val="24"/>
          <w:highlight w:val="none"/>
          <w:lang w:val="en-US" w:eastAsia="zh-CN"/>
        </w:rPr>
      </w:pPr>
      <w:r>
        <w:rPr>
          <w:rFonts w:hint="eastAsia"/>
          <w:color w:val="auto"/>
          <w:sz w:val="24"/>
          <w:highlight w:val="none"/>
        </w:rPr>
        <w:t>二、收入决算情况说明</w:t>
      </w:r>
      <w:r>
        <w:rPr>
          <w:rFonts w:hint="eastAsia"/>
          <w:color w:val="auto"/>
          <w:sz w:val="24"/>
          <w:highlight w:val="none"/>
          <w:lang w:val="en-US" w:eastAsia="zh-CN"/>
        </w:rPr>
        <w:t>...........................................................................................2</w:t>
      </w:r>
    </w:p>
    <w:p>
      <w:pPr>
        <w:pStyle w:val="11"/>
        <w:adjustRightInd w:val="0"/>
        <w:snapToGrid w:val="0"/>
        <w:spacing w:line="440" w:lineRule="exact"/>
        <w:jc w:val="left"/>
        <w:rPr>
          <w:rFonts w:hint="default" w:ascii="仿宋" w:hAnsi="仿宋" w:eastAsia="宋体" w:cstheme="minorBidi"/>
          <w:color w:val="auto"/>
          <w:sz w:val="24"/>
          <w:highlight w:val="none"/>
          <w:lang w:val="en-US" w:eastAsia="zh-CN"/>
        </w:rPr>
      </w:pPr>
      <w:r>
        <w:rPr>
          <w:rFonts w:hint="eastAsia"/>
          <w:color w:val="auto"/>
          <w:sz w:val="24"/>
          <w:highlight w:val="none"/>
        </w:rPr>
        <w:t>三、支出决算情况说明</w:t>
      </w:r>
      <w:r>
        <w:rPr>
          <w:rFonts w:hint="eastAsia"/>
          <w:color w:val="auto"/>
          <w:sz w:val="24"/>
          <w:highlight w:val="none"/>
          <w:lang w:val="en-US" w:eastAsia="zh-CN"/>
        </w:rPr>
        <w:t>..........................................................................................3</w:t>
      </w:r>
    </w:p>
    <w:p>
      <w:pPr>
        <w:pStyle w:val="11"/>
        <w:adjustRightInd w:val="0"/>
        <w:snapToGrid w:val="0"/>
        <w:spacing w:line="440" w:lineRule="exact"/>
        <w:jc w:val="left"/>
        <w:rPr>
          <w:rFonts w:hint="default" w:ascii="仿宋" w:hAnsi="仿宋" w:eastAsia="宋体" w:cstheme="minorBidi"/>
          <w:color w:val="auto"/>
          <w:sz w:val="24"/>
          <w:highlight w:val="none"/>
          <w:lang w:val="en-US" w:eastAsia="zh-CN"/>
        </w:rPr>
      </w:pPr>
      <w:r>
        <w:rPr>
          <w:rFonts w:hint="eastAsia"/>
          <w:color w:val="auto"/>
          <w:sz w:val="24"/>
          <w:highlight w:val="none"/>
        </w:rPr>
        <w:t>四、财政拨款收入支出决算总体情况说明</w:t>
      </w:r>
      <w:r>
        <w:rPr>
          <w:rFonts w:hint="eastAsia"/>
          <w:color w:val="auto"/>
          <w:sz w:val="24"/>
          <w:highlight w:val="none"/>
          <w:lang w:val="en-US" w:eastAsia="zh-CN"/>
        </w:rPr>
        <w:t>.........................................................3</w:t>
      </w:r>
    </w:p>
    <w:p>
      <w:pPr>
        <w:pStyle w:val="11"/>
        <w:adjustRightInd w:val="0"/>
        <w:snapToGrid w:val="0"/>
        <w:spacing w:line="440" w:lineRule="exact"/>
        <w:jc w:val="left"/>
        <w:rPr>
          <w:rFonts w:hint="default" w:ascii="仿宋" w:hAnsi="仿宋" w:eastAsia="宋体" w:cstheme="minorBidi"/>
          <w:color w:val="auto"/>
          <w:sz w:val="24"/>
          <w:highlight w:val="none"/>
          <w:lang w:val="en-US" w:eastAsia="zh-CN"/>
        </w:rPr>
      </w:pPr>
      <w:r>
        <w:rPr>
          <w:rFonts w:hint="eastAsia"/>
          <w:color w:val="auto"/>
          <w:sz w:val="24"/>
          <w:highlight w:val="none"/>
        </w:rPr>
        <w:t>五、一般公共预算财政拨款支出决算情况说明</w:t>
      </w:r>
      <w:r>
        <w:rPr>
          <w:rFonts w:hint="eastAsia"/>
          <w:color w:val="auto"/>
          <w:sz w:val="24"/>
          <w:highlight w:val="none"/>
          <w:lang w:val="en-US" w:eastAsia="zh-CN"/>
        </w:rPr>
        <w:t>.................................................4</w:t>
      </w:r>
    </w:p>
    <w:p>
      <w:pPr>
        <w:pStyle w:val="11"/>
        <w:adjustRightInd w:val="0"/>
        <w:snapToGrid w:val="0"/>
        <w:spacing w:line="440" w:lineRule="exact"/>
        <w:jc w:val="left"/>
        <w:rPr>
          <w:rFonts w:hint="default" w:ascii="仿宋" w:hAnsi="仿宋" w:eastAsia="宋体" w:cstheme="minorBidi"/>
          <w:color w:val="auto"/>
          <w:sz w:val="24"/>
          <w:highlight w:val="none"/>
          <w:lang w:val="en-US" w:eastAsia="zh-CN"/>
        </w:rPr>
      </w:pPr>
      <w:r>
        <w:rPr>
          <w:rFonts w:hint="eastAsia"/>
          <w:color w:val="auto"/>
          <w:sz w:val="24"/>
          <w:highlight w:val="none"/>
        </w:rPr>
        <w:t>六、一般公共预算财政拨款基本支出决算情况说明</w:t>
      </w:r>
      <w:r>
        <w:rPr>
          <w:rFonts w:hint="eastAsia"/>
          <w:color w:val="auto"/>
          <w:sz w:val="24"/>
          <w:highlight w:val="none"/>
          <w:lang w:val="en-US" w:eastAsia="zh-CN"/>
        </w:rPr>
        <w:t>..........................................7</w:t>
      </w:r>
    </w:p>
    <w:p>
      <w:pPr>
        <w:pStyle w:val="11"/>
        <w:adjustRightInd w:val="0"/>
        <w:snapToGrid w:val="0"/>
        <w:spacing w:line="440" w:lineRule="exact"/>
        <w:jc w:val="left"/>
        <w:rPr>
          <w:rFonts w:hint="default" w:ascii="仿宋" w:hAnsi="仿宋" w:eastAsia="宋体" w:cstheme="minorBidi"/>
          <w:color w:val="auto"/>
          <w:sz w:val="24"/>
          <w:highlight w:val="none"/>
          <w:lang w:val="en-US" w:eastAsia="zh-CN"/>
        </w:rPr>
      </w:pPr>
      <w:r>
        <w:rPr>
          <w:rFonts w:hint="eastAsia"/>
          <w:color w:val="auto"/>
          <w:sz w:val="24"/>
          <w:highlight w:val="none"/>
        </w:rPr>
        <w:t>七、财政拨款</w:t>
      </w:r>
      <w:r>
        <w:rPr>
          <w:rFonts w:hint="eastAsia"/>
          <w:color w:val="auto"/>
          <w:sz w:val="24"/>
          <w:highlight w:val="none"/>
          <w:lang w:eastAsia="zh-CN"/>
        </w:rPr>
        <w:t>“</w:t>
      </w:r>
      <w:r>
        <w:rPr>
          <w:rFonts w:hint="eastAsia"/>
          <w:color w:val="auto"/>
          <w:sz w:val="24"/>
          <w:highlight w:val="none"/>
        </w:rPr>
        <w:t>三公”经费支出决算情况说明</w:t>
      </w:r>
      <w:r>
        <w:rPr>
          <w:rFonts w:hint="eastAsia"/>
          <w:color w:val="auto"/>
          <w:sz w:val="24"/>
          <w:highlight w:val="none"/>
          <w:lang w:val="en-US" w:eastAsia="zh-CN"/>
        </w:rPr>
        <w:t>..................................................8</w:t>
      </w:r>
    </w:p>
    <w:p>
      <w:pPr>
        <w:pStyle w:val="11"/>
        <w:adjustRightInd w:val="0"/>
        <w:snapToGrid w:val="0"/>
        <w:spacing w:line="440" w:lineRule="exact"/>
        <w:jc w:val="left"/>
        <w:rPr>
          <w:rFonts w:hint="default" w:ascii="仿宋" w:hAnsi="仿宋" w:eastAsia="宋体" w:cstheme="minorBidi"/>
          <w:color w:val="auto"/>
          <w:sz w:val="24"/>
          <w:highlight w:val="none"/>
          <w:lang w:val="en-US" w:eastAsia="zh-CN"/>
        </w:rPr>
      </w:pPr>
      <w:r>
        <w:rPr>
          <w:rFonts w:hint="eastAsia"/>
          <w:color w:val="auto"/>
          <w:sz w:val="24"/>
          <w:highlight w:val="none"/>
        </w:rPr>
        <w:t>八、政府性基金预算支出决算情况说明</w:t>
      </w:r>
      <w:r>
        <w:rPr>
          <w:rFonts w:hint="eastAsia"/>
          <w:color w:val="auto"/>
          <w:sz w:val="24"/>
          <w:highlight w:val="none"/>
          <w:lang w:val="en-US" w:eastAsia="zh-CN"/>
        </w:rPr>
        <w:t>...............................................................9</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九、国有资本经营预算支出决算情况说明</w:t>
      </w:r>
      <w:r>
        <w:rPr>
          <w:rFonts w:hint="eastAsia"/>
          <w:color w:val="auto"/>
          <w:sz w:val="24"/>
          <w:highlight w:val="none"/>
          <w:lang w:val="en-US" w:eastAsia="zh-CN"/>
        </w:rPr>
        <w:t>.........................................................9</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十、其他重要事项的情况说明</w:t>
      </w:r>
      <w:r>
        <w:rPr>
          <w:rFonts w:hint="eastAsia"/>
          <w:color w:val="auto"/>
          <w:sz w:val="24"/>
          <w:highlight w:val="none"/>
          <w:lang w:val="en-US" w:eastAsia="zh-CN"/>
        </w:rPr>
        <w:t>.............................................................................9</w:t>
      </w:r>
    </w:p>
    <w:p>
      <w:pPr>
        <w:pStyle w:val="10"/>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..................................................10</w:t>
      </w:r>
    </w:p>
    <w:p>
      <w:pPr>
        <w:pStyle w:val="10"/>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......................................................14</w:t>
      </w:r>
    </w:p>
    <w:p>
      <w:pPr>
        <w:pStyle w:val="10"/>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......................................................48</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一、收入支出决算总表</w:t>
      </w:r>
      <w:r>
        <w:rPr>
          <w:rFonts w:hint="eastAsia"/>
          <w:color w:val="auto"/>
          <w:sz w:val="24"/>
          <w:highlight w:val="none"/>
          <w:lang w:val="en-US" w:eastAsia="zh-CN"/>
        </w:rPr>
        <w:t>........................................................................................48</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二、收入决算表</w:t>
      </w:r>
      <w:r>
        <w:rPr>
          <w:rFonts w:hint="eastAsia"/>
          <w:color w:val="auto"/>
          <w:sz w:val="24"/>
          <w:highlight w:val="none"/>
          <w:lang w:val="en-US" w:eastAsia="zh-CN"/>
        </w:rPr>
        <w:t>...................................................................................................48</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三、支出决算表</w:t>
      </w:r>
      <w:r>
        <w:rPr>
          <w:rFonts w:hint="eastAsia"/>
          <w:color w:val="auto"/>
          <w:sz w:val="24"/>
          <w:highlight w:val="none"/>
          <w:lang w:val="en-US" w:eastAsia="zh-CN"/>
        </w:rPr>
        <w:t>...................................................................................................48</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四、财政拨款收入支出决算总表</w:t>
      </w:r>
      <w:r>
        <w:rPr>
          <w:rFonts w:hint="eastAsia"/>
          <w:color w:val="auto"/>
          <w:sz w:val="24"/>
          <w:highlight w:val="none"/>
          <w:lang w:val="en-US" w:eastAsia="zh-CN"/>
        </w:rPr>
        <w:t>.......................................................................48</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五、财政拨款支出决算明细表</w:t>
      </w:r>
      <w:r>
        <w:rPr>
          <w:rFonts w:hint="eastAsia"/>
          <w:color w:val="auto"/>
          <w:sz w:val="24"/>
          <w:highlight w:val="none"/>
          <w:lang w:val="en-US" w:eastAsia="zh-CN"/>
        </w:rPr>
        <w:t>...........................................................................48</w:t>
      </w:r>
    </w:p>
    <w:p>
      <w:pPr>
        <w:pStyle w:val="11"/>
        <w:adjustRightInd w:val="0"/>
        <w:snapToGrid w:val="0"/>
        <w:spacing w:line="440" w:lineRule="exact"/>
        <w:jc w:val="left"/>
        <w:rPr>
          <w:rFonts w:hint="default"/>
          <w:color w:val="auto"/>
          <w:sz w:val="24"/>
          <w:highlight w:val="none"/>
          <w:lang w:val="en-US" w:eastAsia="zh-CN"/>
        </w:rPr>
      </w:pPr>
      <w:r>
        <w:rPr>
          <w:rFonts w:hint="eastAsia"/>
          <w:color w:val="auto"/>
          <w:sz w:val="24"/>
          <w:highlight w:val="none"/>
        </w:rPr>
        <w:t>六、一般公共预算财政拨款支出决算表</w:t>
      </w:r>
      <w:r>
        <w:rPr>
          <w:rFonts w:hint="eastAsia"/>
          <w:color w:val="auto"/>
          <w:sz w:val="24"/>
          <w:highlight w:val="none"/>
          <w:lang w:val="en-US" w:eastAsia="zh-CN"/>
        </w:rPr>
        <w:t>...........................................................48</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七、一般公共预算财政拨款支出决算明细表</w:t>
      </w:r>
      <w:r>
        <w:rPr>
          <w:rFonts w:hint="eastAsia"/>
          <w:color w:val="auto"/>
          <w:sz w:val="24"/>
          <w:highlight w:val="none"/>
          <w:lang w:val="en-US" w:eastAsia="zh-CN"/>
        </w:rPr>
        <w:t>....................................................48</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八、一般公共预算财政拨款基本支出决算</w:t>
      </w:r>
      <w:r>
        <w:rPr>
          <w:rFonts w:hint="eastAsia"/>
          <w:color w:val="auto"/>
          <w:sz w:val="24"/>
          <w:highlight w:val="none"/>
          <w:lang w:eastAsia="zh-CN"/>
        </w:rPr>
        <w:t>明细</w:t>
      </w:r>
      <w:r>
        <w:rPr>
          <w:rFonts w:hint="eastAsia"/>
          <w:color w:val="auto"/>
          <w:sz w:val="24"/>
          <w:highlight w:val="none"/>
        </w:rPr>
        <w:t>表</w:t>
      </w:r>
      <w:r>
        <w:rPr>
          <w:rFonts w:hint="eastAsia"/>
          <w:color w:val="auto"/>
          <w:sz w:val="24"/>
          <w:highlight w:val="none"/>
          <w:lang w:val="en-US" w:eastAsia="zh-CN"/>
        </w:rPr>
        <w:t>............................................48</w:t>
      </w:r>
    </w:p>
    <w:p>
      <w:pPr>
        <w:pStyle w:val="11"/>
        <w:adjustRightInd w:val="0"/>
        <w:snapToGrid w:val="0"/>
        <w:spacing w:line="440" w:lineRule="exact"/>
        <w:jc w:val="left"/>
        <w:rPr>
          <w:rFonts w:hint="default" w:eastAsia="宋体"/>
          <w:color w:val="auto"/>
          <w:sz w:val="24"/>
          <w:highlight w:val="none"/>
          <w:lang w:val="en-US" w:eastAsia="zh-CN"/>
        </w:rPr>
        <w:sectPr>
          <w:footerReference r:id="rId6" w:type="first"/>
          <w:footerReference r:id="rId5" w:type="default"/>
          <w:pgSz w:w="11906" w:h="16838"/>
          <w:pgMar w:top="1440" w:right="1803" w:bottom="1440" w:left="1803" w:header="851" w:footer="992" w:gutter="0"/>
          <w:pgNumType w:start="1"/>
          <w:cols w:space="0" w:num="1"/>
          <w:titlePg/>
          <w:rtlGutter w:val="0"/>
          <w:docGrid w:type="lines" w:linePitch="319" w:charSpace="0"/>
        </w:sectPr>
      </w:pPr>
      <w:r>
        <w:rPr>
          <w:rFonts w:hint="eastAsia"/>
          <w:color w:val="auto"/>
          <w:sz w:val="24"/>
          <w:highlight w:val="none"/>
        </w:rPr>
        <w:t>九、一般公共预算财政拨款项目支出决算表</w:t>
      </w:r>
      <w:r>
        <w:rPr>
          <w:rFonts w:hint="eastAsia"/>
          <w:color w:val="auto"/>
          <w:sz w:val="24"/>
          <w:highlight w:val="none"/>
          <w:lang w:val="en-US" w:eastAsia="zh-CN"/>
        </w:rPr>
        <w:t>....................................................48</w:t>
      </w:r>
    </w:p>
    <w:p>
      <w:pPr>
        <w:pStyle w:val="11"/>
        <w:numPr>
          <w:ilvl w:val="0"/>
          <w:numId w:val="1"/>
        </w:numPr>
        <w:adjustRightInd w:val="0"/>
        <w:snapToGrid w:val="0"/>
        <w:spacing w:line="440" w:lineRule="exact"/>
        <w:jc w:val="left"/>
        <w:rPr>
          <w:rFonts w:hint="eastAsia"/>
          <w:color w:val="auto"/>
          <w:sz w:val="24"/>
          <w:highlight w:val="none"/>
          <w:lang w:val="en-US" w:eastAsia="zh-CN"/>
        </w:rPr>
      </w:pPr>
      <w:r>
        <w:rPr>
          <w:rFonts w:hint="eastAsia"/>
          <w:color w:val="auto"/>
          <w:sz w:val="24"/>
          <w:highlight w:val="none"/>
        </w:rPr>
        <w:t>政府性基金预算财政拨款收入支出决算表</w:t>
      </w:r>
      <w:r>
        <w:rPr>
          <w:rFonts w:hint="eastAsia"/>
          <w:color w:val="auto"/>
          <w:sz w:val="24"/>
          <w:highlight w:val="none"/>
          <w:lang w:val="en-US" w:eastAsia="zh-CN"/>
        </w:rPr>
        <w:t>...............................................48</w:t>
      </w:r>
    </w:p>
    <w:p>
      <w:pPr>
        <w:pStyle w:val="11"/>
        <w:numPr>
          <w:ilvl w:val="0"/>
          <w:numId w:val="1"/>
        </w:numPr>
        <w:adjustRightInd w:val="0"/>
        <w:snapToGrid w:val="0"/>
        <w:spacing w:line="440" w:lineRule="exact"/>
        <w:jc w:val="left"/>
        <w:rPr>
          <w:rFonts w:hint="eastAsia"/>
          <w:color w:val="auto"/>
          <w:sz w:val="24"/>
          <w:highlight w:val="none"/>
        </w:rPr>
      </w:pPr>
      <w:r>
        <w:rPr>
          <w:rFonts w:hint="eastAsia"/>
          <w:color w:val="auto"/>
          <w:sz w:val="24"/>
          <w:highlight w:val="none"/>
        </w:rPr>
        <w:t>国有资本经营预算财政拨款收入支出决算表</w:t>
      </w:r>
      <w:r>
        <w:rPr>
          <w:rFonts w:hint="eastAsia"/>
          <w:color w:val="auto"/>
          <w:sz w:val="24"/>
          <w:highlight w:val="none"/>
          <w:lang w:val="en-US" w:eastAsia="zh-CN"/>
        </w:rPr>
        <w:t>.......................................48</w:t>
      </w:r>
    </w:p>
    <w:p>
      <w:pPr>
        <w:pStyle w:val="11"/>
        <w:adjustRightInd w:val="0"/>
        <w:snapToGrid w:val="0"/>
        <w:spacing w:line="440" w:lineRule="exact"/>
        <w:jc w:val="left"/>
        <w:rPr>
          <w:rFonts w:hint="default"/>
          <w:color w:val="auto"/>
          <w:sz w:val="24"/>
          <w:highlight w:val="none"/>
          <w:lang w:val="en-US"/>
        </w:rPr>
      </w:pPr>
      <w:r>
        <w:rPr>
          <w:rFonts w:hint="eastAsia"/>
          <w:color w:val="auto"/>
          <w:sz w:val="24"/>
          <w:highlight w:val="none"/>
        </w:rPr>
        <w:t>十二、</w:t>
      </w:r>
      <w:r>
        <w:rPr>
          <w:rFonts w:hint="eastAsia"/>
          <w:color w:val="auto"/>
          <w:sz w:val="24"/>
          <w:highlight w:val="none"/>
          <w:lang w:val="en-US" w:eastAsia="zh-CN"/>
        </w:rPr>
        <w:t>国有资本经营预算财政拨款支出决算表................................................48</w:t>
      </w:r>
    </w:p>
    <w:p>
      <w:pPr>
        <w:pStyle w:val="11"/>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十三、财政拨款“三公”经费支出决算表</w:t>
      </w:r>
      <w:r>
        <w:rPr>
          <w:rFonts w:hint="eastAsia"/>
          <w:color w:val="auto"/>
          <w:sz w:val="24"/>
          <w:highlight w:val="none"/>
          <w:lang w:val="en-US" w:eastAsia="zh-CN"/>
        </w:rPr>
        <w:t>.........................................................48</w:t>
      </w:r>
    </w:p>
    <w:p>
      <w:pPr>
        <w:pStyle w:val="3"/>
        <w:jc w:val="center"/>
        <w:rPr>
          <w:rFonts w:hint="eastAsia" w:ascii="黑体" w:hAnsi="黑体" w:eastAsia="黑体"/>
          <w:b w:val="0"/>
          <w:color w:val="auto"/>
          <w:highlight w:val="none"/>
        </w:rPr>
      </w:pPr>
      <w:bookmarkStart w:id="12" w:name="_Toc15396599"/>
      <w:bookmarkStart w:id="13" w:name="_Toc15377196"/>
      <w:bookmarkStart w:id="67" w:name="_GoBack"/>
      <w:bookmarkEnd w:id="67"/>
    </w:p>
    <w:p>
      <w:pPr>
        <w:pStyle w:val="3"/>
        <w:jc w:val="center"/>
        <w:rPr>
          <w:rFonts w:hint="eastAsia" w:ascii="黑体" w:hAnsi="黑体" w:eastAsia="黑体"/>
          <w:b w:val="0"/>
          <w:color w:val="auto"/>
          <w:highlight w:val="none"/>
        </w:rPr>
      </w:pPr>
    </w:p>
    <w:p>
      <w:pPr>
        <w:pStyle w:val="3"/>
        <w:jc w:val="both"/>
        <w:rPr>
          <w:rFonts w:hint="eastAsia" w:ascii="黑体" w:hAnsi="黑体" w:eastAsia="黑体"/>
          <w:b w:val="0"/>
          <w:color w:val="auto"/>
          <w:highlight w:val="none"/>
        </w:rPr>
      </w:pPr>
    </w:p>
    <w:p>
      <w:pPr>
        <w:pStyle w:val="3"/>
        <w:jc w:val="center"/>
        <w:rPr>
          <w:rFonts w:hint="eastAsia" w:ascii="黑体" w:hAnsi="黑体" w:eastAsia="黑体"/>
          <w:b w:val="0"/>
          <w:color w:val="auto"/>
          <w:highlight w:val="none"/>
        </w:rPr>
      </w:pPr>
    </w:p>
    <w:p>
      <w:pPr>
        <w:pStyle w:val="3"/>
        <w:jc w:val="center"/>
        <w:rPr>
          <w:rFonts w:hint="eastAsia" w:ascii="黑体" w:hAnsi="黑体" w:eastAsia="黑体"/>
          <w:b w:val="0"/>
          <w:color w:val="auto"/>
          <w:highlight w:val="none"/>
        </w:rPr>
      </w:pPr>
    </w:p>
    <w:p>
      <w:pPr>
        <w:pStyle w:val="3"/>
        <w:jc w:val="center"/>
        <w:rPr>
          <w:rFonts w:hint="eastAsia" w:ascii="黑体" w:hAnsi="黑体" w:eastAsia="黑体"/>
          <w:b w:val="0"/>
          <w:color w:val="auto"/>
          <w:highlight w:val="none"/>
        </w:rPr>
      </w:pPr>
    </w:p>
    <w:p>
      <w:pPr>
        <w:pStyle w:val="3"/>
        <w:jc w:val="center"/>
        <w:rPr>
          <w:rFonts w:hint="eastAsia" w:ascii="黑体" w:hAnsi="黑体" w:eastAsia="黑体"/>
          <w:b w:val="0"/>
          <w:color w:val="auto"/>
          <w:highlight w:val="none"/>
        </w:rPr>
      </w:pPr>
    </w:p>
    <w:p>
      <w:pPr>
        <w:pStyle w:val="3"/>
        <w:jc w:val="center"/>
        <w:rPr>
          <w:rFonts w:hint="eastAsia" w:ascii="黑体" w:hAnsi="黑体" w:eastAsia="黑体"/>
          <w:b w:val="0"/>
          <w:color w:val="auto"/>
          <w:highlight w:val="none"/>
        </w:rPr>
      </w:pPr>
    </w:p>
    <w:p>
      <w:pPr>
        <w:rPr>
          <w:rFonts w:hint="eastAsia" w:ascii="黑体" w:hAnsi="黑体" w:eastAsia="黑体"/>
          <w:b w:val="0"/>
          <w:color w:val="auto"/>
          <w:highlight w:val="none"/>
        </w:rPr>
      </w:pPr>
    </w:p>
    <w:p>
      <w:pPr>
        <w:pStyle w:val="2"/>
        <w:rPr>
          <w:rFonts w:hint="eastAsia"/>
        </w:rPr>
      </w:pPr>
    </w:p>
    <w:p>
      <w:pPr>
        <w:pStyle w:val="3"/>
        <w:jc w:val="center"/>
        <w:rPr>
          <w:rFonts w:hint="eastAsia" w:ascii="黑体" w:hAnsi="黑体" w:eastAsia="黑体"/>
          <w:b w:val="0"/>
          <w:color w:val="auto"/>
          <w:highlight w:val="none"/>
        </w:rPr>
        <w:sectPr>
          <w:footerReference r:id="rId8" w:type="first"/>
          <w:footerReference r:id="rId7" w:type="default"/>
          <w:pgSz w:w="11906" w:h="16838"/>
          <w:pgMar w:top="1440" w:right="1803" w:bottom="1440" w:left="1803" w:header="851" w:footer="992" w:gutter="0"/>
          <w:pgNumType w:fmt="numberInDash" w:start="1"/>
          <w:cols w:space="0" w:num="1"/>
          <w:titlePg/>
          <w:rtlGutter w:val="0"/>
          <w:docGrid w:type="lines" w:linePitch="319" w:charSpace="0"/>
        </w:sectPr>
      </w:pPr>
    </w:p>
    <w:p>
      <w:pPr>
        <w:pStyle w:val="3"/>
        <w:jc w:val="center"/>
        <w:rPr>
          <w:rStyle w:val="24"/>
          <w:rFonts w:ascii="黑体" w:hAnsi="黑体" w:eastAsia="黑体"/>
          <w:b/>
          <w:bCs w:val="0"/>
          <w:color w:val="auto"/>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4"/>
          <w:rFonts w:hint="eastAsia" w:ascii="黑体" w:hAnsi="黑体" w:eastAsia="黑体"/>
          <w:b w:val="0"/>
          <w:bCs w:val="0"/>
          <w:color w:val="auto"/>
          <w:highlight w:val="none"/>
        </w:rPr>
        <w:t>概况</w:t>
      </w:r>
      <w:bookmarkEnd w:id="12"/>
      <w:bookmarkEnd w:id="13"/>
    </w:p>
    <w:p>
      <w:pPr>
        <w:widowControl/>
        <w:jc w:val="left"/>
        <w:rPr>
          <w:rFonts w:ascii="黑体" w:eastAsia="黑体"/>
          <w:color w:val="auto"/>
          <w:sz w:val="32"/>
          <w:szCs w:val="32"/>
          <w:highlight w:val="none"/>
        </w:rPr>
      </w:pPr>
    </w:p>
    <w:p>
      <w:pPr>
        <w:pStyle w:val="4"/>
        <w:keepNext/>
        <w:keepLines/>
        <w:pageBreakBefore w:val="0"/>
        <w:widowControl w:val="0"/>
        <w:numPr>
          <w:ilvl w:val="0"/>
          <w:numId w:val="2"/>
        </w:numPr>
        <w:kinsoku/>
        <w:wordWrap/>
        <w:overflowPunct/>
        <w:topLinePunct w:val="0"/>
        <w:autoSpaceDE/>
        <w:autoSpaceDN/>
        <w:bidi w:val="0"/>
        <w:adjustRightInd/>
        <w:snapToGrid/>
        <w:spacing w:before="0" w:after="0" w:line="416" w:lineRule="auto"/>
        <w:textAlignment w:val="auto"/>
        <w:rPr>
          <w:rStyle w:val="25"/>
          <w:rFonts w:hint="eastAsia" w:ascii="黑体" w:hAnsi="黑体" w:eastAsia="黑体"/>
          <w:b w:val="0"/>
          <w:bCs w:val="0"/>
          <w:color w:val="auto"/>
          <w:highlight w:val="none"/>
          <w:lang w:eastAsia="zh-CN"/>
        </w:rPr>
      </w:pPr>
      <w:bookmarkStart w:id="14" w:name="_Toc15377197"/>
      <w:bookmarkStart w:id="15" w:name="_Toc15396600"/>
      <w:r>
        <w:rPr>
          <w:rStyle w:val="25"/>
          <w:rFonts w:hint="eastAsia" w:ascii="黑体" w:hAnsi="黑体" w:eastAsia="黑体"/>
          <w:b w:val="0"/>
          <w:bCs w:val="0"/>
          <w:color w:val="auto"/>
          <w:highlight w:val="none"/>
          <w:lang w:eastAsia="zh-CN"/>
        </w:rPr>
        <w:t>主要职责</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416" w:lineRule="auto"/>
        <w:ind w:firstLine="640" w:firstLineChars="200"/>
        <w:textAlignment w:val="auto"/>
        <w:rPr>
          <w:rStyle w:val="25"/>
          <w:rFonts w:hint="eastAsia" w:ascii="黑体" w:hAnsi="黑体" w:eastAsia="黑体"/>
          <w:b w:val="0"/>
          <w:bCs w:val="0"/>
          <w:color w:val="auto"/>
          <w:highlight w:val="none"/>
          <w:lang w:eastAsia="zh-CN"/>
        </w:rPr>
      </w:pPr>
      <w:r>
        <w:rPr>
          <w:rFonts w:hint="eastAsia" w:ascii="仿宋_GB2312" w:hAnsi="华文楷体" w:eastAsia="仿宋_GB2312"/>
          <w:b w:val="0"/>
          <w:bCs/>
          <w:color w:val="000000"/>
          <w:sz w:val="32"/>
          <w:szCs w:val="32"/>
          <w:lang w:val="en-US" w:eastAsia="zh-CN"/>
        </w:rPr>
        <w:t>负责苗木科研基地的建设和管理；负责林木种苗的科学培育和技术推广；负责全市林业园林技术培训和人才培训。</w:t>
      </w: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416" w:lineRule="auto"/>
        <w:textAlignment w:val="auto"/>
        <w:rPr>
          <w:rFonts w:hint="eastAsia" w:ascii="黑体" w:hAnsi="黑体" w:eastAsia="黑体"/>
          <w:b w:val="0"/>
          <w:color w:val="auto"/>
          <w:highlight w:val="none"/>
          <w:lang w:val="en-US" w:eastAsia="zh-CN"/>
        </w:rPr>
      </w:pPr>
      <w:r>
        <w:rPr>
          <w:rFonts w:hint="eastAsia" w:ascii="黑体" w:hAnsi="黑体" w:eastAsia="黑体"/>
          <w:b w:val="0"/>
          <w:color w:val="auto"/>
          <w:highlight w:val="none"/>
          <w:lang w:val="en-US" w:eastAsia="zh-CN"/>
        </w:rPr>
        <w:t>二、机构设置</w:t>
      </w:r>
    </w:p>
    <w:bookmarkEnd w:id="14"/>
    <w:bookmarkEnd w:id="15"/>
    <w:p>
      <w:pPr>
        <w:widowControl/>
        <w:ind w:firstLine="640" w:firstLineChars="200"/>
        <w:jc w:val="left"/>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广元市国营中心苗圃属于广元市林业局部门下属的二级预算单位，下设独立编制机构1个，其中行政单位0个，参照公务员法管理的事业单位0个，其他事业单位1个。</w:t>
      </w:r>
    </w:p>
    <w:p>
      <w:pPr>
        <w:widowControl/>
        <w:ind w:left="638" w:leftChars="304" w:firstLine="0" w:firstLineChars="0"/>
        <w:jc w:val="left"/>
        <w:rPr>
          <w:rFonts w:ascii="仿宋" w:hAnsi="仿宋" w:eastAsia="仿宋"/>
          <w:color w:val="auto"/>
          <w:kern w:val="0"/>
          <w:sz w:val="32"/>
          <w:szCs w:val="32"/>
          <w:highlight w:val="none"/>
        </w:rPr>
      </w:pPr>
      <w:r>
        <w:rPr>
          <w:rFonts w:hint="eastAsia" w:ascii="仿宋" w:hAnsi="仿宋" w:eastAsia="仿宋"/>
          <w:color w:val="auto"/>
          <w:sz w:val="32"/>
          <w:szCs w:val="32"/>
          <w:highlight w:val="none"/>
          <w:lang w:val="en-US" w:eastAsia="zh-CN"/>
        </w:rPr>
        <w:t>纳入2022年度单位决算编制范围的独立编制机构包括：1.广元市国营中心苗圃</w:t>
      </w:r>
      <w:r>
        <w:rPr>
          <w:rFonts w:ascii="仿宋" w:hAnsi="仿宋" w:eastAsia="仿宋"/>
          <w:color w:val="auto"/>
          <w:sz w:val="32"/>
          <w:szCs w:val="32"/>
          <w:highlight w:val="none"/>
        </w:rPr>
        <w:br w:type="page"/>
      </w:r>
    </w:p>
    <w:p>
      <w:pPr>
        <w:pStyle w:val="3"/>
        <w:ind w:right="440"/>
        <w:jc w:val="center"/>
        <w:rPr>
          <w:rStyle w:val="24"/>
          <w:rFonts w:ascii="黑体" w:hAnsi="黑体" w:eastAsia="黑体"/>
          <w:b w:val="0"/>
          <w:bCs/>
          <w:color w:val="auto"/>
          <w:highlight w:val="none"/>
        </w:rPr>
      </w:pPr>
      <w:bookmarkStart w:id="16" w:name="_Toc15377204"/>
      <w:bookmarkStart w:id="17"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4"/>
          <w:rFonts w:hint="eastAsia" w:ascii="黑体" w:hAnsi="黑体" w:eastAsia="黑体"/>
          <w:b w:val="0"/>
          <w:bCs/>
          <w:color w:val="auto"/>
          <w:highlight w:val="none"/>
          <w:lang w:eastAsia="zh-CN"/>
        </w:rPr>
        <w:t>单位</w:t>
      </w:r>
      <w:r>
        <w:rPr>
          <w:rStyle w:val="24"/>
          <w:rFonts w:hint="eastAsia" w:ascii="黑体" w:hAnsi="黑体" w:eastAsia="黑体"/>
          <w:b w:val="0"/>
          <w:bCs/>
          <w:color w:val="auto"/>
          <w:highlight w:val="none"/>
        </w:rPr>
        <w:t>决算情况说明</w:t>
      </w:r>
      <w:bookmarkEnd w:id="16"/>
      <w:bookmarkEnd w:id="17"/>
    </w:p>
    <w:p>
      <w:pPr>
        <w:rPr>
          <w:color w:val="auto"/>
          <w:highlight w:val="none"/>
        </w:rPr>
      </w:pPr>
    </w:p>
    <w:p>
      <w:pPr>
        <w:pStyle w:val="23"/>
        <w:numPr>
          <w:ilvl w:val="0"/>
          <w:numId w:val="3"/>
        </w:numPr>
        <w:spacing w:line="600" w:lineRule="exact"/>
        <w:ind w:firstLineChars="0"/>
        <w:outlineLvl w:val="1"/>
        <w:rPr>
          <w:rStyle w:val="25"/>
          <w:rFonts w:ascii="黑体" w:hAnsi="黑体" w:eastAsia="黑体"/>
          <w:b w:val="0"/>
          <w:color w:val="auto"/>
          <w:highlight w:val="none"/>
        </w:rPr>
      </w:pPr>
      <w:bookmarkStart w:id="18" w:name="_Toc15377205"/>
      <w:bookmarkStart w:id="19" w:name="_Toc15396603"/>
      <w:r>
        <w:rPr>
          <w:rFonts w:hint="eastAsia" w:ascii="黑体" w:hAnsi="黑体" w:eastAsia="黑体"/>
          <w:color w:val="auto"/>
          <w:sz w:val="32"/>
          <w:szCs w:val="32"/>
          <w:highlight w:val="none"/>
        </w:rPr>
        <w:t>收</w:t>
      </w:r>
      <w:r>
        <w:rPr>
          <w:rStyle w:val="25"/>
          <w:rFonts w:hint="eastAsia" w:ascii="黑体" w:hAnsi="黑体" w:eastAsia="黑体"/>
          <w:b w:val="0"/>
          <w:color w:val="auto"/>
          <w:highlight w:val="none"/>
        </w:rPr>
        <w:t>入支出决算总体情况说明</w:t>
      </w:r>
      <w:bookmarkEnd w:id="18"/>
      <w:bookmarkEnd w:id="19"/>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-1592.09</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w:t>
      </w:r>
      <w:r>
        <w:rPr>
          <w:rFonts w:hint="eastAsia" w:ascii="仿宋_GB2312" w:hAnsi="仿宋_GB2312" w:eastAsia="仿宋_GB2312" w:cs="仿宋_GB2312"/>
          <w:sz w:val="32"/>
          <w:szCs w:val="32"/>
        </w:rPr>
        <w:t>经营结余金额-2157.42万元，原因：上世纪90年代形成的经营亏损及银行债务至今未偿还）</w:t>
      </w:r>
      <w:r>
        <w:rPr>
          <w:rFonts w:hint="eastAsia" w:ascii="仿宋" w:hAnsi="仿宋" w:eastAsia="仿宋"/>
          <w:color w:val="auto"/>
          <w:sz w:val="32"/>
          <w:szCs w:val="32"/>
          <w:highlight w:val="none"/>
        </w:rPr>
        <w:t>。与20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年相比，收、支总计各减少</w:t>
      </w:r>
      <w:r>
        <w:rPr>
          <w:rFonts w:hint="eastAsia" w:ascii="仿宋" w:hAnsi="仿宋" w:eastAsia="仿宋"/>
          <w:color w:val="auto"/>
          <w:sz w:val="32"/>
          <w:szCs w:val="32"/>
          <w:highlight w:val="none"/>
          <w:lang w:val="en-US" w:eastAsia="zh-CN"/>
        </w:rPr>
        <w:t>88.75</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本年度实施项目收、支减少</w:t>
      </w:r>
      <w:r>
        <w:rPr>
          <w:rFonts w:hint="eastAsia" w:ascii="仿宋" w:hAnsi="仿宋" w:eastAsia="仿宋"/>
          <w:color w:val="auto"/>
          <w:sz w:val="32"/>
          <w:szCs w:val="32"/>
          <w:highlight w:val="none"/>
          <w:lang w:eastAsia="zh-CN"/>
        </w:rPr>
        <w:t>。</w:t>
      </w:r>
    </w:p>
    <w:p>
      <w:pPr>
        <w:spacing w:line="600" w:lineRule="exact"/>
        <w:ind w:firstLine="640" w:firstLineChars="200"/>
        <w:rPr>
          <w:rFonts w:hint="eastAsia" w:ascii="仿宋_GB2312" w:eastAsia="仿宋_GB2312"/>
          <w:color w:val="auto"/>
          <w:sz w:val="32"/>
          <w:szCs w:val="32"/>
          <w:highlight w:val="none"/>
          <w:lang w:eastAsia="zh-CN"/>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pStyle w:val="2"/>
        <w:rPr>
          <w:rFonts w:hint="eastAsia" w:ascii="仿宋_GB2312" w:eastAsia="仿宋_GB2312"/>
          <w:color w:val="auto"/>
          <w:sz w:val="32"/>
          <w:szCs w:val="32"/>
          <w:highlight w:val="none"/>
          <w:lang w:eastAsia="zh-CN"/>
        </w:rPr>
      </w:pPr>
      <w:r>
        <w:rPr>
          <w:rFonts w:hint="eastAsia"/>
          <w:lang w:eastAsia="zh-CN"/>
        </w:rPr>
        <w:drawing>
          <wp:anchor distT="0" distB="0" distL="114300" distR="114300" simplePos="0" relativeHeight="251659264" behindDoc="0" locked="0" layoutInCell="1" allowOverlap="1">
            <wp:simplePos x="0" y="0"/>
            <wp:positionH relativeFrom="column">
              <wp:posOffset>4445</wp:posOffset>
            </wp:positionH>
            <wp:positionV relativeFrom="paragraph">
              <wp:posOffset>123825</wp:posOffset>
            </wp:positionV>
            <wp:extent cx="5080000" cy="3105150"/>
            <wp:effectExtent l="4445" t="4445" r="20955" b="1460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Style w:val="23"/>
        <w:numPr>
          <w:ilvl w:val="0"/>
          <w:numId w:val="3"/>
        </w:numPr>
        <w:spacing w:line="600" w:lineRule="exact"/>
        <w:ind w:firstLineChars="0"/>
        <w:outlineLvl w:val="1"/>
        <w:rPr>
          <w:rStyle w:val="25"/>
          <w:rFonts w:ascii="黑体" w:hAnsi="黑体" w:eastAsia="黑体"/>
          <w:b w:val="0"/>
          <w:color w:val="auto"/>
          <w:highlight w:val="none"/>
        </w:rPr>
      </w:pPr>
      <w:bookmarkStart w:id="20" w:name="_Toc15377206"/>
      <w:bookmarkStart w:id="21" w:name="_Toc15396604"/>
      <w:r>
        <w:rPr>
          <w:rFonts w:hint="eastAsia" w:ascii="黑体" w:hAnsi="黑体" w:eastAsia="黑体"/>
          <w:color w:val="auto"/>
          <w:sz w:val="32"/>
          <w:szCs w:val="32"/>
          <w:highlight w:val="none"/>
        </w:rPr>
        <w:t>收</w:t>
      </w:r>
      <w:r>
        <w:rPr>
          <w:rStyle w:val="25"/>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341.07</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341.06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；其他收入</w:t>
      </w:r>
      <w:r>
        <w:rPr>
          <w:rFonts w:hint="eastAsia" w:ascii="仿宋" w:hAnsi="仿宋" w:eastAsia="仿宋"/>
          <w:color w:val="auto"/>
          <w:sz w:val="32"/>
          <w:szCs w:val="32"/>
          <w:highlight w:val="none"/>
          <w:lang w:val="en-US" w:eastAsia="zh-CN"/>
        </w:rPr>
        <w:t>0.01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pPr>
        <w:spacing w:line="600" w:lineRule="exact"/>
        <w:ind w:firstLine="420" w:firstLineChars="200"/>
        <w:rPr>
          <w:rFonts w:hint="eastAsia" w:eastAsia="仿宋"/>
          <w:lang w:eastAsia="zh-CN"/>
        </w:rPr>
      </w:pPr>
    </w:p>
    <w:p>
      <w:pPr>
        <w:pStyle w:val="2"/>
        <w:rPr>
          <w:rFonts w:hint="eastAsia" w:eastAsia="仿宋"/>
          <w:lang w:eastAsia="zh-CN"/>
        </w:rPr>
      </w:pPr>
      <w:r>
        <w:rPr>
          <w:rFonts w:hint="eastAsia" w:eastAsia="仿宋"/>
          <w:lang w:eastAsia="zh-CN"/>
        </w:rPr>
        <w:drawing>
          <wp:inline distT="0" distB="0" distL="114300" distR="114300">
            <wp:extent cx="5302885" cy="2716530"/>
            <wp:effectExtent l="4445" t="4445" r="7620" b="222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pStyle w:val="23"/>
        <w:numPr>
          <w:ilvl w:val="0"/>
          <w:numId w:val="3"/>
        </w:numPr>
        <w:spacing w:line="600" w:lineRule="exact"/>
        <w:ind w:firstLineChars="0"/>
        <w:outlineLvl w:val="1"/>
        <w:rPr>
          <w:rStyle w:val="25"/>
          <w:rFonts w:ascii="黑体" w:hAnsi="黑体" w:eastAsia="黑体"/>
          <w:b w:val="0"/>
          <w:color w:val="auto"/>
          <w:highlight w:val="none"/>
        </w:rPr>
      </w:pPr>
      <w:bookmarkStart w:id="22" w:name="_Toc15377207"/>
      <w:bookmarkStart w:id="23" w:name="_Toc15396605"/>
      <w:r>
        <w:rPr>
          <w:rFonts w:hint="eastAsia" w:ascii="黑体" w:hAnsi="黑体" w:eastAsia="黑体"/>
          <w:color w:val="auto"/>
          <w:sz w:val="32"/>
          <w:szCs w:val="32"/>
          <w:highlight w:val="none"/>
        </w:rPr>
        <w:t>支</w:t>
      </w:r>
      <w:r>
        <w:rPr>
          <w:rStyle w:val="25"/>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ascii="仿宋" w:hAnsi="仿宋" w:eastAsia="仿宋"/>
          <w:color w:val="auto"/>
          <w:sz w:val="32"/>
          <w:szCs w:val="32"/>
          <w:highlight w:val="none"/>
          <w:shd w:val="pct10" w:color="auto" w:fill="FFFFFF"/>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413.31</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342.28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83</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71.03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rPr>
          <w:rFonts w:hint="eastAsia" w:ascii="仿宋_GB2312" w:eastAsia="仿宋_GB2312"/>
          <w:color w:val="auto"/>
          <w:sz w:val="32"/>
          <w:szCs w:val="32"/>
          <w:highlight w:val="none"/>
          <w:lang w:eastAsia="zh-CN"/>
        </w:rPr>
      </w:pPr>
      <w:r>
        <w:rPr>
          <w:rFonts w:hint="eastAsia" w:ascii="仿宋" w:hAnsi="仿宋" w:eastAsia="仿宋"/>
          <w:color w:val="auto"/>
          <w:sz w:val="32"/>
          <w:szCs w:val="32"/>
          <w:highlight w:val="none"/>
        </w:rPr>
        <w:t>（图3：支出决算结构图）（饼状图）</w:t>
      </w:r>
    </w:p>
    <w:p>
      <w:pPr>
        <w:pStyle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drawing>
          <wp:inline distT="0" distB="0" distL="114300" distR="114300">
            <wp:extent cx="5080000" cy="2587625"/>
            <wp:effectExtent l="4445" t="4445" r="20955" b="177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firstLineChars="200"/>
        <w:outlineLvl w:val="1"/>
        <w:rPr>
          <w:rStyle w:val="25"/>
          <w:rFonts w:ascii="黑体" w:hAnsi="黑体" w:eastAsia="黑体"/>
          <w:b w:val="0"/>
          <w:color w:val="auto"/>
          <w:highlight w:val="none"/>
        </w:rPr>
      </w:pPr>
      <w:bookmarkStart w:id="24" w:name="_Toc15396606"/>
      <w:bookmarkStart w:id="25" w:name="_Toc15377208"/>
      <w:r>
        <w:rPr>
          <w:rFonts w:hint="eastAsia" w:ascii="黑体" w:hAnsi="黑体" w:eastAsia="黑体"/>
          <w:color w:val="auto"/>
          <w:sz w:val="32"/>
          <w:szCs w:val="32"/>
          <w:highlight w:val="none"/>
        </w:rPr>
        <w:t>四、财</w:t>
      </w:r>
      <w:r>
        <w:rPr>
          <w:rStyle w:val="25"/>
          <w:rFonts w:hint="eastAsia" w:ascii="黑体" w:hAnsi="黑体" w:eastAsia="黑体"/>
          <w:b w:val="0"/>
          <w:color w:val="auto"/>
          <w:highlight w:val="none"/>
        </w:rPr>
        <w:t>政拨款收入支出决算总体情况说明</w:t>
      </w:r>
      <w:bookmarkEnd w:id="24"/>
      <w:bookmarkEnd w:id="2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558.32</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年相比，财政拨款收、支总计各减少</w:t>
      </w:r>
      <w:r>
        <w:rPr>
          <w:rFonts w:hint="eastAsia" w:ascii="仿宋" w:hAnsi="仿宋" w:eastAsia="仿宋"/>
          <w:color w:val="auto"/>
          <w:sz w:val="32"/>
          <w:szCs w:val="32"/>
          <w:highlight w:val="none"/>
          <w:lang w:val="en-US" w:eastAsia="zh-CN"/>
        </w:rPr>
        <w:t>88.77</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14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本年度实施项目收、支减少。</w:t>
      </w:r>
    </w:p>
    <w:p>
      <w:pPr>
        <w:spacing w:line="600" w:lineRule="exact"/>
        <w:ind w:firstLine="640" w:firstLineChars="200"/>
        <w:jc w:val="center"/>
        <w:rPr>
          <w:rFonts w:hint="eastAsia" w:eastAsia="仿宋"/>
          <w:lang w:eastAsia="zh-CN"/>
        </w:rPr>
      </w:pPr>
      <w:r>
        <w:rPr>
          <w:rFonts w:hint="eastAsia" w:ascii="仿宋" w:hAnsi="仿宋" w:eastAsia="仿宋"/>
          <w:color w:val="auto"/>
          <w:sz w:val="32"/>
          <w:szCs w:val="32"/>
          <w:highlight w:val="none"/>
        </w:rPr>
        <w:t>（图4：财政拨款收、支决算总计变动情况）（柱状图）</w:t>
      </w:r>
    </w:p>
    <w:p>
      <w:pPr>
        <w:pStyle w:val="2"/>
        <w:rPr>
          <w:rFonts w:hint="eastAsia" w:eastAsia="仿宋"/>
          <w:lang w:eastAsia="zh-CN"/>
        </w:rPr>
      </w:pPr>
      <w:r>
        <w:rPr>
          <w:rFonts w:hint="eastAsia" w:eastAsia="仿宋"/>
          <w:lang w:eastAsia="zh-CN"/>
        </w:rPr>
        <w:drawing>
          <wp:inline distT="0" distB="0" distL="114300" distR="114300">
            <wp:extent cx="5251450" cy="3333115"/>
            <wp:effectExtent l="4445" t="4445" r="20955" b="1524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firstLineChars="200"/>
        <w:outlineLvl w:val="1"/>
        <w:rPr>
          <w:rStyle w:val="25"/>
          <w:rFonts w:ascii="黑体" w:hAnsi="黑体" w:eastAsia="黑体"/>
          <w:b w:val="0"/>
          <w:color w:val="auto"/>
          <w:highlight w:val="none"/>
        </w:rPr>
      </w:pPr>
      <w:bookmarkStart w:id="26" w:name="_Toc15377209"/>
      <w:bookmarkStart w:id="27"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5"/>
          <w:rFonts w:hint="eastAsia" w:ascii="黑体" w:hAnsi="黑体" w:eastAsia="黑体"/>
          <w:b w:val="0"/>
          <w:color w:val="auto"/>
          <w:highlight w:val="none"/>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spacing w:line="600" w:lineRule="exact"/>
        <w:ind w:firstLine="640" w:firstLineChars="200"/>
        <w:rPr>
          <w:rFonts w:hint="default" w:ascii="仿宋" w:hAnsi="仿宋" w:eastAsia="仿宋"/>
          <w:color w:val="auto"/>
          <w:sz w:val="32"/>
          <w:szCs w:val="32"/>
          <w:highlight w:val="none"/>
          <w:lang w:val="en-US"/>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413.31</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减少</w:t>
      </w:r>
      <w:r>
        <w:rPr>
          <w:rFonts w:hint="eastAsia" w:ascii="仿宋" w:hAnsi="仿宋" w:eastAsia="仿宋"/>
          <w:color w:val="auto"/>
          <w:sz w:val="32"/>
          <w:szCs w:val="32"/>
          <w:highlight w:val="none"/>
          <w:lang w:val="en-US" w:eastAsia="zh-CN"/>
        </w:rPr>
        <w:t>13.75</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一</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val="en-US" w:eastAsia="zh-CN"/>
        </w:rPr>
        <w:t>人员减少一人；二是本年项目比2021年项目资金收、支减少。</w:t>
      </w:r>
    </w:p>
    <w:p>
      <w:pPr>
        <w:spacing w:line="600" w:lineRule="exact"/>
        <w:ind w:firstLine="640" w:firstLineChars="200"/>
        <w:rPr>
          <w:rFonts w:hint="eastAsia" w:eastAsia="仿宋"/>
          <w:lang w:eastAsia="zh-CN"/>
        </w:rPr>
      </w:pPr>
      <w:r>
        <w:rPr>
          <w:rFonts w:hint="eastAsia" w:ascii="仿宋" w:hAnsi="仿宋" w:eastAsia="仿宋"/>
          <w:color w:val="auto"/>
          <w:sz w:val="32"/>
          <w:szCs w:val="32"/>
          <w:highlight w:val="none"/>
        </w:rPr>
        <w:t>（图5：一般公共预算财政拨款支出决算变动情况）（柱状图）</w:t>
      </w:r>
    </w:p>
    <w:p>
      <w:pPr>
        <w:pStyle w:val="2"/>
        <w:rPr>
          <w:rFonts w:hint="eastAsia" w:eastAsia="仿宋"/>
          <w:lang w:eastAsia="zh-CN"/>
        </w:rPr>
      </w:pPr>
      <w:r>
        <w:rPr>
          <w:rFonts w:hint="eastAsia" w:eastAsia="仿宋"/>
          <w:lang w:eastAsia="zh-CN"/>
        </w:rPr>
        <w:drawing>
          <wp:inline distT="0" distB="0" distL="114300" distR="114300">
            <wp:extent cx="5365750" cy="2180590"/>
            <wp:effectExtent l="4445" t="4445" r="20955" b="571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hint="default" w:ascii="仿宋" w:hAnsi="仿宋" w:eastAsia="仿宋_GB2312"/>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413.31</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_GB2312" w:hAnsi="仿宋_GB2312" w:eastAsia="仿宋_GB2312" w:cs="仿宋_GB2312"/>
          <w:b/>
          <w:bCs/>
          <w:sz w:val="32"/>
          <w:szCs w:val="32"/>
        </w:rPr>
        <w:t>科学技术</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类</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1.09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社会保障和就业</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类</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29.06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卫生健康</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类</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8.53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节能环保</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类</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rPr>
        <w:t>农林水</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类</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353.06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85</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rPr>
        <w:t>；</w:t>
      </w:r>
      <w:r>
        <w:rPr>
          <w:rFonts w:hint="eastAsia" w:ascii="仿宋_GB2312" w:hAnsi="仿宋_GB2312" w:eastAsia="仿宋_GB2312" w:cs="仿宋_GB2312"/>
          <w:b/>
          <w:bCs/>
          <w:sz w:val="32"/>
          <w:szCs w:val="32"/>
        </w:rPr>
        <w:t>住房保障</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类</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18.56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4</w:t>
      </w:r>
      <w:r>
        <w:rPr>
          <w:rFonts w:ascii="仿宋_GB2312" w:hAnsi="仿宋_GB2312" w:eastAsia="仿宋_GB2312" w:cs="仿宋_GB2312"/>
          <w:sz w:val="32"/>
          <w:szCs w:val="32"/>
        </w:rPr>
        <w:t>%。</w:t>
      </w:r>
    </w:p>
    <w:p>
      <w:pPr>
        <w:spacing w:line="600" w:lineRule="exact"/>
        <w:rPr>
          <w:rFonts w:hint="eastAsia" w:eastAsia="仿宋"/>
          <w:lang w:eastAsia="zh-CN"/>
        </w:rPr>
      </w:pPr>
      <w:r>
        <w:rPr>
          <w:rFonts w:hint="eastAsia" w:ascii="仿宋" w:hAnsi="仿宋" w:eastAsia="仿宋"/>
          <w:color w:val="auto"/>
          <w:sz w:val="32"/>
          <w:szCs w:val="32"/>
          <w:highlight w:val="none"/>
        </w:rPr>
        <w:t>（图6：一般公共预算财政拨款支出决算结构）（饼状图）</w:t>
      </w:r>
    </w:p>
    <w:p>
      <w:pPr>
        <w:pStyle w:val="2"/>
        <w:rPr>
          <w:rFonts w:hint="eastAsia" w:eastAsia="仿宋"/>
          <w:lang w:eastAsia="zh-CN"/>
        </w:rPr>
      </w:pPr>
      <w:r>
        <w:rPr>
          <w:rFonts w:hint="eastAsia" w:eastAsia="仿宋"/>
          <w:lang w:eastAsia="zh-CN"/>
        </w:rPr>
        <w:drawing>
          <wp:inline distT="0" distB="0" distL="114300" distR="114300">
            <wp:extent cx="5429885" cy="2430145"/>
            <wp:effectExtent l="4445" t="4445" r="13970" b="2286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pacing w:line="600" w:lineRule="exact"/>
        <w:ind w:firstLine="643" w:firstLineChars="200"/>
        <w:outlineLvl w:val="2"/>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highlight w:val="none"/>
        </w:rPr>
      </w:pPr>
      <w:bookmarkStart w:id="31" w:name="_Toc15378460"/>
      <w:bookmarkStart w:id="32" w:name="_Toc15377213"/>
      <w:bookmarkStart w:id="33" w:name="_Toc15377444"/>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413.31万元</w:t>
      </w:r>
      <w:r>
        <w:rPr>
          <w:rFonts w:hint="eastAsia" w:ascii="仿宋" w:hAnsi="仿宋" w:eastAsia="仿宋"/>
          <w:color w:val="auto"/>
          <w:sz w:val="32"/>
          <w:szCs w:val="32"/>
          <w:highlight w:val="none"/>
        </w:rPr>
        <w:t>，</w:t>
      </w:r>
      <w:r>
        <w:rPr>
          <w:rStyle w:val="14"/>
          <w:rFonts w:hint="eastAsia" w:ascii="仿宋" w:hAnsi="仿宋" w:eastAsia="仿宋"/>
          <w:bCs/>
          <w:color w:val="auto"/>
          <w:sz w:val="32"/>
          <w:szCs w:val="32"/>
          <w:highlight w:val="none"/>
        </w:rPr>
        <w:t>完成预算</w:t>
      </w:r>
      <w:r>
        <w:rPr>
          <w:rStyle w:val="14"/>
          <w:rFonts w:hint="eastAsia" w:ascii="仿宋" w:hAnsi="仿宋" w:eastAsia="仿宋"/>
          <w:bCs/>
          <w:color w:val="auto"/>
          <w:sz w:val="32"/>
          <w:szCs w:val="32"/>
          <w:highlight w:val="none"/>
          <w:lang w:val="en-US" w:eastAsia="zh-CN"/>
        </w:rPr>
        <w:t>7</w:t>
      </w:r>
      <w:r>
        <w:rPr>
          <w:rStyle w:val="14"/>
          <w:rFonts w:hint="default" w:ascii="仿宋" w:hAnsi="仿宋" w:eastAsia="仿宋"/>
          <w:bCs/>
          <w:color w:val="auto"/>
          <w:sz w:val="32"/>
          <w:szCs w:val="32"/>
          <w:highlight w:val="none"/>
          <w:lang w:eastAsia="zh-CN"/>
        </w:rPr>
        <w:t>4</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rPr>
        <w:t>。其中：</w:t>
      </w:r>
      <w:bookmarkEnd w:id="31"/>
      <w:bookmarkEnd w:id="32"/>
      <w:bookmarkEnd w:id="33"/>
    </w:p>
    <w:p>
      <w:pPr>
        <w:spacing w:line="600" w:lineRule="exact"/>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lang w:val="en-US" w:eastAsia="zh-CN"/>
        </w:rPr>
        <w:t>1.</w:t>
      </w:r>
      <w:r>
        <w:rPr>
          <w:rFonts w:hint="eastAsia" w:ascii="仿宋_GB2312" w:hAnsi="仿宋_GB2312" w:eastAsia="仿宋_GB2312" w:cs="仿宋_GB2312"/>
          <w:b/>
          <w:sz w:val="32"/>
          <w:szCs w:val="32"/>
        </w:rPr>
        <w:t>科学技术（类）</w:t>
      </w:r>
      <w:r>
        <w:rPr>
          <w:rFonts w:hint="eastAsia" w:ascii="仿宋_GB2312" w:hAnsi="仿宋_GB2312" w:eastAsia="仿宋_GB2312" w:cs="仿宋_GB2312"/>
          <w:b/>
          <w:sz w:val="32"/>
          <w:szCs w:val="32"/>
          <w:lang w:val="en-US" w:eastAsia="zh-CN"/>
        </w:rPr>
        <w:t>其他科学技术支出（款）其他科学技术支出（项）</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1.09</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sz w:val="32"/>
          <w:szCs w:val="32"/>
          <w:lang w:val="en-US" w:eastAsia="zh-CN"/>
        </w:rPr>
        <w:t>54</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决算数小于预算数的</w:t>
      </w:r>
      <w:r>
        <w:rPr>
          <w:rStyle w:val="14"/>
          <w:rFonts w:hint="eastAsia" w:ascii="仿宋_GB2312" w:hAnsi="仿宋" w:eastAsia="仿宋_GB2312"/>
          <w:b w:val="0"/>
          <w:bCs/>
          <w:color w:val="000000"/>
          <w:sz w:val="32"/>
          <w:szCs w:val="32"/>
        </w:rPr>
        <w:t>主要原因是项目尚未实施完毕，资金</w:t>
      </w:r>
      <w:r>
        <w:rPr>
          <w:rStyle w:val="14"/>
          <w:rFonts w:hint="eastAsia" w:ascii="仿宋_GB2312" w:hAnsi="仿宋" w:eastAsia="仿宋_GB2312"/>
          <w:b w:val="0"/>
          <w:bCs/>
          <w:color w:val="000000"/>
          <w:sz w:val="32"/>
          <w:szCs w:val="32"/>
          <w:lang w:val="en-US" w:eastAsia="zh-CN"/>
        </w:rPr>
        <w:t>属于正常结转资金</w:t>
      </w:r>
      <w:r>
        <w:rPr>
          <w:rStyle w:val="14"/>
          <w:rFonts w:hint="eastAsia" w:ascii="仿宋_GB2312" w:hAnsi="仿宋" w:eastAsia="仿宋_GB2312"/>
          <w:b w:val="0"/>
          <w:bCs/>
          <w:color w:val="000000"/>
          <w:sz w:val="32"/>
          <w:szCs w:val="32"/>
          <w:lang w:eastAsia="zh-CN"/>
        </w:rPr>
        <w:t>。</w:t>
      </w:r>
    </w:p>
    <w:p>
      <w:pPr>
        <w:spacing w:line="600" w:lineRule="exact"/>
        <w:ind w:firstLine="643" w:firstLineChars="200"/>
        <w:rPr>
          <w:rStyle w:val="14"/>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sz w:val="32"/>
          <w:szCs w:val="32"/>
          <w:lang w:val="en-US" w:eastAsia="zh-CN"/>
        </w:rPr>
        <w:t>2</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社会保障和就业</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lang w:val="en-US" w:eastAsia="zh-CN"/>
        </w:rPr>
        <w:t>类</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lang w:val="en-US" w:eastAsia="zh-CN"/>
        </w:rPr>
        <w:t>行政事业单位养老支出（款）</w:t>
      </w:r>
      <w:r>
        <w:rPr>
          <w:rFonts w:hint="default" w:ascii="仿宋_GB2312" w:hAnsi="仿宋_GB2312" w:eastAsia="仿宋_GB2312" w:cs="仿宋_GB2312"/>
          <w:b/>
          <w:sz w:val="32"/>
          <w:szCs w:val="32"/>
          <w:lang w:eastAsia="zh-CN"/>
        </w:rPr>
        <w:t>事业单位离退休</w:t>
      </w:r>
      <w:r>
        <w:rPr>
          <w:rFonts w:hint="eastAsia" w:ascii="仿宋_GB2312" w:hAnsi="仿宋_GB2312" w:eastAsia="仿宋_GB2312" w:cs="仿宋_GB2312"/>
          <w:b/>
          <w:sz w:val="32"/>
          <w:szCs w:val="32"/>
          <w:lang w:val="en-US" w:eastAsia="zh-CN"/>
        </w:rPr>
        <w:t>（项）</w:t>
      </w:r>
      <w:r>
        <w:rPr>
          <w:rFonts w:ascii="仿宋_GB2312" w:hAnsi="仿宋_GB2312" w:eastAsia="仿宋_GB2312" w:cs="仿宋_GB2312"/>
          <w:b/>
          <w:sz w:val="32"/>
          <w:szCs w:val="32"/>
        </w:rPr>
        <w:t>:</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0.54</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Style w:val="14"/>
          <w:rFonts w:hint="eastAsia" w:ascii="仿宋_GB2312" w:hAnsi="仿宋_GB2312" w:eastAsia="仿宋_GB2312" w:cs="仿宋_GB2312"/>
          <w:b w:val="0"/>
          <w:bCs/>
          <w:color w:val="auto"/>
          <w:sz w:val="32"/>
          <w:szCs w:val="32"/>
          <w:highlight w:val="none"/>
        </w:rPr>
        <w:t>决算数</w:t>
      </w:r>
      <w:r>
        <w:rPr>
          <w:rStyle w:val="14"/>
          <w:rFonts w:hint="eastAsia" w:ascii="仿宋_GB2312" w:hAnsi="仿宋_GB2312" w:eastAsia="仿宋_GB2312" w:cs="仿宋_GB2312"/>
          <w:b w:val="0"/>
          <w:bCs/>
          <w:color w:val="auto"/>
          <w:sz w:val="32"/>
          <w:szCs w:val="32"/>
          <w:highlight w:val="none"/>
          <w:lang w:val="en-US" w:eastAsia="zh-CN"/>
        </w:rPr>
        <w:t>与</w:t>
      </w:r>
      <w:r>
        <w:rPr>
          <w:rStyle w:val="14"/>
          <w:rFonts w:hint="eastAsia" w:ascii="仿宋_GB2312" w:hAnsi="仿宋_GB2312" w:eastAsia="仿宋_GB2312" w:cs="仿宋_GB2312"/>
          <w:b w:val="0"/>
          <w:bCs/>
          <w:color w:val="auto"/>
          <w:sz w:val="32"/>
          <w:szCs w:val="32"/>
          <w:highlight w:val="none"/>
        </w:rPr>
        <w:t>预算数</w:t>
      </w:r>
      <w:r>
        <w:rPr>
          <w:rStyle w:val="14"/>
          <w:rFonts w:hint="eastAsia" w:ascii="仿宋_GB2312" w:hAnsi="仿宋_GB2312" w:eastAsia="仿宋_GB2312" w:cs="仿宋_GB2312"/>
          <w:b w:val="0"/>
          <w:bCs/>
          <w:color w:val="auto"/>
          <w:sz w:val="32"/>
          <w:szCs w:val="32"/>
          <w:highlight w:val="none"/>
          <w:lang w:val="en-US" w:eastAsia="zh-CN"/>
        </w:rPr>
        <w:t>持平</w:t>
      </w:r>
      <w:r>
        <w:rPr>
          <w:rStyle w:val="14"/>
          <w:rFonts w:hint="eastAsia" w:ascii="仿宋_GB2312" w:hAnsi="仿宋_GB2312" w:eastAsia="仿宋_GB2312" w:cs="仿宋_GB2312"/>
          <w:b w:val="0"/>
          <w:bCs/>
          <w:color w:val="auto"/>
          <w:sz w:val="32"/>
          <w:szCs w:val="32"/>
          <w:highlight w:val="none"/>
        </w:rPr>
        <w:t>。</w:t>
      </w:r>
    </w:p>
    <w:p>
      <w:pPr>
        <w:spacing w:line="600" w:lineRule="exact"/>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lang w:val="en-US" w:eastAsia="zh-CN"/>
        </w:rPr>
        <w:t>3</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社会保障和就业</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lang w:val="en-US" w:eastAsia="zh-CN"/>
        </w:rPr>
        <w:t>类</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lang w:val="en-US" w:eastAsia="zh-CN"/>
        </w:rPr>
        <w:t>行政事业单位养老支出（款）</w:t>
      </w:r>
      <w:r>
        <w:rPr>
          <w:rStyle w:val="14"/>
          <w:rFonts w:hint="eastAsia" w:ascii="仿宋_GB2312" w:hAnsi="仿宋_GB2312" w:eastAsia="仿宋_GB2312" w:cs="仿宋_GB2312"/>
          <w:bCs/>
          <w:color w:val="auto"/>
          <w:sz w:val="32"/>
          <w:szCs w:val="32"/>
          <w:highlight w:val="none"/>
          <w:lang w:val="en-US" w:eastAsia="zh-CN"/>
        </w:rPr>
        <w:t>机关事业单位基本养老保险缴费支出</w:t>
      </w:r>
      <w:r>
        <w:rPr>
          <w:rFonts w:hint="eastAsia" w:ascii="仿宋_GB2312" w:hAnsi="仿宋_GB2312" w:eastAsia="仿宋_GB2312" w:cs="仿宋_GB2312"/>
          <w:b/>
          <w:sz w:val="32"/>
          <w:szCs w:val="32"/>
          <w:lang w:val="en-US" w:eastAsia="zh-CN"/>
        </w:rPr>
        <w:t>（项）</w:t>
      </w:r>
      <w:r>
        <w:rPr>
          <w:rFonts w:ascii="仿宋_GB2312" w:hAnsi="仿宋_GB2312" w:eastAsia="仿宋_GB2312" w:cs="仿宋_GB2312"/>
          <w:b/>
          <w:sz w:val="32"/>
          <w:szCs w:val="32"/>
        </w:rPr>
        <w:t>:</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17.07</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sz w:val="32"/>
          <w:szCs w:val="32"/>
          <w:lang w:val="en-US" w:eastAsia="zh-CN"/>
        </w:rPr>
        <w:t>94</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决算数小于预算数的主要原因是人员减少。</w:t>
      </w:r>
    </w:p>
    <w:p>
      <w:pPr>
        <w:spacing w:line="600" w:lineRule="exact"/>
        <w:ind w:firstLine="643" w:firstLineChars="200"/>
        <w:rPr>
          <w:rStyle w:val="14"/>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sz w:val="32"/>
          <w:szCs w:val="32"/>
          <w:lang w:val="en-US" w:eastAsia="zh-CN"/>
        </w:rPr>
        <w:t>4</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社会保障和就业</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lang w:val="en-US" w:eastAsia="zh-CN"/>
        </w:rPr>
        <w:t>类</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lang w:val="en-US" w:eastAsia="zh-CN"/>
        </w:rPr>
        <w:t>行政事业单位养老支出（款）机关事业单位职业年金缴费支出（项）</w:t>
      </w:r>
      <w:r>
        <w:rPr>
          <w:rFonts w:ascii="仿宋_GB2312" w:hAnsi="仿宋_GB2312" w:eastAsia="仿宋_GB2312" w:cs="仿宋_GB2312"/>
          <w:b/>
          <w:sz w:val="32"/>
          <w:szCs w:val="32"/>
        </w:rPr>
        <w:t>:</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8.36</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Style w:val="14"/>
          <w:rFonts w:hint="eastAsia" w:ascii="仿宋_GB2312" w:hAnsi="仿宋_GB2312" w:eastAsia="仿宋_GB2312" w:cs="仿宋_GB2312"/>
          <w:b w:val="0"/>
          <w:bCs/>
          <w:color w:val="auto"/>
          <w:sz w:val="32"/>
          <w:szCs w:val="32"/>
          <w:highlight w:val="none"/>
        </w:rPr>
        <w:t>决算数</w:t>
      </w:r>
      <w:r>
        <w:rPr>
          <w:rStyle w:val="14"/>
          <w:rFonts w:hint="eastAsia" w:ascii="仿宋_GB2312" w:hAnsi="仿宋_GB2312" w:eastAsia="仿宋_GB2312" w:cs="仿宋_GB2312"/>
          <w:b w:val="0"/>
          <w:bCs/>
          <w:color w:val="auto"/>
          <w:sz w:val="32"/>
          <w:szCs w:val="32"/>
          <w:highlight w:val="none"/>
          <w:lang w:val="en-US" w:eastAsia="zh-CN"/>
        </w:rPr>
        <w:t>与</w:t>
      </w:r>
      <w:r>
        <w:rPr>
          <w:rStyle w:val="14"/>
          <w:rFonts w:hint="eastAsia" w:ascii="仿宋_GB2312" w:hAnsi="仿宋_GB2312" w:eastAsia="仿宋_GB2312" w:cs="仿宋_GB2312"/>
          <w:b w:val="0"/>
          <w:bCs/>
          <w:color w:val="auto"/>
          <w:sz w:val="32"/>
          <w:szCs w:val="32"/>
          <w:highlight w:val="none"/>
        </w:rPr>
        <w:t>预算数</w:t>
      </w:r>
      <w:r>
        <w:rPr>
          <w:rStyle w:val="14"/>
          <w:rFonts w:hint="eastAsia" w:ascii="仿宋_GB2312" w:hAnsi="仿宋_GB2312" w:eastAsia="仿宋_GB2312" w:cs="仿宋_GB2312"/>
          <w:b w:val="0"/>
          <w:bCs/>
          <w:color w:val="auto"/>
          <w:sz w:val="32"/>
          <w:szCs w:val="32"/>
          <w:highlight w:val="none"/>
          <w:lang w:val="en-US" w:eastAsia="zh-CN"/>
        </w:rPr>
        <w:t>持平</w:t>
      </w:r>
      <w:r>
        <w:rPr>
          <w:rStyle w:val="14"/>
          <w:rFonts w:hint="eastAsia" w:ascii="仿宋_GB2312" w:hAnsi="仿宋_GB2312" w:eastAsia="仿宋_GB2312" w:cs="仿宋_GB2312"/>
          <w:b w:val="0"/>
          <w:bCs/>
          <w:color w:val="auto"/>
          <w:sz w:val="32"/>
          <w:szCs w:val="32"/>
          <w:highlight w:val="none"/>
        </w:rPr>
        <w:t>。</w:t>
      </w:r>
    </w:p>
    <w:p>
      <w:pPr>
        <w:spacing w:line="600" w:lineRule="exact"/>
        <w:ind w:firstLine="643" w:firstLineChars="200"/>
        <w:rPr>
          <w:rFonts w:hint="default" w:eastAsia="仿宋_GB2312"/>
          <w:lang w:val="en-US" w:eastAsia="zh-CN"/>
        </w:rPr>
      </w:pPr>
      <w:r>
        <w:rPr>
          <w:rFonts w:hint="eastAsia" w:ascii="仿宋_GB2312" w:hAnsi="仿宋_GB2312" w:eastAsia="仿宋_GB2312" w:cs="仿宋_GB2312"/>
          <w:b/>
          <w:sz w:val="32"/>
          <w:szCs w:val="32"/>
          <w:lang w:val="en-US" w:eastAsia="zh-CN"/>
        </w:rPr>
        <w:t>5</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社会保障和就业</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lang w:val="en-US" w:eastAsia="zh-CN"/>
        </w:rPr>
        <w:t>类</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lang w:val="en-US" w:eastAsia="zh-CN"/>
        </w:rPr>
        <w:t>其他社会保障和就业支出（款）其他社会保障和就业支出（项）</w:t>
      </w:r>
      <w:r>
        <w:rPr>
          <w:rFonts w:ascii="仿宋_GB2312" w:hAnsi="仿宋_GB2312" w:eastAsia="仿宋_GB2312" w:cs="仿宋_GB2312"/>
          <w:b/>
          <w:sz w:val="32"/>
          <w:szCs w:val="32"/>
        </w:rPr>
        <w:t>:</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3.09</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Style w:val="14"/>
          <w:rFonts w:hint="eastAsia" w:ascii="仿宋_GB2312" w:hAnsi="仿宋_GB2312" w:eastAsia="仿宋_GB2312" w:cs="仿宋_GB2312"/>
          <w:b w:val="0"/>
          <w:bCs/>
          <w:color w:val="auto"/>
          <w:sz w:val="32"/>
          <w:szCs w:val="32"/>
          <w:highlight w:val="none"/>
        </w:rPr>
        <w:t>决算数</w:t>
      </w:r>
      <w:r>
        <w:rPr>
          <w:rStyle w:val="14"/>
          <w:rFonts w:hint="eastAsia" w:ascii="仿宋_GB2312" w:hAnsi="仿宋_GB2312" w:eastAsia="仿宋_GB2312" w:cs="仿宋_GB2312"/>
          <w:b w:val="0"/>
          <w:bCs/>
          <w:color w:val="auto"/>
          <w:sz w:val="32"/>
          <w:szCs w:val="32"/>
          <w:highlight w:val="none"/>
          <w:lang w:val="en-US" w:eastAsia="zh-CN"/>
        </w:rPr>
        <w:t>与</w:t>
      </w:r>
      <w:r>
        <w:rPr>
          <w:rStyle w:val="14"/>
          <w:rFonts w:hint="eastAsia" w:ascii="仿宋_GB2312" w:hAnsi="仿宋_GB2312" w:eastAsia="仿宋_GB2312" w:cs="仿宋_GB2312"/>
          <w:b w:val="0"/>
          <w:bCs/>
          <w:color w:val="auto"/>
          <w:sz w:val="32"/>
          <w:szCs w:val="32"/>
          <w:highlight w:val="none"/>
        </w:rPr>
        <w:t>预算数</w:t>
      </w:r>
      <w:r>
        <w:rPr>
          <w:rStyle w:val="14"/>
          <w:rFonts w:hint="eastAsia" w:ascii="仿宋_GB2312" w:hAnsi="仿宋_GB2312" w:eastAsia="仿宋_GB2312" w:cs="仿宋_GB2312"/>
          <w:b w:val="0"/>
          <w:bCs/>
          <w:color w:val="auto"/>
          <w:sz w:val="32"/>
          <w:szCs w:val="32"/>
          <w:highlight w:val="none"/>
          <w:lang w:val="en-US" w:eastAsia="zh-CN"/>
        </w:rPr>
        <w:t>持平。</w:t>
      </w:r>
    </w:p>
    <w:p>
      <w:pPr>
        <w:spacing w:line="600" w:lineRule="exact"/>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lang w:val="en-US" w:eastAsia="zh-CN"/>
        </w:rPr>
        <w:t>6</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卫生健康（类）</w:t>
      </w:r>
      <w:r>
        <w:rPr>
          <w:rStyle w:val="14"/>
          <w:rFonts w:hint="eastAsia" w:ascii="仿宋_GB2312" w:hAnsi="仿宋_GB2312" w:eastAsia="仿宋_GB2312" w:cs="仿宋_GB2312"/>
          <w:bCs/>
          <w:color w:val="auto"/>
          <w:sz w:val="32"/>
          <w:szCs w:val="32"/>
          <w:highlight w:val="none"/>
          <w:lang w:val="en-US" w:eastAsia="zh-CN"/>
        </w:rPr>
        <w:t>行政事业单位医疗</w:t>
      </w:r>
      <w:r>
        <w:rPr>
          <w:rStyle w:val="14"/>
          <w:rFonts w:hint="eastAsia" w:ascii="仿宋_GB2312" w:hAnsi="仿宋_GB2312" w:eastAsia="仿宋_GB2312" w:cs="仿宋_GB2312"/>
          <w:bCs/>
          <w:color w:val="auto"/>
          <w:sz w:val="32"/>
          <w:szCs w:val="32"/>
          <w:highlight w:val="none"/>
        </w:rPr>
        <w:t>（款）</w:t>
      </w:r>
      <w:r>
        <w:rPr>
          <w:rStyle w:val="14"/>
          <w:rFonts w:hint="eastAsia" w:ascii="仿宋_GB2312" w:hAnsi="仿宋_GB2312" w:eastAsia="仿宋_GB2312" w:cs="仿宋_GB2312"/>
          <w:bCs/>
          <w:color w:val="auto"/>
          <w:sz w:val="32"/>
          <w:szCs w:val="32"/>
          <w:highlight w:val="none"/>
          <w:lang w:val="en-US" w:eastAsia="zh-CN"/>
        </w:rPr>
        <w:t>事业单位医疗</w:t>
      </w:r>
      <w:r>
        <w:rPr>
          <w:rStyle w:val="14"/>
          <w:rFonts w:hint="eastAsia" w:ascii="仿宋_GB2312" w:hAnsi="仿宋_GB2312" w:eastAsia="仿宋_GB2312" w:cs="仿宋_GB2312"/>
          <w:bCs/>
          <w:color w:val="auto"/>
          <w:sz w:val="32"/>
          <w:szCs w:val="32"/>
          <w:highlight w:val="none"/>
        </w:rPr>
        <w:t>（项）</w:t>
      </w:r>
      <w:r>
        <w:rPr>
          <w:rFonts w:ascii="仿宋_GB2312" w:hAnsi="仿宋_GB2312" w:eastAsia="仿宋_GB2312" w:cs="仿宋_GB2312"/>
          <w:b/>
          <w:sz w:val="32"/>
          <w:szCs w:val="32"/>
        </w:rPr>
        <w:t>:</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8.53</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sz w:val="32"/>
          <w:szCs w:val="32"/>
          <w:lang w:val="en-US" w:eastAsia="zh-CN"/>
        </w:rPr>
        <w:t>91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决算数小于预算数的主要原因是人员减少。</w:t>
      </w:r>
    </w:p>
    <w:p>
      <w:pPr>
        <w:spacing w:line="600" w:lineRule="exact"/>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lang w:val="en-US" w:eastAsia="zh-CN"/>
        </w:rPr>
        <w:t>7</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节能环保（类）</w:t>
      </w:r>
      <w:r>
        <w:rPr>
          <w:rFonts w:hint="eastAsia" w:ascii="仿宋_GB2312" w:hAnsi="仿宋_GB2312" w:eastAsia="仿宋_GB2312" w:cs="仿宋_GB2312"/>
          <w:b/>
          <w:sz w:val="32"/>
          <w:szCs w:val="32"/>
          <w:lang w:val="en-US" w:eastAsia="zh-CN"/>
        </w:rPr>
        <w:t>天然林管护（款）社会保险补助（项）</w:t>
      </w:r>
      <w:r>
        <w:rPr>
          <w:rFonts w:ascii="仿宋_GB2312" w:hAnsi="仿宋_GB2312" w:eastAsia="仿宋_GB2312" w:cs="仿宋_GB2312"/>
          <w:b/>
          <w:sz w:val="32"/>
          <w:szCs w:val="32"/>
        </w:rPr>
        <w:t>:</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sz w:val="32"/>
          <w:szCs w:val="32"/>
          <w:lang w:val="en-US" w:eastAsia="zh-CN"/>
        </w:rPr>
        <w:t>23</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决算数小于预算数的主要原因是</w:t>
      </w:r>
      <w:r>
        <w:rPr>
          <w:rStyle w:val="14"/>
          <w:rFonts w:hint="eastAsia" w:ascii="仿宋_GB2312" w:hAnsi="仿宋" w:eastAsia="仿宋_GB2312"/>
          <w:b w:val="0"/>
          <w:bCs/>
          <w:color w:val="000000"/>
          <w:sz w:val="32"/>
          <w:szCs w:val="32"/>
        </w:rPr>
        <w:t>项目尚未实施完毕，资金</w:t>
      </w:r>
      <w:r>
        <w:rPr>
          <w:rStyle w:val="14"/>
          <w:rFonts w:hint="eastAsia" w:ascii="仿宋_GB2312" w:hAnsi="仿宋" w:eastAsia="仿宋_GB2312"/>
          <w:b w:val="0"/>
          <w:bCs/>
          <w:color w:val="000000"/>
          <w:sz w:val="32"/>
          <w:szCs w:val="32"/>
          <w:lang w:val="en-US" w:eastAsia="zh-CN"/>
        </w:rPr>
        <w:t>属于正常结转资金</w:t>
      </w:r>
      <w:r>
        <w:rPr>
          <w:rStyle w:val="14"/>
          <w:rFonts w:hint="eastAsia" w:ascii="仿宋_GB2312" w:hAnsi="仿宋" w:eastAsia="仿宋_GB2312"/>
          <w:b w:val="0"/>
          <w:bCs/>
          <w:color w:val="000000"/>
          <w:sz w:val="32"/>
          <w:szCs w:val="32"/>
          <w:lang w:eastAsia="zh-CN"/>
        </w:rPr>
        <w:t>。</w:t>
      </w:r>
    </w:p>
    <w:p>
      <w:pPr>
        <w:keepNext w:val="0"/>
        <w:keepLines w:val="0"/>
        <w:pageBreakBefore w:val="0"/>
        <w:widowControl w:val="0"/>
        <w:kinsoku/>
        <w:wordWrap/>
        <w:overflowPunct/>
        <w:topLinePunct w:val="0"/>
        <w:bidi w:val="0"/>
        <w:spacing w:line="600" w:lineRule="exact"/>
        <w:ind w:firstLine="643" w:firstLineChars="200"/>
        <w:rPr>
          <w:rStyle w:val="14"/>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sz w:val="32"/>
          <w:szCs w:val="32"/>
          <w:lang w:val="en-US" w:eastAsia="zh-CN"/>
        </w:rPr>
        <w:t>8</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农林水（类）</w:t>
      </w:r>
      <w:r>
        <w:rPr>
          <w:rFonts w:hint="eastAsia" w:ascii="仿宋_GB2312" w:hAnsi="仿宋_GB2312" w:eastAsia="仿宋_GB2312" w:cs="仿宋_GB2312"/>
          <w:b/>
          <w:sz w:val="32"/>
          <w:szCs w:val="32"/>
          <w:lang w:val="en-US" w:eastAsia="zh-CN"/>
        </w:rPr>
        <w:t>林业和草原（款）事业机构（项）</w:t>
      </w:r>
      <w:r>
        <w:rPr>
          <w:rFonts w:ascii="仿宋_GB2312" w:hAnsi="仿宋_GB2312" w:eastAsia="仿宋_GB2312" w:cs="仿宋_GB2312"/>
          <w:b/>
          <w:sz w:val="32"/>
          <w:szCs w:val="32"/>
        </w:rPr>
        <w:t>:</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286.12</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sz w:val="32"/>
          <w:szCs w:val="32"/>
          <w:lang w:val="en-US" w:eastAsia="zh-CN"/>
        </w:rPr>
        <w:t>97</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Style w:val="14"/>
          <w:rFonts w:hint="eastAsia" w:ascii="仿宋_GB2312" w:hAnsi="仿宋_GB2312" w:eastAsia="仿宋_GB2312" w:cs="仿宋_GB2312"/>
          <w:b w:val="0"/>
          <w:bCs/>
          <w:color w:val="auto"/>
          <w:sz w:val="32"/>
          <w:szCs w:val="32"/>
          <w:highlight w:val="none"/>
        </w:rPr>
        <w:t>决算数小于预算数的主要原因是</w:t>
      </w:r>
      <w:r>
        <w:rPr>
          <w:rStyle w:val="14"/>
          <w:rFonts w:hint="eastAsia" w:ascii="仿宋_GB2312" w:hAnsi="仿宋_GB2312" w:eastAsia="仿宋_GB2312" w:cs="仿宋_GB2312"/>
          <w:b w:val="0"/>
          <w:bCs/>
          <w:color w:val="auto"/>
          <w:sz w:val="32"/>
          <w:szCs w:val="32"/>
          <w:highlight w:val="none"/>
          <w:lang w:val="en-US" w:eastAsia="zh-CN"/>
        </w:rPr>
        <w:t>2022年使用了部分上年结转资金</w:t>
      </w:r>
      <w:r>
        <w:rPr>
          <w:rStyle w:val="14"/>
          <w:rFonts w:hint="eastAsia" w:ascii="仿宋_GB2312" w:hAnsi="仿宋_GB2312" w:eastAsia="仿宋_GB2312" w:cs="仿宋_GB2312"/>
          <w:b w:val="0"/>
          <w:bCs/>
          <w:color w:val="auto"/>
          <w:sz w:val="32"/>
          <w:szCs w:val="32"/>
          <w:highlight w:val="none"/>
        </w:rPr>
        <w:t>。</w:t>
      </w:r>
    </w:p>
    <w:p>
      <w:pPr>
        <w:pStyle w:val="2"/>
        <w:ind w:firstLine="643" w:firstLineChars="200"/>
        <w:rPr>
          <w:rStyle w:val="14"/>
          <w:rFonts w:hint="eastAsia" w:ascii="仿宋_GB2312" w:hAnsi="仿宋" w:eastAsia="仿宋_GB2312"/>
          <w:b w:val="0"/>
          <w:bCs/>
          <w:color w:val="000000"/>
          <w:sz w:val="32"/>
          <w:szCs w:val="32"/>
          <w:lang w:eastAsia="zh-CN"/>
        </w:rPr>
      </w:pPr>
      <w:r>
        <w:rPr>
          <w:rFonts w:hint="eastAsia" w:hAnsi="仿宋_GB2312" w:cs="仿宋_GB2312"/>
          <w:b/>
          <w:sz w:val="32"/>
          <w:szCs w:val="32"/>
          <w:lang w:val="en-US" w:eastAsia="zh-CN"/>
        </w:rPr>
        <w:t>9</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农林水（类）</w:t>
      </w:r>
      <w:r>
        <w:rPr>
          <w:rFonts w:hint="eastAsia" w:ascii="仿宋_GB2312" w:hAnsi="仿宋_GB2312" w:eastAsia="仿宋_GB2312" w:cs="仿宋_GB2312"/>
          <w:b/>
          <w:sz w:val="32"/>
          <w:szCs w:val="32"/>
          <w:lang w:val="en-US" w:eastAsia="zh-CN"/>
        </w:rPr>
        <w:t>林业和草原（款）</w:t>
      </w:r>
      <w:r>
        <w:rPr>
          <w:rFonts w:hint="eastAsia" w:hAnsi="仿宋_GB2312" w:cs="仿宋_GB2312"/>
          <w:b/>
          <w:sz w:val="32"/>
          <w:szCs w:val="32"/>
          <w:lang w:val="en-US" w:eastAsia="zh-CN"/>
        </w:rPr>
        <w:t>森林资源培育</w:t>
      </w:r>
      <w:r>
        <w:rPr>
          <w:rFonts w:hint="eastAsia" w:ascii="仿宋_GB2312" w:hAnsi="仿宋_GB2312" w:eastAsia="仿宋_GB2312" w:cs="仿宋_GB2312"/>
          <w:b/>
          <w:sz w:val="32"/>
          <w:szCs w:val="32"/>
          <w:lang w:val="en-US" w:eastAsia="zh-CN"/>
        </w:rPr>
        <w:t>（项）</w:t>
      </w:r>
      <w:r>
        <w:rPr>
          <w:rFonts w:ascii="仿宋_GB2312" w:hAnsi="仿宋_GB2312" w:eastAsia="仿宋_GB2312" w:cs="仿宋_GB2312"/>
          <w:b/>
          <w:sz w:val="32"/>
          <w:szCs w:val="32"/>
        </w:rPr>
        <w:t>:</w:t>
      </w:r>
      <w:r>
        <w:rPr>
          <w:rFonts w:hint="eastAsia" w:ascii="仿宋_GB2312" w:hAnsi="仿宋_GB2312" w:eastAsia="仿宋_GB2312" w:cs="仿宋_GB2312"/>
          <w:sz w:val="32"/>
          <w:szCs w:val="32"/>
        </w:rPr>
        <w:t>支出决算为</w:t>
      </w:r>
      <w:r>
        <w:rPr>
          <w:rFonts w:hint="eastAsia" w:hAnsi="仿宋_GB2312" w:cs="仿宋_GB2312"/>
          <w:sz w:val="32"/>
          <w:szCs w:val="32"/>
          <w:lang w:val="en-US" w:eastAsia="zh-CN"/>
        </w:rPr>
        <w:t>52.03</w:t>
      </w:r>
      <w:r>
        <w:rPr>
          <w:rFonts w:hint="eastAsia" w:ascii="仿宋_GB2312" w:hAnsi="仿宋_GB2312" w:eastAsia="仿宋_GB2312" w:cs="仿宋_GB2312"/>
          <w:sz w:val="32"/>
          <w:szCs w:val="32"/>
        </w:rPr>
        <w:t>万元，完成预算</w:t>
      </w:r>
      <w:r>
        <w:rPr>
          <w:rFonts w:hint="eastAsia" w:hAnsi="仿宋_GB2312" w:cs="仿宋_GB2312"/>
          <w:sz w:val="32"/>
          <w:szCs w:val="32"/>
          <w:lang w:val="en-US" w:eastAsia="zh-CN"/>
        </w:rPr>
        <w:t>41</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决算数小于预算数的主要原因是</w:t>
      </w:r>
      <w:r>
        <w:rPr>
          <w:rStyle w:val="14"/>
          <w:rFonts w:hint="eastAsia" w:ascii="仿宋_GB2312" w:hAnsi="仿宋" w:eastAsia="仿宋_GB2312"/>
          <w:b w:val="0"/>
          <w:bCs/>
          <w:color w:val="000000"/>
          <w:sz w:val="32"/>
          <w:szCs w:val="32"/>
        </w:rPr>
        <w:t>项目尚未实施完毕，资金</w:t>
      </w:r>
      <w:r>
        <w:rPr>
          <w:rStyle w:val="14"/>
          <w:rFonts w:hint="eastAsia" w:ascii="仿宋_GB2312" w:hAnsi="仿宋" w:eastAsia="仿宋_GB2312"/>
          <w:b w:val="0"/>
          <w:bCs/>
          <w:color w:val="000000"/>
          <w:sz w:val="32"/>
          <w:szCs w:val="32"/>
          <w:lang w:val="en-US" w:eastAsia="zh-CN"/>
        </w:rPr>
        <w:t>属于正常结转资金</w:t>
      </w:r>
      <w:r>
        <w:rPr>
          <w:rStyle w:val="14"/>
          <w:rFonts w:hint="eastAsia" w:ascii="仿宋_GB2312" w:hAnsi="仿宋" w:eastAsia="仿宋_GB2312"/>
          <w:b w:val="0"/>
          <w:bCs/>
          <w:color w:val="000000"/>
          <w:sz w:val="32"/>
          <w:szCs w:val="32"/>
          <w:lang w:eastAsia="zh-CN"/>
        </w:rPr>
        <w:t>。</w:t>
      </w:r>
    </w:p>
    <w:p>
      <w:pPr>
        <w:pStyle w:val="2"/>
        <w:ind w:firstLine="643" w:firstLineChars="200"/>
        <w:rPr>
          <w:rStyle w:val="14"/>
          <w:rFonts w:hint="eastAsia" w:ascii="仿宋_GB2312" w:hAnsi="仿宋" w:eastAsia="仿宋_GB2312"/>
          <w:b w:val="0"/>
          <w:bCs/>
          <w:color w:val="000000"/>
          <w:sz w:val="32"/>
          <w:szCs w:val="32"/>
          <w:lang w:eastAsia="zh-CN"/>
        </w:rPr>
      </w:pPr>
      <w:r>
        <w:rPr>
          <w:rFonts w:hint="eastAsia" w:hAnsi="仿宋_GB2312" w:cs="仿宋_GB2312"/>
          <w:b/>
          <w:sz w:val="32"/>
          <w:szCs w:val="32"/>
          <w:lang w:val="en-US" w:eastAsia="zh-CN"/>
        </w:rPr>
        <w:t>10</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农林水（类）</w:t>
      </w:r>
      <w:r>
        <w:rPr>
          <w:rFonts w:hint="eastAsia" w:ascii="仿宋_GB2312" w:hAnsi="仿宋_GB2312" w:eastAsia="仿宋_GB2312" w:cs="仿宋_GB2312"/>
          <w:b/>
          <w:sz w:val="32"/>
          <w:szCs w:val="32"/>
          <w:lang w:val="en-US" w:eastAsia="zh-CN"/>
        </w:rPr>
        <w:t>林业和草原（款）</w:t>
      </w:r>
      <w:r>
        <w:rPr>
          <w:rFonts w:hint="eastAsia" w:hAnsi="仿宋_GB2312" w:cs="仿宋_GB2312"/>
          <w:b/>
          <w:sz w:val="32"/>
          <w:szCs w:val="32"/>
          <w:lang w:val="en-US" w:eastAsia="zh-CN"/>
        </w:rPr>
        <w:t>技术推广与转化</w:t>
      </w:r>
      <w:r>
        <w:rPr>
          <w:rFonts w:hint="eastAsia" w:ascii="仿宋_GB2312" w:hAnsi="仿宋_GB2312" w:eastAsia="仿宋_GB2312" w:cs="仿宋_GB2312"/>
          <w:b/>
          <w:sz w:val="32"/>
          <w:szCs w:val="32"/>
          <w:lang w:val="en-US" w:eastAsia="zh-CN"/>
        </w:rPr>
        <w:t>（项）</w:t>
      </w:r>
      <w:r>
        <w:rPr>
          <w:rFonts w:ascii="仿宋_GB2312" w:hAnsi="仿宋_GB2312" w:eastAsia="仿宋_GB2312" w:cs="仿宋_GB2312"/>
          <w:b/>
          <w:sz w:val="32"/>
          <w:szCs w:val="32"/>
        </w:rPr>
        <w:t>:</w:t>
      </w:r>
      <w:r>
        <w:rPr>
          <w:rFonts w:hint="eastAsia" w:ascii="仿宋_GB2312" w:hAnsi="仿宋_GB2312" w:eastAsia="仿宋_GB2312" w:cs="仿宋_GB2312"/>
          <w:sz w:val="32"/>
          <w:szCs w:val="32"/>
        </w:rPr>
        <w:t>支出决算为</w:t>
      </w:r>
      <w:r>
        <w:rPr>
          <w:rFonts w:hint="eastAsia" w:hAnsi="仿宋_GB2312" w:cs="仿宋_GB2312"/>
          <w:sz w:val="32"/>
          <w:szCs w:val="32"/>
          <w:lang w:val="en-US" w:eastAsia="zh-CN"/>
        </w:rPr>
        <w:t>4.78</w:t>
      </w:r>
      <w:r>
        <w:rPr>
          <w:rFonts w:hint="eastAsia" w:ascii="仿宋_GB2312" w:hAnsi="仿宋_GB2312" w:eastAsia="仿宋_GB2312" w:cs="仿宋_GB2312"/>
          <w:sz w:val="32"/>
          <w:szCs w:val="32"/>
        </w:rPr>
        <w:t>万元，完成预算</w:t>
      </w:r>
      <w:r>
        <w:rPr>
          <w:rFonts w:hint="eastAsia" w:hAnsi="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Style w:val="14"/>
          <w:rFonts w:hint="eastAsia" w:ascii="仿宋_GB2312" w:hAnsi="仿宋_GB2312" w:eastAsia="仿宋_GB2312" w:cs="仿宋_GB2312"/>
          <w:b w:val="0"/>
          <w:bCs/>
          <w:color w:val="auto"/>
          <w:sz w:val="32"/>
          <w:szCs w:val="32"/>
          <w:highlight w:val="none"/>
        </w:rPr>
        <w:t>决算数</w:t>
      </w:r>
      <w:r>
        <w:rPr>
          <w:rStyle w:val="14"/>
          <w:rFonts w:hint="eastAsia" w:ascii="仿宋_GB2312" w:hAnsi="仿宋_GB2312" w:eastAsia="仿宋_GB2312" w:cs="仿宋_GB2312"/>
          <w:b w:val="0"/>
          <w:bCs/>
          <w:color w:val="auto"/>
          <w:sz w:val="32"/>
          <w:szCs w:val="32"/>
          <w:highlight w:val="none"/>
          <w:lang w:val="en-US" w:eastAsia="zh-CN"/>
        </w:rPr>
        <w:t>与</w:t>
      </w:r>
      <w:r>
        <w:rPr>
          <w:rStyle w:val="14"/>
          <w:rFonts w:hint="eastAsia" w:ascii="仿宋_GB2312" w:hAnsi="仿宋_GB2312" w:eastAsia="仿宋_GB2312" w:cs="仿宋_GB2312"/>
          <w:b w:val="0"/>
          <w:bCs/>
          <w:color w:val="auto"/>
          <w:sz w:val="32"/>
          <w:szCs w:val="32"/>
          <w:highlight w:val="none"/>
        </w:rPr>
        <w:t>预算数</w:t>
      </w:r>
      <w:r>
        <w:rPr>
          <w:rStyle w:val="14"/>
          <w:rFonts w:hint="eastAsia" w:ascii="仿宋_GB2312" w:hAnsi="仿宋_GB2312" w:eastAsia="仿宋_GB2312" w:cs="仿宋_GB2312"/>
          <w:b w:val="0"/>
          <w:bCs/>
          <w:color w:val="auto"/>
          <w:sz w:val="32"/>
          <w:szCs w:val="32"/>
          <w:highlight w:val="none"/>
          <w:lang w:val="en-US" w:eastAsia="zh-CN"/>
        </w:rPr>
        <w:t>持平。</w:t>
      </w:r>
    </w:p>
    <w:p>
      <w:pPr>
        <w:spacing w:line="600" w:lineRule="exact"/>
        <w:ind w:firstLine="643" w:firstLineChars="200"/>
        <w:rPr>
          <w:rStyle w:val="14"/>
          <w:rFonts w:hint="eastAsia" w:ascii="仿宋_GB2312" w:hAnsi="仿宋" w:eastAsia="仿宋_GB2312"/>
          <w:b w:val="0"/>
          <w:bCs/>
          <w:color w:val="000000"/>
          <w:sz w:val="32"/>
          <w:szCs w:val="32"/>
          <w:lang w:eastAsia="zh-CN"/>
        </w:rPr>
      </w:pPr>
      <w:r>
        <w:rPr>
          <w:rFonts w:hint="eastAsia" w:ascii="仿宋_GB2312" w:hAnsi="仿宋_GB2312" w:eastAsia="仿宋_GB2312" w:cs="仿宋_GB2312"/>
          <w:b/>
          <w:kern w:val="0"/>
          <w:sz w:val="32"/>
          <w:szCs w:val="32"/>
          <w:lang w:val="en-US" w:eastAsia="zh-CN" w:bidi="ar-SA"/>
        </w:rPr>
        <w:t>11.农林水（类）林业和草原（款）其他林业和草原支出（项）:</w:t>
      </w:r>
      <w:r>
        <w:rPr>
          <w:rFonts w:hint="eastAsia" w:ascii="仿宋_GB2312" w:hAnsi="仿宋_GB2312" w:eastAsia="仿宋_GB2312" w:cs="仿宋_GB2312"/>
          <w:kern w:val="0"/>
          <w:sz w:val="32"/>
          <w:szCs w:val="32"/>
          <w:lang w:val="en-US" w:eastAsia="zh-CN" w:bidi="ar-SA"/>
        </w:rPr>
        <w:t>支出决算为10.13万元，完成预算17%，</w:t>
      </w:r>
      <w:r>
        <w:rPr>
          <w:rFonts w:hint="eastAsia" w:ascii="仿宋_GB2312" w:hAnsi="仿宋_GB2312" w:eastAsia="仿宋_GB2312" w:cs="仿宋_GB2312"/>
          <w:sz w:val="32"/>
          <w:szCs w:val="32"/>
          <w:lang w:val="en-US" w:eastAsia="zh-CN"/>
        </w:rPr>
        <w:t>决算数小于预算数的主要原因是</w:t>
      </w:r>
      <w:r>
        <w:rPr>
          <w:rStyle w:val="14"/>
          <w:rFonts w:hint="eastAsia" w:ascii="仿宋_GB2312" w:hAnsi="仿宋" w:eastAsia="仿宋_GB2312"/>
          <w:b w:val="0"/>
          <w:bCs/>
          <w:color w:val="000000"/>
          <w:sz w:val="32"/>
          <w:szCs w:val="32"/>
        </w:rPr>
        <w:t>项目尚未实施完毕，资金</w:t>
      </w:r>
      <w:r>
        <w:rPr>
          <w:rStyle w:val="14"/>
          <w:rFonts w:hint="eastAsia" w:ascii="仿宋_GB2312" w:hAnsi="仿宋" w:eastAsia="仿宋_GB2312"/>
          <w:b w:val="0"/>
          <w:bCs/>
          <w:color w:val="000000"/>
          <w:sz w:val="32"/>
          <w:szCs w:val="32"/>
          <w:lang w:val="en-US" w:eastAsia="zh-CN"/>
        </w:rPr>
        <w:t>属于正常结转资金</w:t>
      </w:r>
      <w:r>
        <w:rPr>
          <w:rStyle w:val="14"/>
          <w:rFonts w:hint="eastAsia" w:ascii="仿宋_GB2312" w:hAnsi="仿宋" w:eastAsia="仿宋_GB2312"/>
          <w:b w:val="0"/>
          <w:bCs/>
          <w:color w:val="000000"/>
          <w:sz w:val="32"/>
          <w:szCs w:val="32"/>
          <w:lang w:eastAsia="zh-CN"/>
        </w:rPr>
        <w:t>。</w:t>
      </w:r>
    </w:p>
    <w:p>
      <w:pPr>
        <w:spacing w:line="600" w:lineRule="exact"/>
        <w:ind w:firstLine="643" w:firstLineChars="200"/>
        <w:rPr>
          <w:rFonts w:ascii="仿宋" w:hAnsi="仿宋" w:eastAsia="仿宋"/>
          <w:b/>
          <w:color w:val="auto"/>
          <w:sz w:val="32"/>
          <w:szCs w:val="32"/>
          <w:highlight w:val="none"/>
        </w:rPr>
      </w:pPr>
      <w:r>
        <w:rPr>
          <w:rFonts w:hint="eastAsia" w:ascii="仿宋_GB2312" w:hAnsi="仿宋_GB2312" w:eastAsia="仿宋_GB2312" w:cs="仿宋_GB2312"/>
          <w:b/>
          <w:sz w:val="32"/>
          <w:szCs w:val="32"/>
          <w:lang w:val="en-US" w:eastAsia="zh-CN"/>
        </w:rPr>
        <w:t>12.住房保障</w:t>
      </w:r>
      <w:r>
        <w:rPr>
          <w:rFonts w:hint="eastAsia" w:ascii="仿宋_GB2312" w:hAnsi="仿宋_GB2312" w:eastAsia="仿宋_GB2312" w:cs="仿宋_GB2312"/>
          <w:b/>
          <w:sz w:val="32"/>
          <w:szCs w:val="32"/>
        </w:rPr>
        <w:t>（类）</w:t>
      </w:r>
      <w:r>
        <w:rPr>
          <w:rStyle w:val="14"/>
          <w:rFonts w:hint="eastAsia" w:ascii="仿宋_GB2312" w:hAnsi="仿宋_GB2312" w:eastAsia="仿宋_GB2312" w:cs="仿宋_GB2312"/>
          <w:bCs/>
          <w:color w:val="000000"/>
          <w:sz w:val="32"/>
          <w:szCs w:val="32"/>
        </w:rPr>
        <w:t>住房改革</w:t>
      </w:r>
      <w:r>
        <w:rPr>
          <w:rStyle w:val="14"/>
          <w:rFonts w:hint="eastAsia" w:ascii="仿宋_GB2312" w:hAnsi="仿宋_GB2312" w:eastAsia="仿宋_GB2312" w:cs="仿宋_GB2312"/>
          <w:bCs/>
          <w:color w:val="000000"/>
          <w:sz w:val="32"/>
          <w:szCs w:val="32"/>
          <w:lang w:val="en-US" w:eastAsia="zh-CN"/>
        </w:rPr>
        <w:t>支出</w:t>
      </w:r>
      <w:r>
        <w:rPr>
          <w:rStyle w:val="14"/>
          <w:rFonts w:hint="eastAsia" w:ascii="仿宋_GB2312" w:hAnsi="仿宋_GB2312" w:eastAsia="仿宋_GB2312" w:cs="仿宋_GB2312"/>
          <w:bCs/>
          <w:color w:val="000000"/>
          <w:sz w:val="32"/>
          <w:szCs w:val="32"/>
        </w:rPr>
        <w:t>（款）住房公积金（项）</w:t>
      </w:r>
      <w:r>
        <w:rPr>
          <w:rFonts w:ascii="仿宋_GB2312" w:hAnsi="仿宋_GB2312" w:eastAsia="仿宋_GB2312" w:cs="仿宋_GB2312"/>
          <w:b/>
          <w:sz w:val="32"/>
          <w:szCs w:val="32"/>
        </w:rPr>
        <w:t>:</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18.56</w:t>
      </w:r>
      <w:r>
        <w:rPr>
          <w:rFonts w:hint="eastAsia" w:ascii="仿宋_GB2312" w:hAnsi="仿宋_GB2312" w:eastAsia="仿宋_GB2312" w:cs="仿宋_GB2312"/>
          <w:sz w:val="32"/>
          <w:szCs w:val="32"/>
        </w:rPr>
        <w:t>万元，完成预算100</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决</w:t>
      </w:r>
      <w:r>
        <w:rPr>
          <w:rFonts w:hint="eastAsia" w:ascii="仿宋_GB2312" w:hAnsi="仿宋_GB2312" w:eastAsia="仿宋_GB2312" w:cs="仿宋_GB2312"/>
          <w:sz w:val="32"/>
          <w:szCs w:val="32"/>
        </w:rPr>
        <w:t>算数与预算数持平。</w:t>
      </w:r>
    </w:p>
    <w:p>
      <w:pPr>
        <w:tabs>
          <w:tab w:val="right" w:pos="8306"/>
        </w:tabs>
        <w:spacing w:line="600" w:lineRule="exact"/>
        <w:ind w:firstLine="640"/>
        <w:outlineLvl w:val="1"/>
        <w:rPr>
          <w:rStyle w:val="25"/>
          <w:color w:val="auto"/>
          <w:highlight w:val="none"/>
        </w:rPr>
      </w:pPr>
      <w:bookmarkStart w:id="34" w:name="_Toc15396608"/>
      <w:bookmarkStart w:id="35"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5"/>
          <w:rFonts w:hint="eastAsia" w:ascii="黑体" w:hAnsi="黑体" w:eastAsia="黑体"/>
          <w:b w:val="0"/>
          <w:color w:val="auto"/>
          <w:highlight w:val="none"/>
        </w:rPr>
        <w:t>般公共预算财政拨款基本支出决算情况说明</w:t>
      </w:r>
      <w:bookmarkEnd w:id="34"/>
      <w:bookmarkEnd w:id="35"/>
      <w:r>
        <w:rPr>
          <w:rStyle w:val="25"/>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342.28</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317.76</w:t>
      </w:r>
      <w:r>
        <w:rPr>
          <w:rFonts w:hint="eastAsia" w:ascii="仿宋" w:hAnsi="仿宋" w:eastAsia="仿宋"/>
          <w:color w:val="auto"/>
          <w:sz w:val="32"/>
          <w:szCs w:val="32"/>
          <w:highlight w:val="none"/>
        </w:rPr>
        <w:t>万元，主要包括：基本工资、津贴补贴、奖金、绩效工资、机关事业单位基本养老保险缴费、职业年金缴费、</w:t>
      </w:r>
      <w:r>
        <w:rPr>
          <w:rFonts w:hint="eastAsia" w:ascii="仿宋" w:hAnsi="仿宋" w:eastAsia="仿宋"/>
          <w:color w:val="auto"/>
          <w:sz w:val="32"/>
          <w:szCs w:val="32"/>
          <w:highlight w:val="none"/>
          <w:lang w:val="en-US" w:eastAsia="zh-CN"/>
        </w:rPr>
        <w:t>职工基本医疗保险缴费、</w:t>
      </w:r>
      <w:r>
        <w:rPr>
          <w:rFonts w:hint="eastAsia" w:ascii="仿宋" w:hAnsi="仿宋" w:eastAsia="仿宋"/>
          <w:color w:val="auto"/>
          <w:sz w:val="32"/>
          <w:szCs w:val="32"/>
          <w:highlight w:val="none"/>
        </w:rPr>
        <w:t>其他社会保障缴费、住房公积金、其他工资福利支出、生活补助、奖励金、其他对个人和家庭的补助支出等。</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24.52</w:t>
      </w:r>
      <w:r>
        <w:rPr>
          <w:rFonts w:hint="eastAsia" w:ascii="仿宋" w:hAnsi="仿宋" w:eastAsia="仿宋"/>
          <w:color w:val="auto"/>
          <w:sz w:val="32"/>
          <w:szCs w:val="32"/>
          <w:highlight w:val="none"/>
        </w:rPr>
        <w:t>万元，主要包括：办公费、印刷费、咨询费、水费、电费、邮电费、物业管理费、差旅费、租赁费、培训费、委托业务费、工会经费、福利费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其他商品和服务支出等。</w:t>
      </w:r>
    </w:p>
    <w:p>
      <w:pPr>
        <w:spacing w:line="600" w:lineRule="exact"/>
        <w:ind w:firstLine="640"/>
        <w:outlineLvl w:val="1"/>
        <w:rPr>
          <w:rStyle w:val="25"/>
          <w:rFonts w:ascii="黑体" w:hAnsi="黑体" w:eastAsia="黑体"/>
          <w:b w:val="0"/>
          <w:color w:val="auto"/>
          <w:highlight w:val="none"/>
        </w:rPr>
      </w:pPr>
      <w:bookmarkStart w:id="36" w:name="_Toc15377215"/>
      <w:bookmarkStart w:id="37" w:name="_Toc15396609"/>
      <w:r>
        <w:rPr>
          <w:rFonts w:hint="eastAsia" w:ascii="黑体" w:eastAsia="黑体"/>
          <w:color w:val="auto"/>
          <w:sz w:val="32"/>
          <w:szCs w:val="32"/>
          <w:highlight w:val="none"/>
        </w:rPr>
        <w:t>七、</w:t>
      </w:r>
      <w:r>
        <w:rPr>
          <w:rStyle w:val="25"/>
          <w:rFonts w:hint="eastAsia" w:ascii="黑体" w:hAnsi="黑体" w:eastAsia="黑体"/>
          <w:b w:val="0"/>
          <w:color w:val="auto"/>
          <w:highlight w:val="none"/>
        </w:rPr>
        <w:t>财政拨款</w:t>
      </w:r>
      <w:r>
        <w:rPr>
          <w:rStyle w:val="25"/>
          <w:rFonts w:hint="eastAsia" w:ascii="黑体" w:hAnsi="黑体" w:eastAsia="黑体"/>
          <w:color w:val="auto"/>
          <w:highlight w:val="none"/>
        </w:rPr>
        <w:t>“</w:t>
      </w:r>
      <w:r>
        <w:rPr>
          <w:rStyle w:val="25"/>
          <w:rFonts w:hint="eastAsia" w:ascii="黑体" w:hAnsi="黑体" w:eastAsia="黑体"/>
          <w:b w:val="0"/>
          <w:color w:val="auto"/>
          <w:highlight w:val="none"/>
        </w:rPr>
        <w:t>三公”经费支出决算情况说明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减少0.2万元，下降100%。</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val="en-US" w:eastAsia="zh-CN"/>
        </w:rPr>
        <w:t>本年度未产生公务接待费</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lang w:val="en-US" w:eastAsia="zh-CN"/>
        </w:rPr>
        <w:t>年初未安排预算</w:t>
      </w:r>
      <w:r>
        <w:rPr>
          <w:rStyle w:val="14"/>
          <w:rFonts w:hint="default" w:ascii="仿宋" w:hAnsi="仿宋" w:eastAsia="仿宋"/>
          <w:b w:val="0"/>
          <w:bCs/>
          <w:color w:val="auto"/>
          <w:sz w:val="32"/>
          <w:szCs w:val="32"/>
          <w:highlight w:val="none"/>
          <w:lang w:eastAsia="zh-CN"/>
        </w:rPr>
        <w:t>，较2021年无变化</w:t>
      </w:r>
      <w:r>
        <w:rPr>
          <w:rStyle w:val="14"/>
          <w:rFonts w:hint="eastAsia" w:ascii="仿宋" w:hAnsi="仿宋" w:eastAsia="仿宋"/>
          <w:b w:val="0"/>
          <w:bCs/>
          <w:color w:val="auto"/>
          <w:sz w:val="32"/>
          <w:szCs w:val="32"/>
          <w:highlight w:val="none"/>
          <w:lang w:val="en-US" w:eastAsia="zh-CN"/>
        </w:rPr>
        <w:t>。</w:t>
      </w:r>
    </w:p>
    <w:p>
      <w:pPr>
        <w:spacing w:line="600" w:lineRule="exact"/>
        <w:ind w:firstLine="643" w:firstLineChars="200"/>
        <w:rPr>
          <w:rFonts w:hint="default" w:ascii="仿宋" w:hAnsi="仿宋" w:eastAsia="仿宋"/>
          <w:color w:val="auto"/>
          <w:sz w:val="32"/>
          <w:szCs w:val="32"/>
          <w:highlight w:val="none"/>
          <w:lang w:val="en-US" w:eastAsia="zh-CN"/>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 w:hAnsi="仿宋" w:eastAsia="仿宋"/>
          <w:color w:val="auto"/>
          <w:sz w:val="32"/>
          <w:szCs w:val="32"/>
          <w:highlight w:val="none"/>
          <w:lang w:val="en-US" w:eastAsia="zh-CN"/>
        </w:rPr>
        <w:t>年初未安排预算。本单位未购置公务用车，无公务用车保有量。</w:t>
      </w:r>
      <w:r>
        <w:rPr>
          <w:rFonts w:hint="eastAsia" w:ascii="仿宋_GB2312" w:eastAsia="仿宋_GB2312"/>
          <w:b w:val="0"/>
          <w:bCs/>
          <w:color w:val="auto"/>
          <w:sz w:val="32"/>
          <w:szCs w:val="32"/>
          <w:highlight w:val="none"/>
        </w:rPr>
        <w:t>公务用车购置及运行维护费支出</w:t>
      </w:r>
      <w:r>
        <w:rPr>
          <w:rFonts w:hint="eastAsia" w:ascii="仿宋" w:hAnsi="仿宋" w:eastAsia="仿宋"/>
          <w:color w:val="auto"/>
          <w:sz w:val="32"/>
          <w:szCs w:val="32"/>
          <w:highlight w:val="none"/>
          <w:lang w:val="en-US" w:eastAsia="zh-CN"/>
        </w:rPr>
        <w:t>较202</w:t>
      </w:r>
      <w:r>
        <w:rPr>
          <w:rFonts w:hint="default" w:ascii="仿宋" w:hAnsi="仿宋" w:eastAsia="仿宋"/>
          <w:color w:val="auto"/>
          <w:sz w:val="32"/>
          <w:szCs w:val="32"/>
          <w:highlight w:val="none"/>
          <w:lang w:eastAsia="zh-CN"/>
        </w:rPr>
        <w:t>1</w:t>
      </w:r>
      <w:r>
        <w:rPr>
          <w:rFonts w:hint="eastAsia" w:ascii="仿宋" w:hAnsi="仿宋" w:eastAsia="仿宋"/>
          <w:color w:val="auto"/>
          <w:sz w:val="32"/>
          <w:szCs w:val="32"/>
          <w:highlight w:val="none"/>
          <w:lang w:val="en-US" w:eastAsia="zh-CN"/>
        </w:rPr>
        <w:t>年无变化。</w:t>
      </w:r>
    </w:p>
    <w:p>
      <w:pPr>
        <w:spacing w:line="600" w:lineRule="exact"/>
        <w:ind w:firstLine="643" w:firstLineChars="20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0.2</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本年度未产生公务接待费</w:t>
      </w:r>
      <w:r>
        <w:rPr>
          <w:rFonts w:hint="eastAsia" w:ascii="仿宋_GB2312" w:eastAsia="仿宋_GB2312"/>
          <w:color w:val="auto"/>
          <w:sz w:val="32"/>
          <w:szCs w:val="32"/>
          <w:highlight w:val="none"/>
        </w:rPr>
        <w:t>。其中：</w:t>
      </w:r>
    </w:p>
    <w:p>
      <w:pPr>
        <w:spacing w:line="600" w:lineRule="exact"/>
        <w:ind w:firstLine="640"/>
        <w:rPr>
          <w:rFonts w:hint="eastAsia" w:ascii="仿宋_GB2312" w:eastAsia="仿宋_GB2312"/>
          <w:color w:val="auto"/>
          <w:sz w:val="32"/>
          <w:szCs w:val="32"/>
          <w:highlight w:val="none"/>
          <w:lang w:val="en-US" w:eastAsia="zh-CN"/>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spacing w:line="600" w:lineRule="exact"/>
        <w:ind w:firstLine="643" w:firstLineChars="200"/>
        <w:rPr>
          <w:rFonts w:hint="eastAsia" w:ascii="仿宋_GB2312" w:eastAsia="仿宋_GB2312"/>
          <w:color w:val="auto"/>
          <w:sz w:val="32"/>
          <w:szCs w:val="32"/>
          <w:highlight w:val="none"/>
          <w:lang w:eastAsia="zh-CN"/>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spacing w:line="600" w:lineRule="exact"/>
        <w:ind w:firstLine="640"/>
        <w:outlineLvl w:val="1"/>
        <w:rPr>
          <w:rStyle w:val="25"/>
          <w:rFonts w:ascii="黑体" w:hAnsi="黑体" w:eastAsia="黑体"/>
          <w:color w:val="auto"/>
          <w:highlight w:val="none"/>
        </w:rPr>
      </w:pPr>
      <w:bookmarkStart w:id="40" w:name="_Toc15396610"/>
      <w:bookmarkStart w:id="41" w:name="_Toc15377218"/>
      <w:r>
        <w:rPr>
          <w:rFonts w:hint="eastAsia" w:ascii="黑体" w:eastAsia="黑体"/>
          <w:color w:val="auto"/>
          <w:sz w:val="32"/>
          <w:szCs w:val="32"/>
          <w:highlight w:val="none"/>
        </w:rPr>
        <w:t>八、</w:t>
      </w:r>
      <w:r>
        <w:rPr>
          <w:rStyle w:val="25"/>
          <w:rFonts w:hint="eastAsia" w:ascii="黑体" w:hAnsi="黑体" w:eastAsia="黑体"/>
          <w:b w:val="0"/>
          <w:color w:val="auto"/>
          <w:highlight w:val="none"/>
        </w:rPr>
        <w:t>政府性基金预算支出决算情况说明</w:t>
      </w:r>
      <w:bookmarkEnd w:id="40"/>
      <w:bookmarkEnd w:id="41"/>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4"/>
        </w:numPr>
        <w:spacing w:line="600" w:lineRule="exact"/>
        <w:ind w:firstLine="640"/>
        <w:outlineLvl w:val="1"/>
        <w:rPr>
          <w:rStyle w:val="25"/>
          <w:rFonts w:ascii="黑体" w:hAnsi="黑体" w:eastAsia="黑体"/>
          <w:b w:val="0"/>
          <w:color w:val="auto"/>
          <w:highlight w:val="none"/>
        </w:rPr>
      </w:pPr>
      <w:bookmarkStart w:id="42" w:name="_Toc15396611"/>
      <w:bookmarkStart w:id="43" w:name="_Toc15377219"/>
      <w:r>
        <w:rPr>
          <w:rStyle w:val="25"/>
          <w:rFonts w:hint="eastAsia" w:ascii="黑体" w:hAnsi="黑体" w:eastAsia="黑体"/>
          <w:b w:val="0"/>
          <w:color w:val="auto"/>
          <w:highlight w:val="none"/>
        </w:rPr>
        <w:t>国有资本经营预算支出决算情况说明</w:t>
      </w:r>
      <w:bookmarkEnd w:id="42"/>
      <w:bookmarkEnd w:id="43"/>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4"/>
        </w:numPr>
        <w:spacing w:line="600" w:lineRule="exact"/>
        <w:ind w:firstLine="640"/>
        <w:outlineLvl w:val="1"/>
        <w:rPr>
          <w:rStyle w:val="25"/>
          <w:rFonts w:hint="eastAsia" w:ascii="黑体" w:hAnsi="黑体" w:eastAsia="黑体"/>
          <w:b w:val="0"/>
          <w:color w:val="auto"/>
          <w:highlight w:val="none"/>
        </w:rPr>
      </w:pPr>
      <w:bookmarkStart w:id="44" w:name="_Toc15396612"/>
      <w:bookmarkStart w:id="45" w:name="_Toc15377221"/>
      <w:r>
        <w:rPr>
          <w:rStyle w:val="25"/>
          <w:rFonts w:hint="eastAsia" w:ascii="黑体" w:hAnsi="黑体" w:eastAsia="黑体"/>
          <w:b w:val="0"/>
          <w:color w:val="auto"/>
          <w:highlight w:val="none"/>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spacing w:line="600" w:lineRule="exact"/>
        <w:ind w:firstLine="640"/>
        <w:rPr>
          <w:rFonts w:hint="eastAsia" w:ascii="仿宋_GB2312" w:eastAsia="仿宋_GB2312"/>
          <w:color w:val="auto"/>
          <w:sz w:val="32"/>
          <w:szCs w:val="32"/>
          <w:highlight w:val="none"/>
          <w:lang w:eastAsia="zh-CN"/>
        </w:rPr>
      </w:pPr>
      <w:bookmarkStart w:id="47" w:name="_Toc15377223"/>
      <w:r>
        <w:rPr>
          <w:rFonts w:hint="eastAsia" w:ascii="仿宋_GB2312" w:eastAsia="仿宋_GB2312"/>
          <w:color w:val="auto"/>
          <w:sz w:val="32"/>
          <w:szCs w:val="32"/>
          <w:highlight w:val="none"/>
          <w:lang w:val="en-US" w:eastAsia="zh-CN"/>
        </w:rPr>
        <w:t>2022年</w:t>
      </w:r>
      <w:r>
        <w:rPr>
          <w:rFonts w:hint="eastAsia" w:ascii="仿宋_GB2312" w:eastAsia="仿宋_GB2312"/>
          <w:color w:val="auto"/>
          <w:sz w:val="32"/>
          <w:szCs w:val="32"/>
          <w:highlight w:val="none"/>
        </w:rPr>
        <w:t>未发生机关运行经费支出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与2021年决算数持平</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ascii="仿宋" w:hAnsi="仿宋" w:eastAsia="仿宋"/>
          <w:b/>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无政府采购支出</w:t>
      </w:r>
      <w:r>
        <w:rPr>
          <w:rFonts w:hint="eastAsia" w:ascii="仿宋_GB2312" w:eastAsia="仿宋_GB2312"/>
          <w:color w:val="auto"/>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我圃</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val="en-US" w:eastAsia="zh-CN"/>
        </w:rPr>
        <w:t>乡村振兴工作经费</w:t>
      </w:r>
      <w:r>
        <w:rPr>
          <w:rFonts w:hint="eastAsia" w:ascii="仿宋_GB2312" w:hAnsi="仿宋_GB2312" w:eastAsia="仿宋_GB2312" w:cs="仿宋_GB2312"/>
          <w:color w:val="auto"/>
          <w:sz w:val="32"/>
          <w:szCs w:val="32"/>
          <w:highlight w:val="none"/>
        </w:rPr>
        <w:t>项目等</w:t>
      </w:r>
      <w:r>
        <w:rPr>
          <w:rFonts w:hint="eastAsia" w:hAnsi="仿宋_GB2312" w:cs="仿宋_GB2312"/>
          <w:color w:val="auto"/>
          <w:sz w:val="32"/>
          <w:szCs w:val="32"/>
          <w:highlight w:val="none"/>
          <w:lang w:val="en-US" w:eastAsia="zh-CN"/>
        </w:rPr>
        <w:t>27</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27</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27</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27</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5"/>
        </w:numPr>
        <w:spacing w:line="600" w:lineRule="exact"/>
        <w:ind w:firstLine="660" w:firstLineChars="150"/>
        <w:jc w:val="center"/>
        <w:outlineLvl w:val="0"/>
        <w:rPr>
          <w:rStyle w:val="24"/>
          <w:rFonts w:ascii="黑体" w:hAnsi="黑体" w:eastAsia="黑体"/>
          <w:b w:val="0"/>
          <w:color w:val="auto"/>
          <w:highlight w:val="none"/>
        </w:rPr>
      </w:pPr>
      <w:bookmarkStart w:id="49" w:name="_Toc15377225"/>
      <w:bookmarkStart w:id="50" w:name="_Toc15396613"/>
      <w:r>
        <w:rPr>
          <w:rFonts w:hint="eastAsia" w:ascii="黑体" w:hAnsi="黑体" w:eastAsia="黑体"/>
          <w:color w:val="auto"/>
          <w:sz w:val="44"/>
          <w:szCs w:val="44"/>
          <w:highlight w:val="none"/>
        </w:rPr>
        <w:t>名</w:t>
      </w:r>
      <w:r>
        <w:rPr>
          <w:rStyle w:val="24"/>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财政拨款收入：指单位从同级财政部门取得的财政预算资金。</w:t>
      </w:r>
      <w:r>
        <w:rPr>
          <w:rFonts w:ascii="仿宋_GB2312" w:eastAsia="仿宋_GB2312"/>
          <w:color w:val="auto"/>
          <w:sz w:val="32"/>
          <w:szCs w:val="32"/>
          <w:highlight w:val="none"/>
          <w:lang w:val="en-US" w:eastAsia="zh-CN"/>
        </w:rPr>
        <w:t xml:space="preserve"> </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其他收入：指单位取得的除上述收入以外的各项收入。主要是利息收入。</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年初结转和结余：指以前年度尚未完成、结转到本年按有关规定继续使用的资金。</w:t>
      </w:r>
      <w:r>
        <w:rPr>
          <w:rFonts w:ascii="仿宋_GB2312" w:eastAsia="仿宋_GB2312"/>
          <w:color w:val="auto"/>
          <w:sz w:val="32"/>
          <w:szCs w:val="32"/>
          <w:highlight w:val="none"/>
          <w:lang w:val="en-US" w:eastAsia="zh-CN"/>
        </w:rPr>
        <w:t xml:space="preserve"> </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年末结转和结余：指单位按有关规定结转到下年或以后年度继续使用的资金。</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科学技术（类）科学技术管理事务（款）其他科学技术支出（项）：反映其他科学技术支出中除以上各项用于科技方面的支出。</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社会保障和就业（类）行政事业单位养老支出（款）事业单位离退休（项）：指反映事业单位开支的离退休经费。</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社会保障和就业（类）行政事业单位养老支出（款）机关事业单位基本养老保险缴费支出（项）：指反映机关事业单位实施养老保险制度由单位缴纳的基本养老保险支出。</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社会保障和就业（类）行政事业单位养老支出（款）机关事业单位职业年金缴费支出（项）：指反映机关事业单位实施养老保险制度由单位缴纳的职业年金支出。</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社会保障和就业（类）其他社会保障和就业支出（款）其他社会保障和就业支出（项）：指反映除上述项目以外其他用于社会保障和就业方面的支出。</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卫生健康（类）事业单位医疗（款）事业单位医疗（项）：指反映财政部门安排的事业单位基本医疗保险缴费经费，未参加医疗保险的事业单位的公费医疗经费，按国家规定享受离休人员待遇的医疗经费。</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节能环保（类）天然林保护（款）社会保险补助（项）：指反映专项用于由于木材减产或停产造成实施单位应缴纳社会保险费缺口的补助支出。</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农林水（类）林业和草原（款）事业机构（项）：指反映事业单位的基本支出，不包括行政单位（含实行公务员管理的事业单位）后勤服务中心等附属事业单位的支出。   </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农林水（类）林业和草原（款）森林资源培育（项）：指反映育苗（种）、造林、抚育、退化林修复、义务植树以及生物质能源建设等方面的支出。</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农林水（类）林业和草原（款）技术推广与转化（项）：指反映良种繁育、新技术引进、区域化试验、示范、技术推广、成果转化、科学普及等方面的支出。</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农林水（类）林业和草原（款）其他林业和草原支出（项）：指反映除上述项目以外其他用于林业和草原方面的支出。</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住房保障（类）住房改革支出（款）住房公积金（项）：指反映行政事业单位按人力资源和社会保障部、财政部规定的基本工资和津贴补贴以及规定比例为职工缴纳的住房公积金。</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基本支出：指为保障机构正常运转、完成日常工作任务而发生的人员支出和公用支出。</w:t>
      </w:r>
    </w:p>
    <w:p>
      <w:pPr>
        <w:pStyle w:val="22"/>
        <w:keepNext w:val="0"/>
        <w:keepLines w:val="0"/>
        <w:pageBreakBefore w:val="0"/>
        <w:widowControl w:val="0"/>
        <w:numPr>
          <w:ilvl w:val="0"/>
          <w:numId w:val="6"/>
        </w:numPr>
        <w:kinsoku/>
        <w:wordWrap/>
        <w:overflowPunct/>
        <w:topLinePunct w:val="0"/>
        <w:autoSpaceDE w:val="0"/>
        <w:autoSpaceDN w:val="0"/>
        <w:bidi w:val="0"/>
        <w:adjustRightInd w:val="0"/>
        <w:snapToGrid/>
        <w:spacing w:line="560" w:lineRule="exact"/>
        <w:ind w:left="0" w:leftChars="0" w:firstLine="640" w:firstLineChars="200"/>
        <w:textAlignment w:val="auto"/>
        <w:rPr>
          <w:rStyle w:val="24"/>
          <w:rFonts w:ascii="黑体" w:hAnsi="黑体" w:eastAsia="黑体"/>
          <w:b w:val="0"/>
          <w:color w:val="auto"/>
          <w:highlight w:val="none"/>
        </w:rPr>
      </w:pPr>
      <w:r>
        <w:rPr>
          <w:rFonts w:hint="eastAsia" w:ascii="仿宋_GB2312" w:eastAsia="仿宋_GB2312"/>
          <w:color w:val="auto"/>
          <w:sz w:val="32"/>
          <w:szCs w:val="32"/>
          <w:highlight w:val="none"/>
          <w:lang w:val="en-US" w:eastAsia="zh-CN"/>
        </w:rPr>
        <w:t xml:space="preserve">项目支出：指在基本支出之外为完成特定行政任务和事业发展目标所发生的支出。 </w:t>
      </w:r>
    </w:p>
    <w:p>
      <w:pPr>
        <w:pStyle w:val="22"/>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19.“三公”经费：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2"/>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Chars="200"/>
        <w:jc w:val="left"/>
        <w:textAlignment w:val="auto"/>
        <w:rPr>
          <w:rStyle w:val="24"/>
          <w:rFonts w:ascii="黑体" w:hAnsi="黑体" w:eastAsia="黑体"/>
          <w:b w:val="0"/>
          <w:color w:val="auto"/>
          <w:highlight w:val="none"/>
        </w:rPr>
      </w:pPr>
    </w:p>
    <w:p>
      <w:pPr>
        <w:spacing w:line="600" w:lineRule="exact"/>
        <w:jc w:val="center"/>
        <w:outlineLvl w:val="0"/>
        <w:rPr>
          <w:rFonts w:ascii="宋体"/>
          <w:b/>
          <w:color w:val="auto"/>
          <w:sz w:val="44"/>
          <w:szCs w:val="44"/>
          <w:highlight w:val="none"/>
        </w:rPr>
        <w:sectPr>
          <w:footerReference r:id="rId10" w:type="first"/>
          <w:footerReference r:id="rId9" w:type="default"/>
          <w:pgSz w:w="11906" w:h="16838"/>
          <w:pgMar w:top="1440" w:right="1803" w:bottom="1440" w:left="1803" w:header="851" w:footer="992" w:gutter="0"/>
          <w:pgNumType w:fmt="numberInDash" w:start="1"/>
          <w:cols w:space="0" w:num="1"/>
          <w:rtlGutter w:val="0"/>
          <w:docGrid w:type="lines" w:linePitch="319" w:charSpace="0"/>
        </w:sectPr>
      </w:pPr>
      <w:bookmarkStart w:id="51" w:name="_Toc15377226"/>
      <w:r>
        <w:rPr>
          <w:rFonts w:ascii="宋体"/>
          <w:b/>
          <w:color w:val="auto"/>
          <w:sz w:val="44"/>
          <w:szCs w:val="44"/>
          <w:highlight w:val="none"/>
        </w:rPr>
        <w:br w:type="page"/>
      </w:r>
      <w:bookmarkStart w:id="52" w:name="_Toc15396614"/>
    </w:p>
    <w:p>
      <w:pPr>
        <w:spacing w:line="600" w:lineRule="exact"/>
        <w:jc w:val="center"/>
        <w:outlineLvl w:val="0"/>
        <w:rPr>
          <w:rStyle w:val="24"/>
          <w:rFonts w:hint="eastAsia" w:ascii="黑体" w:hAnsi="黑体" w:eastAsia="黑体"/>
          <w:b w:val="0"/>
          <w:color w:val="auto"/>
          <w:highlight w:val="none"/>
        </w:rPr>
      </w:pPr>
      <w:r>
        <w:rPr>
          <w:rFonts w:hint="eastAsia" w:ascii="黑体" w:hAnsi="黑体" w:eastAsia="黑体"/>
          <w:color w:val="auto"/>
          <w:sz w:val="44"/>
          <w:szCs w:val="44"/>
          <w:highlight w:val="none"/>
        </w:rPr>
        <w:t>第</w:t>
      </w:r>
      <w:r>
        <w:rPr>
          <w:rStyle w:val="24"/>
          <w:rFonts w:hint="eastAsia" w:ascii="黑体" w:hAnsi="黑体" w:eastAsia="黑体"/>
          <w:b w:val="0"/>
          <w:color w:val="auto"/>
          <w:highlight w:val="none"/>
        </w:rPr>
        <w:t>四部分 附件</w:t>
      </w:r>
      <w:bookmarkEnd w:id="52"/>
    </w:p>
    <w:tbl>
      <w:tblPr>
        <w:tblStyle w:val="12"/>
        <w:tblpPr w:leftFromText="180" w:rightFromText="180" w:vertAnchor="text" w:horzAnchor="page" w:tblpX="1250" w:tblpY="718"/>
        <w:tblOverlap w:val="never"/>
        <w:tblW w:w="99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1"/>
        <w:gridCol w:w="861"/>
        <w:gridCol w:w="871"/>
        <w:gridCol w:w="1206"/>
        <w:gridCol w:w="843"/>
        <w:gridCol w:w="936"/>
        <w:gridCol w:w="844"/>
        <w:gridCol w:w="891"/>
        <w:gridCol w:w="861"/>
        <w:gridCol w:w="861"/>
        <w:gridCol w:w="8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严格执行相关政策，保障工资及时发放、足额发放，预算编制科学合理，减少结余资金</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及时、足额完成工资的发放，零结余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w:t>
            </w:r>
            <w:r>
              <w:rPr>
                <w:rStyle w:val="33"/>
                <w:lang w:val="en-US" w:eastAsia="zh-CN" w:bidi="ar"/>
              </w:rPr>
              <w:t>.项目实施内容及过程概述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31"/>
                <w:lang w:val="en-US" w:eastAsia="zh-CN" w:bidi="ar"/>
              </w:rPr>
              <w:t>严格执行相关政策，序时发放职工工资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9"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76.15</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96.71</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96.71</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vMerge w:val="restart"/>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76.15</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96.71</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96.71</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9"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足额保障率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科目调整次数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次</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按时发放率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结余率（计算方法为：结余数/预算数）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通过该项目实施，保障工资的及时发放、足额发放，自评得分100分。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严格执行相关政策，保障工资及时发放、足额发放，预算编制科学合理，减少结余资金</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及时、足额完成工资的发放，零结余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31"/>
                <w:lang w:val="en-US" w:eastAsia="zh-CN" w:bidi="ar"/>
              </w:rPr>
              <w:t>严格执行相关政策，序时发放职工工资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iCs/>
                <w:color w:val="000000"/>
                <w:sz w:val="18"/>
                <w:szCs w:val="18"/>
                <w:u w:val="none"/>
              </w:rPr>
            </w:pPr>
            <w:r>
              <w:rPr>
                <w:rStyle w:val="35"/>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足额保障率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科目调整次数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次</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按时发放率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结余率（计算方法为：结余数/预算数）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通过该项目实施，保障工资的及时发放、足额发放，自评得分100分。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及时、足额完成工资的发放，零结余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严格执行相关政策，序时发放职工工资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3.61</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3.61</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3.61</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iCs/>
                <w:color w:val="000000"/>
                <w:sz w:val="18"/>
                <w:szCs w:val="18"/>
                <w:u w:val="none"/>
              </w:rPr>
            </w:pPr>
            <w:r>
              <w:rPr>
                <w:rStyle w:val="35"/>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3.61</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3.61</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3.61</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科目调整次数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次</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足额保障率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按时发放率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结余率（计算方法为：结余数/预算数）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通过该项目实施，保障工资的及时发放、足额发放，自评得分100分。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65"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保障单位日常运转，提高预算编制质量，严格执行预算</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2"/>
                <w:lang w:val="en-US" w:eastAsia="zh-CN" w:bidi="ar"/>
              </w:rPr>
              <w:t>保障单位日常运转，零结余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按规定报销日常公用经费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5.92</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5.92</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vMerge w:val="restart"/>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5.92</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5.92</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科目调整次数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次</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质量指标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预算编制准确率（计算方法为：∣（执行数-预算数）/预算数∣）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运转保障率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4"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“三公经费”控制率[计算方法为：（三公经费实际支出数/预算安排数]×100%）</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通过该项目的实施，保障了单位日常正常运转，自评得分99分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严格执行相关政策，保障工资及时发放、足额发放，预算编制科学合理，减少结余资金</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及时、足额完成工资的发放，零结余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Style w:val="31"/>
                <w:lang w:val="en-US" w:eastAsia="zh-CN" w:bidi="ar"/>
              </w:rPr>
              <w:t>严格执行相关政策，序时发放职工工资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106.7</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144.49</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144.49</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vMerge w:val="restart"/>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106.7</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144.49</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144.49</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科目调整次数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次</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足额保障率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按时发放率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结余率（计算方法为：结余数/预算数）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通过该项目实施，保障工资的及时发放、足额发放，自评得分100分。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51080022R000006867036-退休“中人”一次性补贴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按照相关政策，保障退休“中人”一次性补贴</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完成退休人员一次性补贴的发放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及时、足额发放退休人员一次性补贴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vMerge w:val="restart"/>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科目调整次数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次</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足额保障率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按时发放率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结余率（计算方法为：结余数/预算数）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通过该项目的实施，及时、足额发放退休人员的一次性补贴，自评得分100分。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4"/>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51080022R000006887034-职业年金做实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按相关政策，保障退休人员职业年金</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完成退休人员职业年金的做实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及时、足额缴纳退休人员职业年金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7"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8.36</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8.36</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vMerge w:val="restart"/>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8.36</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8.36</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3" w:hRule="atLeast"/>
        </w:trPr>
        <w:tc>
          <w:tcPr>
            <w:tcW w:w="888" w:type="dxa"/>
            <w:vMerge w:val="continue"/>
            <w:tcBorders>
              <w:top w:val="nil"/>
              <w:left w:val="single" w:color="000000" w:sz="8" w:space="0"/>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科目调整次数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次</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足额保障率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按时发放率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结余率（计算方法为：结余数/预算数）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通过该项目的实施，及时、足额缴纳退休人员的职业年金，自评得分100分。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51080022T000004929379-乡村振兴工作经费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通过选派驻村队员驻村，有效促进帮扶村全面推进乡村振兴,巩固拓展脱贫攻坚成果，并保障驻村队员工作补助。</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完成驻村队员选派，保障驻村队员工作补助，并巩固脱贫攻坚成果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驻村队员按相关要求到指定驻村地点驻村并按时报销工作补助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vMerge w:val="restart"/>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结对帮扶贫困村</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个</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质量指标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驻村队员驻村补助保障率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完成时间</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成本指标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驻村队员工作经费支出</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万元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1.82</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社会效益指标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巩固拓展脱贫攻坚成果</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192</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户</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192</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满意度指标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帮扶对象满意度指标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脱贫户满意度</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98</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通过该项目实施，保障了驻村队员工作补助，自评得分100分。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51080022T000004937882-核桃采穗圃及珍稀树种基地土地租金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通过支付基地土地租金，保障基地正常运转，生产核桃良种穗条125万个，丰产示范性强，珍稀树种长势良好。</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完成基地土地租金的支付，保障了基地正常运转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按合同约定及时支付基地土地租金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8.19</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82.77%</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因上年结转资金，同时压减一般性支出，该项目预算当年未全部执行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8.19</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82.77%</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基地数量</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个</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质量指标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土地租金支付率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按时完成支付</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月</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成本指标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土地租金支出</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万元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8.19</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土地农户收益</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1650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元/户</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1850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满意度指标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服务对象满意度指标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租赁土地农户满意度</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98</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通过该项目实施，保障了基地正常运转，自评得分98分。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51080022T000004938710-租房押金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房屋押金</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房屋押金已退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已按合同约定退回租房户房屋押金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vMerge w:val="restart"/>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租户数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个</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质量指标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押金支付率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按租户退租时间完成</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成本指标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押金支出</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万元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满意度指标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服务对象满意度指标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租户满意度</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按要求及时支付该项目资金，自评得分100分。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51080022T000004938722-保证金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退还保证金</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保证金部分已退，剩余部分未到约定时间退回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按合同约定退回保证金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18.18%</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投标保证金未到合同约定时间退回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18.18%</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投标保证金</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万元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履约保证金</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万元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按期退还</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成本指标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保证金</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万元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满意度指标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服务对象满意度指标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企业满意度</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按要求及时支付改项目资金，自评得分98分。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51080022T000004938811-核桃良种采穗圃建设（含良种选育）项目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持续完成在旺苍国营苗圃和曲回基地开展“红仁“核桃引种驯化与扩繁工作。</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本年度项目资金暂未支出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本年度项目资金暂未支出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4.88</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4.88</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因核桃选育时间周期较长，暂未完成资金支付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4.88</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4.88</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基地数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个</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按期完成品改</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成本指标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良种品改支出</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管护支出</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27751.6</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产出良种穗条</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17500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个</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17500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满意度指标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服务对象满意度指标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林农满意度</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通过该项目实施，开展核桃的良种选育工作，自评得分98分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51080022T000004939580-苗木基地管护项目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完成2022年基地生产物资采购，完成核桃良种穗条培育和丰产园管护。</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本年度资金暂未支出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本年度资金暂未支出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5.15</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5.15</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因本年度单位改革，该项目预算当年未执行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5.15</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5.15</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基地数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按期完成采购</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成本指标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生产物资采购支出</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51541.75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生产良种穗芽成果</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定性</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优良中低差</w:t>
            </w:r>
          </w:p>
        </w:tc>
        <w:tc>
          <w:tcPr>
            <w:tcW w:w="886"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满意度指标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服务对象满意度指标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林农满意度</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通过该项目的实施，日常管护苗木基地，自评得分98分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51080022T000005153761-广元市国营中心苗圃自有资金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保障单位正常运转</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本年度资金暂未全部支出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本年度资金暂未全部支出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8.12%</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9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因本年度单位改革，该项目预算当年未全部执行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8.12%</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质量指标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支付完成率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99</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按期完成</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成本指标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正常开支</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13722.16</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1114</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保障单位正常运转</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定性</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优良中低差</w:t>
            </w:r>
          </w:p>
        </w:tc>
        <w:tc>
          <w:tcPr>
            <w:tcW w:w="886"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优</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满意度指标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服务对象满意度指标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满意度</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51080022T000005444961-国有林管护费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有效管护核桃良种穗条培育和丰产园管护，基地生产物资采购。</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完成核桃良种采穗圃的日常管护及年度生产物资的采购工作。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对基地的日常除草、施肥、修枝等工作，并按相关政策采购生产物资。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111.3</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111.3</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52.03</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46.75%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因单位机构改革，该项目资金未按预算执行。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111.3</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111.3</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52.03</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46.75%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基地数量</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当期任务完成率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111.3</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52.03</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周边农林就业率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职工及周边农林满意度</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通过该项目实施，保障了基地正常运转，自评得分98分。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51080022T000005446568-天然林资源保护社会保险补助(第二批）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7"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对天保工程实施单位和人员社会保险给予补助，加强天保工程确定单位和人员社会保障。林区经济社会稳步发展，确保林区和谐稳定。</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本年度项目资金暂未支出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本年度项目资金暂未支出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6.92</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因本年度单位改革，人员分流，至项目资金结转至下年度。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6.92</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职工社会保险缴费比例</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社会保险补助资金支付率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当期任务完成率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社会保险补助</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6.92</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社会保险参保率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持续发挥稳定作用显著</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886"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参保人员满意度</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51080022T000005446607-天然林资源保护社会保险补助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对天保工程实施单位和人员社会保险给予补助，加强天保工程确定单位和人员社会保障。林区经济社会稳步发展，确保林区和谐稳定。</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足额保障天保管护人员社会保险补助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序时缴纳人员社会保险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序时缴纳人员社会保险，剩余资金结转至下年度使用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职工社会保险缴费比例</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社会保险补助资金支付率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当期任务完成率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社会保险补助</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社会保险参保率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持续发挥稳定作用显著</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886"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参保人员满意度</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通过该项目实施，及时、足额缴纳管护人员社会保险补助，自评得分98分。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51080022T000005446971-林业科技推广示范项目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以前年度项目结余资金上交财政</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项目结余资金已上交财政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项目结余资金已上交财政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0.75</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0.75</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0.75</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vMerge w:val="restart"/>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0.75</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0.75</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0.75</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足额保障率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科目调整次数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次</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按时发放率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结余率（计算方法为：结余数/预算数）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51080022T000005447006-基地土地租金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保障基地正常运转</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完成基地土地租金的支付，保障了基地正常运转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按合同约定及时支付基地土地租金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vMerge w:val="restart"/>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基地数量</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个</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质量指标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土地租金支付率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按时完成支付</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月</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成本指标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土地租金支出</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万元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4.03</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土地农户收益</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1650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元/户</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1850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满意度指标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服务对象满意度指标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租赁土地农户满意度</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98</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通过该项目实施，保障了基地正常运转，自评得分100分。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51080022T000005447072-2021年中央“三区”科技人才支持计划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选派科技人员到“三区”提供科技服务、开展农村科技创新创业</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选派1名科技人员到昭化区，大力开展核桃等林业实用技术培训和服务活动，及时解决产业发展存在的问题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按要求每月到昭化区开展技术培训及服务活动，按时报销科技人员出差相关工作补助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54.53%</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因疫情原因，项目资金结转至下年度使用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54.53%</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选派科技人员</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工作经费</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促进林业产业化经营</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明显</w:t>
            </w:r>
          </w:p>
        </w:tc>
        <w:tc>
          <w:tcPr>
            <w:tcW w:w="886"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明显</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帮扶单位满意度</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通过该项目实施，到“三区”提供科技服务，解决产业发展问题，自评得分98分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51080022T000005573482-人员经费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及时、足额完成工资的发放，零结余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严格执行相关政策，序时发放职工工资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9.33</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9.33</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9.33</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vMerge w:val="restart"/>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9.33</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9.33</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9.33</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足额保障率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科目调整次数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次</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按时发放率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结余率（计算方法为：结余数/预算数）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通过该项目实施，保障了基础绩效奖和生活补助的及时发放、足额发放，自评得分100分。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51080022T000005573519-公用经费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保障单位日常运转，提高预算编制质量，严格执行预算</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本年度单位日常正常开展工作，并完成年度工作任务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按相关政策报销日常公用经费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vMerge w:val="restart"/>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科目调整次数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次</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质量指标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预算编制准确率（计算方法为：∣（执行数-预算数）/预算数∣）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运转保障率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4"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“三公经费”控制率[计算方法为：（三公经费实际支出数/预算安排数]×100%）</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99.5</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通过该项目的实施，保障了单位日常正常运转，自评得分99.5分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51080022T000006795049-“三区”科技人才支持计划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选派科技人员到“三区”提供科技服务、开展农村科技创新创业</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选派1名科技人员到昭化区，大力开展核桃等林业实用技术培训和服务活动，及时解决产业发展存在的问题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按要求每月到昭化区开展技术培训及服务活动，按时报销科技人员出差相关工作补助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本年度使用结转资金开展项目，致本年预算资金未执行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选派科技人员</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完成时间</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工作经费</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促进林业产业化经营</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明显</w:t>
            </w:r>
          </w:p>
        </w:tc>
        <w:tc>
          <w:tcPr>
            <w:tcW w:w="886"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明显</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帮扶单位满意度</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通过该项目实施，到“三区”提供科技服务，解决产业发展问题，自评得分98分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51080022T000007055062-天保工程社会保险补助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对天保工程实施单位和人员社会保险给予补助，加强天保工程确定单位和人员社会保障。林区经济社会稳步发展，确保林区和谐稳定。</w:t>
            </w:r>
          </w:p>
        </w:tc>
        <w:tc>
          <w:tcPr>
            <w:tcW w:w="3562"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本年度项目资金暂未支出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本年度项目资金暂未支出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因本年度单位改革，人员分流，至项目资金结转至下年度。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职工社会保险缴费比例</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社会保险补助资金支付率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当期任务完成率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社会保险补助</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社会保险参保率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持续发挥稳定作用显著</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886"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显著</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参保人员满意度</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51080022T000007403608-林木良种培育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加强森林资源管护，提升林木良种培育能力和林木良种使用率。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加强森林资源管护，提升林木良种培育能力和林木良种使用率。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本年度项目资金暂未支出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9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因单位机构改革，部分人员分流，该项目调整至2023年度实施。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nil"/>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nil"/>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nil"/>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88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良种苗木补助个数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restart"/>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bidi="ar"/>
              </w:rPr>
              <w:t>质量指标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项目合格率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nil"/>
              <w:left w:val="nil"/>
              <w:bottom w:val="nil"/>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0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森林火灾受害率</w:t>
            </w:r>
          </w:p>
        </w:tc>
        <w:tc>
          <w:tcPr>
            <w:tcW w:w="88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w:t>
            </w:r>
          </w:p>
        </w:tc>
        <w:tc>
          <w:tcPr>
            <w:tcW w:w="896"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0.9</w:t>
            </w:r>
          </w:p>
        </w:tc>
        <w:tc>
          <w:tcPr>
            <w:tcW w:w="886"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bidi="ar"/>
              </w:rPr>
              <w:t>成本指标</w:t>
            </w:r>
          </w:p>
        </w:tc>
        <w:tc>
          <w:tcPr>
            <w:tcW w:w="1005" w:type="dxa"/>
            <w:tcBorders>
              <w:top w:val="single" w:color="000000" w:sz="8" w:space="0"/>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良种苗木补助费用</w:t>
            </w:r>
          </w:p>
        </w:tc>
        <w:tc>
          <w:tcPr>
            <w:tcW w:w="88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w:t>
            </w:r>
          </w:p>
        </w:tc>
        <w:tc>
          <w:tcPr>
            <w:tcW w:w="89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88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林业有害生物无公害防治率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8" w:hRule="atLeast"/>
        </w:trPr>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bidi="ar"/>
              </w:rPr>
              <w:t>可持续影响指标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bidi="ar"/>
              </w:rPr>
              <w:t>项目实施区生态系统功能改善可持续影响</w:t>
            </w:r>
          </w:p>
        </w:tc>
        <w:tc>
          <w:tcPr>
            <w:tcW w:w="885"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36"/>
                <w:lang w:val="en-US" w:eastAsia="zh-CN" w:bidi="ar"/>
              </w:rPr>
              <w:t>明显</w:t>
            </w:r>
          </w:p>
        </w:tc>
        <w:tc>
          <w:tcPr>
            <w:tcW w:w="886" w:type="dxa"/>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明显</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通过该项目实施，加强森力资源管护，自评得分98分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保障单位日常运转，提高预算编制质量，严格执行预算</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本年度单位日常正常开展工作，并完成年度工作任务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按相关政策报销日常公用经费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17.9</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98.88%</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vMerge w:val="restart"/>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17.9</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98.88%</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科目调整次数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次</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质量指标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预算编制准确率（计算方法为：∣（执行数-预算数）/预算数∣）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运转保障率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4"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“三公经费”控制率[计算方法为：（三公经费实际支出数/预算安排数]×100%）</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99.5</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通过该项目的实施，保障了单位日常正常运转，自评得分99.5分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900" w:type="dxa"/>
            <w:gridSpan w:val="11"/>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Style w:val="30"/>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项目名称</w:t>
            </w:r>
          </w:p>
        </w:tc>
        <w:tc>
          <w:tcPr>
            <w:tcW w:w="8124" w:type="dxa"/>
            <w:gridSpan w:val="9"/>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1776"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主管部门</w:t>
            </w: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广元市林业局部门</w:t>
            </w:r>
          </w:p>
        </w:tc>
        <w:tc>
          <w:tcPr>
            <w:tcW w:w="89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实施单位 （盖章）</w:t>
            </w:r>
          </w:p>
        </w:tc>
        <w:tc>
          <w:tcPr>
            <w:tcW w:w="266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广元市国营中心苗圃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项目基本情况</w:t>
            </w: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1.项目年度目标完成情况</w:t>
            </w:r>
          </w:p>
        </w:tc>
        <w:tc>
          <w:tcPr>
            <w:tcW w:w="4562" w:type="dxa"/>
            <w:gridSpan w:val="5"/>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项目年度目标</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Style w:val="32"/>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4562" w:type="dxa"/>
            <w:gridSpan w:val="5"/>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3562" w:type="dxa"/>
            <w:gridSpan w:val="4"/>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及时、足额完成工资的发放，零结余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2.项目实施内容及过程概述</w:t>
            </w:r>
          </w:p>
        </w:tc>
        <w:tc>
          <w:tcPr>
            <w:tcW w:w="8124" w:type="dxa"/>
            <w:gridSpan w:val="9"/>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严格执行相关政策，序时发放职工工资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预算执行情况（10分）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年度预算数（万元）</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年初预算</w:t>
            </w:r>
          </w:p>
        </w:tc>
        <w:tc>
          <w:tcPr>
            <w:tcW w:w="100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调整后预算数</w:t>
            </w:r>
          </w:p>
        </w:tc>
        <w:tc>
          <w:tcPr>
            <w:tcW w:w="2667" w:type="dxa"/>
            <w:gridSpan w:val="3"/>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预算执行数</w:t>
            </w:r>
          </w:p>
        </w:tc>
        <w:tc>
          <w:tcPr>
            <w:tcW w:w="8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预算执行率</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总额</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25.96</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25.96</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91" w:type="dxa"/>
            <w:vMerge w:val="restart"/>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其中：财政资金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25.96</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25.96</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财政专户管理资金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单位资金</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667"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其他资金</w:t>
            </w:r>
          </w:p>
        </w:tc>
        <w:tc>
          <w:tcPr>
            <w:tcW w:w="890"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0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667" w:type="dxa"/>
            <w:gridSpan w:val="3"/>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95"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1" w:type="dxa"/>
            <w:vMerge w:val="continue"/>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绩效指标（90分）</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一级指标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二级指标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三级指标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指标性质</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指标值</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度量单位</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完成值</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权重</w:t>
            </w:r>
          </w:p>
        </w:tc>
        <w:tc>
          <w:tcPr>
            <w:tcW w:w="88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得分</w:t>
            </w:r>
          </w:p>
        </w:tc>
        <w:tc>
          <w:tcPr>
            <w:tcW w:w="8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产出指标</w:t>
            </w:r>
          </w:p>
        </w:tc>
        <w:tc>
          <w:tcPr>
            <w:tcW w:w="890"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数量指标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足额保障率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科目调整次数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次</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时效指标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按时发放率</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888"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效益指标</w:t>
            </w:r>
          </w:p>
        </w:tc>
        <w:tc>
          <w:tcPr>
            <w:tcW w:w="89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经济效益指标</w:t>
            </w:r>
          </w:p>
        </w:tc>
        <w:tc>
          <w:tcPr>
            <w:tcW w:w="100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结余率（计算方法为：结余数/预算数）</w:t>
            </w:r>
          </w:p>
        </w:tc>
        <w:tc>
          <w:tcPr>
            <w:tcW w:w="88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8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w:t>
            </w:r>
          </w:p>
        </w:tc>
        <w:tc>
          <w:tcPr>
            <w:tcW w:w="8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7233" w:type="dxa"/>
            <w:gridSpan w:val="8"/>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合计</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8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91" w:type="dxa"/>
            <w:tcBorders>
              <w:top w:val="nil"/>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评价结论</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通过该项目实施，保障了基础绩效奖和生活补助的及时发放、足额发放，自评得分100分。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存在问题</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31"/>
                <w:lang w:val="en-US" w:eastAsia="zh-CN" w:bidi="ar"/>
              </w:rPr>
              <w:t>改进措施</w:t>
            </w:r>
          </w:p>
        </w:tc>
        <w:tc>
          <w:tcPr>
            <w:tcW w:w="9012" w:type="dxa"/>
            <w:gridSpan w:val="10"/>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4556" w:type="dxa"/>
            <w:gridSpan w:val="5"/>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项目负责人：</w:t>
            </w:r>
          </w:p>
        </w:tc>
        <w:tc>
          <w:tcPr>
            <w:tcW w:w="5344" w:type="dxa"/>
            <w:gridSpan w:val="6"/>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18"/>
                <w:szCs w:val="18"/>
                <w:u w:val="none"/>
              </w:rPr>
            </w:pPr>
            <w:r>
              <w:rPr>
                <w:rStyle w:val="32"/>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 w:hRule="atLeast"/>
        </w:trPr>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0"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6"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5"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jc w:val="both"/>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9900"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1、报表说明:该报表查询项目信息、绩效目标信息、预算及执行情况，用于预算单位查询导出开展项目自评。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9900"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2、取数口径：部门项目绩效目标表信息，包括年初预算、追加预算、结转预算和调整预算的绩效目标（以项目的最终绩效目标为准）。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9900"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适用地区：全省范围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9900" w:type="dxa"/>
            <w:gridSpan w:val="11"/>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31"/>
                <w:lang w:val="en-US" w:eastAsia="zh-CN" w:bidi="ar"/>
              </w:rPr>
              <w:t>适用用户：部门用户、单位用户</w:t>
            </w:r>
          </w:p>
        </w:tc>
      </w:tr>
    </w:tbl>
    <w:p>
      <w:pPr>
        <w:spacing w:line="600" w:lineRule="exact"/>
        <w:jc w:val="center"/>
        <w:outlineLvl w:val="0"/>
        <w:rPr>
          <w:rStyle w:val="24"/>
          <w:rFonts w:ascii="黑体" w:hAnsi="黑体" w:eastAsia="黑体"/>
          <w:b w:val="0"/>
          <w:color w:val="auto"/>
          <w:highlight w:val="none"/>
        </w:rPr>
      </w:pPr>
    </w:p>
    <w:p>
      <w:pPr>
        <w:keepNext w:val="0"/>
        <w:keepLines w:val="0"/>
        <w:pageBreakBefore w:val="0"/>
        <w:kinsoku/>
        <w:wordWrap/>
        <w:overflowPunct/>
        <w:topLinePunct w:val="0"/>
        <w:autoSpaceDE/>
        <w:autoSpaceDN/>
        <w:bidi w:val="0"/>
        <w:spacing w:line="572" w:lineRule="exact"/>
        <w:jc w:val="left"/>
        <w:textAlignment w:val="auto"/>
        <w:outlineLvl w:val="0"/>
        <w:rPr>
          <w:rFonts w:ascii="仿宋_GB2312" w:hAnsi="仿宋_GB2312" w:eastAsia="仿宋_GB2312" w:cs="仿宋_GB2312"/>
          <w:color w:val="auto"/>
          <w:sz w:val="32"/>
          <w:szCs w:val="32"/>
          <w:highlight w:val="none"/>
        </w:rPr>
      </w:pPr>
    </w:p>
    <w:p>
      <w:pPr>
        <w:pStyle w:val="2"/>
        <w:rPr>
          <w:rFonts w:hint="eastAsia" w:ascii="仿宋_GB2312" w:hAnsi="Calibri" w:eastAsia="仿宋_GB2312" w:cs="仿宋"/>
          <w:color w:val="auto"/>
          <w:kern w:val="0"/>
          <w:sz w:val="32"/>
          <w:szCs w:val="32"/>
          <w:highlight w:val="none"/>
          <w:lang w:val="en-US" w:eastAsia="zh-CN" w:bidi="ar-SA"/>
        </w:rPr>
      </w:pPr>
      <w:bookmarkStart w:id="53" w:name="_Toc15396618"/>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sectPr>
          <w:pgSz w:w="11906" w:h="16838"/>
          <w:pgMar w:top="1440" w:right="1803" w:bottom="1440" w:left="1803" w:header="851" w:footer="992" w:gutter="0"/>
          <w:pgNumType w:fmt="numberInDash"/>
          <w:cols w:space="0" w:num="1"/>
          <w:titlePg/>
          <w:rtlGutter w:val="0"/>
          <w:docGrid w:type="lines" w:linePitch="319" w:charSpace="0"/>
        </w:sectPr>
      </w:pPr>
    </w:p>
    <w:p>
      <w:pPr>
        <w:pStyle w:val="2"/>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24"/>
          <w:rFonts w:hint="eastAsia" w:ascii="黑体" w:hAnsi="黑体" w:eastAsia="黑体"/>
          <w:b w:val="0"/>
          <w:color w:val="auto"/>
          <w:highlight w:val="none"/>
        </w:rPr>
        <w:t>五部分 附表</w:t>
      </w:r>
      <w:bookmarkEnd w:id="51"/>
      <w:bookmarkEnd w:id="53"/>
      <w:bookmarkStart w:id="54" w:name="_Toc15396619"/>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25"/>
          <w:rFonts w:hint="eastAsia" w:ascii="仿宋" w:hAnsi="仿宋" w:eastAsia="仿宋"/>
          <w:b w:val="0"/>
          <w:bCs w:val="0"/>
          <w:color w:val="auto"/>
          <w:highlight w:val="none"/>
        </w:rPr>
        <w:t>入支出决算总表</w:t>
      </w:r>
      <w:bookmarkEnd w:id="54"/>
    </w:p>
    <w:p>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25"/>
          <w:rFonts w:hint="eastAsia" w:ascii="仿宋" w:hAnsi="仿宋" w:eastAsia="仿宋"/>
          <w:b w:val="0"/>
          <w:bCs w:val="0"/>
          <w:color w:val="auto"/>
          <w:highlight w:val="none"/>
        </w:rPr>
        <w:t>入决算表</w:t>
      </w:r>
      <w:bookmarkEnd w:id="55"/>
    </w:p>
    <w:p>
      <w:pPr>
        <w:pStyle w:val="4"/>
        <w:rPr>
          <w:rFonts w:ascii="仿宋" w:hAnsi="仿宋" w:eastAsia="仿宋"/>
          <w:color w:val="auto"/>
          <w:highlight w:val="none"/>
        </w:rPr>
      </w:pPr>
      <w:bookmarkStart w:id="56" w:name="_Toc15396621"/>
      <w:r>
        <w:rPr>
          <w:rStyle w:val="25"/>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5"/>
          <w:rFonts w:hint="eastAsia" w:ascii="仿宋" w:hAnsi="仿宋" w:eastAsia="仿宋"/>
          <w:b w:val="0"/>
          <w:bCs w:val="0"/>
          <w:color w:val="auto"/>
          <w:highlight w:val="none"/>
        </w:rPr>
        <w:t>出决算表</w:t>
      </w:r>
      <w:bookmarkEnd w:id="56"/>
    </w:p>
    <w:p>
      <w:pPr>
        <w:pStyle w:val="4"/>
        <w:rPr>
          <w:rFonts w:ascii="仿宋" w:hAnsi="仿宋" w:eastAsia="仿宋"/>
          <w:b w:val="0"/>
          <w:color w:val="auto"/>
          <w:highlight w:val="none"/>
        </w:rPr>
      </w:pPr>
      <w:bookmarkStart w:id="57" w:name="_Toc15396622"/>
      <w:r>
        <w:rPr>
          <w:rStyle w:val="25"/>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5"/>
          <w:rFonts w:hint="eastAsia" w:ascii="仿宋" w:hAnsi="仿宋" w:eastAsia="仿宋"/>
          <w:b w:val="0"/>
          <w:bCs w:val="0"/>
          <w:color w:val="auto"/>
          <w:highlight w:val="none"/>
        </w:rPr>
        <w:t>政拨款收入支出决算总表</w:t>
      </w:r>
      <w:bookmarkEnd w:id="57"/>
    </w:p>
    <w:p>
      <w:pPr>
        <w:pStyle w:val="4"/>
        <w:rPr>
          <w:rStyle w:val="25"/>
          <w:rFonts w:ascii="仿宋" w:hAnsi="仿宋" w:eastAsia="仿宋"/>
          <w:b w:val="0"/>
          <w:bCs w:val="0"/>
          <w:color w:val="auto"/>
          <w:highlight w:val="none"/>
        </w:rPr>
      </w:pPr>
      <w:bookmarkStart w:id="58" w:name="_Toc15396623"/>
      <w:r>
        <w:rPr>
          <w:rStyle w:val="25"/>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5"/>
          <w:rFonts w:hint="eastAsia" w:ascii="仿宋" w:hAnsi="仿宋" w:eastAsia="仿宋"/>
          <w:b w:val="0"/>
          <w:bCs w:val="0"/>
          <w:color w:val="auto"/>
          <w:highlight w:val="none"/>
        </w:rPr>
        <w:t>政拨款支出决算明细表</w:t>
      </w:r>
      <w:bookmarkEnd w:id="58"/>
      <w:bookmarkStart w:id="59" w:name="_Toc15396624"/>
    </w:p>
    <w:p>
      <w:pPr>
        <w:pStyle w:val="4"/>
        <w:rPr>
          <w:rFonts w:ascii="仿宋" w:hAnsi="仿宋" w:eastAsia="仿宋"/>
          <w:color w:val="auto"/>
          <w:highlight w:val="none"/>
        </w:rPr>
      </w:pPr>
      <w:r>
        <w:rPr>
          <w:rStyle w:val="25"/>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5"/>
          <w:rFonts w:hint="eastAsia" w:ascii="仿宋" w:hAnsi="仿宋" w:eastAsia="仿宋"/>
          <w:b w:val="0"/>
          <w:bCs w:val="0"/>
          <w:color w:val="auto"/>
          <w:highlight w:val="none"/>
        </w:rPr>
        <w:t>般公共预算财政拨款支出决算表</w:t>
      </w:r>
      <w:bookmarkEnd w:id="59"/>
    </w:p>
    <w:p>
      <w:pPr>
        <w:pStyle w:val="4"/>
        <w:rPr>
          <w:rFonts w:ascii="仿宋" w:hAnsi="仿宋" w:eastAsia="仿宋"/>
          <w:color w:val="auto"/>
          <w:highlight w:val="none"/>
        </w:rPr>
      </w:pPr>
      <w:bookmarkStart w:id="60" w:name="_Toc15396625"/>
      <w:r>
        <w:rPr>
          <w:rStyle w:val="25"/>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5"/>
          <w:rFonts w:hint="eastAsia" w:ascii="仿宋" w:hAnsi="仿宋" w:eastAsia="仿宋"/>
          <w:b w:val="0"/>
          <w:bCs w:val="0"/>
          <w:color w:val="auto"/>
          <w:highlight w:val="none"/>
        </w:rPr>
        <w:t>般公共预算财政拨款支出决算明细表</w:t>
      </w:r>
      <w:bookmarkEnd w:id="60"/>
    </w:p>
    <w:p>
      <w:pPr>
        <w:pStyle w:val="4"/>
        <w:rPr>
          <w:rFonts w:ascii="仿宋" w:hAnsi="仿宋" w:eastAsia="仿宋"/>
          <w:color w:val="auto"/>
          <w:highlight w:val="none"/>
        </w:rPr>
      </w:pPr>
      <w:bookmarkStart w:id="61" w:name="_Toc15396626"/>
      <w:r>
        <w:rPr>
          <w:rStyle w:val="25"/>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5"/>
          <w:rFonts w:hint="eastAsia" w:ascii="仿宋" w:hAnsi="仿宋" w:eastAsia="仿宋"/>
          <w:b w:val="0"/>
          <w:bCs w:val="0"/>
          <w:color w:val="auto"/>
          <w:highlight w:val="none"/>
        </w:rPr>
        <w:t>般公共预算财政拨款基本支出决算表</w:t>
      </w:r>
      <w:bookmarkEnd w:id="61"/>
    </w:p>
    <w:p>
      <w:pPr>
        <w:pStyle w:val="4"/>
        <w:rPr>
          <w:rFonts w:ascii="仿宋" w:hAnsi="仿宋" w:eastAsia="仿宋"/>
          <w:color w:val="auto"/>
          <w:highlight w:val="none"/>
        </w:rPr>
      </w:pPr>
      <w:bookmarkStart w:id="62" w:name="_Toc15396627"/>
      <w:r>
        <w:rPr>
          <w:rStyle w:val="25"/>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5"/>
          <w:rFonts w:hint="eastAsia" w:ascii="仿宋" w:hAnsi="仿宋" w:eastAsia="仿宋"/>
          <w:b w:val="0"/>
          <w:bCs w:val="0"/>
          <w:color w:val="auto"/>
          <w:highlight w:val="none"/>
        </w:rPr>
        <w:t>般公共预算财政拨款项目支出决算表</w:t>
      </w:r>
      <w:bookmarkEnd w:id="62"/>
    </w:p>
    <w:p>
      <w:pPr>
        <w:pStyle w:val="4"/>
        <w:rPr>
          <w:rFonts w:ascii="仿宋" w:hAnsi="仿宋" w:eastAsia="仿宋"/>
          <w:color w:val="auto"/>
          <w:highlight w:val="none"/>
        </w:rPr>
      </w:pPr>
      <w:bookmarkStart w:id="63" w:name="_Toc15396628"/>
      <w:r>
        <w:rPr>
          <w:rStyle w:val="25"/>
          <w:rFonts w:hint="eastAsia" w:ascii="仿宋" w:hAnsi="仿宋" w:eastAsia="仿宋"/>
          <w:b w:val="0"/>
          <w:bCs w:val="0"/>
          <w:color w:val="auto"/>
          <w:highlight w:val="none"/>
        </w:rPr>
        <w:t>十、</w:t>
      </w:r>
      <w:bookmarkEnd w:id="63"/>
      <w:r>
        <w:rPr>
          <w:rFonts w:hint="eastAsia" w:ascii="仿宋" w:hAnsi="仿宋" w:eastAsia="仿宋"/>
          <w:b w:val="0"/>
          <w:color w:val="auto"/>
          <w:highlight w:val="none"/>
        </w:rPr>
        <w:t>政</w:t>
      </w:r>
      <w:r>
        <w:rPr>
          <w:rStyle w:val="25"/>
          <w:rFonts w:hint="eastAsia" w:ascii="仿宋" w:hAnsi="仿宋" w:eastAsia="仿宋"/>
          <w:b w:val="0"/>
          <w:bCs w:val="0"/>
          <w:color w:val="auto"/>
          <w:highlight w:val="none"/>
        </w:rPr>
        <w:t>府性基金预算财政拨款收入支出决算表</w:t>
      </w:r>
    </w:p>
    <w:p>
      <w:pPr>
        <w:pStyle w:val="4"/>
        <w:rPr>
          <w:rFonts w:ascii="仿宋" w:hAnsi="仿宋" w:eastAsia="仿宋"/>
          <w:color w:val="auto"/>
          <w:highlight w:val="none"/>
        </w:rPr>
      </w:pPr>
      <w:bookmarkStart w:id="64" w:name="_Toc15396629"/>
      <w:r>
        <w:rPr>
          <w:rStyle w:val="25"/>
          <w:rFonts w:hint="eastAsia" w:ascii="仿宋" w:hAnsi="仿宋" w:eastAsia="仿宋"/>
          <w:b w:val="0"/>
          <w:bCs w:val="0"/>
          <w:color w:val="auto"/>
          <w:highlight w:val="none"/>
        </w:rPr>
        <w:t>十一、</w:t>
      </w:r>
      <w:bookmarkEnd w:id="64"/>
      <w:r>
        <w:rPr>
          <w:rFonts w:hint="eastAsia" w:ascii="仿宋" w:hAnsi="仿宋" w:eastAsia="仿宋"/>
          <w:b w:val="0"/>
          <w:color w:val="auto"/>
          <w:highlight w:val="none"/>
        </w:rPr>
        <w:t>国</w:t>
      </w:r>
      <w:r>
        <w:rPr>
          <w:rStyle w:val="25"/>
          <w:rFonts w:hint="eastAsia" w:ascii="仿宋" w:hAnsi="仿宋" w:eastAsia="仿宋"/>
          <w:b w:val="0"/>
          <w:bCs w:val="0"/>
          <w:color w:val="auto"/>
          <w:highlight w:val="none"/>
        </w:rPr>
        <w:t>有资本经营预算</w:t>
      </w:r>
      <w:r>
        <w:rPr>
          <w:rStyle w:val="25"/>
          <w:rFonts w:hint="eastAsia" w:ascii="仿宋" w:hAnsi="仿宋" w:eastAsia="仿宋"/>
          <w:b w:val="0"/>
          <w:bCs w:val="0"/>
          <w:color w:val="auto"/>
          <w:highlight w:val="none"/>
          <w:lang w:eastAsia="zh-CN"/>
        </w:rPr>
        <w:t>财政拨款收入</w:t>
      </w:r>
      <w:r>
        <w:rPr>
          <w:rStyle w:val="25"/>
          <w:rFonts w:hint="eastAsia" w:ascii="仿宋" w:hAnsi="仿宋" w:eastAsia="仿宋"/>
          <w:b w:val="0"/>
          <w:bCs w:val="0"/>
          <w:color w:val="auto"/>
          <w:highlight w:val="none"/>
        </w:rPr>
        <w:t>支出决算表</w:t>
      </w:r>
    </w:p>
    <w:p>
      <w:pPr>
        <w:pStyle w:val="4"/>
        <w:rPr>
          <w:rFonts w:ascii="仿宋" w:hAnsi="仿宋" w:eastAsia="仿宋"/>
          <w:color w:val="auto"/>
          <w:highlight w:val="none"/>
        </w:rPr>
      </w:pPr>
      <w:bookmarkStart w:id="65" w:name="_Toc15396630"/>
      <w:r>
        <w:rPr>
          <w:rStyle w:val="25"/>
          <w:rFonts w:hint="eastAsia" w:ascii="仿宋" w:hAnsi="仿宋" w:eastAsia="仿宋"/>
          <w:b w:val="0"/>
          <w:bCs w:val="0"/>
          <w:color w:val="auto"/>
          <w:highlight w:val="none"/>
        </w:rPr>
        <w:t>十二、</w:t>
      </w:r>
      <w:bookmarkEnd w:id="65"/>
      <w:r>
        <w:rPr>
          <w:rStyle w:val="25"/>
          <w:rFonts w:hint="eastAsia" w:ascii="仿宋" w:hAnsi="仿宋" w:eastAsia="仿宋"/>
          <w:b w:val="0"/>
          <w:bCs w:val="0"/>
          <w:color w:val="auto"/>
          <w:highlight w:val="none"/>
          <w:lang w:eastAsia="zh-CN"/>
        </w:rPr>
        <w:t>国有资本经营预算财政拨款支出决算表</w:t>
      </w:r>
    </w:p>
    <w:p>
      <w:pPr>
        <w:pStyle w:val="4"/>
        <w:rPr>
          <w:rFonts w:hint="eastAsia" w:eastAsia="仿宋"/>
          <w:color w:val="auto"/>
          <w:highlight w:val="none"/>
          <w:lang w:eastAsia="zh-CN"/>
        </w:rPr>
      </w:pPr>
      <w:bookmarkStart w:id="66" w:name="_Toc15396631"/>
      <w:r>
        <w:rPr>
          <w:rStyle w:val="25"/>
          <w:rFonts w:hint="eastAsia" w:ascii="仿宋" w:hAnsi="仿宋" w:eastAsia="仿宋"/>
          <w:b w:val="0"/>
          <w:bCs w:val="0"/>
          <w:color w:val="auto"/>
          <w:highlight w:val="none"/>
        </w:rPr>
        <w:t>十三、</w:t>
      </w:r>
      <w:bookmarkEnd w:id="66"/>
      <w:r>
        <w:rPr>
          <w:rStyle w:val="25"/>
          <w:rFonts w:hint="eastAsia" w:ascii="仿宋" w:hAnsi="仿宋" w:eastAsia="仿宋"/>
          <w:b w:val="0"/>
          <w:bCs w:val="0"/>
          <w:color w:val="auto"/>
          <w:highlight w:val="none"/>
          <w:lang w:eastAsia="zh-CN"/>
        </w:rPr>
        <w:t>财政拨款“三公”经费支出决算表</w:t>
      </w:r>
    </w:p>
    <w:sectPr>
      <w:pgSz w:w="11906" w:h="16838"/>
      <w:pgMar w:top="1440" w:right="1803" w:bottom="1440" w:left="1803" w:header="851" w:footer="992" w:gutter="0"/>
      <w:pgNumType w:fmt="numberInDash"/>
      <w:cols w:space="0" w:num="1"/>
      <w:titlePg/>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8"/>
          <w:jc w:val="center"/>
        </w:pPr>
        <w:r>
          <w:fldChar w:fldCharType="begin"/>
        </w:r>
        <w:r>
          <w:instrText xml:space="preserve">PAGE   \* MERGEFORMAT</w:instrText>
        </w:r>
        <w:r>
          <w:fldChar w:fldCharType="separate"/>
        </w:r>
        <w:r>
          <w:rPr>
            <w:lang w:val="zh-CN"/>
          </w:rPr>
          <w:t>8</w:t>
        </w:r>
        <w:r>
          <w:fldChar w:fldCharType="end"/>
        </w:r>
      </w:p>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p>
    <w:pPr>
      <w:pStyle w:val="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A1D90"/>
    <w:multiLevelType w:val="singleLevel"/>
    <w:tmpl w:val="812A1D90"/>
    <w:lvl w:ilvl="0" w:tentative="0">
      <w:start w:val="10"/>
      <w:numFmt w:val="chineseCounting"/>
      <w:suff w:val="nothing"/>
      <w:lvlText w:val="%1、"/>
      <w:lvlJc w:val="left"/>
      <w:rPr>
        <w:rFonts w:hint="eastAsia"/>
      </w:rPr>
    </w:lvl>
  </w:abstractNum>
  <w:abstractNum w:abstractNumId="1">
    <w:nsid w:val="81C63392"/>
    <w:multiLevelType w:val="singleLevel"/>
    <w:tmpl w:val="81C63392"/>
    <w:lvl w:ilvl="0" w:tentative="0">
      <w:start w:val="1"/>
      <w:numFmt w:val="decimal"/>
      <w:suff w:val="nothing"/>
      <w:lvlText w:val="%1．"/>
      <w:lvlJc w:val="left"/>
      <w:pPr>
        <w:ind w:left="0" w:firstLine="400"/>
      </w:pPr>
      <w:rPr>
        <w:rFonts w:hint="default" w:ascii="仿宋" w:hAnsi="仿宋" w:eastAsia="仿宋" w:cs="仿宋"/>
        <w:b w:val="0"/>
        <w:bCs w:val="0"/>
        <w:sz w:val="32"/>
        <w:szCs w:val="32"/>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3818A09A"/>
    <w:multiLevelType w:val="singleLevel"/>
    <w:tmpl w:val="3818A09A"/>
    <w:lvl w:ilvl="0" w:tentative="0">
      <w:start w:val="1"/>
      <w:numFmt w:val="chineseCounting"/>
      <w:suff w:val="nothing"/>
      <w:lvlText w:val="%1、"/>
      <w:lvlJc w:val="left"/>
      <w:rPr>
        <w:rFonts w:hint="eastAsia"/>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mYTJiNWEwOTIwMGI3NDFkYWI1N2Y4OGFhYTI0ZjQ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415A"/>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A112B"/>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3A62B5"/>
    <w:rsid w:val="068312D3"/>
    <w:rsid w:val="06976896"/>
    <w:rsid w:val="07D90B91"/>
    <w:rsid w:val="0A2032A3"/>
    <w:rsid w:val="0B8A37D8"/>
    <w:rsid w:val="0EE859DF"/>
    <w:rsid w:val="0FBE66AC"/>
    <w:rsid w:val="105C48A9"/>
    <w:rsid w:val="10C055FF"/>
    <w:rsid w:val="118107EC"/>
    <w:rsid w:val="11B7573D"/>
    <w:rsid w:val="11DD6519"/>
    <w:rsid w:val="13A20DCB"/>
    <w:rsid w:val="168130CF"/>
    <w:rsid w:val="16BB723D"/>
    <w:rsid w:val="17BC579D"/>
    <w:rsid w:val="18015F3F"/>
    <w:rsid w:val="19BD03E8"/>
    <w:rsid w:val="1BC1082A"/>
    <w:rsid w:val="1BE8440E"/>
    <w:rsid w:val="1C3F76DA"/>
    <w:rsid w:val="1D155CEE"/>
    <w:rsid w:val="1D432FD6"/>
    <w:rsid w:val="1DF43BC6"/>
    <w:rsid w:val="1FA82346"/>
    <w:rsid w:val="20F57F95"/>
    <w:rsid w:val="235B41FE"/>
    <w:rsid w:val="23A56454"/>
    <w:rsid w:val="240371BF"/>
    <w:rsid w:val="25711CC6"/>
    <w:rsid w:val="25C741E6"/>
    <w:rsid w:val="261367D3"/>
    <w:rsid w:val="27842671"/>
    <w:rsid w:val="27D43A83"/>
    <w:rsid w:val="296D28BB"/>
    <w:rsid w:val="29FD04D3"/>
    <w:rsid w:val="2ABE7A3E"/>
    <w:rsid w:val="2BAA375A"/>
    <w:rsid w:val="2CA234A8"/>
    <w:rsid w:val="2D5E4969"/>
    <w:rsid w:val="2DB10E80"/>
    <w:rsid w:val="2DF171D7"/>
    <w:rsid w:val="2E0B57DA"/>
    <w:rsid w:val="2E73338E"/>
    <w:rsid w:val="2EFA178C"/>
    <w:rsid w:val="30B46D73"/>
    <w:rsid w:val="312175B4"/>
    <w:rsid w:val="319F7F4E"/>
    <w:rsid w:val="33B34145"/>
    <w:rsid w:val="354C6886"/>
    <w:rsid w:val="383D272C"/>
    <w:rsid w:val="39AE70AB"/>
    <w:rsid w:val="39DE0847"/>
    <w:rsid w:val="3A3050D2"/>
    <w:rsid w:val="3A770978"/>
    <w:rsid w:val="3C0C0783"/>
    <w:rsid w:val="3C64008A"/>
    <w:rsid w:val="3D2F5FD0"/>
    <w:rsid w:val="3EB73F7A"/>
    <w:rsid w:val="3F99019F"/>
    <w:rsid w:val="3F9F3A96"/>
    <w:rsid w:val="3FCE6304"/>
    <w:rsid w:val="3FF95F26"/>
    <w:rsid w:val="41085755"/>
    <w:rsid w:val="435D72A6"/>
    <w:rsid w:val="43FB7A25"/>
    <w:rsid w:val="458203D9"/>
    <w:rsid w:val="48BF60AB"/>
    <w:rsid w:val="493C27E9"/>
    <w:rsid w:val="496F39ED"/>
    <w:rsid w:val="49BC343B"/>
    <w:rsid w:val="49FF41D3"/>
    <w:rsid w:val="4A2C450C"/>
    <w:rsid w:val="4A3E63AA"/>
    <w:rsid w:val="4BE068DB"/>
    <w:rsid w:val="4BF6002B"/>
    <w:rsid w:val="4DEF55B2"/>
    <w:rsid w:val="4E7F9B71"/>
    <w:rsid w:val="4ECE2238"/>
    <w:rsid w:val="4EE02B21"/>
    <w:rsid w:val="4F675628"/>
    <w:rsid w:val="4FB02C0B"/>
    <w:rsid w:val="51A1318B"/>
    <w:rsid w:val="51DB4B86"/>
    <w:rsid w:val="52256F48"/>
    <w:rsid w:val="55333C3E"/>
    <w:rsid w:val="5D4355F8"/>
    <w:rsid w:val="62945DE6"/>
    <w:rsid w:val="64CA39A1"/>
    <w:rsid w:val="67493A9D"/>
    <w:rsid w:val="685D58D4"/>
    <w:rsid w:val="691813E2"/>
    <w:rsid w:val="69630ADE"/>
    <w:rsid w:val="6A903A3E"/>
    <w:rsid w:val="6B1E52EE"/>
    <w:rsid w:val="6B537C98"/>
    <w:rsid w:val="6C4A05C8"/>
    <w:rsid w:val="6D3B1A89"/>
    <w:rsid w:val="71BF4EC2"/>
    <w:rsid w:val="72734D90"/>
    <w:rsid w:val="7412278C"/>
    <w:rsid w:val="74175036"/>
    <w:rsid w:val="7665041C"/>
    <w:rsid w:val="77030AE7"/>
    <w:rsid w:val="783748C1"/>
    <w:rsid w:val="7904082E"/>
    <w:rsid w:val="79E7B28D"/>
    <w:rsid w:val="7B7F2F8F"/>
    <w:rsid w:val="7C686BA9"/>
    <w:rsid w:val="7DAE5A95"/>
    <w:rsid w:val="7F9F20EE"/>
    <w:rsid w:val="9E3A10E2"/>
    <w:rsid w:val="BEEF3BFE"/>
    <w:rsid w:val="DFFF227D"/>
    <w:rsid w:val="EF3E1F3D"/>
    <w:rsid w:val="EFFF9485"/>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1"/>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7"/>
    <w:semiHidden/>
    <w:unhideWhenUsed/>
    <w:qFormat/>
    <w:uiPriority w:val="99"/>
    <w:rPr>
      <w:sz w:val="18"/>
      <w:szCs w:val="18"/>
    </w:rPr>
  </w:style>
  <w:style w:type="paragraph" w:styleId="8">
    <w:name w:val="footer"/>
    <w:basedOn w:val="1"/>
    <w:link w:val="19"/>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semiHidden/>
    <w:qFormat/>
    <w:uiPriority w:val="99"/>
    <w:rPr>
      <w:rFonts w:ascii="Times New Roman" w:hAnsi="Times New Roman"/>
      <w:sz w:val="18"/>
      <w:szCs w:val="18"/>
    </w:rPr>
  </w:style>
  <w:style w:type="character" w:customStyle="1" w:styleId="17">
    <w:name w:val="页眉 Char"/>
    <w:link w:val="9"/>
    <w:semiHidden/>
    <w:qFormat/>
    <w:locked/>
    <w:uiPriority w:val="99"/>
    <w:rPr>
      <w:sz w:val="18"/>
    </w:rPr>
  </w:style>
  <w:style w:type="character" w:customStyle="1" w:styleId="18">
    <w:name w:val="Footer Char"/>
    <w:basedOn w:val="13"/>
    <w:semiHidden/>
    <w:qFormat/>
    <w:uiPriority w:val="99"/>
    <w:rPr>
      <w:rFonts w:ascii="Times New Roman" w:hAnsi="Times New Roman"/>
      <w:sz w:val="18"/>
      <w:szCs w:val="18"/>
    </w:rPr>
  </w:style>
  <w:style w:type="character" w:customStyle="1" w:styleId="19">
    <w:name w:val="页脚 Char"/>
    <w:link w:val="8"/>
    <w:qFormat/>
    <w:locked/>
    <w:uiPriority w:val="99"/>
    <w:rPr>
      <w:sz w:val="18"/>
    </w:rPr>
  </w:style>
  <w:style w:type="character" w:customStyle="1" w:styleId="20">
    <w:name w:val="Body Text Char"/>
    <w:basedOn w:val="13"/>
    <w:semiHidden/>
    <w:qFormat/>
    <w:uiPriority w:val="99"/>
    <w:rPr>
      <w:rFonts w:ascii="Times New Roman" w:hAnsi="Times New Roman"/>
      <w:szCs w:val="24"/>
    </w:rPr>
  </w:style>
  <w:style w:type="character" w:customStyle="1" w:styleId="21">
    <w:name w:val="正文文本 Char"/>
    <w:link w:val="2"/>
    <w:qFormat/>
    <w:locked/>
    <w:uiPriority w:val="99"/>
    <w:rPr>
      <w:rFonts w:ascii="仿宋_GB2312" w:hAnsi="Times New Roman" w:eastAsia="仿宋_GB2312"/>
      <w:sz w:val="24"/>
    </w:rPr>
  </w:style>
  <w:style w:type="paragraph" w:customStyle="1" w:styleId="2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3">
    <w:name w:val="List Paragraph"/>
    <w:basedOn w:val="1"/>
    <w:qFormat/>
    <w:uiPriority w:val="34"/>
    <w:pPr>
      <w:ind w:firstLine="420" w:firstLineChars="200"/>
    </w:pPr>
  </w:style>
  <w:style w:type="character" w:customStyle="1" w:styleId="24">
    <w:name w:val="标题 1 Char"/>
    <w:basedOn w:val="13"/>
    <w:link w:val="3"/>
    <w:qFormat/>
    <w:uiPriority w:val="9"/>
    <w:rPr>
      <w:rFonts w:ascii="Times New Roman" w:hAnsi="Times New Roman"/>
      <w:b/>
      <w:bCs/>
      <w:kern w:val="44"/>
      <w:sz w:val="44"/>
      <w:szCs w:val="44"/>
    </w:rPr>
  </w:style>
  <w:style w:type="character" w:customStyle="1" w:styleId="25">
    <w:name w:val="标题 2 Char"/>
    <w:basedOn w:val="13"/>
    <w:link w:val="4"/>
    <w:qFormat/>
    <w:uiPriority w:val="9"/>
    <w:rPr>
      <w:rFonts w:asciiTheme="majorHAnsi" w:hAnsiTheme="majorHAnsi" w:eastAsiaTheme="majorEastAsia" w:cstheme="majorBidi"/>
      <w:b/>
      <w:bCs/>
      <w:kern w:val="2"/>
      <w:sz w:val="32"/>
      <w:szCs w:val="32"/>
    </w:rPr>
  </w:style>
  <w:style w:type="paragraph" w:customStyle="1" w:styleId="26">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7">
    <w:name w:val="批注框文本 Char"/>
    <w:basedOn w:val="13"/>
    <w:link w:val="7"/>
    <w:semiHidden/>
    <w:qFormat/>
    <w:uiPriority w:val="99"/>
    <w:rPr>
      <w:rFonts w:ascii="Times New Roman" w:hAnsi="Times New Roman"/>
      <w:kern w:val="2"/>
      <w:sz w:val="18"/>
      <w:szCs w:val="18"/>
    </w:rPr>
  </w:style>
  <w:style w:type="character" w:customStyle="1" w:styleId="28">
    <w:name w:val="标题 3 Char"/>
    <w:basedOn w:val="13"/>
    <w:link w:val="5"/>
    <w:qFormat/>
    <w:uiPriority w:val="9"/>
    <w:rPr>
      <w:rFonts w:ascii="Times New Roman" w:hAnsi="Times New Roman"/>
      <w:b/>
      <w:bCs/>
      <w:kern w:val="2"/>
      <w:sz w:val="32"/>
      <w:szCs w:val="32"/>
    </w:rPr>
  </w:style>
  <w:style w:type="paragraph" w:customStyle="1" w:styleId="29">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font31"/>
    <w:basedOn w:val="13"/>
    <w:uiPriority w:val="0"/>
    <w:rPr>
      <w:rFonts w:hint="eastAsia" w:ascii="黑体" w:hAnsi="宋体" w:eastAsia="黑体" w:cs="黑体"/>
      <w:b/>
      <w:bCs/>
      <w:color w:val="000000"/>
      <w:sz w:val="30"/>
      <w:szCs w:val="30"/>
      <w:u w:val="none"/>
    </w:rPr>
  </w:style>
  <w:style w:type="character" w:customStyle="1" w:styleId="31">
    <w:name w:val="font61"/>
    <w:basedOn w:val="13"/>
    <w:uiPriority w:val="0"/>
    <w:rPr>
      <w:rFonts w:hint="eastAsia" w:ascii="宋体" w:hAnsi="宋体" w:eastAsia="宋体" w:cs="宋体"/>
      <w:color w:val="000000"/>
      <w:sz w:val="18"/>
      <w:szCs w:val="18"/>
      <w:u w:val="none"/>
    </w:rPr>
  </w:style>
  <w:style w:type="character" w:customStyle="1" w:styleId="32">
    <w:name w:val="font51"/>
    <w:basedOn w:val="13"/>
    <w:uiPriority w:val="0"/>
    <w:rPr>
      <w:rFonts w:hint="eastAsia" w:ascii="黑体" w:hAnsi="宋体" w:eastAsia="黑体" w:cs="黑体"/>
      <w:color w:val="000000"/>
      <w:sz w:val="18"/>
      <w:szCs w:val="18"/>
      <w:u w:val="none"/>
    </w:rPr>
  </w:style>
  <w:style w:type="character" w:customStyle="1" w:styleId="33">
    <w:name w:val="font81"/>
    <w:basedOn w:val="13"/>
    <w:uiPriority w:val="0"/>
    <w:rPr>
      <w:rFonts w:hint="eastAsia" w:ascii="宋体" w:hAnsi="宋体" w:eastAsia="宋体" w:cs="宋体"/>
      <w:color w:val="000000"/>
      <w:sz w:val="18"/>
      <w:szCs w:val="18"/>
      <w:u w:val="none"/>
    </w:rPr>
  </w:style>
  <w:style w:type="character" w:customStyle="1" w:styleId="34">
    <w:name w:val="font41"/>
    <w:basedOn w:val="13"/>
    <w:uiPriority w:val="0"/>
    <w:rPr>
      <w:rFonts w:hint="eastAsia" w:ascii="微软雅黑" w:hAnsi="微软雅黑" w:eastAsia="微软雅黑" w:cs="微软雅黑"/>
      <w:i/>
      <w:iCs/>
      <w:color w:val="000000"/>
      <w:sz w:val="16"/>
      <w:szCs w:val="16"/>
      <w:u w:val="none"/>
    </w:rPr>
  </w:style>
  <w:style w:type="character" w:customStyle="1" w:styleId="35">
    <w:name w:val="font11"/>
    <w:basedOn w:val="13"/>
    <w:uiPriority w:val="0"/>
    <w:rPr>
      <w:rFonts w:hint="eastAsia" w:ascii="黑体" w:hAnsi="宋体" w:eastAsia="黑体" w:cs="黑体"/>
      <w:i/>
      <w:iCs/>
      <w:color w:val="000000"/>
      <w:sz w:val="18"/>
      <w:szCs w:val="18"/>
      <w:u w:val="none"/>
    </w:rPr>
  </w:style>
  <w:style w:type="character" w:customStyle="1" w:styleId="36">
    <w:name w:val="font01"/>
    <w:basedOn w:val="13"/>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chart" Target="charts/chart6.xml"/><Relationship Id="rId16" Type="http://schemas.openxmlformats.org/officeDocument/2006/relationships/chart" Target="charts/chart5.xml"/><Relationship Id="rId15" Type="http://schemas.openxmlformats.org/officeDocument/2006/relationships/chart" Target="charts/chart4.xml"/><Relationship Id="rId14" Type="http://schemas.openxmlformats.org/officeDocument/2006/relationships/chart" Target="charts/chart3.xml"/><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2021年度</c:v>
                </c:pt>
                <c:pt idx="1">
                  <c:v>2022年度</c:v>
                </c:pt>
              </c:strCache>
            </c:strRef>
          </c:cat>
          <c:val>
            <c:numRef>
              <c:f>Sheet1!$B$2:$B$3</c:f>
              <c:numCache>
                <c:formatCode>General</c:formatCode>
                <c:ptCount val="2"/>
                <c:pt idx="0">
                  <c:v>-1503.34</c:v>
                </c:pt>
                <c:pt idx="1">
                  <c:v>-1592.09</c:v>
                </c:pt>
              </c:numCache>
            </c:numRef>
          </c:val>
        </c:ser>
        <c:dLbls>
          <c:showLegendKey val="0"/>
          <c:showVal val="0"/>
          <c:showCatName val="0"/>
          <c:showSerName val="0"/>
          <c:showPercent val="0"/>
          <c:showBubbleSize val="0"/>
        </c:dLbls>
        <c:gapWidth val="219"/>
        <c:overlap val="-27"/>
        <c:axId val="452495129"/>
        <c:axId val="243328640"/>
      </c:barChart>
      <c:catAx>
        <c:axId val="45249512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3328640"/>
        <c:crosses val="autoZero"/>
        <c:auto val="1"/>
        <c:lblAlgn val="ctr"/>
        <c:lblOffset val="100"/>
        <c:noMultiLvlLbl val="0"/>
      </c:catAx>
      <c:valAx>
        <c:axId val="243328640"/>
        <c:scaling>
          <c:orientation val="minMax"/>
          <c:max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249512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0"/>
        <c:ser>
          <c:idx val="0"/>
          <c:order val="0"/>
          <c:tx>
            <c:strRef>
              <c:f>Sheet1!$B$1</c:f>
              <c:strCache>
                <c:ptCount val="1"/>
                <c:pt idx="0">
                  <c:v>收入</c:v>
                </c:pt>
              </c:strCache>
            </c:strRef>
          </c:tx>
          <c:spPr>
            <a:solidFill>
              <a:schemeClr val="accent1"/>
            </a:solidFill>
            <a:ln w="19050">
              <a:solidFill>
                <a:schemeClr val="lt1"/>
              </a:solidFill>
            </a:ln>
            <a:effectLst/>
          </c:spPr>
          <c:explosion val="0"/>
          <c:dPt>
            <c:idx val="1"/>
            <c:bubble3D val="0"/>
            <c:spPr>
              <a:solidFill>
                <a:srgbClr val="FF0000"/>
              </a:solidFill>
              <a:ln w="19050">
                <a:solidFill>
                  <a:schemeClr val="lt1"/>
                </a:solidFill>
              </a:ln>
              <a:effectLst/>
            </c:spPr>
          </c:dPt>
          <c:dLbls>
            <c:dLbl>
              <c:idx val="0"/>
              <c:layout>
                <c:manualLayout>
                  <c:x val="-0.11495653927404"/>
                  <c:y val="-0.070658017764852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51463875314806"/>
                  <c:y val="0"/>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其他收入</c:v>
                </c:pt>
              </c:strCache>
            </c:strRef>
          </c:cat>
          <c:val>
            <c:numRef>
              <c:f>Sheet1!$B$2:$B$3</c:f>
              <c:numCache>
                <c:formatCode>0%</c:formatCode>
                <c:ptCount val="2"/>
                <c:pt idx="0">
                  <c:v>0.9999</c:v>
                </c:pt>
                <c:pt idx="1" c:formatCode="0.00%">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0301944819158778"/>
                  <c:y val="-0.038769157941226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769449084490575"/>
                  <c:y val="0.046131126340669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c:formatCode>
                <c:ptCount val="2"/>
                <c:pt idx="0">
                  <c:v>0.83</c:v>
                </c:pt>
                <c:pt idx="1">
                  <c:v>0.17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1075"/>
          <c:y val="0.00570017100513015"/>
          <c:w val="0.905175"/>
          <c:h val="0.866311989359681"/>
        </c:manualLayout>
      </c:layout>
      <c:barChart>
        <c:barDir val="col"/>
        <c:grouping val="clustered"/>
        <c:varyColors val="0"/>
        <c:ser>
          <c:idx val="0"/>
          <c:order val="0"/>
          <c:tx>
            <c:strRef>
              <c:f>Sheet1!$B$1</c:f>
              <c:strCache>
                <c:ptCount val="1"/>
                <c:pt idx="0">
                  <c:v>金额</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2021年财政拨款收、支总计（万元）</c:v>
                </c:pt>
                <c:pt idx="1">
                  <c:v>2022年财政拨款收、支总计（万元）</c:v>
                </c:pt>
              </c:strCache>
            </c:strRef>
          </c:cat>
          <c:val>
            <c:numRef>
              <c:f>Sheet1!$B$2:$B$3</c:f>
              <c:numCache>
                <c:formatCode>General</c:formatCode>
                <c:ptCount val="2"/>
                <c:pt idx="0">
                  <c:v>647.09</c:v>
                </c:pt>
                <c:pt idx="1">
                  <c:v>558.32</c:v>
                </c:pt>
              </c:numCache>
            </c:numRef>
          </c:val>
        </c:ser>
        <c:dLbls>
          <c:showLegendKey val="0"/>
          <c:showVal val="1"/>
          <c:showCatName val="0"/>
          <c:showSerName val="0"/>
          <c:showPercent val="0"/>
          <c:showBubbleSize val="0"/>
        </c:dLbls>
        <c:gapWidth val="219"/>
        <c:overlap val="-27"/>
        <c:axId val="241457246"/>
        <c:axId val="659256015"/>
      </c:barChart>
      <c:catAx>
        <c:axId val="24145724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9256015"/>
        <c:crossesAt val="0"/>
        <c:auto val="1"/>
        <c:lblAlgn val="ctr"/>
        <c:lblOffset val="100"/>
        <c:noMultiLvlLbl val="0"/>
      </c:catAx>
      <c:valAx>
        <c:axId val="659256015"/>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145724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金额</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2021年一般公共预算财政拨款支出（万元）</c:v>
                </c:pt>
                <c:pt idx="1">
                  <c:v>2022年一般公共预算财政拨款支出（万元）</c:v>
                </c:pt>
              </c:strCache>
            </c:strRef>
          </c:cat>
          <c:val>
            <c:numRef>
              <c:f>Sheet1!$B$2:$B$3</c:f>
              <c:numCache>
                <c:formatCode>General</c:formatCode>
                <c:ptCount val="2"/>
                <c:pt idx="0">
                  <c:v>427.06</c:v>
                </c:pt>
                <c:pt idx="1">
                  <c:v>413.31</c:v>
                </c:pt>
              </c:numCache>
            </c:numRef>
          </c:val>
        </c:ser>
        <c:dLbls>
          <c:showLegendKey val="0"/>
          <c:showVal val="1"/>
          <c:showCatName val="0"/>
          <c:showSerName val="0"/>
          <c:showPercent val="0"/>
          <c:showBubbleSize val="0"/>
        </c:dLbls>
        <c:gapWidth val="219"/>
        <c:overlap val="-27"/>
        <c:axId val="798180909"/>
        <c:axId val="108399241"/>
      </c:barChart>
      <c:catAx>
        <c:axId val="79818090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8399241"/>
        <c:crosses val="autoZero"/>
        <c:auto val="1"/>
        <c:lblAlgn val="ctr"/>
        <c:lblOffset val="100"/>
        <c:noMultiLvlLbl val="0"/>
      </c:catAx>
      <c:valAx>
        <c:axId val="10839924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818090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Lbls>
            <c:dLbl>
              <c:idx val="1"/>
              <c:layout>
                <c:manualLayout>
                  <c:x val="0.00129489623655351"/>
                  <c:y val="0.023957239616891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191913003295"/>
                  <c:y val="-0.046560515937456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科学技术支出</c:v>
                </c:pt>
                <c:pt idx="1">
                  <c:v>社会保障和就业支出</c:v>
                </c:pt>
                <c:pt idx="2">
                  <c:v>卫生健康支出</c:v>
                </c:pt>
                <c:pt idx="3">
                  <c:v>节能环保支出</c:v>
                </c:pt>
                <c:pt idx="4">
                  <c:v>住房保障支出</c:v>
                </c:pt>
                <c:pt idx="5">
                  <c:v>农林水支出</c:v>
                </c:pt>
              </c:strCache>
            </c:strRef>
          </c:cat>
          <c:val>
            <c:numRef>
              <c:f>Sheet1!$B$2:$B$7</c:f>
              <c:numCache>
                <c:formatCode>0%</c:formatCode>
                <c:ptCount val="6"/>
                <c:pt idx="0">
                  <c:v>0.01</c:v>
                </c:pt>
                <c:pt idx="1">
                  <c:v>0.07</c:v>
                </c:pt>
                <c:pt idx="2">
                  <c:v>0.02</c:v>
                </c:pt>
                <c:pt idx="3">
                  <c:v>0.01</c:v>
                </c:pt>
                <c:pt idx="4">
                  <c:v>0.04</c:v>
                </c:pt>
                <c:pt idx="5">
                  <c:v>0.85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51</Pages>
  <Words>17808</Words>
  <Characters>22659</Characters>
  <Lines>61</Lines>
  <Paragraphs>17</Paragraphs>
  <TotalTime>5</TotalTime>
  <ScaleCrop>false</ScaleCrop>
  <LinksUpToDate>false</LinksUpToDate>
  <CharactersWithSpaces>22712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王成彬</cp:lastModifiedBy>
  <cp:lastPrinted>2023-07-31T18:35:00Z</cp:lastPrinted>
  <dcterms:modified xsi:type="dcterms:W3CDTF">2023-10-17T06:20:22Z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6B70361D626A4593B4A9C4A901EC4F63</vt:lpwstr>
  </property>
</Properties>
</file>