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77193"/>
      <w:bookmarkStart w:id="3" w:name="_Toc15396475"/>
      <w:bookmarkStart w:id="4" w:name="_Toc15378441"/>
      <w:bookmarkStart w:id="5" w:name="_Toc8997"/>
      <w:bookmarkStart w:id="6" w:name="_Toc1537742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25979"/>
      <w:bookmarkStart w:id="8" w:name="_Toc15378442"/>
      <w:bookmarkStart w:id="9" w:name="_Toc15396476"/>
      <w:bookmarkStart w:id="10" w:name="_Toc15377426"/>
      <w:bookmarkStart w:id="11" w:name="_Toc15377194"/>
      <w:bookmarkStart w:id="12" w:name="_Toc15396598"/>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val="en-US" w:eastAsia="zh-CN"/>
        </w:rPr>
        <w:t>党风廉政教育中心</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adjustRightInd w:val="0"/>
        <w:snapToGrid w:val="0"/>
        <w:spacing w:line="360" w:lineRule="auto"/>
        <w:jc w:val="center"/>
        <w:outlineLvl w:val="9"/>
        <w:rPr>
          <w:rFonts w:ascii="方正小标宋简体" w:hAnsi="宋体" w:eastAsia="方正小标宋简体"/>
          <w:color w:val="auto"/>
          <w:sz w:val="52"/>
          <w:szCs w:val="52"/>
          <w:highlight w:val="none"/>
        </w:rPr>
      </w:pPr>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p>
    <w:sdt>
      <w:sdtPr>
        <w:rPr>
          <w:rFonts w:ascii="宋体" w:hAnsi="宋体" w:eastAsia="宋体" w:cs="Times New Roman"/>
          <w:kern w:val="2"/>
          <w:sz w:val="21"/>
          <w:szCs w:val="24"/>
          <w:lang w:val="en-US" w:eastAsia="zh-CN" w:bidi="ar-SA"/>
        </w:rPr>
        <w:id w:val="147479450"/>
        <w15:color w:val="DBDBDB"/>
        <w:docPartObj>
          <w:docPartGallery w:val="Table of Contents"/>
          <w:docPartUnique/>
        </w:docPartObj>
      </w:sdtPr>
      <w:sdtEndPr>
        <w:rPr>
          <w:rFonts w:ascii="仿宋" w:hAnsi="仿宋" w:eastAsia="仿宋" w:cs="Times New Roman"/>
          <w:b/>
          <w:color w:val="auto"/>
          <w:kern w:val="2"/>
          <w:sz w:val="21"/>
          <w:szCs w:val="24"/>
          <w:highlight w:val="yellow"/>
          <w:lang w:val="en-US" w:eastAsia="zh-CN" w:bidi="ar-SA"/>
        </w:rPr>
      </w:sdtEndPr>
      <w:sdtContent>
        <w:p>
          <w:pPr>
            <w:spacing w:before="0" w:beforeLines="0" w:after="0" w:afterLines="0" w:line="240" w:lineRule="auto"/>
            <w:ind w:left="0" w:leftChars="0" w:right="0" w:rightChars="0" w:firstLine="0" w:firstLineChars="0"/>
            <w:jc w:val="center"/>
          </w:pPr>
        </w:p>
        <w:p>
          <w:pPr>
            <w:pStyle w:val="31"/>
            <w:tabs>
              <w:tab w:val="right" w:leader="dot" w:pos="8306"/>
            </w:tabs>
            <w:rPr>
              <w:b/>
            </w:rPr>
          </w:pPr>
          <w:r>
            <w:rPr>
              <w:rFonts w:ascii="仿宋" w:hAnsi="仿宋" w:eastAsia="仿宋"/>
              <w:color w:val="auto"/>
              <w:sz w:val="24"/>
              <w:highlight w:val="yellow"/>
            </w:rPr>
            <w:fldChar w:fldCharType="begin"/>
          </w:r>
          <w:r>
            <w:rPr>
              <w:rFonts w:ascii="仿宋" w:hAnsi="仿宋" w:eastAsia="仿宋"/>
              <w:color w:val="auto"/>
              <w:sz w:val="24"/>
              <w:highlight w:val="yellow"/>
            </w:rPr>
            <w:instrText xml:space="preserve">TOC \o "1-2" \h \u </w:instrText>
          </w:r>
          <w:r>
            <w:rPr>
              <w:rFonts w:ascii="仿宋" w:hAnsi="仿宋" w:eastAsia="仿宋"/>
              <w:color w:val="auto"/>
              <w:sz w:val="24"/>
              <w:highlight w:val="yellow"/>
            </w:rPr>
            <w:fldChar w:fldCharType="separate"/>
          </w:r>
        </w:p>
        <w:p>
          <w:pPr>
            <w:pStyle w:val="31"/>
            <w:tabs>
              <w:tab w:val="right" w:leader="dot" w:pos="8306"/>
            </w:tabs>
            <w:rPr>
              <w:b/>
            </w:rPr>
          </w:pPr>
          <w:r>
            <w:rPr>
              <w:rFonts w:ascii="仿宋" w:hAnsi="仿宋" w:eastAsia="仿宋"/>
              <w:b/>
              <w:color w:val="auto"/>
              <w:highlight w:val="yellow"/>
            </w:rPr>
            <w:fldChar w:fldCharType="begin"/>
          </w:r>
          <w:r>
            <w:rPr>
              <w:rFonts w:ascii="仿宋" w:hAnsi="仿宋" w:eastAsia="仿宋"/>
              <w:b/>
              <w:highlight w:val="yellow"/>
            </w:rPr>
            <w:instrText xml:space="preserve"> HYPERLINK \l _Toc27337 </w:instrText>
          </w:r>
          <w:r>
            <w:rPr>
              <w:rFonts w:ascii="仿宋" w:hAnsi="仿宋" w:eastAsia="仿宋"/>
              <w:b/>
              <w:highlight w:val="yellow"/>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_Toc27337 \h </w:instrText>
          </w:r>
          <w:r>
            <w:rPr>
              <w:b/>
            </w:rPr>
            <w:fldChar w:fldCharType="separate"/>
          </w:r>
          <w:r>
            <w:rPr>
              <w:b/>
            </w:rPr>
            <w:t>1</w:t>
          </w:r>
          <w:r>
            <w:rPr>
              <w:b/>
            </w:rPr>
            <w:fldChar w:fldCharType="end"/>
          </w:r>
          <w:r>
            <w:rPr>
              <w:rFonts w:ascii="仿宋" w:hAnsi="仿宋" w:eastAsia="仿宋"/>
              <w:b/>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_Toc31843 </w:instrText>
          </w:r>
          <w:r>
            <w:rPr>
              <w:rFonts w:ascii="仿宋" w:hAnsi="仿宋" w:eastAsia="仿宋"/>
              <w:highlight w:val="yellow"/>
            </w:rPr>
            <w:fldChar w:fldCharType="separate"/>
          </w:r>
          <w:r>
            <w:rPr>
              <w:rFonts w:hint="eastAsia" w:ascii="黑体" w:hAnsi="黑体" w:eastAsia="黑体"/>
              <w:bCs w:val="0"/>
              <w:lang w:eastAsia="zh-CN"/>
            </w:rPr>
            <w:t xml:space="preserve">一、 </w:t>
          </w:r>
          <w:r>
            <w:rPr>
              <w:rFonts w:hint="eastAsia" w:ascii="黑体" w:hAnsi="黑体" w:eastAsia="黑体"/>
              <w:bCs w:val="0"/>
              <w:highlight w:val="none"/>
              <w:lang w:eastAsia="zh-CN"/>
            </w:rPr>
            <w:t>主要职责</w:t>
          </w:r>
          <w:r>
            <w:tab/>
          </w:r>
          <w:r>
            <w:fldChar w:fldCharType="begin"/>
          </w:r>
          <w:r>
            <w:instrText xml:space="preserve"> PAGEREF _Toc31843 \h </w:instrText>
          </w:r>
          <w:r>
            <w:fldChar w:fldCharType="separate"/>
          </w:r>
          <w:r>
            <w:t>1</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_Toc4026 </w:instrText>
          </w:r>
          <w:r>
            <w:rPr>
              <w:rFonts w:ascii="仿宋" w:hAnsi="仿宋" w:eastAsia="仿宋"/>
              <w:highlight w:val="yellow"/>
            </w:rPr>
            <w:fldChar w:fldCharType="separate"/>
          </w:r>
          <w:r>
            <w:rPr>
              <w:rFonts w:hint="eastAsia" w:ascii="黑体" w:hAnsi="黑体" w:eastAsia="黑体"/>
              <w:bCs w:val="0"/>
              <w:lang w:val="en-US" w:eastAsia="zh-CN"/>
            </w:rPr>
            <w:t xml:space="preserve">二、 </w:t>
          </w:r>
          <w:r>
            <w:rPr>
              <w:rFonts w:hint="eastAsia" w:ascii="黑体" w:hAnsi="黑体" w:eastAsia="黑体"/>
              <w:bCs w:val="0"/>
              <w:highlight w:val="none"/>
              <w:lang w:val="en-US" w:eastAsia="zh-CN"/>
            </w:rPr>
            <w:t>机构设置</w:t>
          </w:r>
          <w:r>
            <w:tab/>
          </w:r>
          <w:r>
            <w:fldChar w:fldCharType="begin"/>
          </w:r>
          <w:r>
            <w:instrText xml:space="preserve"> PAGEREF _Toc4026 \h </w:instrText>
          </w:r>
          <w:r>
            <w:fldChar w:fldCharType="separate"/>
          </w:r>
          <w:r>
            <w:t>1</w:t>
          </w:r>
          <w:r>
            <w:fldChar w:fldCharType="end"/>
          </w:r>
          <w:r>
            <w:rPr>
              <w:rFonts w:ascii="仿宋" w:hAnsi="仿宋" w:eastAsia="仿宋"/>
              <w:color w:val="auto"/>
              <w:highlight w:val="yellow"/>
            </w:rPr>
            <w:fldChar w:fldCharType="end"/>
          </w:r>
        </w:p>
        <w:p>
          <w:pPr>
            <w:pStyle w:val="31"/>
            <w:tabs>
              <w:tab w:val="right" w:leader="dot" w:pos="8306"/>
            </w:tabs>
            <w:rPr>
              <w:b/>
            </w:rPr>
          </w:pPr>
          <w:r>
            <w:rPr>
              <w:rFonts w:ascii="仿宋" w:hAnsi="仿宋" w:eastAsia="仿宋"/>
              <w:b/>
              <w:color w:val="auto"/>
              <w:highlight w:val="yellow"/>
            </w:rPr>
            <w:fldChar w:fldCharType="begin"/>
          </w:r>
          <w:r>
            <w:rPr>
              <w:rFonts w:ascii="仿宋" w:hAnsi="仿宋" w:eastAsia="仿宋"/>
              <w:b/>
              <w:highlight w:val="yellow"/>
            </w:rPr>
            <w:instrText xml:space="preserve"> HYPERLINK \l _Toc14130 </w:instrText>
          </w:r>
          <w:r>
            <w:rPr>
              <w:rFonts w:ascii="仿宋" w:hAnsi="仿宋" w:eastAsia="仿宋"/>
              <w:b/>
              <w:highlight w:val="yellow"/>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_Toc14130 \h </w:instrText>
          </w:r>
          <w:r>
            <w:rPr>
              <w:b/>
            </w:rPr>
            <w:fldChar w:fldCharType="separate"/>
          </w:r>
          <w:r>
            <w:rPr>
              <w:b/>
            </w:rPr>
            <w:t>2</w:t>
          </w:r>
          <w:r>
            <w:rPr>
              <w:b/>
            </w:rPr>
            <w:fldChar w:fldCharType="end"/>
          </w:r>
          <w:r>
            <w:rPr>
              <w:rFonts w:ascii="仿宋" w:hAnsi="仿宋" w:eastAsia="仿宋"/>
              <w:b/>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_Toc11904 </w:instrText>
          </w:r>
          <w:r>
            <w:rPr>
              <w:rFonts w:ascii="仿宋" w:hAnsi="仿宋" w:eastAsia="仿宋"/>
              <w:highlight w:val="yellow"/>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_Toc11904 \h </w:instrText>
          </w:r>
          <w:r>
            <w:fldChar w:fldCharType="separate"/>
          </w:r>
          <w:r>
            <w:t>2</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_Toc2283 </w:instrText>
          </w:r>
          <w:r>
            <w:rPr>
              <w:rFonts w:ascii="仿宋" w:hAnsi="仿宋" w:eastAsia="仿宋"/>
              <w:highlight w:val="yellow"/>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_Toc2283 \h </w:instrText>
          </w:r>
          <w:r>
            <w:fldChar w:fldCharType="separate"/>
          </w:r>
          <w:r>
            <w:t>2</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_Toc3822 </w:instrText>
          </w:r>
          <w:r>
            <w:rPr>
              <w:rFonts w:ascii="仿宋" w:hAnsi="仿宋" w:eastAsia="仿宋"/>
              <w:highlight w:val="yellow"/>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_Toc3822 \h </w:instrText>
          </w:r>
          <w:r>
            <w:fldChar w:fldCharType="separate"/>
          </w:r>
          <w:r>
            <w:t>3</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_Toc5626 </w:instrText>
          </w:r>
          <w:r>
            <w:rPr>
              <w:rFonts w:ascii="仿宋" w:hAnsi="仿宋" w:eastAsia="仿宋"/>
              <w:highlight w:val="yellow"/>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_Toc5626 \h </w:instrText>
          </w:r>
          <w:r>
            <w:fldChar w:fldCharType="separate"/>
          </w:r>
          <w:r>
            <w:t>4</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_Toc19947 </w:instrText>
          </w:r>
          <w:r>
            <w:rPr>
              <w:rFonts w:ascii="仿宋" w:hAnsi="仿宋" w:eastAsia="仿宋"/>
              <w:highlight w:val="yellow"/>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_Toc19947 \h </w:instrText>
          </w:r>
          <w:r>
            <w:fldChar w:fldCharType="separate"/>
          </w:r>
          <w:r>
            <w:t>4</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_Toc17133 </w:instrText>
          </w:r>
          <w:r>
            <w:rPr>
              <w:rFonts w:ascii="仿宋" w:hAnsi="仿宋" w:eastAsia="仿宋"/>
              <w:highlight w:val="yellow"/>
            </w:rPr>
            <w:fldChar w:fldCharType="separate"/>
          </w:r>
          <w:r>
            <w:rPr>
              <w:rFonts w:hint="eastAsia" w:ascii="黑体" w:hAnsi="黑体" w:eastAsia="黑体"/>
              <w:szCs w:val="32"/>
              <w:highlight w:val="none"/>
            </w:rPr>
            <w:t>六、一般公共预算财政拨款基本支出决算情况说明</w:t>
          </w:r>
          <w:r>
            <w:tab/>
          </w:r>
          <w:r>
            <w:fldChar w:fldCharType="begin"/>
          </w:r>
          <w:r>
            <w:instrText xml:space="preserve"> PAGEREF _Toc17133 \h </w:instrText>
          </w:r>
          <w:r>
            <w:fldChar w:fldCharType="separate"/>
          </w:r>
          <w:r>
            <w:t>7</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_Toc6356 </w:instrText>
          </w:r>
          <w:r>
            <w:rPr>
              <w:rFonts w:ascii="仿宋" w:hAnsi="仿宋" w:eastAsia="仿宋"/>
              <w:highlight w:val="yellow"/>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_Toc6356 \h </w:instrText>
          </w:r>
          <w:r>
            <w:fldChar w:fldCharType="separate"/>
          </w:r>
          <w:r>
            <w:t>7</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_Toc26958 </w:instrText>
          </w:r>
          <w:r>
            <w:rPr>
              <w:rFonts w:ascii="仿宋" w:hAnsi="仿宋" w:eastAsia="仿宋"/>
              <w:highlight w:val="yellow"/>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_Toc26958 \h </w:instrText>
          </w:r>
          <w:r>
            <w:fldChar w:fldCharType="separate"/>
          </w:r>
          <w:r>
            <w:t>8</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_Toc17835 </w:instrText>
          </w:r>
          <w:r>
            <w:rPr>
              <w:rFonts w:ascii="仿宋" w:hAnsi="仿宋" w:eastAsia="仿宋"/>
              <w:highlight w:val="yellow"/>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_Toc17835 \h </w:instrText>
          </w:r>
          <w:r>
            <w:fldChar w:fldCharType="separate"/>
          </w:r>
          <w:r>
            <w:t>8</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_Toc31144 </w:instrText>
          </w:r>
          <w:r>
            <w:rPr>
              <w:rFonts w:ascii="仿宋" w:hAnsi="仿宋" w:eastAsia="仿宋"/>
              <w:highlight w:val="yellow"/>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_Toc31144 \h </w:instrText>
          </w:r>
          <w:r>
            <w:fldChar w:fldCharType="separate"/>
          </w:r>
          <w:r>
            <w:t>8</w:t>
          </w:r>
          <w:r>
            <w:fldChar w:fldCharType="end"/>
          </w:r>
          <w:r>
            <w:rPr>
              <w:rFonts w:ascii="仿宋" w:hAnsi="仿宋" w:eastAsia="仿宋"/>
              <w:color w:val="auto"/>
              <w:highlight w:val="yellow"/>
            </w:rPr>
            <w:fldChar w:fldCharType="end"/>
          </w:r>
        </w:p>
        <w:p>
          <w:pPr>
            <w:pStyle w:val="31"/>
            <w:tabs>
              <w:tab w:val="right" w:leader="dot" w:pos="8306"/>
            </w:tabs>
            <w:rPr>
              <w:b/>
            </w:rPr>
          </w:pPr>
          <w:r>
            <w:rPr>
              <w:rFonts w:ascii="仿宋" w:hAnsi="仿宋" w:eastAsia="仿宋"/>
              <w:b/>
              <w:color w:val="auto"/>
              <w:highlight w:val="yellow"/>
            </w:rPr>
            <w:fldChar w:fldCharType="begin"/>
          </w:r>
          <w:r>
            <w:rPr>
              <w:rFonts w:ascii="仿宋" w:hAnsi="仿宋" w:eastAsia="仿宋"/>
              <w:b/>
              <w:highlight w:val="yellow"/>
            </w:rPr>
            <w:instrText xml:space="preserve"> HYPERLINK \l _Toc11049 </w:instrText>
          </w:r>
          <w:r>
            <w:rPr>
              <w:rFonts w:ascii="仿宋" w:hAnsi="仿宋" w:eastAsia="仿宋"/>
              <w:b/>
              <w:highlight w:val="yellow"/>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_Toc11049 \h </w:instrText>
          </w:r>
          <w:r>
            <w:rPr>
              <w:b/>
            </w:rPr>
            <w:fldChar w:fldCharType="separate"/>
          </w:r>
          <w:r>
            <w:rPr>
              <w:b/>
            </w:rPr>
            <w:t>10</w:t>
          </w:r>
          <w:r>
            <w:rPr>
              <w:b/>
            </w:rPr>
            <w:fldChar w:fldCharType="end"/>
          </w:r>
          <w:r>
            <w:rPr>
              <w:rFonts w:ascii="仿宋" w:hAnsi="仿宋" w:eastAsia="仿宋"/>
              <w:b/>
              <w:color w:val="auto"/>
              <w:highlight w:val="yellow"/>
            </w:rPr>
            <w:fldChar w:fldCharType="end"/>
          </w:r>
        </w:p>
        <w:p>
          <w:pPr>
            <w:pStyle w:val="31"/>
            <w:tabs>
              <w:tab w:val="right" w:leader="dot" w:pos="8306"/>
            </w:tabs>
            <w:rPr>
              <w:b/>
            </w:rPr>
          </w:pPr>
          <w:r>
            <w:rPr>
              <w:rFonts w:ascii="仿宋" w:hAnsi="仿宋" w:eastAsia="仿宋"/>
              <w:b/>
              <w:color w:val="auto"/>
              <w:highlight w:val="yellow"/>
            </w:rPr>
            <w:fldChar w:fldCharType="begin"/>
          </w:r>
          <w:r>
            <w:rPr>
              <w:rFonts w:ascii="仿宋" w:hAnsi="仿宋" w:eastAsia="仿宋"/>
              <w:b/>
              <w:highlight w:val="yellow"/>
            </w:rPr>
            <w:instrText xml:space="preserve"> HYPERLINK \l _Toc29739 </w:instrText>
          </w:r>
          <w:r>
            <w:rPr>
              <w:rFonts w:ascii="仿宋" w:hAnsi="仿宋" w:eastAsia="仿宋"/>
              <w:b/>
              <w:highlight w:val="yellow"/>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_Toc29739 \h </w:instrText>
          </w:r>
          <w:r>
            <w:rPr>
              <w:b/>
            </w:rPr>
            <w:fldChar w:fldCharType="separate"/>
          </w:r>
          <w:r>
            <w:rPr>
              <w:b/>
            </w:rPr>
            <w:t>12</w:t>
          </w:r>
          <w:r>
            <w:rPr>
              <w:b/>
            </w:rPr>
            <w:fldChar w:fldCharType="end"/>
          </w:r>
          <w:r>
            <w:rPr>
              <w:rFonts w:ascii="仿宋" w:hAnsi="仿宋" w:eastAsia="仿宋"/>
              <w:b/>
              <w:color w:val="auto"/>
              <w:highlight w:val="yellow"/>
            </w:rPr>
            <w:fldChar w:fldCharType="end"/>
          </w:r>
        </w:p>
        <w:p>
          <w:pPr>
            <w:pStyle w:val="31"/>
            <w:tabs>
              <w:tab w:val="right" w:leader="dot" w:pos="8306"/>
            </w:tabs>
            <w:rPr>
              <w:b/>
            </w:rPr>
          </w:pPr>
          <w:r>
            <w:rPr>
              <w:rFonts w:ascii="仿宋" w:hAnsi="仿宋" w:eastAsia="仿宋"/>
              <w:b/>
              <w:color w:val="auto"/>
              <w:highlight w:val="yellow"/>
            </w:rPr>
            <w:fldChar w:fldCharType="begin"/>
          </w:r>
          <w:r>
            <w:rPr>
              <w:rFonts w:ascii="仿宋" w:hAnsi="仿宋" w:eastAsia="仿宋"/>
              <w:b/>
              <w:highlight w:val="yellow"/>
            </w:rPr>
            <w:instrText xml:space="preserve"> HYPERLINK \l _Toc28355 </w:instrText>
          </w:r>
          <w:r>
            <w:rPr>
              <w:rFonts w:ascii="仿宋" w:hAnsi="仿宋" w:eastAsia="仿宋"/>
              <w:b/>
              <w:highlight w:val="yellow"/>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_Toc28355 \h </w:instrText>
          </w:r>
          <w:r>
            <w:rPr>
              <w:b/>
            </w:rPr>
            <w:fldChar w:fldCharType="separate"/>
          </w:r>
          <w:r>
            <w:rPr>
              <w:b/>
            </w:rPr>
            <w:t>19</w:t>
          </w:r>
          <w:r>
            <w:rPr>
              <w:b/>
            </w:rPr>
            <w:fldChar w:fldCharType="end"/>
          </w:r>
          <w:r>
            <w:rPr>
              <w:rFonts w:ascii="仿宋" w:hAnsi="仿宋" w:eastAsia="仿宋"/>
              <w:b/>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_Toc29584 </w:instrText>
          </w:r>
          <w:r>
            <w:rPr>
              <w:rFonts w:ascii="仿宋" w:hAnsi="仿宋" w:eastAsia="仿宋"/>
              <w:highlight w:val="yellow"/>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_Toc29584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_Toc26397 </w:instrText>
          </w:r>
          <w:r>
            <w:rPr>
              <w:rFonts w:ascii="仿宋" w:hAnsi="仿宋" w:eastAsia="仿宋"/>
              <w:highlight w:val="yellow"/>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_Toc26397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_Toc10122 </w:instrText>
          </w:r>
          <w:r>
            <w:rPr>
              <w:rFonts w:ascii="仿宋" w:hAnsi="仿宋" w:eastAsia="仿宋"/>
              <w:highlight w:val="yellow"/>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_Toc10122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_Toc29237 </w:instrText>
          </w:r>
          <w:r>
            <w:rPr>
              <w:rFonts w:ascii="仿宋" w:hAnsi="仿宋" w:eastAsia="仿宋"/>
              <w:highlight w:val="yellow"/>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_Toc29237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_Toc5845 </w:instrText>
          </w:r>
          <w:r>
            <w:rPr>
              <w:rFonts w:ascii="仿宋" w:hAnsi="仿宋" w:eastAsia="仿宋"/>
              <w:highlight w:val="yellow"/>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_Toc5845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_Toc25021 </w:instrText>
          </w:r>
          <w:r>
            <w:rPr>
              <w:rFonts w:ascii="仿宋" w:hAnsi="仿宋" w:eastAsia="仿宋"/>
              <w:highlight w:val="yellow"/>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_Toc25021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_Toc17047 </w:instrText>
          </w:r>
          <w:r>
            <w:rPr>
              <w:rFonts w:ascii="仿宋" w:hAnsi="仿宋" w:eastAsia="仿宋"/>
              <w:highlight w:val="yellow"/>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_Toc17047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_Toc22405 </w:instrText>
          </w:r>
          <w:r>
            <w:rPr>
              <w:rFonts w:ascii="仿宋" w:hAnsi="仿宋" w:eastAsia="仿宋"/>
              <w:highlight w:val="yellow"/>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_Toc22405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_Toc15799 </w:instrText>
          </w:r>
          <w:r>
            <w:rPr>
              <w:rFonts w:ascii="仿宋" w:hAnsi="仿宋" w:eastAsia="仿宋"/>
              <w:highlight w:val="yellow"/>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_Toc15799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_Toc31198 </w:instrText>
          </w:r>
          <w:r>
            <w:rPr>
              <w:rFonts w:ascii="仿宋" w:hAnsi="仿宋" w:eastAsia="仿宋"/>
              <w:highlight w:val="yellow"/>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_Toc31198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_Toc8228 </w:instrText>
          </w:r>
          <w:r>
            <w:rPr>
              <w:rFonts w:ascii="仿宋" w:hAnsi="仿宋" w:eastAsia="仿宋"/>
              <w:highlight w:val="yellow"/>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_Toc8228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_Toc26711 </w:instrText>
          </w:r>
          <w:r>
            <w:rPr>
              <w:rFonts w:ascii="仿宋" w:hAnsi="仿宋" w:eastAsia="仿宋"/>
              <w:highlight w:val="yellow"/>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_Toc26711 \h </w:instrText>
          </w:r>
          <w:r>
            <w:fldChar w:fldCharType="separate"/>
          </w:r>
          <w:r>
            <w:t>19</w:t>
          </w:r>
          <w:r>
            <w:fldChar w:fldCharType="end"/>
          </w:r>
          <w:r>
            <w:rPr>
              <w:rFonts w:ascii="仿宋" w:hAnsi="仿宋" w:eastAsia="仿宋"/>
              <w:color w:val="auto"/>
              <w:highlight w:val="yellow"/>
            </w:rPr>
            <w:fldChar w:fldCharType="end"/>
          </w:r>
        </w:p>
        <w:p>
          <w:pPr>
            <w:pStyle w:val="32"/>
            <w:tabs>
              <w:tab w:val="right" w:leader="dot" w:pos="8306"/>
            </w:tabs>
          </w:pPr>
          <w:r>
            <w:rPr>
              <w:rFonts w:ascii="仿宋" w:hAnsi="仿宋" w:eastAsia="仿宋"/>
              <w:color w:val="auto"/>
              <w:highlight w:val="yellow"/>
            </w:rPr>
            <w:fldChar w:fldCharType="begin"/>
          </w:r>
          <w:r>
            <w:rPr>
              <w:rFonts w:ascii="仿宋" w:hAnsi="仿宋" w:eastAsia="仿宋"/>
              <w:highlight w:val="yellow"/>
            </w:rPr>
            <w:instrText xml:space="preserve"> HYPERLINK \l _Toc15647 </w:instrText>
          </w:r>
          <w:r>
            <w:rPr>
              <w:rFonts w:ascii="仿宋" w:hAnsi="仿宋" w:eastAsia="仿宋"/>
              <w:highlight w:val="yellow"/>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_Toc15647 \h </w:instrText>
          </w:r>
          <w:r>
            <w:fldChar w:fldCharType="separate"/>
          </w:r>
          <w:r>
            <w:t>19</w:t>
          </w:r>
          <w:r>
            <w:fldChar w:fldCharType="end"/>
          </w:r>
          <w:r>
            <w:rPr>
              <w:rFonts w:ascii="仿宋" w:hAnsi="仿宋" w:eastAsia="仿宋"/>
              <w:color w:val="auto"/>
              <w:highlight w:val="yellow"/>
            </w:rPr>
            <w:fldChar w:fldCharType="end"/>
          </w:r>
        </w:p>
        <w:p>
          <w:pPr>
            <w:widowControl/>
            <w:adjustRightInd w:val="0"/>
            <w:snapToGrid w:val="0"/>
            <w:spacing w:line="440" w:lineRule="exact"/>
            <w:jc w:val="left"/>
            <w:rPr>
              <w:rFonts w:ascii="仿宋" w:hAnsi="仿宋" w:eastAsia="仿宋"/>
              <w:color w:val="auto"/>
              <w:sz w:val="24"/>
              <w:highlight w:val="yellow"/>
            </w:rPr>
          </w:pPr>
          <w:r>
            <w:rPr>
              <w:rFonts w:ascii="仿宋" w:hAnsi="仿宋" w:eastAsia="仿宋"/>
              <w:b/>
              <w:color w:val="auto"/>
              <w:highlight w:val="yellow"/>
            </w:rPr>
            <w:fldChar w:fldCharType="end"/>
          </w:r>
        </w:p>
      </w:sdtContent>
    </w:sdt>
    <w:p>
      <w:pPr>
        <w:pStyle w:val="3"/>
        <w:jc w:val="center"/>
        <w:outlineLvl w:val="9"/>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fmt="decimal" w:start="1"/>
          <w:cols w:space="425" w:num="1"/>
          <w:titlePg/>
          <w:docGrid w:type="lines" w:linePitch="312" w:charSpace="0"/>
        </w:sectPr>
      </w:pPr>
      <w:bookmarkStart w:id="14" w:name="_Toc15396599"/>
      <w:bookmarkStart w:id="15" w:name="_Toc15377196"/>
    </w:p>
    <w:p>
      <w:pPr>
        <w:pStyle w:val="3"/>
        <w:jc w:val="center"/>
        <w:rPr>
          <w:rStyle w:val="17"/>
          <w:rFonts w:ascii="黑体" w:hAnsi="黑体" w:eastAsia="黑体"/>
          <w:b/>
          <w:bCs w:val="0"/>
          <w:color w:val="auto"/>
          <w:highlight w:val="none"/>
        </w:rPr>
      </w:pPr>
      <w:bookmarkStart w:id="16" w:name="_Toc27337"/>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widowControl/>
        <w:jc w:val="left"/>
        <w:rPr>
          <w:rFonts w:ascii="黑体" w:eastAsia="黑体"/>
          <w:color w:val="auto"/>
          <w:sz w:val="32"/>
          <w:szCs w:val="32"/>
          <w:highlight w:val="none"/>
        </w:rPr>
      </w:pPr>
    </w:p>
    <w:p>
      <w:pPr>
        <w:pStyle w:val="4"/>
        <w:keepNext/>
        <w:keepLines/>
        <w:pageBreakBefore w:val="0"/>
        <w:widowControl w:val="0"/>
        <w:numPr>
          <w:ilvl w:val="0"/>
          <w:numId w:val="1"/>
        </w:numPr>
        <w:kinsoku/>
        <w:wordWrap/>
        <w:overflowPunct/>
        <w:topLinePunct w:val="0"/>
        <w:autoSpaceDE/>
        <w:autoSpaceDN/>
        <w:bidi w:val="0"/>
        <w:adjustRightInd/>
        <w:snapToGrid/>
        <w:spacing w:before="0" w:after="0" w:line="416" w:lineRule="auto"/>
        <w:textAlignment w:val="auto"/>
        <w:rPr>
          <w:rStyle w:val="18"/>
          <w:rFonts w:hint="eastAsia" w:ascii="黑体" w:hAnsi="黑体" w:eastAsia="黑体"/>
          <w:b w:val="0"/>
          <w:bCs w:val="0"/>
          <w:color w:val="auto"/>
          <w:highlight w:val="none"/>
          <w:lang w:eastAsia="zh-CN"/>
        </w:rPr>
      </w:pPr>
      <w:bookmarkStart w:id="17" w:name="_Toc31843"/>
      <w:bookmarkStart w:id="18" w:name="_Toc15377197"/>
      <w:bookmarkStart w:id="19" w:name="_Toc15396600"/>
      <w:r>
        <w:rPr>
          <w:rStyle w:val="18"/>
          <w:rFonts w:hint="eastAsia" w:ascii="黑体" w:hAnsi="黑体" w:eastAsia="黑体"/>
          <w:b w:val="0"/>
          <w:bCs w:val="0"/>
          <w:color w:val="auto"/>
          <w:highlight w:val="none"/>
          <w:lang w:eastAsia="zh-CN"/>
        </w:rPr>
        <w:t>主要职责</w:t>
      </w:r>
      <w:bookmarkEnd w:id="1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负责全市纪检监察机关查办重大违纪案件的后勤保障和服务管理工作，为市、县（区）纪委监委查办案件、实施留置措施提供专用工作区硬件支持和服务保障。</w:t>
      </w:r>
    </w:p>
    <w:p>
      <w:pPr>
        <w:pStyle w:val="4"/>
        <w:keepNext/>
        <w:keepLines/>
        <w:pageBreakBefore w:val="0"/>
        <w:widowControl w:val="0"/>
        <w:numPr>
          <w:ilvl w:val="0"/>
          <w:numId w:val="1"/>
        </w:numPr>
        <w:kinsoku/>
        <w:wordWrap/>
        <w:overflowPunct/>
        <w:topLinePunct w:val="0"/>
        <w:autoSpaceDE/>
        <w:autoSpaceDN/>
        <w:bidi w:val="0"/>
        <w:adjustRightInd/>
        <w:snapToGrid/>
        <w:spacing w:before="157" w:beforeLines="50" w:after="157" w:afterLines="50" w:line="416" w:lineRule="auto"/>
        <w:textAlignment w:val="auto"/>
        <w:rPr>
          <w:rStyle w:val="18"/>
          <w:rFonts w:hint="eastAsia" w:ascii="黑体" w:hAnsi="黑体" w:eastAsia="黑体"/>
          <w:b w:val="0"/>
          <w:bCs w:val="0"/>
          <w:color w:val="auto"/>
          <w:highlight w:val="none"/>
          <w:lang w:val="en-US" w:eastAsia="zh-CN"/>
        </w:rPr>
      </w:pPr>
      <w:bookmarkStart w:id="20" w:name="_Toc4026"/>
      <w:r>
        <w:rPr>
          <w:rStyle w:val="18"/>
          <w:rFonts w:hint="eastAsia" w:ascii="黑体" w:hAnsi="黑体" w:eastAsia="黑体"/>
          <w:b w:val="0"/>
          <w:bCs w:val="0"/>
          <w:color w:val="auto"/>
          <w:highlight w:val="none"/>
          <w:lang w:val="en-US" w:eastAsia="zh-CN"/>
        </w:rPr>
        <w:t>机构设置</w:t>
      </w:r>
      <w:bookmarkEnd w:id="20"/>
    </w:p>
    <w:bookmarkEnd w:id="18"/>
    <w:bookmarkEnd w:id="19"/>
    <w:p>
      <w:pPr>
        <w:widowControl/>
        <w:ind w:firstLine="640" w:firstLineChars="200"/>
        <w:jc w:val="left"/>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广元市党风廉政教育中心为</w:t>
      </w:r>
      <w:r>
        <w:rPr>
          <w:rFonts w:hint="eastAsia" w:ascii="仿宋" w:hAnsi="仿宋" w:eastAsia="仿宋"/>
          <w:color w:val="auto"/>
          <w:sz w:val="32"/>
          <w:szCs w:val="32"/>
          <w:highlight w:val="none"/>
          <w:lang w:val="en-US" w:eastAsia="zh-CN"/>
        </w:rPr>
        <w:t>中共广元市纪律检查委员会</w:t>
      </w:r>
      <w:r>
        <w:rPr>
          <w:rFonts w:hint="eastAsia" w:ascii="仿宋" w:hAnsi="仿宋" w:eastAsia="仿宋"/>
          <w:color w:val="auto"/>
          <w:sz w:val="32"/>
          <w:szCs w:val="32"/>
          <w:highlight w:val="none"/>
        </w:rPr>
        <w:t>下属二级预算事业单位</w:t>
      </w:r>
      <w:bookmarkStart w:id="21" w:name="_Toc15377204"/>
      <w:bookmarkStart w:id="22" w:name="_Toc15396602"/>
      <w:r>
        <w:rPr>
          <w:rFonts w:hint="eastAsia" w:ascii="仿宋" w:hAnsi="仿宋" w:eastAsia="仿宋"/>
          <w:color w:val="auto"/>
          <w:sz w:val="32"/>
          <w:szCs w:val="32"/>
          <w:highlight w:val="none"/>
          <w:lang w:eastAsia="zh-CN"/>
        </w:rPr>
        <w:t>。</w:t>
      </w: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widowControl/>
        <w:ind w:firstLine="640" w:firstLineChars="200"/>
        <w:jc w:val="left"/>
        <w:rPr>
          <w:rFonts w:hint="eastAsia" w:ascii="仿宋" w:hAnsi="仿宋" w:eastAsia="仿宋"/>
          <w:color w:val="auto"/>
          <w:sz w:val="32"/>
          <w:szCs w:val="32"/>
          <w:highlight w:val="none"/>
          <w:lang w:eastAsia="zh-CN"/>
        </w:rPr>
      </w:pPr>
    </w:p>
    <w:p>
      <w:pPr>
        <w:pStyle w:val="3"/>
        <w:ind w:right="440"/>
        <w:jc w:val="center"/>
        <w:rPr>
          <w:rStyle w:val="17"/>
          <w:rFonts w:ascii="黑体" w:hAnsi="黑体" w:eastAsia="黑体"/>
          <w:b w:val="0"/>
          <w:bCs/>
          <w:color w:val="auto"/>
          <w:highlight w:val="none"/>
        </w:rPr>
      </w:pPr>
      <w:bookmarkStart w:id="23" w:name="_Toc14130"/>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4" w:name="_Toc15396603"/>
      <w:bookmarkStart w:id="25" w:name="_Toc11904"/>
      <w:bookmarkStart w:id="26"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rPr>
        <w:drawing>
          <wp:anchor distT="0" distB="0" distL="114300" distR="114300" simplePos="0" relativeHeight="251659264" behindDoc="0" locked="0" layoutInCell="1" allowOverlap="1">
            <wp:simplePos x="0" y="0"/>
            <wp:positionH relativeFrom="column">
              <wp:posOffset>273685</wp:posOffset>
            </wp:positionH>
            <wp:positionV relativeFrom="paragraph">
              <wp:posOffset>1503045</wp:posOffset>
            </wp:positionV>
            <wp:extent cx="4826000" cy="2743200"/>
            <wp:effectExtent l="4445" t="4445" r="8255" b="14605"/>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1227.5</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年相比，收、支总计各减少</w:t>
      </w:r>
      <w:r>
        <w:rPr>
          <w:rFonts w:hint="eastAsia" w:ascii="仿宋_GB2312" w:hAnsi="仿宋_GB2312" w:eastAsia="仿宋_GB2312" w:cs="仿宋_GB2312"/>
          <w:color w:val="auto"/>
          <w:sz w:val="32"/>
          <w:szCs w:val="32"/>
          <w:highlight w:val="none"/>
          <w:lang w:val="en-US" w:eastAsia="zh-CN"/>
        </w:rPr>
        <w:t>665.45</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35.15</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2021年含纪律审查业务用房改扩建项目经费883.63万元。</w:t>
      </w:r>
    </w:p>
    <w:p>
      <w:pPr>
        <w:spacing w:line="600" w:lineRule="exact"/>
        <w:ind w:firstLine="960" w:firstLineChars="3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（图1：收、支决算总计变动情况图）（柱状图）</w:t>
      </w:r>
    </w:p>
    <w:p>
      <w:pPr>
        <w:pStyle w:val="2"/>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7" w:name="_Toc15377206"/>
      <w:bookmarkStart w:id="28" w:name="_Toc2283"/>
      <w:bookmarkStart w:id="29" w:name="_Toc15396604"/>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0" w:name="_Toc23641"/>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1227.5</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159.86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13.02</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1067.64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86.98</w:t>
      </w:r>
      <w:r>
        <w:rPr>
          <w:rFonts w:hint="eastAsia" w:ascii="仿宋_GB2312" w:hAnsi="仿宋_GB2312" w:eastAsia="仿宋_GB2312" w:cs="仿宋_GB2312"/>
          <w:color w:val="auto"/>
          <w:sz w:val="32"/>
          <w:szCs w:val="32"/>
          <w:highlight w:val="none"/>
        </w:rPr>
        <w:t>%。</w:t>
      </w:r>
      <w:bookmarkEnd w:id="30"/>
    </w:p>
    <w:p>
      <w:pPr>
        <w:spacing w:line="600" w:lineRule="exact"/>
        <w:ind w:firstLine="420" w:firstLineChars="200"/>
        <w:outlineLvl w:val="9"/>
        <w:rPr>
          <w:rFonts w:ascii="仿宋" w:hAnsi="仿宋" w:eastAsia="仿宋"/>
          <w:color w:val="auto"/>
          <w:sz w:val="32"/>
          <w:szCs w:val="32"/>
          <w:highlight w:val="none"/>
        </w:rPr>
      </w:pPr>
      <w:r>
        <w:drawing>
          <wp:anchor distT="0" distB="0" distL="114300" distR="114300" simplePos="0" relativeHeight="251660288" behindDoc="0" locked="0" layoutInCell="1" allowOverlap="1">
            <wp:simplePos x="0" y="0"/>
            <wp:positionH relativeFrom="column">
              <wp:posOffset>377190</wp:posOffset>
            </wp:positionH>
            <wp:positionV relativeFrom="paragraph">
              <wp:posOffset>104140</wp:posOffset>
            </wp:positionV>
            <wp:extent cx="4826000" cy="2743200"/>
            <wp:effectExtent l="4445" t="4445" r="8255" b="1460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1600" w:firstLineChars="5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1" w:name="_Toc15377207"/>
      <w:bookmarkStart w:id="32" w:name="_Toc15396605"/>
      <w:bookmarkStart w:id="33" w:name="_Toc3822"/>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4" w:name="_Toc12738"/>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1227.5</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139.86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11.39</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1087.64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88.61</w:t>
      </w:r>
      <w:r>
        <w:rPr>
          <w:rFonts w:hint="eastAsia" w:ascii="仿宋_GB2312" w:hAnsi="仿宋_GB2312" w:eastAsia="仿宋_GB2312" w:cs="仿宋_GB2312"/>
          <w:color w:val="auto"/>
          <w:sz w:val="32"/>
          <w:szCs w:val="32"/>
          <w:highlight w:val="none"/>
        </w:rPr>
        <w:t>%。</w:t>
      </w:r>
      <w:bookmarkEnd w:id="34"/>
    </w:p>
    <w:p>
      <w:pPr>
        <w:spacing w:line="600" w:lineRule="exact"/>
        <w:ind w:firstLine="640" w:firstLineChars="200"/>
        <w:outlineLvl w:val="9"/>
        <w:rPr>
          <w:rFonts w:hint="eastAsia" w:ascii="仿宋" w:hAnsi="仿宋" w:eastAsia="仿宋"/>
          <w:color w:val="auto"/>
          <w:sz w:val="32"/>
          <w:szCs w:val="32"/>
          <w:highlight w:val="none"/>
        </w:rPr>
      </w:pP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1312" behindDoc="0" locked="0" layoutInCell="1" allowOverlap="1">
            <wp:simplePos x="0" y="0"/>
            <wp:positionH relativeFrom="column">
              <wp:posOffset>355600</wp:posOffset>
            </wp:positionH>
            <wp:positionV relativeFrom="paragraph">
              <wp:posOffset>39370</wp:posOffset>
            </wp:positionV>
            <wp:extent cx="4826000" cy="2743200"/>
            <wp:effectExtent l="4445" t="4445" r="8255" b="14605"/>
            <wp:wrapSquare wrapText="bothSides"/>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1600" w:firstLineChars="5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图3：支出决算结构图）（饼状图）</w:t>
      </w:r>
    </w:p>
    <w:p>
      <w:pPr>
        <w:spacing w:line="600" w:lineRule="exact"/>
        <w:ind w:firstLine="640" w:firstLineChars="200"/>
        <w:outlineLvl w:val="1"/>
        <w:rPr>
          <w:rStyle w:val="18"/>
          <w:rFonts w:ascii="黑体" w:hAnsi="黑体" w:eastAsia="黑体"/>
          <w:b w:val="0"/>
          <w:color w:val="auto"/>
          <w:highlight w:val="none"/>
        </w:rPr>
      </w:pPr>
      <w:bookmarkStart w:id="35" w:name="_Toc5626"/>
      <w:bookmarkStart w:id="36" w:name="_Toc15396606"/>
      <w:bookmarkStart w:id="37" w:name="_Toc15377208"/>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anchor distT="0" distB="0" distL="114300" distR="114300" simplePos="0" relativeHeight="251662336" behindDoc="0" locked="0" layoutInCell="1" allowOverlap="1">
            <wp:simplePos x="0" y="0"/>
            <wp:positionH relativeFrom="column">
              <wp:posOffset>291465</wp:posOffset>
            </wp:positionH>
            <wp:positionV relativeFrom="paragraph">
              <wp:posOffset>1677670</wp:posOffset>
            </wp:positionV>
            <wp:extent cx="4826000" cy="2749550"/>
            <wp:effectExtent l="4445" t="4445" r="8255" b="8255"/>
            <wp:wrapSquare wrapText="bothSides"/>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年财政拨款收、支总计159.86万元。与20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年相比，财政拨款收、支总计各减少</w:t>
      </w:r>
      <w:r>
        <w:rPr>
          <w:rFonts w:hint="eastAsia" w:ascii="仿宋_GB2312" w:hAnsi="仿宋_GB2312" w:eastAsia="仿宋_GB2312" w:cs="仿宋_GB2312"/>
          <w:color w:val="auto"/>
          <w:sz w:val="32"/>
          <w:szCs w:val="32"/>
          <w:highlight w:val="none"/>
          <w:lang w:val="en-US" w:eastAsia="zh-CN"/>
        </w:rPr>
        <w:t>884.17</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84.69</w:t>
      </w:r>
      <w:r>
        <w:rPr>
          <w:rFonts w:hint="eastAsia" w:ascii="仿宋_GB2312" w:hAnsi="仿宋_GB2312" w:eastAsia="仿宋_GB2312" w:cs="仿宋_GB2312"/>
          <w:color w:val="auto"/>
          <w:sz w:val="32"/>
          <w:szCs w:val="32"/>
          <w:highlight w:val="none"/>
        </w:rPr>
        <w:t>%。主要变动原因是2021年含纪律审查业务用房改扩建项目经费883.63万元。</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（图4：财政拨款收、支决算总计变动情况）（柱状图）</w:t>
      </w:r>
    </w:p>
    <w:p>
      <w:pPr>
        <w:pStyle w:val="2"/>
      </w:pPr>
    </w:p>
    <w:p>
      <w:pPr>
        <w:spacing w:line="600" w:lineRule="exact"/>
        <w:ind w:firstLine="640" w:firstLineChars="200"/>
        <w:outlineLvl w:val="1"/>
        <w:rPr>
          <w:rStyle w:val="18"/>
          <w:rFonts w:ascii="黑体" w:hAnsi="黑体" w:eastAsia="黑体"/>
          <w:b w:val="0"/>
          <w:color w:val="auto"/>
          <w:highlight w:val="none"/>
        </w:rPr>
      </w:pPr>
      <w:bookmarkStart w:id="38" w:name="_Toc15377209"/>
      <w:bookmarkStart w:id="39" w:name="_Toc15396607"/>
      <w:bookmarkStart w:id="40" w:name="_Toc1994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年一般公共预算财政拨款支出159.86万元，占本年支出合计的</w:t>
      </w:r>
      <w:r>
        <w:rPr>
          <w:rFonts w:hint="eastAsia" w:ascii="仿宋_GB2312" w:hAnsi="仿宋_GB2312" w:eastAsia="仿宋_GB2312" w:cs="仿宋_GB2312"/>
          <w:color w:val="auto"/>
          <w:sz w:val="32"/>
          <w:szCs w:val="32"/>
          <w:highlight w:val="none"/>
          <w:lang w:val="en-US" w:eastAsia="zh-CN"/>
        </w:rPr>
        <w:t>13.02</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884.17</w:t>
      </w:r>
      <w:r>
        <w:rPr>
          <w:rFonts w:hint="eastAsia" w:ascii="仿宋_GB2312" w:hAnsi="仿宋_GB2312" w:eastAsia="仿宋_GB2312" w:cs="仿宋_GB2312"/>
          <w:color w:val="auto"/>
          <w:sz w:val="32"/>
          <w:szCs w:val="32"/>
          <w:highlight w:val="none"/>
        </w:rPr>
        <w:t>万元，下降84.69%。主要变动原因是2021年含纪律审查业务用房改扩建项目经费883.63万元。</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p>
    <w:p>
      <w:pPr>
        <w:pStyle w:val="2"/>
      </w:pP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（图5：一般公共预算财政拨款支出决算变动情况）（柱</w:t>
      </w:r>
      <w:r>
        <w:rPr>
          <w:rFonts w:hint="eastAsia" w:ascii="仿宋_GB2312" w:hAnsi="仿宋_GB2312" w:eastAsia="仿宋_GB2312" w:cs="仿宋_GB2312"/>
          <w:sz w:val="32"/>
          <w:szCs w:val="32"/>
        </w:rPr>
        <w:drawing>
          <wp:anchor distT="0" distB="0" distL="114300" distR="114300" simplePos="0" relativeHeight="251663360" behindDoc="0" locked="0" layoutInCell="1" allowOverlap="1">
            <wp:simplePos x="0" y="0"/>
            <wp:positionH relativeFrom="column">
              <wp:posOffset>231140</wp:posOffset>
            </wp:positionH>
            <wp:positionV relativeFrom="paragraph">
              <wp:posOffset>90170</wp:posOffset>
            </wp:positionV>
            <wp:extent cx="4826000" cy="2743200"/>
            <wp:effectExtent l="4445" t="4445" r="8255" b="14605"/>
            <wp:wrapSquare wrapText="bothSides"/>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color w:val="auto"/>
          <w:sz w:val="32"/>
          <w:szCs w:val="32"/>
          <w:highlight w:val="none"/>
        </w:rPr>
        <w:t>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年一般公共预算财政拨款支出159.86万元，主要用于以下方面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color w:val="auto"/>
          <w:sz w:val="32"/>
          <w:szCs w:val="32"/>
          <w:highlight w:val="none"/>
        </w:rPr>
        <w:t>一般公共服务</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rPr>
        <w:t>135.83万元，占</w:t>
      </w:r>
      <w:r>
        <w:rPr>
          <w:rFonts w:hint="eastAsia" w:ascii="仿宋_GB2312" w:hAnsi="仿宋_GB2312" w:eastAsia="仿宋_GB2312" w:cs="仿宋_GB2312"/>
          <w:color w:val="auto"/>
          <w:sz w:val="32"/>
          <w:szCs w:val="32"/>
          <w:highlight w:val="none"/>
          <w:lang w:val="en-US" w:eastAsia="zh-CN"/>
        </w:rPr>
        <w:t>84.97</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color w:val="auto"/>
          <w:sz w:val="32"/>
          <w:szCs w:val="32"/>
          <w:highlight w:val="none"/>
        </w:rPr>
        <w:t>社会保障和就业</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rPr>
        <w:t>9.17万元，占</w:t>
      </w:r>
      <w:r>
        <w:rPr>
          <w:rFonts w:hint="eastAsia" w:ascii="仿宋_GB2312" w:hAnsi="仿宋_GB2312" w:eastAsia="仿宋_GB2312" w:cs="仿宋_GB2312"/>
          <w:color w:val="auto"/>
          <w:sz w:val="32"/>
          <w:szCs w:val="32"/>
          <w:highlight w:val="none"/>
          <w:lang w:val="en-US" w:eastAsia="zh-CN"/>
        </w:rPr>
        <w:t>5.74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卫生健康支出</w:t>
      </w:r>
      <w:r>
        <w:rPr>
          <w:rFonts w:hint="eastAsia" w:ascii="仿宋_GB2312" w:hAnsi="仿宋_GB2312" w:eastAsia="仿宋_GB2312" w:cs="仿宋_GB2312"/>
          <w:color w:val="auto"/>
          <w:sz w:val="32"/>
          <w:szCs w:val="32"/>
          <w:highlight w:val="none"/>
        </w:rPr>
        <w:t>4.56万元，占</w:t>
      </w:r>
      <w:r>
        <w:rPr>
          <w:rFonts w:hint="eastAsia" w:ascii="仿宋_GB2312" w:hAnsi="仿宋_GB2312" w:eastAsia="仿宋_GB2312" w:cs="仿宋_GB2312"/>
          <w:color w:val="auto"/>
          <w:sz w:val="32"/>
          <w:szCs w:val="32"/>
          <w:highlight w:val="none"/>
          <w:lang w:val="en-US" w:eastAsia="zh-CN"/>
        </w:rPr>
        <w:t>2.85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住房保障支出</w:t>
      </w:r>
      <w:r>
        <w:rPr>
          <w:rFonts w:hint="eastAsia" w:ascii="仿宋_GB2312" w:hAnsi="仿宋_GB2312" w:eastAsia="仿宋_GB2312" w:cs="仿宋_GB2312"/>
          <w:color w:val="auto"/>
          <w:sz w:val="32"/>
          <w:szCs w:val="32"/>
          <w:highlight w:val="none"/>
        </w:rPr>
        <w:t>10.3万元，占</w:t>
      </w:r>
      <w:r>
        <w:rPr>
          <w:rFonts w:hint="eastAsia" w:ascii="仿宋_GB2312" w:hAnsi="仿宋_GB2312" w:eastAsia="仿宋_GB2312" w:cs="仿宋_GB2312"/>
          <w:color w:val="auto"/>
          <w:sz w:val="32"/>
          <w:szCs w:val="32"/>
          <w:highlight w:val="none"/>
          <w:lang w:val="en-US" w:eastAsia="zh-CN"/>
        </w:rPr>
        <w:t>6.44</w:t>
      </w:r>
      <w:r>
        <w:rPr>
          <w:rFonts w:hint="eastAsia" w:ascii="仿宋_GB2312" w:hAnsi="仿宋_GB2312" w:eastAsia="仿宋_GB2312" w:cs="仿宋_GB2312"/>
          <w:color w:val="auto"/>
          <w:sz w:val="32"/>
          <w:szCs w:val="32"/>
          <w:highlight w:val="none"/>
        </w:rPr>
        <w:t>%。</w:t>
      </w:r>
    </w:p>
    <w:p>
      <w:pPr>
        <w:spacing w:line="60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anchor distT="0" distB="0" distL="114300" distR="114300" simplePos="0" relativeHeight="251664384" behindDoc="0" locked="0" layoutInCell="1" allowOverlap="1">
            <wp:simplePos x="0" y="0"/>
            <wp:positionH relativeFrom="column">
              <wp:posOffset>196215</wp:posOffset>
            </wp:positionH>
            <wp:positionV relativeFrom="paragraph">
              <wp:posOffset>266065</wp:posOffset>
            </wp:positionV>
            <wp:extent cx="4826000" cy="2743200"/>
            <wp:effectExtent l="4445" t="4445" r="8255" b="14605"/>
            <wp:wrapSquare wrapText="bothSides"/>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仿宋_GB2312" w:eastAsia="仿宋_GB2312" w:cs="仿宋_GB2312"/>
          <w:color w:val="auto"/>
          <w:sz w:val="32"/>
          <w:szCs w:val="32"/>
          <w:highlight w:val="none"/>
        </w:rPr>
        <w:t>（图6：一般公共预算财政拨款支出决算结构）（饼状图）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43" w:name="_Toc15377212"/>
      <w:r>
        <w:rPr>
          <w:rFonts w:hint="eastAsia" w:ascii="仿宋" w:hAnsi="仿宋" w:eastAsia="仿宋"/>
          <w:b/>
          <w:color w:val="auto"/>
          <w:sz w:val="32"/>
          <w:szCs w:val="32"/>
          <w:highlight w:val="none"/>
        </w:rPr>
        <w:t>（三）一般公共预算财政拨款支出决算具体情况</w:t>
      </w:r>
      <w:bookmarkEnd w:id="43"/>
    </w:p>
    <w:p>
      <w:pPr>
        <w:spacing w:line="600" w:lineRule="exact"/>
        <w:ind w:firstLine="643" w:firstLineChars="200"/>
        <w:outlineLvl w:val="1"/>
        <w:rPr>
          <w:rFonts w:hint="eastAsia" w:ascii="仿宋_GB2312" w:hAnsi="仿宋_GB2312" w:eastAsia="仿宋_GB2312" w:cs="仿宋_GB2312"/>
          <w:color w:val="auto"/>
          <w:sz w:val="32"/>
          <w:szCs w:val="32"/>
          <w:highlight w:val="none"/>
        </w:rPr>
      </w:pPr>
      <w:bookmarkStart w:id="44" w:name="_Toc15378460"/>
      <w:bookmarkStart w:id="45" w:name="_Toc15377213"/>
      <w:bookmarkStart w:id="46" w:name="_Toc15377444"/>
      <w:bookmarkStart w:id="47" w:name="_Toc22594"/>
      <w:r>
        <w:rPr>
          <w:rFonts w:hint="eastAsia" w:ascii="仿宋_GB2312" w:hAnsi="仿宋_GB2312" w:eastAsia="仿宋_GB2312" w:cs="仿宋_GB2312"/>
          <w:b/>
          <w:color w:val="auto"/>
          <w:sz w:val="32"/>
          <w:szCs w:val="32"/>
          <w:highlight w:val="none"/>
        </w:rPr>
        <w:t>20</w:t>
      </w:r>
      <w:r>
        <w:rPr>
          <w:rFonts w:hint="eastAsia" w:ascii="仿宋_GB2312" w:hAnsi="仿宋_GB2312" w:eastAsia="仿宋_GB2312" w:cs="仿宋_GB2312"/>
          <w:b/>
          <w:color w:val="auto"/>
          <w:sz w:val="32"/>
          <w:szCs w:val="32"/>
          <w:highlight w:val="none"/>
          <w:lang w:val="en-US" w:eastAsia="zh-CN"/>
        </w:rPr>
        <w:t>22</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一</w:t>
      </w:r>
      <w:r>
        <w:rPr>
          <w:rFonts w:hint="eastAsia" w:ascii="仿宋_GB2312" w:hAnsi="仿宋_GB2312" w:eastAsia="仿宋_GB2312" w:cs="仿宋_GB2312"/>
          <w:b/>
          <w:color w:val="auto"/>
          <w:sz w:val="32"/>
          <w:szCs w:val="32"/>
          <w:highlight w:val="none"/>
        </w:rPr>
        <w:t>般公共预算支出决算数为159.86</w:t>
      </w:r>
      <w:r>
        <w:rPr>
          <w:rFonts w:hint="eastAsia" w:ascii="仿宋_GB2312" w:hAnsi="仿宋_GB2312" w:eastAsia="仿宋_GB2312" w:cs="仿宋_GB2312"/>
          <w:b/>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w:t>
      </w:r>
      <w:r>
        <w:rPr>
          <w:rStyle w:val="15"/>
          <w:rFonts w:hint="eastAsia" w:ascii="仿宋_GB2312" w:hAnsi="仿宋_GB2312" w:eastAsia="仿宋_GB2312" w:cs="仿宋_GB2312"/>
          <w:bCs/>
          <w:color w:val="auto"/>
          <w:sz w:val="32"/>
          <w:szCs w:val="32"/>
          <w:highlight w:val="none"/>
        </w:rPr>
        <w:t>完成预算</w:t>
      </w:r>
      <w:r>
        <w:rPr>
          <w:rStyle w:val="15"/>
          <w:rFonts w:hint="eastAsia" w:ascii="仿宋_GB2312" w:hAnsi="仿宋_GB2312" w:eastAsia="仿宋_GB2312" w:cs="仿宋_GB2312"/>
          <w:bCs/>
          <w:color w:val="auto"/>
          <w:sz w:val="32"/>
          <w:szCs w:val="32"/>
          <w:highlight w:val="none"/>
          <w:lang w:val="en-US" w:eastAsia="zh-CN"/>
        </w:rPr>
        <w:t>100</w:t>
      </w:r>
      <w:r>
        <w:rPr>
          <w:rStyle w:val="15"/>
          <w:rFonts w:hint="eastAsia" w:ascii="仿宋_GB2312" w:hAnsi="仿宋_GB2312" w:eastAsia="仿宋_GB2312" w:cs="仿宋_GB2312"/>
          <w:bCs/>
          <w:color w:val="auto"/>
          <w:sz w:val="32"/>
          <w:szCs w:val="32"/>
          <w:highlight w:val="none"/>
        </w:rPr>
        <w:t>%。其中：</w:t>
      </w:r>
      <w:bookmarkEnd w:id="44"/>
      <w:bookmarkEnd w:id="45"/>
      <w:bookmarkEnd w:id="46"/>
      <w:bookmarkEnd w:id="47"/>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15"/>
          <w:rFonts w:hint="eastAsia" w:ascii="仿宋_GB2312" w:hAnsi="仿宋_GB2312" w:eastAsia="仿宋_GB2312" w:cs="仿宋_GB2312"/>
          <w:bCs/>
          <w:color w:val="auto"/>
          <w:sz w:val="32"/>
          <w:szCs w:val="32"/>
          <w:highlight w:val="none"/>
        </w:rPr>
        <w:t>1.一般公共服务（类）纪检监察事务（款）</w:t>
      </w:r>
      <w:r>
        <w:rPr>
          <w:rStyle w:val="15"/>
          <w:rFonts w:hint="eastAsia" w:ascii="仿宋_GB2312" w:hAnsi="仿宋_GB2312" w:eastAsia="仿宋_GB2312" w:cs="仿宋_GB2312"/>
          <w:bCs/>
          <w:color w:val="auto"/>
          <w:sz w:val="32"/>
          <w:szCs w:val="32"/>
          <w:highlight w:val="none"/>
          <w:lang w:val="en-US" w:eastAsia="zh-CN"/>
        </w:rPr>
        <w:t>事业运行</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支出决算为115.83万元，完成预算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Cs/>
          <w:color w:val="auto"/>
          <w:sz w:val="32"/>
          <w:szCs w:val="32"/>
          <w:highlight w:val="none"/>
        </w:rPr>
        <w:t>一般公共服务（类）纪检监察事务（款）</w:t>
      </w:r>
      <w:r>
        <w:rPr>
          <w:rStyle w:val="15"/>
          <w:rFonts w:hint="eastAsia" w:ascii="仿宋_GB2312" w:hAnsi="仿宋_GB2312" w:eastAsia="仿宋_GB2312" w:cs="仿宋_GB2312"/>
          <w:b/>
          <w:bCs w:val="0"/>
          <w:color w:val="auto"/>
          <w:sz w:val="32"/>
          <w:szCs w:val="32"/>
          <w:highlight w:val="none"/>
        </w:rPr>
        <w:t>其他纪检监察事务支出（项）</w:t>
      </w:r>
      <w:r>
        <w:rPr>
          <w:rStyle w:val="15"/>
          <w:rFonts w:hint="eastAsia" w:ascii="仿宋_GB2312" w:hAnsi="仿宋_GB2312" w:eastAsia="仿宋_GB2312" w:cs="仿宋_GB2312"/>
          <w:b/>
          <w:bCs w:val="0"/>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20.00</w:t>
      </w:r>
      <w:r>
        <w:rPr>
          <w:rStyle w:val="15"/>
          <w:rFonts w:hint="eastAsia" w:ascii="仿宋_GB2312" w:hAnsi="仿宋_GB2312" w:eastAsia="仿宋_GB2312" w:cs="仿宋_GB2312"/>
          <w:b w:val="0"/>
          <w:bCs/>
          <w:color w:val="auto"/>
          <w:sz w:val="32"/>
          <w:szCs w:val="32"/>
          <w:highlight w:val="none"/>
        </w:rPr>
        <w:t>万元，完成预算100%。</w:t>
      </w:r>
    </w:p>
    <w:p>
      <w:pPr>
        <w:spacing w:line="600" w:lineRule="exact"/>
        <w:ind w:firstLine="643" w:firstLineChars="200"/>
        <w:rPr>
          <w:rStyle w:val="15"/>
          <w:rFonts w:hint="eastAsia" w:ascii="仿宋_GB2312" w:hAnsi="仿宋_GB2312" w:eastAsia="仿宋_GB2312" w:cs="仿宋_GB2312"/>
          <w:b/>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rPr>
        <w:t>2.社会保障和就业（类）行政事业单位养老支出（款）机关事业单位基本养老保险缴费支出（项）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val="0"/>
          <w:color w:val="auto"/>
          <w:sz w:val="32"/>
          <w:szCs w:val="32"/>
          <w:highlight w:val="none"/>
        </w:rPr>
        <w:t>支出决算为7.77万元，完成预算100%</w:t>
      </w:r>
      <w:r>
        <w:rPr>
          <w:rStyle w:val="15"/>
          <w:rFonts w:hint="eastAsia" w:ascii="仿宋_GB2312" w:hAnsi="仿宋_GB2312" w:eastAsia="仿宋_GB2312" w:cs="仿宋_GB2312"/>
          <w:b w:val="0"/>
          <w:bCs w:val="0"/>
          <w:color w:val="auto"/>
          <w:sz w:val="32"/>
          <w:szCs w:val="32"/>
          <w:highlight w:val="none"/>
          <w:lang w:eastAsia="zh-CN"/>
        </w:rPr>
        <w:t>；</w:t>
      </w:r>
      <w:r>
        <w:rPr>
          <w:rStyle w:val="15"/>
          <w:rFonts w:hint="eastAsia" w:ascii="仿宋_GB2312" w:hAnsi="仿宋_GB2312" w:eastAsia="仿宋_GB2312" w:cs="仿宋_GB2312"/>
          <w:bCs/>
          <w:color w:val="auto"/>
          <w:sz w:val="32"/>
          <w:szCs w:val="32"/>
          <w:highlight w:val="none"/>
        </w:rPr>
        <w:t>社会保障和就业（类）行政事业单位养老支出（款）</w:t>
      </w:r>
      <w:r>
        <w:rPr>
          <w:rStyle w:val="15"/>
          <w:rFonts w:hint="eastAsia" w:ascii="仿宋_GB2312" w:hAnsi="仿宋_GB2312" w:eastAsia="仿宋_GB2312" w:cs="仿宋_GB2312"/>
          <w:b/>
          <w:bCs/>
          <w:color w:val="auto"/>
          <w:sz w:val="32"/>
          <w:szCs w:val="32"/>
          <w:highlight w:val="none"/>
          <w:lang w:eastAsia="zh-CN"/>
        </w:rPr>
        <w:t>机关事业单位职业年金缴费支出</w:t>
      </w:r>
      <w:r>
        <w:rPr>
          <w:rStyle w:val="15"/>
          <w:rFonts w:hint="eastAsia" w:ascii="仿宋_GB2312" w:hAnsi="仿宋_GB2312" w:eastAsia="仿宋_GB2312" w:cs="仿宋_GB2312"/>
          <w:b/>
          <w:bCs/>
          <w:color w:val="auto"/>
          <w:sz w:val="32"/>
          <w:szCs w:val="32"/>
          <w:highlight w:val="none"/>
        </w:rPr>
        <w:t>（项）</w:t>
      </w:r>
      <w:r>
        <w:rPr>
          <w:rStyle w:val="15"/>
          <w:rFonts w:hint="eastAsia" w:ascii="仿宋_GB2312" w:hAnsi="仿宋_GB2312" w:eastAsia="仿宋_GB2312" w:cs="仿宋_GB2312"/>
          <w:b/>
          <w:bCs/>
          <w:color w:val="auto"/>
          <w:sz w:val="32"/>
          <w:szCs w:val="32"/>
          <w:highlight w:val="none"/>
          <w:lang w:eastAsia="zh-CN"/>
        </w:rPr>
        <w:t>：</w:t>
      </w:r>
      <w:r>
        <w:rPr>
          <w:rStyle w:val="15"/>
          <w:rFonts w:hint="eastAsia" w:ascii="仿宋_GB2312" w:hAnsi="仿宋_GB2312" w:eastAsia="仿宋_GB2312" w:cs="仿宋_GB2312"/>
          <w:b w:val="0"/>
          <w:bCs w:val="0"/>
          <w:color w:val="auto"/>
          <w:sz w:val="32"/>
          <w:szCs w:val="32"/>
          <w:highlight w:val="none"/>
        </w:rPr>
        <w:t>支出决算为</w:t>
      </w:r>
      <w:r>
        <w:rPr>
          <w:rStyle w:val="15"/>
          <w:rFonts w:hint="eastAsia" w:ascii="仿宋_GB2312" w:hAnsi="仿宋_GB2312" w:eastAsia="仿宋_GB2312" w:cs="仿宋_GB2312"/>
          <w:b w:val="0"/>
          <w:bCs w:val="0"/>
          <w:color w:val="auto"/>
          <w:sz w:val="32"/>
          <w:szCs w:val="32"/>
          <w:highlight w:val="none"/>
          <w:lang w:val="en-US" w:eastAsia="zh-CN"/>
        </w:rPr>
        <w:t>0.48</w:t>
      </w:r>
      <w:r>
        <w:rPr>
          <w:rStyle w:val="15"/>
          <w:rFonts w:hint="eastAsia" w:ascii="仿宋_GB2312" w:hAnsi="仿宋_GB2312" w:eastAsia="仿宋_GB2312" w:cs="仿宋_GB2312"/>
          <w:b w:val="0"/>
          <w:bCs w:val="0"/>
          <w:color w:val="auto"/>
          <w:sz w:val="32"/>
          <w:szCs w:val="32"/>
          <w:highlight w:val="none"/>
        </w:rPr>
        <w:t>万元，完成预算100%</w:t>
      </w:r>
      <w:r>
        <w:rPr>
          <w:rStyle w:val="15"/>
          <w:rFonts w:hint="eastAsia" w:ascii="仿宋_GB2312" w:hAnsi="仿宋_GB2312" w:eastAsia="仿宋_GB2312" w:cs="仿宋_GB2312"/>
          <w:b w:val="0"/>
          <w:bCs w:val="0"/>
          <w:color w:val="auto"/>
          <w:sz w:val="32"/>
          <w:szCs w:val="32"/>
          <w:highlight w:val="none"/>
          <w:lang w:eastAsia="zh-CN"/>
        </w:rPr>
        <w:t>；</w:t>
      </w:r>
      <w:r>
        <w:rPr>
          <w:rStyle w:val="15"/>
          <w:rFonts w:hint="eastAsia" w:ascii="仿宋_GB2312" w:hAnsi="仿宋_GB2312" w:eastAsia="仿宋_GB2312" w:cs="仿宋_GB2312"/>
          <w:bCs/>
          <w:color w:val="auto"/>
          <w:sz w:val="32"/>
          <w:szCs w:val="32"/>
          <w:highlight w:val="none"/>
        </w:rPr>
        <w:t>社会保障和就业（类）其他社会保障和就业支出（款）</w:t>
      </w:r>
      <w:r>
        <w:rPr>
          <w:rStyle w:val="15"/>
          <w:rFonts w:hint="eastAsia" w:ascii="仿宋_GB2312" w:hAnsi="仿宋_GB2312" w:eastAsia="仿宋_GB2312" w:cs="仿宋_GB2312"/>
          <w:b/>
          <w:bCs/>
          <w:color w:val="auto"/>
          <w:sz w:val="32"/>
          <w:szCs w:val="32"/>
          <w:highlight w:val="none"/>
          <w:lang w:eastAsia="zh-CN"/>
        </w:rPr>
        <w:t>其他社会保障和就业支出</w:t>
      </w:r>
      <w:r>
        <w:rPr>
          <w:rStyle w:val="15"/>
          <w:rFonts w:hint="eastAsia" w:ascii="仿宋_GB2312" w:hAnsi="仿宋_GB2312" w:eastAsia="仿宋_GB2312" w:cs="仿宋_GB2312"/>
          <w:b/>
          <w:bCs/>
          <w:color w:val="auto"/>
          <w:sz w:val="32"/>
          <w:szCs w:val="32"/>
          <w:highlight w:val="none"/>
        </w:rPr>
        <w:t>（项）</w:t>
      </w:r>
      <w:r>
        <w:rPr>
          <w:rStyle w:val="15"/>
          <w:rFonts w:hint="eastAsia" w:ascii="仿宋_GB2312" w:hAnsi="仿宋_GB2312" w:eastAsia="仿宋_GB2312" w:cs="仿宋_GB2312"/>
          <w:b/>
          <w:bCs/>
          <w:color w:val="auto"/>
          <w:sz w:val="32"/>
          <w:szCs w:val="32"/>
          <w:highlight w:val="none"/>
          <w:lang w:eastAsia="zh-CN"/>
        </w:rPr>
        <w:t>：</w:t>
      </w:r>
      <w:r>
        <w:rPr>
          <w:rStyle w:val="15"/>
          <w:rFonts w:hint="eastAsia" w:ascii="仿宋_GB2312" w:hAnsi="仿宋_GB2312" w:eastAsia="仿宋_GB2312" w:cs="仿宋_GB2312"/>
          <w:b w:val="0"/>
          <w:bCs w:val="0"/>
          <w:color w:val="auto"/>
          <w:sz w:val="32"/>
          <w:szCs w:val="32"/>
          <w:highlight w:val="none"/>
        </w:rPr>
        <w:t>支出决算为</w:t>
      </w:r>
      <w:r>
        <w:rPr>
          <w:rStyle w:val="15"/>
          <w:rFonts w:hint="eastAsia" w:ascii="仿宋_GB2312" w:hAnsi="仿宋_GB2312" w:eastAsia="仿宋_GB2312" w:cs="仿宋_GB2312"/>
          <w:b w:val="0"/>
          <w:bCs w:val="0"/>
          <w:color w:val="auto"/>
          <w:sz w:val="32"/>
          <w:szCs w:val="32"/>
          <w:highlight w:val="none"/>
          <w:lang w:val="en-US" w:eastAsia="zh-CN"/>
        </w:rPr>
        <w:t>0.92</w:t>
      </w:r>
      <w:r>
        <w:rPr>
          <w:rStyle w:val="15"/>
          <w:rFonts w:hint="eastAsia" w:ascii="仿宋_GB2312" w:hAnsi="仿宋_GB2312" w:eastAsia="仿宋_GB2312" w:cs="仿宋_GB2312"/>
          <w:b w:val="0"/>
          <w:bCs w:val="0"/>
          <w:color w:val="auto"/>
          <w:sz w:val="32"/>
          <w:szCs w:val="32"/>
          <w:highlight w:val="none"/>
        </w:rPr>
        <w:t>万元，完成预算100%</w:t>
      </w:r>
      <w:r>
        <w:rPr>
          <w:rStyle w:val="15"/>
          <w:rFonts w:hint="eastAsia" w:ascii="仿宋_GB2312" w:hAnsi="仿宋_GB2312" w:eastAsia="仿宋_GB2312" w:cs="仿宋_GB2312"/>
          <w:b w:val="0"/>
          <w:bCs w:val="0"/>
          <w:color w:val="auto"/>
          <w:sz w:val="32"/>
          <w:szCs w:val="32"/>
          <w:highlight w:val="none"/>
          <w:lang w:val="en-US" w:eastAsia="zh-CN"/>
        </w:rPr>
        <w:t>。</w:t>
      </w:r>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3</w:t>
      </w:r>
      <w:r>
        <w:rPr>
          <w:rStyle w:val="15"/>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
          <w:bCs/>
          <w:color w:val="auto"/>
          <w:sz w:val="32"/>
          <w:szCs w:val="32"/>
          <w:highlight w:val="none"/>
        </w:rPr>
        <w:t>卫生健康</w:t>
      </w:r>
      <w:r>
        <w:rPr>
          <w:rStyle w:val="15"/>
          <w:rFonts w:hint="eastAsia" w:ascii="仿宋_GB2312" w:hAnsi="仿宋_GB2312" w:eastAsia="仿宋_GB2312" w:cs="仿宋_GB2312"/>
          <w:bCs/>
          <w:color w:val="auto"/>
          <w:sz w:val="32"/>
          <w:szCs w:val="32"/>
          <w:highlight w:val="none"/>
        </w:rPr>
        <w:t>（类）行政事业单位医疗（款）事业单位医疗（项）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4.56</w:t>
      </w:r>
      <w:r>
        <w:rPr>
          <w:rStyle w:val="15"/>
          <w:rFonts w:hint="eastAsia" w:ascii="仿宋_GB2312" w:hAnsi="仿宋_GB2312" w:eastAsia="仿宋_GB2312" w:cs="仿宋_GB2312"/>
          <w:b w:val="0"/>
          <w:bCs/>
          <w:color w:val="auto"/>
          <w:sz w:val="32"/>
          <w:szCs w:val="32"/>
          <w:highlight w:val="none"/>
        </w:rPr>
        <w:t>万元，完成预算100%。</w:t>
      </w:r>
    </w:p>
    <w:p>
      <w:pPr>
        <w:spacing w:line="600" w:lineRule="exact"/>
        <w:ind w:firstLine="643"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4.住房保障支出（类）住房改革支出（款）住房公积金（项）：</w:t>
      </w:r>
      <w:r>
        <w:rPr>
          <w:rFonts w:hint="eastAsia" w:ascii="仿宋_GB2312" w:hAnsi="仿宋_GB2312" w:eastAsia="仿宋_GB2312" w:cs="仿宋_GB2312"/>
          <w:b w:val="0"/>
          <w:bCs/>
          <w:color w:val="auto"/>
          <w:sz w:val="32"/>
          <w:szCs w:val="32"/>
          <w:highlight w:val="none"/>
          <w:lang w:val="en-US" w:eastAsia="zh-CN"/>
        </w:rPr>
        <w:t>支出决算为10.30万元，完成预算100%。</w:t>
      </w:r>
    </w:p>
    <w:p>
      <w:pPr>
        <w:tabs>
          <w:tab w:val="right" w:pos="8306"/>
        </w:tabs>
        <w:spacing w:line="600" w:lineRule="exact"/>
        <w:ind w:firstLine="640"/>
        <w:outlineLvl w:val="1"/>
        <w:rPr>
          <w:rStyle w:val="18"/>
          <w:rFonts w:hint="eastAsia" w:ascii="仿宋_GB2312" w:hAnsi="仿宋_GB2312" w:eastAsia="仿宋_GB2312" w:cs="仿宋_GB2312"/>
          <w:color w:val="auto"/>
          <w:highlight w:val="none"/>
        </w:rPr>
      </w:pPr>
      <w:bookmarkStart w:id="48" w:name="_Toc15396608"/>
      <w:bookmarkStart w:id="49" w:name="_Toc15377214"/>
      <w:bookmarkStart w:id="50" w:name="_Toc17133"/>
      <w:r>
        <w:rPr>
          <w:rFonts w:hint="eastAsia" w:ascii="黑体" w:hAnsi="黑体" w:eastAsia="黑体"/>
          <w:color w:val="auto"/>
          <w:sz w:val="32"/>
          <w:szCs w:val="32"/>
          <w:highlight w:val="none"/>
        </w:rPr>
        <w:t>六、一般公共预算财政拨款基本支出决算情况说明</w:t>
      </w:r>
      <w:bookmarkEnd w:id="48"/>
      <w:bookmarkEnd w:id="49"/>
      <w:bookmarkEnd w:id="50"/>
      <w:r>
        <w:rPr>
          <w:rStyle w:val="18"/>
          <w:rFonts w:hint="eastAsia" w:ascii="仿宋_GB2312" w:hAnsi="仿宋_GB2312" w:eastAsia="仿宋_GB2312" w:cs="仿宋_GB2312"/>
          <w:b w:val="0"/>
          <w:color w:val="auto"/>
          <w:highlight w:val="none"/>
        </w:rPr>
        <w:tab/>
      </w:r>
    </w:p>
    <w:p>
      <w:pP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51" w:name="_Toc17735"/>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年一般公共预算财政拨款基本支出139.86万元，其中：</w:t>
      </w:r>
      <w:bookmarkEnd w:id="51"/>
    </w:p>
    <w:p>
      <w:pPr>
        <w:pageBreakBefore w:val="0"/>
        <w:numPr>
          <w:ilvl w:val="0"/>
          <w:numId w:val="0"/>
        </w:numPr>
        <w:kinsoku/>
        <w:wordWrap/>
        <w:overflowPunct/>
        <w:topLinePunct w:val="0"/>
        <w:bidi w:val="0"/>
        <w:spacing w:line="579" w:lineRule="exact"/>
        <w:ind w:left="0" w:leftChars="0" w:firstLine="640" w:firstLineChars="200"/>
        <w:jc w:val="both"/>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auto"/>
          <w:sz w:val="32"/>
          <w:szCs w:val="32"/>
          <w:highlight w:val="none"/>
        </w:rPr>
        <w:t>人员经费124.81万元，主要包括：</w:t>
      </w:r>
      <w:r>
        <w:rPr>
          <w:rFonts w:hint="eastAsia" w:ascii="仿宋_GB2312" w:hAnsi="仿宋_GB2312" w:eastAsia="仿宋_GB2312" w:cs="仿宋_GB2312"/>
          <w:color w:val="000000"/>
          <w:sz w:val="32"/>
          <w:szCs w:val="32"/>
          <w:highlight w:val="none"/>
          <w:lang w:eastAsia="zh-CN"/>
        </w:rPr>
        <w:t>基本工资、津贴补贴、</w:t>
      </w:r>
      <w:r>
        <w:rPr>
          <w:rFonts w:hint="eastAsia" w:ascii="仿宋_GB2312" w:hAnsi="仿宋_GB2312" w:eastAsia="仿宋_GB2312" w:cs="仿宋_GB2312"/>
          <w:color w:val="000000"/>
          <w:sz w:val="32"/>
          <w:szCs w:val="32"/>
          <w:highlight w:val="none"/>
          <w:lang w:val="en-US" w:eastAsia="zh-CN"/>
        </w:rPr>
        <w:t>奖金、</w:t>
      </w:r>
      <w:r>
        <w:rPr>
          <w:rFonts w:hint="eastAsia" w:ascii="仿宋_GB2312" w:hAnsi="仿宋_GB2312" w:eastAsia="仿宋_GB2312" w:cs="仿宋_GB2312"/>
          <w:color w:val="000000"/>
          <w:sz w:val="32"/>
          <w:szCs w:val="32"/>
          <w:highlight w:val="none"/>
          <w:lang w:eastAsia="zh-CN"/>
        </w:rPr>
        <w:t>绩效工资、机关事业单位基本养老保险缴费、</w:t>
      </w:r>
      <w:r>
        <w:rPr>
          <w:rFonts w:hint="eastAsia" w:ascii="仿宋_GB2312" w:hAnsi="仿宋_GB2312" w:eastAsia="仿宋_GB2312" w:cs="仿宋_GB2312"/>
          <w:color w:val="000000"/>
          <w:sz w:val="32"/>
          <w:szCs w:val="32"/>
          <w:highlight w:val="none"/>
          <w:lang w:val="en-US" w:eastAsia="zh-CN"/>
        </w:rPr>
        <w:t>职业年金缴费、</w:t>
      </w:r>
      <w:r>
        <w:rPr>
          <w:rFonts w:hint="eastAsia" w:ascii="仿宋_GB2312" w:hAnsi="仿宋_GB2312" w:eastAsia="仿宋_GB2312" w:cs="仿宋_GB2312"/>
          <w:color w:val="000000"/>
          <w:sz w:val="32"/>
          <w:szCs w:val="32"/>
          <w:highlight w:val="none"/>
          <w:lang w:eastAsia="zh-CN"/>
        </w:rPr>
        <w:t>职工基本医疗保险缴费、其他社会保障缴费、住房公积金。</w:t>
      </w:r>
    </w:p>
    <w:p>
      <w:pPr>
        <w:pageBreakBefore w:val="0"/>
        <w:numPr>
          <w:ilvl w:val="0"/>
          <w:numId w:val="0"/>
        </w:numPr>
        <w:kinsoku/>
        <w:wordWrap/>
        <w:overflowPunct/>
        <w:topLinePunct w:val="0"/>
        <w:bidi w:val="0"/>
        <w:spacing w:line="579" w:lineRule="exact"/>
        <w:jc w:val="both"/>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5.05万元，主要包括：</w:t>
      </w:r>
      <w:r>
        <w:rPr>
          <w:rFonts w:hint="eastAsia" w:ascii="仿宋_GB2312" w:hAnsi="仿宋_GB2312" w:eastAsia="仿宋_GB2312" w:cs="仿宋_GB2312"/>
          <w:color w:val="000000"/>
          <w:sz w:val="32"/>
          <w:szCs w:val="32"/>
          <w:highlight w:val="none"/>
          <w:lang w:eastAsia="zh-CN"/>
        </w:rPr>
        <w:t>水费、电费、邮电费、</w:t>
      </w:r>
      <w:r>
        <w:rPr>
          <w:rFonts w:hint="eastAsia" w:ascii="仿宋_GB2312" w:hAnsi="仿宋_GB2312" w:eastAsia="仿宋_GB2312" w:cs="仿宋_GB2312"/>
          <w:color w:val="000000"/>
          <w:sz w:val="32"/>
          <w:szCs w:val="32"/>
          <w:highlight w:val="none"/>
          <w:lang w:val="en-US" w:eastAsia="zh-CN"/>
        </w:rPr>
        <w:t>物业管理费、其他商品服务支出。</w:t>
      </w:r>
    </w:p>
    <w:p>
      <w:pPr>
        <w:spacing w:line="600" w:lineRule="exact"/>
        <w:ind w:firstLine="640"/>
        <w:outlineLvl w:val="1"/>
        <w:rPr>
          <w:rStyle w:val="18"/>
          <w:rFonts w:ascii="黑体" w:hAnsi="黑体" w:eastAsia="黑体"/>
          <w:b w:val="0"/>
          <w:color w:val="auto"/>
          <w:highlight w:val="none"/>
        </w:rPr>
      </w:pPr>
      <w:bookmarkStart w:id="52" w:name="_Toc6356"/>
      <w:bookmarkStart w:id="53" w:name="_Toc15377215"/>
      <w:bookmarkStart w:id="54" w:name="_Toc153966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2"/>
      <w:bookmarkEnd w:id="53"/>
      <w:bookmarkEnd w:id="54"/>
    </w:p>
    <w:p>
      <w:pP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万元，年初未安排预算，与202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年持平。</w:t>
      </w:r>
    </w:p>
    <w:p>
      <w:pPr>
        <w:spacing w:line="600" w:lineRule="exact"/>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万元；公务接待费支出决算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万元。具体情况如下：</w:t>
      </w:r>
    </w:p>
    <w:p>
      <w:pPr>
        <w:pageBreakBefore w:val="0"/>
        <w:kinsoku/>
        <w:wordWrap/>
        <w:overflowPunct/>
        <w:topLinePunct w:val="0"/>
        <w:bidi w:val="0"/>
        <w:spacing w:line="579" w:lineRule="exact"/>
        <w:ind w:left="0" w:leftChars="0"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color w:val="auto"/>
          <w:sz w:val="32"/>
          <w:szCs w:val="32"/>
          <w:highlight w:val="none"/>
        </w:rPr>
        <w:t>1.因公出国（境）经费支出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Cs/>
          <w:color w:val="000000"/>
          <w:kern w:val="0"/>
          <w:sz w:val="32"/>
          <w:szCs w:val="32"/>
          <w:lang w:val="en-US" w:eastAsia="zh-CN" w:bidi="ar-SA"/>
        </w:rPr>
        <w:t>年初未安排预算，因公出国（境）支出决算较2021年无变化。</w:t>
      </w:r>
    </w:p>
    <w:p>
      <w:p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Cs/>
          <w:color w:val="000000"/>
          <w:kern w:val="0"/>
          <w:sz w:val="32"/>
          <w:szCs w:val="32"/>
          <w:lang w:val="en-US" w:eastAsia="zh-CN" w:bidi="ar-SA"/>
        </w:rPr>
        <w:t>年初未安排预算，与上年持平</w:t>
      </w:r>
      <w:r>
        <w:rPr>
          <w:rStyle w:val="15"/>
          <w:rFonts w:hint="eastAsia" w:ascii="仿宋_GB2312" w:hAnsi="仿宋_GB2312" w:eastAsia="仿宋_GB2312" w:cs="仿宋_GB2312"/>
          <w:b w:val="0"/>
          <w:bCs/>
          <w:color w:val="auto"/>
          <w:sz w:val="32"/>
          <w:szCs w:val="32"/>
          <w:highlight w:val="none"/>
        </w:rPr>
        <w:t>。截至202</w:t>
      </w:r>
      <w:r>
        <w:rPr>
          <w:rStyle w:val="15"/>
          <w:rFonts w:hint="eastAsia" w:ascii="仿宋_GB2312" w:hAnsi="仿宋_GB2312" w:eastAsia="仿宋_GB2312" w:cs="仿宋_GB2312"/>
          <w:b w:val="0"/>
          <w:bCs/>
          <w:color w:val="auto"/>
          <w:sz w:val="32"/>
          <w:szCs w:val="32"/>
          <w:highlight w:val="none"/>
          <w:lang w:val="en-US" w:eastAsia="zh-CN"/>
        </w:rPr>
        <w:t>2</w:t>
      </w:r>
      <w:r>
        <w:rPr>
          <w:rStyle w:val="15"/>
          <w:rFonts w:hint="eastAsia" w:ascii="仿宋_GB2312" w:hAnsi="仿宋_GB2312" w:eastAsia="仿宋_GB2312" w:cs="仿宋_GB2312"/>
          <w:b w:val="0"/>
          <w:bCs/>
          <w:color w:val="auto"/>
          <w:sz w:val="32"/>
          <w:szCs w:val="32"/>
          <w:highlight w:val="none"/>
        </w:rPr>
        <w:t>年12月底，单位共有公务用车0辆</w:t>
      </w:r>
      <w:r>
        <w:rPr>
          <w:rStyle w:val="15"/>
          <w:rFonts w:hint="eastAsia" w:ascii="仿宋_GB2312" w:hAnsi="仿宋_GB2312" w:eastAsia="仿宋_GB2312" w:cs="仿宋_GB2312"/>
          <w:b w:val="0"/>
          <w:bCs/>
          <w:color w:val="auto"/>
          <w:sz w:val="32"/>
          <w:szCs w:val="32"/>
          <w:highlight w:val="none"/>
          <w:lang w:eastAsia="zh-CN"/>
        </w:rPr>
        <w:t>。</w:t>
      </w:r>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3.公务接待费支出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Style w:val="15"/>
          <w:rFonts w:hint="eastAsia" w:ascii="仿宋_GB2312" w:hAnsi="仿宋_GB2312" w:eastAsia="仿宋_GB2312" w:cs="仿宋_GB2312"/>
          <w:b w:val="0"/>
          <w:bCs/>
          <w:color w:val="auto"/>
          <w:sz w:val="32"/>
          <w:szCs w:val="32"/>
          <w:highlight w:val="none"/>
        </w:rPr>
        <w:t>年初未安排预算，与上年持平。</w:t>
      </w:r>
    </w:p>
    <w:p>
      <w:pPr>
        <w:spacing w:line="600" w:lineRule="exact"/>
        <w:ind w:firstLine="640"/>
        <w:outlineLvl w:val="1"/>
        <w:rPr>
          <w:rStyle w:val="18"/>
          <w:rFonts w:ascii="黑体" w:hAnsi="黑体" w:eastAsia="黑体"/>
          <w:color w:val="auto"/>
          <w:highlight w:val="none"/>
        </w:rPr>
      </w:pPr>
      <w:bookmarkStart w:id="57" w:name="_Toc26958"/>
      <w:bookmarkStart w:id="58" w:name="_Toc15396610"/>
      <w:bookmarkStart w:id="59" w:name="_Toc15377218"/>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年政府性基金预算拨款支出0万元。202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年本单位未在政府性基金预算拨款安排“三公经费”支出。</w:t>
      </w:r>
    </w:p>
    <w:p>
      <w:pPr>
        <w:numPr>
          <w:ilvl w:val="0"/>
          <w:numId w:val="3"/>
        </w:numPr>
        <w:spacing w:line="600" w:lineRule="exact"/>
        <w:ind w:firstLine="640"/>
        <w:outlineLvl w:val="1"/>
        <w:rPr>
          <w:rStyle w:val="18"/>
          <w:rFonts w:ascii="黑体" w:hAnsi="黑体" w:eastAsia="黑体"/>
          <w:b w:val="0"/>
          <w:color w:val="auto"/>
          <w:highlight w:val="none"/>
        </w:rPr>
      </w:pPr>
      <w:bookmarkStart w:id="60" w:name="_Toc17835"/>
      <w:bookmarkStart w:id="61" w:name="_Toc15377219"/>
      <w:bookmarkStart w:id="62" w:name="_Toc15396611"/>
      <w:r>
        <w:rPr>
          <w:rStyle w:val="18"/>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8"/>
          <w:rFonts w:hint="eastAsia" w:ascii="黑体" w:hAnsi="黑体" w:eastAsia="黑体"/>
          <w:b w:val="0"/>
          <w:color w:val="auto"/>
          <w:highlight w:val="none"/>
        </w:rPr>
      </w:pPr>
      <w:bookmarkStart w:id="63" w:name="_Toc31144"/>
      <w:bookmarkStart w:id="64" w:name="_Toc15377221"/>
      <w:bookmarkStart w:id="65" w:name="_Toc15396612"/>
      <w:r>
        <w:rPr>
          <w:rStyle w:val="18"/>
          <w:rFonts w:hint="eastAsia" w:ascii="黑体" w:hAnsi="黑体" w:eastAsia="黑体"/>
          <w:b w:val="0"/>
          <w:color w:val="auto"/>
          <w:highlight w:val="none"/>
        </w:rPr>
        <w:t>其他重要事项的情况说明</w:t>
      </w:r>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firstLineChars="200"/>
        <w:rPr>
          <w:rFonts w:ascii="仿宋" w:hAnsi="仿宋" w:eastAsia="仿宋"/>
          <w:b/>
          <w:color w:val="auto"/>
          <w:sz w:val="32"/>
          <w:szCs w:val="32"/>
          <w:highlight w:val="none"/>
        </w:rPr>
      </w:pPr>
      <w:bookmarkStart w:id="67" w:name="_Toc15377223"/>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619.97</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275.94</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344.03</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食堂物资采购和后勤保障管理服务</w:t>
      </w:r>
      <w:r>
        <w:rPr>
          <w:rFonts w:hint="eastAsia" w:ascii="仿宋_GB2312" w:eastAsia="仿宋_GB2312"/>
          <w:color w:val="auto"/>
          <w:sz w:val="32"/>
          <w:szCs w:val="32"/>
          <w:highlight w:val="none"/>
        </w:rPr>
        <w:t>。授予中小企业合同金额619.97万元，占政府采购支出总额的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，其中：授予小微企业合同金额619.97万元，占政府采购支出总额的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val="en-US" w:eastAsia="zh-CN"/>
        </w:rPr>
        <w:t>后勤保障管理服务</w:t>
      </w:r>
      <w:r>
        <w:rPr>
          <w:rFonts w:hint="eastAsia" w:ascii="仿宋_GB2312" w:hAnsi="仿宋_GB2312" w:eastAsia="仿宋_GB2312" w:cs="仿宋_GB2312"/>
          <w:color w:val="auto"/>
          <w:sz w:val="32"/>
          <w:szCs w:val="32"/>
          <w:highlight w:val="none"/>
        </w:rPr>
        <w:t>项目开展了预算事前绩效评估，对</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7"/>
          <w:rFonts w:ascii="黑体" w:hAnsi="黑体" w:eastAsia="黑体"/>
          <w:b w:val="0"/>
          <w:color w:val="auto"/>
          <w:highlight w:val="none"/>
        </w:rPr>
      </w:pPr>
      <w:bookmarkStart w:id="69" w:name="_Toc11049"/>
      <w:bookmarkStart w:id="70" w:name="_Toc15377225"/>
      <w:bookmarkStart w:id="71" w:name="_Toc15396613"/>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9"/>
      <w:bookmarkEnd w:id="70"/>
      <w:bookmarkEnd w:id="71"/>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val="en-US" w:eastAsia="zh-CN"/>
        </w:rPr>
        <w:t>代管资金收入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.一般公共服务（类）纪检监察事务（款）事业运行（项）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反映事业单位的基本支出。</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.一般公共服务（类）纪检监察事务（款）其他纪检监察事务支出（项）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用于招聘管理团队服务支出。</w:t>
      </w:r>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.社会保障和就业（类）行政事业单位养老支出（款）机关事业单位基本养老保险缴费支出（项）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指机关事业单位实施养老保险制度由单位缴纳的基本养老保险费支出</w:t>
      </w:r>
      <w:r>
        <w:rPr>
          <w:rFonts w:hint="eastAsia" w:ascii="仿宋_GB2312" w:eastAsia="仿宋_GB2312"/>
          <w:color w:val="auto"/>
          <w:sz w:val="32"/>
          <w:szCs w:val="32"/>
          <w:highlight w:val="none"/>
          <w:lang w:eastAsia="zh-CN"/>
        </w:rPr>
        <w:t>。</w:t>
      </w:r>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社会保障和就业（类）行政事业单位养老支出（款）机关事业单位职业年金缴费支出（项）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指机关事业单位实施养老保险制度由单位</w:t>
      </w:r>
      <w:r>
        <w:rPr>
          <w:rFonts w:hint="eastAsia" w:ascii="仿宋_GB2312" w:eastAsia="仿宋_GB2312"/>
          <w:color w:val="auto"/>
          <w:sz w:val="32"/>
          <w:szCs w:val="32"/>
          <w:highlight w:val="none"/>
          <w:lang w:val="en-US" w:eastAsia="zh-CN"/>
        </w:rPr>
        <w:t>实际</w:t>
      </w:r>
      <w:r>
        <w:rPr>
          <w:rFonts w:hint="eastAsia" w:ascii="仿宋_GB2312" w:eastAsia="仿宋_GB2312"/>
          <w:color w:val="auto"/>
          <w:sz w:val="32"/>
          <w:szCs w:val="32"/>
          <w:highlight w:val="none"/>
        </w:rPr>
        <w:t>缴纳的</w:t>
      </w:r>
      <w:r>
        <w:rPr>
          <w:rFonts w:hint="eastAsia" w:ascii="仿宋_GB2312" w:eastAsia="仿宋_GB2312"/>
          <w:color w:val="auto"/>
          <w:sz w:val="32"/>
          <w:szCs w:val="32"/>
          <w:highlight w:val="none"/>
          <w:lang w:val="en-US" w:eastAsia="zh-CN"/>
        </w:rPr>
        <w:t>职业年金</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w:t>
      </w:r>
    </w:p>
    <w:p>
      <w:pPr>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8.社会保障和就业（类）其他社会保障和就业支出（款）其他社会保障和就业支出（项）：指其他用于社会保障和就业方面的支出。</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9.卫生健康（类）行政事业单位医疗（款）事业单位医疗（项）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指反映财政部门集中安排的事业单位医疗保险缴费经费，未参加医疗保险的事业单位的公费医疗经费，按国家规定享受离休人员待遇的医疗经费。</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10.住房保障支出（类）住房改革支出（款）住房公积金（项）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指反映行政事业单位按人力资源和社会保障部、财政部规定的基本工资和津贴补贴以及规定比例为职工缴纳的住房公积金。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7"/>
          <w:rFonts w:hint="eastAsia" w:ascii="黑体" w:hAnsi="黑体" w:eastAsia="黑体"/>
          <w:b w:val="0"/>
          <w:color w:val="auto"/>
          <w:highlight w:val="none"/>
        </w:rPr>
      </w:pPr>
      <w:bookmarkStart w:id="72" w:name="_Toc15377226"/>
      <w:r>
        <w:rPr>
          <w:rFonts w:ascii="宋体"/>
          <w:b/>
          <w:color w:val="auto"/>
          <w:sz w:val="44"/>
          <w:szCs w:val="44"/>
          <w:highlight w:val="none"/>
        </w:rPr>
        <w:br w:type="page"/>
      </w:r>
      <w:bookmarkStart w:id="73" w:name="_Toc29739"/>
      <w:bookmarkStart w:id="74" w:name="_Toc15396614"/>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3"/>
      <w:bookmarkEnd w:id="74"/>
    </w:p>
    <w:p>
      <w:pPr>
        <w:pStyle w:val="2"/>
      </w:pPr>
    </w:p>
    <w:tbl>
      <w:tblPr>
        <w:tblStyle w:val="13"/>
        <w:tblW w:w="93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7"/>
        <w:gridCol w:w="1078"/>
        <w:gridCol w:w="1093"/>
        <w:gridCol w:w="1551"/>
        <w:gridCol w:w="514"/>
        <w:gridCol w:w="746"/>
        <w:gridCol w:w="514"/>
        <w:gridCol w:w="767"/>
        <w:gridCol w:w="576"/>
        <w:gridCol w:w="576"/>
        <w:gridCol w:w="12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3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75"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6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中共广元市纪律检查委员会部门</w:t>
            </w:r>
          </w:p>
        </w:tc>
        <w:tc>
          <w:tcPr>
            <w:tcW w:w="77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广元市党风廉政教育中心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3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6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工资及时足额发放，严格预算执行。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43.25</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43.25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45.84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43.25</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43.25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08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项目完成数量、质量、时效以及社会效益和经济效益等指标对项目展开绩效自评，并通过指标评价体系计算自评得分100分，通过绩效自评树立绩效意识、成本意识和责任意识，完善预制度、执行、监督体系，提升绩效管理质量，提高财政资金使用效益，促进部门更好地履行职责。通过项目实施，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将进一步完善预算的编制工作，提高预算编制的精准度，提高资金使用效率，按照预算执行要求及时有效的完成，提高预算执行率，保障资金合理支出。加强对绩效目标管理的督查，使绩效目标能更加科学有效的完成。</w:t>
            </w:r>
          </w:p>
        </w:tc>
      </w:tr>
    </w:tbl>
    <w:p>
      <w:pPr>
        <w:pStyle w:val="6"/>
        <w:rPr>
          <w:rFonts w:hint="eastAsia" w:ascii="仿宋_GB2312" w:hAnsi="Calibri" w:eastAsia="仿宋_GB2312" w:cs="仿宋"/>
          <w:color w:val="auto"/>
          <w:kern w:val="0"/>
          <w:sz w:val="32"/>
          <w:szCs w:val="32"/>
          <w:highlight w:val="none"/>
          <w:lang w:val="en-US" w:eastAsia="zh-CN" w:bidi="ar-SA"/>
        </w:rPr>
      </w:pPr>
    </w:p>
    <w:tbl>
      <w:tblPr>
        <w:tblStyle w:val="13"/>
        <w:tblW w:w="93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1088"/>
        <w:gridCol w:w="1105"/>
        <w:gridCol w:w="1573"/>
        <w:gridCol w:w="517"/>
        <w:gridCol w:w="751"/>
        <w:gridCol w:w="517"/>
        <w:gridCol w:w="846"/>
        <w:gridCol w:w="504"/>
        <w:gridCol w:w="486"/>
        <w:gridCol w:w="12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3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103" w:name="_GoBack"/>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56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51080021T000000054226-管理团队服务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中共广元市纪律检查委员会部门</w:t>
            </w:r>
          </w:p>
        </w:tc>
        <w:tc>
          <w:tcPr>
            <w:tcW w:w="77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广元市党风廉政教育中心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招聘一支49人的服务团队，保障审查调查场所人员的住宿、饮食、生活等日常后勤服务。</w:t>
            </w:r>
          </w:p>
        </w:tc>
        <w:tc>
          <w:tcPr>
            <w:tcW w:w="30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通过政府采购服务招聘了一支49人的服务团队，保障了审查调查人员的饮食、住宿、生活，为审查调查工作提供优质的环境及坚实的后勤保障。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56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该项目分为综合部、客房部、餐饮部、工程部、安保部五个职能模块，服务人员需身体健康，具有相应岗位的业务知识和技能，为中心提供全年365天的住宿、餐饮、安保等保障。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275.94</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275.94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该项目部分资金为单位资金预算，根据需要调减。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344.00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255.94</w:t>
            </w: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255.94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不少于49人的专业化服务团队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办案场所服务水准的提升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全年365天的服务保障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控制在不超过中标金额10%以内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保障案件查办工作高效推进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办案场所人员满意度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08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主要职能是负责全市纪检监察机关查办重大违纪案件的后勤保障和服务管理工作。招聘管理团队是为切实保障办案工作而实施的重要项目，通过该项目聘请到专业的服务人员进行保障，具体分为综合部、客房部、餐饮部、工程部、安保部五个职能板块，全面保障后勤服务。通过该项目的实施，我中心的住宿餐饮及环境得到了办案人员的好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团队人数多，管理水平有待进一步提升。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成立项目管理小组，分工明确，分类管理，切实保障服务团队发挥最大作用。</w:t>
            </w:r>
          </w:p>
        </w:tc>
      </w:tr>
      <w:bookmarkEnd w:id="103"/>
    </w:tbl>
    <w:p>
      <w:pPr>
        <w:pStyle w:val="6"/>
        <w:rPr>
          <w:rFonts w:hint="eastAsia" w:ascii="仿宋_GB2312" w:hAnsi="Calibri" w:eastAsia="仿宋_GB2312" w:cs="仿宋"/>
          <w:color w:val="auto"/>
          <w:kern w:val="0"/>
          <w:sz w:val="32"/>
          <w:szCs w:val="32"/>
          <w:highlight w:val="none"/>
          <w:lang w:val="en-US" w:eastAsia="zh-CN" w:bidi="ar-SA"/>
        </w:rPr>
      </w:pPr>
    </w:p>
    <w:tbl>
      <w:tblPr>
        <w:tblStyle w:val="13"/>
        <w:tblW w:w="93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7"/>
        <w:gridCol w:w="1072"/>
        <w:gridCol w:w="1089"/>
        <w:gridCol w:w="1577"/>
        <w:gridCol w:w="513"/>
        <w:gridCol w:w="743"/>
        <w:gridCol w:w="513"/>
        <w:gridCol w:w="772"/>
        <w:gridCol w:w="576"/>
        <w:gridCol w:w="576"/>
        <w:gridCol w:w="12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4" w:hRule="atLeast"/>
        </w:trPr>
        <w:tc>
          <w:tcPr>
            <w:tcW w:w="93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中共广元市纪律检查委员会部门</w:t>
            </w:r>
          </w:p>
        </w:tc>
        <w:tc>
          <w:tcPr>
            <w:tcW w:w="77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广元市党风廉政教育中心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2.77</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1.63</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9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项目完成数量、质量、时效以及社会效益和经济效益等指标对项目展开绩效自评，并通过指标评价体系计算自评得分100分，通过绩效自评树立绩效意识、成本意识和责任意识，完善预制度、执行、监督体系，提升绩效管理质量，提高财政资金使用效益，促进部门更好地履行职责。通过项目实施，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在财务管理和财务工作过程中还存在一些不足，在实施内部监督制度和内部控制制席时，还未能完全达到所规定的要求有些财务制度尚未建立健全，今后要进一步完善这方面的制度，实行更有力的措施，力求这方面的工作做的更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将进一步完善预算的编制工作，提高预算编制的精准度，提高资金使用效率，按照预算执行要求及时有效的完成，提高预算执行率，保障资金合理支出。加强对绩效目标管理的督查，使绩效目标能更加科学有效的完成。根据财务管理相关制度及单位内部控制制度，对资金支付逐一进行会计核算及账务处理。对照单位内部控制制度及相关财务制度，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3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中共广元市纪律检查委员会部门</w:t>
            </w:r>
          </w:p>
        </w:tc>
        <w:tc>
          <w:tcPr>
            <w:tcW w:w="77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广元市党风廉政教育中心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工资及时足额发放，严格预算执行。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59.63</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75.17</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75.17</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59.63</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75.17</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75.17</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9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项目完成数量、质量、时效以及社会效益和经济效益等指标对项目展开绩效自评，并通过指标评价体系计算自评得分100分，通过绩效自评树立绩效意识、成本意识和责任意识，完善预制度、执行、监督体系，提升绩效管理质量，提高财政资金使用效益，促进部门更好地履行职责。通过项目实施，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将进一步完善预算的编制工作，提高预算编制的精准度，提高资金使用效率，按照预算执行要求及时有效的完成，提高预算执行率，保障资金合理支出。加强对绩效目标管理的督查，使绩效目标能更加科学有效的完成。根据财务管理相关制度及单位内部控制制度，对资金支付逐一进行会计核算及账务处理。对照单位内部控制制度及相关财务制度，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3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中共广元市纪律检查委员会部门</w:t>
            </w:r>
          </w:p>
        </w:tc>
        <w:tc>
          <w:tcPr>
            <w:tcW w:w="77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广元市党风廉政教育中心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13.71</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13.71</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13.71</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13.71</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9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项目完成数量、质量、时效以及社会效益和经济效益等指标对项目展开绩效自评，并通过指标评价体系计算自评得分100分，通过绩效自评树立绩效意识、成本意识和责任意识，完善预制度、执行、监督体系，提升绩效管理质量，提高财政资金使用效益，促进部门更好地履行职责。通过项目实施，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在财务管理和财务工作过程中还存在一些不足，在实施内部监督制度和内部控制制席时，还未能完全达到所规定的要求有些财务制度尚未建立健全，今后要进一步完善这方面的制度，实行更有力的措施，力求这方面的工作做的更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将进一步完善预算的编制工作，提高预算编制的精准度，提高资金使用效率，按照预算执行要求及时有效的完成，提高预算执行率，保障资金合理支出。加强对绩效目标管理的督查，使绩效目标能更加科学有效的完成。根据财务管理相关制度及单位内部控制制度，对资金支付逐一进行会计核算及账务处理。对照单位内部控制制度及相关财务制度，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3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中共广元市纪律检查委员会部门</w:t>
            </w:r>
          </w:p>
        </w:tc>
        <w:tc>
          <w:tcPr>
            <w:tcW w:w="77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广元市党风廉政教育中心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3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6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项目完成数量、质量、时效以及社会效益和经济效益等指标对项目展开绩效自评，并通过指标评价体系计算自评得分100分，通过绩效自评树立绩效意识、成本意识和责任意识，完善预制度、执行、监督体系，提升绩效管理质量，提高财政资金使用效益，促进部门更好地履行职责。通过项目实施，保障单位日常运转，按照预算执行要求及时有效的完成，提高预算执行率，保障资金合理支出，严格执行财务管理制度，财务处理及时、会计核算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中心将进一步完善预算的编制工作，提高预算编制的精准度，提高资金使用效率，按照预算执行要求及时有效的完成，提高预算执行率，保障资金合理支出。加强对绩效目标管理的督查，使绩效目标能更加科学有效的完成。根据财务管理相关制度及单位内部控制制度，对资金支付逐一进行会计核算及账务处理。对照单位内部控制制度及相关财务制度，严格执行财务管理制度，财务处理及时、会计核算合规。</w:t>
            </w:r>
          </w:p>
        </w:tc>
      </w:tr>
    </w:tbl>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6" w:name="_Toc28355"/>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2"/>
      <w:bookmarkEnd w:id="75"/>
      <w:bookmarkEnd w:id="76"/>
      <w:bookmarkStart w:id="77" w:name="_Toc15396619"/>
    </w:p>
    <w:p>
      <w:pPr>
        <w:pStyle w:val="4"/>
        <w:rPr>
          <w:rFonts w:ascii="仿宋" w:hAnsi="仿宋" w:eastAsia="仿宋"/>
          <w:color w:val="auto"/>
          <w:highlight w:val="none"/>
        </w:rPr>
      </w:pPr>
      <w:bookmarkStart w:id="78" w:name="_Toc29584"/>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7"/>
      <w:bookmarkEnd w:id="78"/>
    </w:p>
    <w:p>
      <w:pPr>
        <w:pStyle w:val="4"/>
        <w:rPr>
          <w:rFonts w:ascii="仿宋" w:hAnsi="仿宋" w:eastAsia="仿宋"/>
          <w:color w:val="auto"/>
          <w:highlight w:val="none"/>
        </w:rPr>
      </w:pPr>
      <w:bookmarkStart w:id="79" w:name="_Toc15396620"/>
      <w:bookmarkStart w:id="80" w:name="_Toc26397"/>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9"/>
      <w:bookmarkEnd w:id="80"/>
    </w:p>
    <w:p>
      <w:pPr>
        <w:pStyle w:val="4"/>
        <w:rPr>
          <w:rFonts w:ascii="仿宋" w:hAnsi="仿宋" w:eastAsia="仿宋"/>
          <w:color w:val="auto"/>
          <w:highlight w:val="none"/>
        </w:rPr>
      </w:pPr>
      <w:bookmarkStart w:id="81" w:name="_Toc15396621"/>
      <w:bookmarkStart w:id="82" w:name="_Toc10122"/>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81"/>
      <w:bookmarkEnd w:id="82"/>
    </w:p>
    <w:p>
      <w:pPr>
        <w:pStyle w:val="4"/>
        <w:rPr>
          <w:rFonts w:ascii="仿宋" w:hAnsi="仿宋" w:eastAsia="仿宋"/>
          <w:b w:val="0"/>
          <w:color w:val="auto"/>
          <w:highlight w:val="none"/>
        </w:rPr>
      </w:pPr>
      <w:bookmarkStart w:id="83" w:name="_Toc29237"/>
      <w:bookmarkStart w:id="84" w:name="_Toc1539662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3"/>
      <w:bookmarkEnd w:id="84"/>
    </w:p>
    <w:p>
      <w:pPr>
        <w:pStyle w:val="4"/>
        <w:rPr>
          <w:rStyle w:val="18"/>
          <w:rFonts w:ascii="仿宋" w:hAnsi="仿宋" w:eastAsia="仿宋"/>
          <w:b w:val="0"/>
          <w:bCs w:val="0"/>
          <w:color w:val="auto"/>
          <w:highlight w:val="none"/>
        </w:rPr>
      </w:pPr>
      <w:bookmarkStart w:id="85" w:name="_Toc15396623"/>
      <w:bookmarkStart w:id="86" w:name="_Toc5845"/>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5"/>
      <w:bookmarkEnd w:id="86"/>
      <w:bookmarkStart w:id="87" w:name="_Toc15396624"/>
    </w:p>
    <w:p>
      <w:pPr>
        <w:pStyle w:val="4"/>
        <w:rPr>
          <w:rFonts w:ascii="仿宋" w:hAnsi="仿宋" w:eastAsia="仿宋"/>
          <w:color w:val="auto"/>
          <w:highlight w:val="none"/>
        </w:rPr>
      </w:pPr>
      <w:bookmarkStart w:id="88" w:name="_Toc25021"/>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7"/>
      <w:bookmarkEnd w:id="88"/>
    </w:p>
    <w:p>
      <w:pPr>
        <w:pStyle w:val="4"/>
        <w:rPr>
          <w:rFonts w:ascii="仿宋" w:hAnsi="仿宋" w:eastAsia="仿宋"/>
          <w:color w:val="auto"/>
          <w:highlight w:val="none"/>
        </w:rPr>
      </w:pPr>
      <w:bookmarkStart w:id="89" w:name="_Toc17047"/>
      <w:bookmarkStart w:id="90" w:name="_Toc15396625"/>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9"/>
      <w:bookmarkEnd w:id="90"/>
    </w:p>
    <w:p>
      <w:pPr>
        <w:pStyle w:val="4"/>
        <w:rPr>
          <w:rFonts w:ascii="仿宋" w:hAnsi="仿宋" w:eastAsia="仿宋"/>
          <w:color w:val="auto"/>
          <w:highlight w:val="none"/>
        </w:rPr>
      </w:pPr>
      <w:bookmarkStart w:id="91" w:name="_Toc22405"/>
      <w:bookmarkStart w:id="92" w:name="_Toc15396626"/>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91"/>
      <w:bookmarkEnd w:id="92"/>
    </w:p>
    <w:p>
      <w:pPr>
        <w:pStyle w:val="4"/>
        <w:rPr>
          <w:rFonts w:ascii="仿宋" w:hAnsi="仿宋" w:eastAsia="仿宋"/>
          <w:color w:val="auto"/>
          <w:highlight w:val="none"/>
        </w:rPr>
      </w:pPr>
      <w:bookmarkStart w:id="93" w:name="_Toc15396627"/>
      <w:bookmarkStart w:id="94" w:name="_Toc15799"/>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3"/>
      <w:bookmarkEnd w:id="94"/>
    </w:p>
    <w:p>
      <w:pPr>
        <w:pStyle w:val="4"/>
        <w:rPr>
          <w:rFonts w:ascii="仿宋" w:hAnsi="仿宋" w:eastAsia="仿宋"/>
          <w:color w:val="auto"/>
          <w:highlight w:val="none"/>
        </w:rPr>
      </w:pPr>
      <w:bookmarkStart w:id="95" w:name="_Toc15396628"/>
      <w:bookmarkStart w:id="96" w:name="_Toc31198"/>
      <w:r>
        <w:rPr>
          <w:rStyle w:val="18"/>
          <w:rFonts w:hint="eastAsia" w:ascii="仿宋" w:hAnsi="仿宋" w:eastAsia="仿宋"/>
          <w:b w:val="0"/>
          <w:bCs w:val="0"/>
          <w:color w:val="auto"/>
          <w:highlight w:val="none"/>
        </w:rPr>
        <w:t>十、</w:t>
      </w:r>
      <w:bookmarkEnd w:id="95"/>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6"/>
    </w:p>
    <w:p>
      <w:pPr>
        <w:pStyle w:val="4"/>
        <w:rPr>
          <w:rFonts w:ascii="仿宋" w:hAnsi="仿宋" w:eastAsia="仿宋"/>
          <w:color w:val="auto"/>
          <w:highlight w:val="none"/>
        </w:rPr>
      </w:pPr>
      <w:bookmarkStart w:id="97" w:name="_Toc15396629"/>
      <w:bookmarkStart w:id="98" w:name="_Toc8228"/>
      <w:r>
        <w:rPr>
          <w:rStyle w:val="18"/>
          <w:rFonts w:hint="eastAsia" w:ascii="仿宋" w:hAnsi="仿宋" w:eastAsia="仿宋"/>
          <w:b w:val="0"/>
          <w:bCs w:val="0"/>
          <w:color w:val="auto"/>
          <w:highlight w:val="none"/>
        </w:rPr>
        <w:t>十一、</w:t>
      </w:r>
      <w:bookmarkEnd w:id="97"/>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8"/>
    </w:p>
    <w:p>
      <w:pPr>
        <w:pStyle w:val="4"/>
        <w:rPr>
          <w:rFonts w:ascii="仿宋" w:hAnsi="仿宋" w:eastAsia="仿宋"/>
          <w:color w:val="auto"/>
          <w:highlight w:val="none"/>
        </w:rPr>
      </w:pPr>
      <w:bookmarkStart w:id="99" w:name="_Toc15396630"/>
      <w:bookmarkStart w:id="100" w:name="_Toc26711"/>
      <w:r>
        <w:rPr>
          <w:rStyle w:val="18"/>
          <w:rFonts w:hint="eastAsia" w:ascii="仿宋" w:hAnsi="仿宋" w:eastAsia="仿宋"/>
          <w:b w:val="0"/>
          <w:bCs w:val="0"/>
          <w:color w:val="auto"/>
          <w:highlight w:val="none"/>
        </w:rPr>
        <w:t>十二、</w:t>
      </w:r>
      <w:bookmarkEnd w:id="99"/>
      <w:r>
        <w:rPr>
          <w:rStyle w:val="18"/>
          <w:rFonts w:hint="eastAsia" w:ascii="仿宋" w:hAnsi="仿宋" w:eastAsia="仿宋"/>
          <w:b w:val="0"/>
          <w:bCs w:val="0"/>
          <w:color w:val="auto"/>
          <w:highlight w:val="none"/>
          <w:lang w:eastAsia="zh-CN"/>
        </w:rPr>
        <w:t>国有资本经营预算财政拨款支出决算表</w:t>
      </w:r>
      <w:bookmarkEnd w:id="100"/>
    </w:p>
    <w:p>
      <w:pPr>
        <w:pStyle w:val="4"/>
        <w:rPr>
          <w:rFonts w:hint="eastAsia" w:eastAsia="仿宋"/>
          <w:color w:val="auto"/>
          <w:highlight w:val="none"/>
          <w:lang w:eastAsia="zh-CN"/>
        </w:rPr>
      </w:pPr>
      <w:bookmarkStart w:id="101" w:name="_Toc15396631"/>
      <w:bookmarkStart w:id="102" w:name="_Toc15647"/>
      <w:r>
        <w:rPr>
          <w:rStyle w:val="18"/>
          <w:rFonts w:hint="eastAsia" w:ascii="仿宋" w:hAnsi="仿宋" w:eastAsia="仿宋"/>
          <w:b w:val="0"/>
          <w:bCs w:val="0"/>
          <w:color w:val="auto"/>
          <w:highlight w:val="none"/>
        </w:rPr>
        <w:t>十三、</w:t>
      </w:r>
      <w:bookmarkEnd w:id="101"/>
      <w:r>
        <w:rPr>
          <w:rStyle w:val="18"/>
          <w:rFonts w:hint="eastAsia" w:ascii="仿宋" w:hAnsi="仿宋" w:eastAsia="仿宋"/>
          <w:b w:val="0"/>
          <w:bCs w:val="0"/>
          <w:color w:val="auto"/>
          <w:highlight w:val="none"/>
          <w:lang w:eastAsia="zh-CN"/>
        </w:rPr>
        <w:t>财政拨款“三公”经费支出决算表</w:t>
      </w:r>
      <w:bookmarkEnd w:id="102"/>
    </w:p>
    <w:sectPr>
      <w:footerReference r:id="rId5" w:type="firs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9"/>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v:shape>
          </w:pict>
        </mc:Fallback>
      </mc:AlternateContent>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Y2VmYTE5NjQzOTFhNDA2MDUxMzg1YTYxOWM0Y2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34408E"/>
    <w:rsid w:val="041617C1"/>
    <w:rsid w:val="053A62B5"/>
    <w:rsid w:val="0A2032A3"/>
    <w:rsid w:val="0B8A37D8"/>
    <w:rsid w:val="10C055FF"/>
    <w:rsid w:val="118107EC"/>
    <w:rsid w:val="11DD6519"/>
    <w:rsid w:val="14DC3F2C"/>
    <w:rsid w:val="16BB723D"/>
    <w:rsid w:val="18015F3F"/>
    <w:rsid w:val="1BE8440E"/>
    <w:rsid w:val="1D155CEE"/>
    <w:rsid w:val="1DFF006E"/>
    <w:rsid w:val="20F57F95"/>
    <w:rsid w:val="240371BF"/>
    <w:rsid w:val="25711CC6"/>
    <w:rsid w:val="25C741E6"/>
    <w:rsid w:val="27842671"/>
    <w:rsid w:val="29FD04D3"/>
    <w:rsid w:val="2ABE7A3E"/>
    <w:rsid w:val="2CA234A8"/>
    <w:rsid w:val="2EFA178C"/>
    <w:rsid w:val="303E3C47"/>
    <w:rsid w:val="30B46D73"/>
    <w:rsid w:val="319F7F4E"/>
    <w:rsid w:val="32832FA4"/>
    <w:rsid w:val="383D272C"/>
    <w:rsid w:val="39AE70AB"/>
    <w:rsid w:val="3C0C0783"/>
    <w:rsid w:val="3C180C9D"/>
    <w:rsid w:val="3F9F3A96"/>
    <w:rsid w:val="41085755"/>
    <w:rsid w:val="48BF60AB"/>
    <w:rsid w:val="493C27E9"/>
    <w:rsid w:val="496F39ED"/>
    <w:rsid w:val="49FF41D3"/>
    <w:rsid w:val="4BE068DB"/>
    <w:rsid w:val="4BF6002B"/>
    <w:rsid w:val="4ECE2238"/>
    <w:rsid w:val="51DB4B86"/>
    <w:rsid w:val="5474420B"/>
    <w:rsid w:val="55333C3E"/>
    <w:rsid w:val="5E6F221D"/>
    <w:rsid w:val="5F4299C1"/>
    <w:rsid w:val="61861D57"/>
    <w:rsid w:val="64CA39A1"/>
    <w:rsid w:val="69630ADE"/>
    <w:rsid w:val="6C4A05C8"/>
    <w:rsid w:val="6D3B1A89"/>
    <w:rsid w:val="6DB9F311"/>
    <w:rsid w:val="6EB4BF90"/>
    <w:rsid w:val="71BF4EC2"/>
    <w:rsid w:val="72734D90"/>
    <w:rsid w:val="7412278C"/>
    <w:rsid w:val="779BC529"/>
    <w:rsid w:val="786848D9"/>
    <w:rsid w:val="7904082E"/>
    <w:rsid w:val="7967030A"/>
    <w:rsid w:val="79E7B28D"/>
    <w:rsid w:val="7DFFF0E2"/>
    <w:rsid w:val="7EBF028E"/>
    <w:rsid w:val="7F9F20EE"/>
    <w:rsid w:val="9E3A10E2"/>
    <w:rsid w:val="CBFF8807"/>
    <w:rsid w:val="F2E1F9D4"/>
    <w:rsid w:val="F6F62350"/>
    <w:rsid w:val="F7880819"/>
    <w:rsid w:val="F7BFA9E9"/>
    <w:rsid w:val="F7F7D836"/>
    <w:rsid w:val="FBF312BC"/>
    <w:rsid w:val="FEB5527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Chars="200" w:hanging="200" w:hangingChars="200"/>
    </w:p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图1：收、支决算总计变动情况图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[工作簿1]Sheet1!$G$24:$G$25</c:f>
              <c:strCache>
                <c:ptCount val="2"/>
                <c:pt idx="0">
                  <c:v>2021年收支总计</c:v>
                </c:pt>
                <c:pt idx="1">
                  <c:v>2022年收支总计</c:v>
                </c:pt>
              </c:strCache>
            </c:strRef>
          </c:cat>
          <c:val>
            <c:numRef>
              <c:f>[工作簿1]Sheet1!$H$24:$H$25</c:f>
              <c:numCache>
                <c:formatCode>General</c:formatCode>
                <c:ptCount val="2"/>
                <c:pt idx="0">
                  <c:v>1892.95</c:v>
                </c:pt>
                <c:pt idx="1">
                  <c:v>1227.5</c:v>
                </c:pt>
              </c:numCache>
            </c:numRef>
          </c:val>
        </c:ser>
        <c:dLbls>
          <c:showLegendKey val="0"/>
          <c:showVal val="1"/>
          <c:showCatName val="0"/>
          <c:showSerName val="0"/>
          <c:showPercent val="0"/>
          <c:showBubbleSize val="0"/>
        </c:dLbls>
        <c:gapWidth val="216"/>
        <c:overlap val="-32"/>
        <c:axId val="217907086"/>
        <c:axId val="169276086"/>
      </c:barChart>
      <c:catAx>
        <c:axId val="21790708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9276086"/>
        <c:crosses val="autoZero"/>
        <c:auto val="1"/>
        <c:lblAlgn val="ctr"/>
        <c:lblOffset val="100"/>
        <c:noMultiLvlLbl val="0"/>
      </c:catAx>
      <c:valAx>
        <c:axId val="169276086"/>
        <c:scaling>
          <c:orientation val="minMax"/>
        </c:scaling>
        <c:delete val="0"/>
        <c:axPos val="l"/>
        <c:majorGridlines>
          <c:spPr>
            <a:ln w="9525" cap="flat" cmpd="sng" algn="ctr">
              <a:solidFill>
                <a:schemeClr val="bg1">
                  <a:lumMod val="902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90708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图2：收入决算结构图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一般公共预算财政拨款收入13</a:t>
                    </a:r>
                    <a:r>
                      <a:rPr lang="en-US" altLang="zh-CN"/>
                      <a:t>.02</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其他收入8</a:t>
                    </a:r>
                    <a:r>
                      <a:rPr lang="en-US" altLang="zh-CN"/>
                      <a:t>6.98</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[工作簿1]Sheet2!$H$22:$H$23</c:f>
              <c:strCache>
                <c:ptCount val="2"/>
                <c:pt idx="0">
                  <c:v>一般公共预算财政拨款收入</c:v>
                </c:pt>
                <c:pt idx="1">
                  <c:v>其他收入</c:v>
                </c:pt>
              </c:strCache>
            </c:strRef>
          </c:cat>
          <c:val>
            <c:numRef>
              <c:f>[工作簿1]Sheet2!$I$22:$I$23</c:f>
              <c:numCache>
                <c:formatCode>General</c:formatCode>
                <c:ptCount val="2"/>
                <c:pt idx="0">
                  <c:v>159.86</c:v>
                </c:pt>
                <c:pt idx="1">
                  <c:v>1067.64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图3：支出决算结构图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11</a:t>
                    </a:r>
                    <a:r>
                      <a:rPr lang="en-US" altLang="zh-CN"/>
                      <a:t>.39</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a:t>
                    </a:r>
                    <a:r>
                      <a:rPr lang="en-US" altLang="zh-CN"/>
                      <a:t>8.61</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[工作簿1]Sheet3!$E$16:$E$17</c:f>
              <c:strCache>
                <c:ptCount val="2"/>
                <c:pt idx="0">
                  <c:v>基本支出</c:v>
                </c:pt>
                <c:pt idx="1">
                  <c:v>项目支出</c:v>
                </c:pt>
              </c:strCache>
            </c:strRef>
          </c:cat>
          <c:val>
            <c:numRef>
              <c:f>[工作簿1]Sheet3!$F$16:$F$17</c:f>
              <c:numCache>
                <c:formatCode>General</c:formatCode>
                <c:ptCount val="2"/>
                <c:pt idx="0">
                  <c:v>139.86</c:v>
                </c:pt>
                <c:pt idx="1">
                  <c:v>1087.64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图4：财政拨款收、支决算总计变动情况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[工作簿1]Sheet4!$G$22:$G$23</c:f>
              <c:strCache>
                <c:ptCount val="2"/>
                <c:pt idx="0">
                  <c:v>2021年财政拨款收、支总计</c:v>
                </c:pt>
                <c:pt idx="1">
                  <c:v>2022年财政拨款收、支总计</c:v>
                </c:pt>
              </c:strCache>
            </c:strRef>
          </c:cat>
          <c:val>
            <c:numRef>
              <c:f>[工作簿1]Sheet4!$H$22:$H$23</c:f>
              <c:numCache>
                <c:formatCode>General</c:formatCode>
                <c:ptCount val="2"/>
                <c:pt idx="0">
                  <c:v>1044.03</c:v>
                </c:pt>
                <c:pt idx="1">
                  <c:v>159.86</c:v>
                </c:pt>
              </c:numCache>
            </c:numRef>
          </c:val>
        </c:ser>
        <c:dLbls>
          <c:showLegendKey val="0"/>
          <c:showVal val="1"/>
          <c:showCatName val="0"/>
          <c:showSerName val="0"/>
          <c:showPercent val="0"/>
          <c:showBubbleSize val="0"/>
        </c:dLbls>
        <c:gapWidth val="216"/>
        <c:overlap val="-32"/>
        <c:axId val="892987406"/>
        <c:axId val="373850346"/>
      </c:barChart>
      <c:catAx>
        <c:axId val="8929874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3850346"/>
        <c:crosses val="autoZero"/>
        <c:auto val="1"/>
        <c:lblAlgn val="ctr"/>
        <c:lblOffset val="100"/>
        <c:noMultiLvlLbl val="0"/>
      </c:catAx>
      <c:valAx>
        <c:axId val="373850346"/>
        <c:scaling>
          <c:orientation val="minMax"/>
        </c:scaling>
        <c:delete val="0"/>
        <c:axPos val="l"/>
        <c:majorGridlines>
          <c:spPr>
            <a:ln w="9525" cap="flat" cmpd="sng" algn="ctr">
              <a:solidFill>
                <a:schemeClr val="bg1">
                  <a:lumMod val="902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298740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图5：一般公共预算财政拨款支出决算变动情况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[工作簿1]Sheet5!$G$18:$G$19</c:f>
              <c:strCache>
                <c:ptCount val="2"/>
                <c:pt idx="0">
                  <c:v>2021年一般公共预算财政拨款支出</c:v>
                </c:pt>
                <c:pt idx="1">
                  <c:v>2022年一般公共预算财政拨款支出</c:v>
                </c:pt>
              </c:strCache>
            </c:strRef>
          </c:cat>
          <c:val>
            <c:numRef>
              <c:f>[工作簿1]Sheet5!$H$18:$H$19</c:f>
              <c:numCache>
                <c:formatCode>General</c:formatCode>
                <c:ptCount val="2"/>
                <c:pt idx="0">
                  <c:v>1044.03</c:v>
                </c:pt>
                <c:pt idx="1" c:formatCode="#,##0.00">
                  <c:v>159.86</c:v>
                </c:pt>
              </c:numCache>
            </c:numRef>
          </c:val>
        </c:ser>
        <c:dLbls>
          <c:showLegendKey val="0"/>
          <c:showVal val="1"/>
          <c:showCatName val="0"/>
          <c:showSerName val="0"/>
          <c:showPercent val="0"/>
          <c:showBubbleSize val="0"/>
        </c:dLbls>
        <c:gapWidth val="216"/>
        <c:overlap val="-32"/>
        <c:axId val="900506283"/>
        <c:axId val="646558714"/>
      </c:barChart>
      <c:catAx>
        <c:axId val="90050628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6558714"/>
        <c:crosses val="autoZero"/>
        <c:auto val="1"/>
        <c:lblAlgn val="ctr"/>
        <c:lblOffset val="100"/>
        <c:noMultiLvlLbl val="0"/>
      </c:catAx>
      <c:valAx>
        <c:axId val="646558714"/>
        <c:scaling>
          <c:orientation val="minMax"/>
        </c:scaling>
        <c:delete val="0"/>
        <c:axPos val="l"/>
        <c:majorGridlines>
          <c:spPr>
            <a:ln w="9525" cap="flat" cmpd="sng" algn="ctr">
              <a:solidFill>
                <a:schemeClr val="bg1">
                  <a:lumMod val="902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0506283"/>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图6：一般公共预算财政拨款支出决算结构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84.97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manualLayout>
                  <c:x val="0.0346951377356166"/>
                  <c:y val="0.0879818073427685"/>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5.74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24496310073598"/>
                  <c:y val="0.0577853276116444"/>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2.85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365799446721955"/>
                  <c:y val="0.0706648802844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6.44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[工作簿1]Sheet6!$G$15:$G$18</c:f>
              <c:strCache>
                <c:ptCount val="4"/>
                <c:pt idx="0">
                  <c:v>一般公共服务支出</c:v>
                </c:pt>
                <c:pt idx="1">
                  <c:v>社会保障和就业支出</c:v>
                </c:pt>
                <c:pt idx="2">
                  <c:v>卫生健康支出</c:v>
                </c:pt>
                <c:pt idx="3">
                  <c:v>住房保障支出</c:v>
                </c:pt>
              </c:strCache>
            </c:strRef>
          </c:cat>
          <c:val>
            <c:numRef>
              <c:f>[工作簿1]Sheet6!$H$15:$H$18</c:f>
              <c:numCache>
                <c:formatCode>General</c:formatCode>
                <c:ptCount val="4"/>
                <c:pt idx="0">
                  <c:v>135.83</c:v>
                </c:pt>
                <c:pt idx="1">
                  <c:v>9.17</c:v>
                </c:pt>
                <c:pt idx="2">
                  <c:v>4.56</c:v>
                </c:pt>
                <c:pt idx="3">
                  <c:v>10.3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1</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Joyce ✨</cp:lastModifiedBy>
  <cp:lastPrinted>2023-07-31T10:35:00Z</cp:lastPrinted>
  <dcterms:modified xsi:type="dcterms:W3CDTF">2023-10-19T12:01:04Z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0577794BE62F4DEB8ADE95D55ECD1876_13</vt:lpwstr>
  </property>
</Properties>
</file>