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77425"/>
      <w:bookmarkStart w:id="1" w:name="_Toc15378441"/>
      <w:bookmarkStart w:id="2" w:name="_Toc15396597"/>
      <w:bookmarkStart w:id="3" w:name="_Toc15377193"/>
      <w:bookmarkStart w:id="4" w:name="_Toc15396475"/>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4770"/>
      <w:bookmarkStart w:id="7" w:name="_Toc28331"/>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bookmarkEnd w:id="7"/>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8" w:name="_Toc12740"/>
      <w:bookmarkStart w:id="9" w:name="_Toc5402"/>
      <w:bookmarkStart w:id="10" w:name="_Toc15377194"/>
      <w:bookmarkStart w:id="11" w:name="_Toc15396598"/>
      <w:bookmarkStart w:id="12" w:name="_Toc15396476"/>
      <w:bookmarkStart w:id="13" w:name="_Toc15378442"/>
      <w:bookmarkStart w:id="14" w:name="_Toc15377426"/>
      <w:r>
        <w:rPr>
          <w:rFonts w:hint="eastAsia" w:ascii="方正小标宋简体" w:hAnsi="方正小标宋简体" w:eastAsia="方正小标宋简体" w:cs="方正小标宋简体"/>
          <w:color w:val="auto"/>
          <w:sz w:val="72"/>
          <w:szCs w:val="72"/>
          <w:highlight w:val="none"/>
          <w:lang w:eastAsia="zh-CN"/>
        </w:rPr>
        <w:t>广元市</w:t>
      </w:r>
      <w:bookmarkEnd w:id="5"/>
      <w:bookmarkStart w:id="15" w:name="_Toc15306268"/>
      <w:r>
        <w:rPr>
          <w:rFonts w:hint="eastAsia" w:ascii="方正小标宋简体" w:hAnsi="方正小标宋简体" w:eastAsia="方正小标宋简体" w:cs="方正小标宋简体"/>
          <w:color w:val="auto"/>
          <w:sz w:val="72"/>
          <w:szCs w:val="72"/>
          <w:highlight w:val="none"/>
          <w:lang w:eastAsia="zh-CN"/>
        </w:rPr>
        <w:t>停撤企业服务中心</w:t>
      </w:r>
      <w:r>
        <w:rPr>
          <w:rFonts w:hint="eastAsia" w:ascii="方正小标宋简体" w:hAnsi="方正小标宋简体" w:eastAsia="方正小标宋简体" w:cs="方正小标宋简体"/>
          <w:color w:val="auto"/>
          <w:sz w:val="72"/>
          <w:szCs w:val="72"/>
          <w:highlight w:val="none"/>
        </w:rPr>
        <w:t>部门决算</w:t>
      </w:r>
      <w:bookmarkEnd w:id="8"/>
      <w:bookmarkEnd w:id="9"/>
      <w:bookmarkEnd w:id="10"/>
      <w:bookmarkEnd w:id="11"/>
      <w:bookmarkEnd w:id="12"/>
      <w:bookmarkEnd w:id="13"/>
      <w:bookmarkEnd w:id="14"/>
      <w:bookmarkEnd w:id="15"/>
    </w:p>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ascii="黑体" w:hAnsi="黑体" w:eastAsia="黑体" w:cstheme="minorBidi"/>
          <w:color w:val="auto"/>
          <w:sz w:val="28"/>
          <w:szCs w:val="28"/>
          <w:highlight w:val="none"/>
        </w:rPr>
      </w:pPr>
      <w:r>
        <w:rPr>
          <w:rFonts w:hint="eastAsia" w:ascii="黑体" w:hAnsi="黑体" w:eastAsia="黑体"/>
          <w:color w:val="auto"/>
          <w:spacing w:val="480"/>
          <w:kern w:val="0"/>
          <w:sz w:val="48"/>
          <w:szCs w:val="48"/>
          <w:highlight w:val="none"/>
          <w:fitText w:val="1920" w:id="998538220"/>
        </w:rPr>
        <w:t>目</w:t>
      </w:r>
      <w:r>
        <w:rPr>
          <w:rFonts w:hint="eastAsia" w:ascii="黑体" w:hAnsi="黑体" w:eastAsia="黑体"/>
          <w:color w:val="auto"/>
          <w:spacing w:val="0"/>
          <w:kern w:val="0"/>
          <w:sz w:val="48"/>
          <w:szCs w:val="48"/>
          <w:highlight w:val="none"/>
          <w:fitText w:val="1920" w:id="998538220"/>
        </w:rPr>
        <w:t>录</w:t>
      </w:r>
    </w:p>
    <w:p>
      <w:pPr>
        <w:pStyle w:val="11"/>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sdt>
      <w:sdtPr>
        <w:rPr>
          <w:rFonts w:ascii="宋体" w:hAnsi="宋体" w:eastAsia="宋体" w:cs="Times New Roman"/>
          <w:color w:val="auto"/>
          <w:kern w:val="2"/>
          <w:sz w:val="21"/>
          <w:szCs w:val="24"/>
          <w:lang w:val="en-US" w:eastAsia="zh-CN" w:bidi="ar-SA"/>
        </w:rPr>
        <w:id w:val="147472450"/>
        <w15:color w:val="DBDBDB"/>
        <w:docPartObj>
          <w:docPartGallery w:val="Table of Contents"/>
          <w:docPartUnique/>
        </w:docPartObj>
      </w:sdtPr>
      <w:sdtEndPr>
        <w:rPr>
          <w:rFonts w:ascii="Times New Roman" w:hAnsi="Times New Roman" w:eastAsia="宋体" w:cs="Times New Roman"/>
          <w:b/>
          <w:color w:val="auto"/>
          <w:kern w:val="2"/>
          <w:sz w:val="21"/>
          <w:szCs w:val="24"/>
          <w:highlight w:val="none"/>
          <w:lang w:val="en-US" w:eastAsia="zh-CN" w:bidi="ar-SA"/>
        </w:rPr>
      </w:sdtEndPr>
      <w:sdtContent>
        <w:p>
          <w:pPr>
            <w:rPr>
              <w:rFonts w:ascii="Times New Roman" w:hAnsi="Times New Roman" w:eastAsia="宋体" w:cs="Times New Roman"/>
              <w:b/>
              <w:color w:val="auto"/>
              <w:kern w:val="2"/>
              <w:sz w:val="21"/>
              <w:szCs w:val="24"/>
              <w:highlight w:val="none"/>
              <w:lang w:val="en-US" w:eastAsia="zh-CN" w:bidi="ar-SA"/>
            </w:rPr>
          </w:pPr>
          <w:r>
            <w:rPr>
              <w:color w:val="auto"/>
              <w:highlight w:val="none"/>
            </w:rPr>
            <w:fldChar w:fldCharType="begin"/>
          </w:r>
          <w:r>
            <w:rPr>
              <w:color w:val="auto"/>
              <w:highlight w:val="none"/>
            </w:rPr>
            <w:instrText xml:space="preserve">TOC \o "1-2" \h \u </w:instrText>
          </w:r>
          <w:r>
            <w:rPr>
              <w:color w:val="auto"/>
              <w:highlight w:val="none"/>
            </w:rPr>
            <w:fldChar w:fldCharType="separate"/>
          </w:r>
        </w:p>
        <w:p>
          <w:pPr>
            <w:pStyle w:val="11"/>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_Toc289 </w:instrText>
          </w:r>
          <w:r>
            <w:rPr>
              <w:color w:val="auto"/>
              <w:highlight w:val="none"/>
            </w:rPr>
            <w:fldChar w:fldCharType="separate"/>
          </w:r>
          <w:r>
            <w:rPr>
              <w:rFonts w:hint="eastAsia" w:ascii="黑体" w:hAnsi="黑体" w:eastAsia="黑体"/>
              <w:color w:val="auto"/>
              <w:highlight w:val="none"/>
            </w:rPr>
            <w:t>第一部分</w:t>
          </w:r>
          <w:r>
            <w:rPr>
              <w:rFonts w:hint="eastAsia" w:ascii="黑体" w:hAnsi="黑体" w:eastAsia="黑体"/>
              <w:bCs w:val="0"/>
              <w:color w:val="auto"/>
              <w:highlight w:val="none"/>
            </w:rPr>
            <w:t>部门概况</w:t>
          </w:r>
          <w:r>
            <w:rPr>
              <w:color w:val="auto"/>
            </w:rPr>
            <w:tab/>
          </w:r>
          <w:r>
            <w:rPr>
              <w:color w:val="auto"/>
            </w:rPr>
            <w:fldChar w:fldCharType="begin"/>
          </w:r>
          <w:r>
            <w:rPr>
              <w:color w:val="auto"/>
            </w:rPr>
            <w:instrText xml:space="preserve"> PAGEREF _Toc289 \h </w:instrText>
          </w:r>
          <w:r>
            <w:rPr>
              <w:color w:val="auto"/>
            </w:rPr>
            <w:fldChar w:fldCharType="separate"/>
          </w:r>
          <w:r>
            <w:rPr>
              <w:color w:val="auto"/>
            </w:rPr>
            <w:t>1</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_Toc25637 </w:instrText>
          </w:r>
          <w:r>
            <w:rPr>
              <w:color w:val="auto"/>
              <w:highlight w:val="none"/>
            </w:rPr>
            <w:fldChar w:fldCharType="separate"/>
          </w:r>
          <w:r>
            <w:rPr>
              <w:rFonts w:hint="eastAsia" w:ascii="黑体" w:hAnsi="黑体" w:eastAsia="黑体"/>
              <w:color w:val="auto"/>
              <w:lang w:eastAsia="zh-CN"/>
            </w:rPr>
            <w:t>一、</w:t>
          </w:r>
          <w:r>
            <w:rPr>
              <w:rFonts w:hint="eastAsia" w:ascii="黑体" w:hAnsi="黑体" w:eastAsia="黑体"/>
              <w:color w:val="auto"/>
              <w:highlight w:val="none"/>
              <w:lang w:eastAsia="zh-CN"/>
            </w:rPr>
            <w:t>部门职责</w:t>
          </w:r>
          <w:r>
            <w:rPr>
              <w:color w:val="auto"/>
            </w:rPr>
            <w:tab/>
          </w:r>
          <w:r>
            <w:rPr>
              <w:color w:val="auto"/>
            </w:rPr>
            <w:fldChar w:fldCharType="begin"/>
          </w:r>
          <w:r>
            <w:rPr>
              <w:color w:val="auto"/>
            </w:rPr>
            <w:instrText xml:space="preserve"> PAGEREF _Toc25637 \h </w:instrText>
          </w:r>
          <w:r>
            <w:rPr>
              <w:color w:val="auto"/>
            </w:rPr>
            <w:fldChar w:fldCharType="separate"/>
          </w:r>
          <w:r>
            <w:rPr>
              <w:color w:val="auto"/>
            </w:rPr>
            <w:t>1</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_Toc20938 </w:instrText>
          </w:r>
          <w:r>
            <w:rPr>
              <w:color w:val="auto"/>
              <w:highlight w:val="none"/>
            </w:rPr>
            <w:fldChar w:fldCharType="separate"/>
          </w:r>
          <w:r>
            <w:rPr>
              <w:rFonts w:hint="eastAsia" w:ascii="黑体" w:eastAsia="黑体"/>
              <w:color w:val="auto"/>
              <w:highlight w:val="none"/>
            </w:rPr>
            <w:t>二、</w:t>
          </w:r>
          <w:r>
            <w:rPr>
              <w:rFonts w:hint="eastAsia" w:ascii="黑体" w:hAnsi="黑体" w:eastAsia="黑体"/>
              <w:color w:val="auto"/>
              <w:highlight w:val="none"/>
            </w:rPr>
            <w:t>机</w:t>
          </w:r>
          <w:r>
            <w:rPr>
              <w:rFonts w:hint="eastAsia" w:ascii="黑体" w:hAnsi="黑体" w:eastAsia="黑体"/>
              <w:bCs w:val="0"/>
              <w:color w:val="auto"/>
              <w:highlight w:val="none"/>
            </w:rPr>
            <w:t>构设置</w:t>
          </w:r>
          <w:r>
            <w:rPr>
              <w:color w:val="auto"/>
            </w:rPr>
            <w:tab/>
          </w:r>
          <w:r>
            <w:rPr>
              <w:color w:val="auto"/>
            </w:rPr>
            <w:fldChar w:fldCharType="begin"/>
          </w:r>
          <w:r>
            <w:rPr>
              <w:color w:val="auto"/>
            </w:rPr>
            <w:instrText xml:space="preserve"> PAGEREF _Toc20938 \h </w:instrText>
          </w:r>
          <w:r>
            <w:rPr>
              <w:color w:val="auto"/>
            </w:rPr>
            <w:fldChar w:fldCharType="separate"/>
          </w:r>
          <w:r>
            <w:rPr>
              <w:color w:val="auto"/>
            </w:rPr>
            <w:t>1</w:t>
          </w:r>
          <w:r>
            <w:rPr>
              <w:color w:val="auto"/>
            </w:rPr>
            <w:fldChar w:fldCharType="end"/>
          </w:r>
          <w:r>
            <w:rPr>
              <w:color w:val="auto"/>
              <w:highlight w:val="none"/>
            </w:rPr>
            <w:fldChar w:fldCharType="end"/>
          </w:r>
        </w:p>
        <w:p>
          <w:pPr>
            <w:pStyle w:val="11"/>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_Toc1057 </w:instrText>
          </w:r>
          <w:r>
            <w:rPr>
              <w:color w:val="auto"/>
              <w:highlight w:val="none"/>
            </w:rPr>
            <w:fldChar w:fldCharType="separate"/>
          </w:r>
          <w:r>
            <w:rPr>
              <w:rFonts w:hint="eastAsia" w:ascii="黑体" w:hAnsi="黑体" w:eastAsia="黑体"/>
              <w:bCs/>
              <w:color w:val="auto"/>
              <w:highlight w:val="none"/>
            </w:rPr>
            <w:t>第二部分</w:t>
          </w:r>
          <w:r>
            <w:rPr>
              <w:rFonts w:hint="eastAsia" w:ascii="黑体" w:hAnsi="黑体" w:eastAsia="黑体"/>
              <w:bCs/>
              <w:color w:val="auto"/>
              <w:highlight w:val="none"/>
              <w:lang w:val="en-US" w:eastAsia="zh-CN"/>
            </w:rPr>
            <w:t>2022年度</w:t>
          </w:r>
          <w:r>
            <w:rPr>
              <w:rFonts w:hint="eastAsia" w:ascii="黑体" w:hAnsi="黑体" w:eastAsia="黑体"/>
              <w:bCs/>
              <w:color w:val="auto"/>
              <w:highlight w:val="none"/>
            </w:rPr>
            <w:t>部门决算情况说明</w:t>
          </w:r>
          <w:r>
            <w:rPr>
              <w:color w:val="auto"/>
            </w:rPr>
            <w:tab/>
          </w:r>
          <w:r>
            <w:rPr>
              <w:color w:val="auto"/>
            </w:rPr>
            <w:fldChar w:fldCharType="begin"/>
          </w:r>
          <w:r>
            <w:rPr>
              <w:color w:val="auto"/>
            </w:rPr>
            <w:instrText xml:space="preserve"> PAGEREF _Toc1057 \h </w:instrText>
          </w:r>
          <w:r>
            <w:rPr>
              <w:color w:val="auto"/>
            </w:rPr>
            <w:fldChar w:fldCharType="separate"/>
          </w:r>
          <w:r>
            <w:rPr>
              <w:color w:val="auto"/>
            </w:rPr>
            <w:t>2</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_Toc28349 </w:instrText>
          </w:r>
          <w:r>
            <w:rPr>
              <w:color w:val="auto"/>
              <w:highlight w:val="none"/>
            </w:rPr>
            <w:fldChar w:fldCharType="separate"/>
          </w:r>
          <w:r>
            <w:rPr>
              <w:rFonts w:hint="default" w:ascii="黑体" w:hAnsi="黑体" w:eastAsia="黑体"/>
              <w:color w:val="auto"/>
            </w:rPr>
            <w:t>一、</w:t>
          </w:r>
          <w:r>
            <w:rPr>
              <w:rFonts w:hint="eastAsia" w:ascii="黑体" w:hAnsi="黑体" w:eastAsia="黑体"/>
              <w:color w:val="auto"/>
              <w:szCs w:val="32"/>
              <w:highlight w:val="none"/>
            </w:rPr>
            <w:t>收</w:t>
          </w:r>
          <w:r>
            <w:rPr>
              <w:rFonts w:hint="eastAsia" w:ascii="黑体" w:hAnsi="黑体" w:eastAsia="黑体"/>
              <w:color w:val="auto"/>
              <w:highlight w:val="none"/>
            </w:rPr>
            <w:t>入支出决算总体情况说明</w:t>
          </w:r>
          <w:r>
            <w:rPr>
              <w:color w:val="auto"/>
            </w:rPr>
            <w:tab/>
          </w:r>
          <w:r>
            <w:rPr>
              <w:color w:val="auto"/>
            </w:rPr>
            <w:fldChar w:fldCharType="begin"/>
          </w:r>
          <w:r>
            <w:rPr>
              <w:color w:val="auto"/>
            </w:rPr>
            <w:instrText xml:space="preserve"> PAGEREF _Toc28349 \h </w:instrText>
          </w:r>
          <w:r>
            <w:rPr>
              <w:color w:val="auto"/>
            </w:rPr>
            <w:fldChar w:fldCharType="separate"/>
          </w:r>
          <w:r>
            <w:rPr>
              <w:color w:val="auto"/>
            </w:rPr>
            <w:t>2</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_Toc12789 </w:instrText>
          </w:r>
          <w:r>
            <w:rPr>
              <w:color w:val="auto"/>
              <w:highlight w:val="none"/>
            </w:rPr>
            <w:fldChar w:fldCharType="separate"/>
          </w:r>
          <w:r>
            <w:rPr>
              <w:rFonts w:hint="default" w:ascii="黑体" w:hAnsi="黑体" w:eastAsia="黑体"/>
              <w:color w:val="auto"/>
            </w:rPr>
            <w:t>二、</w:t>
          </w:r>
          <w:r>
            <w:rPr>
              <w:rFonts w:hint="eastAsia" w:ascii="黑体" w:hAnsi="黑体" w:eastAsia="黑体"/>
              <w:color w:val="auto"/>
              <w:szCs w:val="32"/>
              <w:highlight w:val="none"/>
            </w:rPr>
            <w:t>收</w:t>
          </w:r>
          <w:r>
            <w:rPr>
              <w:rFonts w:hint="eastAsia" w:ascii="黑体" w:hAnsi="黑体" w:eastAsia="黑体"/>
              <w:color w:val="auto"/>
              <w:highlight w:val="none"/>
            </w:rPr>
            <w:t>入决算情况说明</w:t>
          </w:r>
          <w:r>
            <w:rPr>
              <w:color w:val="auto"/>
            </w:rPr>
            <w:tab/>
          </w:r>
          <w:r>
            <w:rPr>
              <w:color w:val="auto"/>
            </w:rPr>
            <w:fldChar w:fldCharType="begin"/>
          </w:r>
          <w:r>
            <w:rPr>
              <w:color w:val="auto"/>
            </w:rPr>
            <w:instrText xml:space="preserve"> PAGEREF _Toc12789 \h </w:instrText>
          </w:r>
          <w:r>
            <w:rPr>
              <w:color w:val="auto"/>
            </w:rPr>
            <w:fldChar w:fldCharType="separate"/>
          </w:r>
          <w:r>
            <w:rPr>
              <w:color w:val="auto"/>
            </w:rPr>
            <w:t>2</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_Toc29058 </w:instrText>
          </w:r>
          <w:r>
            <w:rPr>
              <w:color w:val="auto"/>
              <w:highlight w:val="none"/>
            </w:rPr>
            <w:fldChar w:fldCharType="separate"/>
          </w:r>
          <w:r>
            <w:rPr>
              <w:rFonts w:hint="default" w:ascii="黑体" w:hAnsi="黑体" w:eastAsia="黑体"/>
              <w:color w:val="auto"/>
            </w:rPr>
            <w:t>三、</w:t>
          </w:r>
          <w:r>
            <w:rPr>
              <w:rFonts w:hint="eastAsia" w:ascii="黑体" w:hAnsi="黑体" w:eastAsia="黑体"/>
              <w:color w:val="auto"/>
              <w:szCs w:val="32"/>
              <w:highlight w:val="none"/>
            </w:rPr>
            <w:t>支</w:t>
          </w:r>
          <w:r>
            <w:rPr>
              <w:rFonts w:hint="eastAsia" w:ascii="黑体" w:hAnsi="黑体" w:eastAsia="黑体"/>
              <w:color w:val="auto"/>
              <w:highlight w:val="none"/>
            </w:rPr>
            <w:t>出决算情况说明</w:t>
          </w:r>
          <w:r>
            <w:rPr>
              <w:color w:val="auto"/>
            </w:rPr>
            <w:tab/>
          </w:r>
          <w:r>
            <w:rPr>
              <w:color w:val="auto"/>
            </w:rPr>
            <w:fldChar w:fldCharType="begin"/>
          </w:r>
          <w:r>
            <w:rPr>
              <w:color w:val="auto"/>
            </w:rPr>
            <w:instrText xml:space="preserve"> PAGEREF _Toc29058 \h </w:instrText>
          </w:r>
          <w:r>
            <w:rPr>
              <w:color w:val="auto"/>
            </w:rPr>
            <w:fldChar w:fldCharType="separate"/>
          </w:r>
          <w:r>
            <w:rPr>
              <w:color w:val="auto"/>
            </w:rPr>
            <w:t>2</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_Toc7075 </w:instrText>
          </w:r>
          <w:r>
            <w:rPr>
              <w:color w:val="auto"/>
              <w:highlight w:val="none"/>
            </w:rPr>
            <w:fldChar w:fldCharType="separate"/>
          </w:r>
          <w:r>
            <w:rPr>
              <w:rFonts w:hint="eastAsia" w:ascii="黑体" w:hAnsi="黑体" w:eastAsia="黑体"/>
              <w:color w:val="auto"/>
              <w:szCs w:val="32"/>
              <w:highlight w:val="none"/>
            </w:rPr>
            <w:t>四、财</w:t>
          </w:r>
          <w:r>
            <w:rPr>
              <w:rFonts w:hint="eastAsia" w:ascii="黑体" w:hAnsi="黑体" w:eastAsia="黑体"/>
              <w:color w:val="auto"/>
              <w:highlight w:val="none"/>
            </w:rPr>
            <w:t>政拨款收入支出决算总体情况说明</w:t>
          </w:r>
          <w:r>
            <w:rPr>
              <w:color w:val="auto"/>
            </w:rPr>
            <w:tab/>
          </w:r>
          <w:r>
            <w:rPr>
              <w:color w:val="auto"/>
            </w:rPr>
            <w:fldChar w:fldCharType="begin"/>
          </w:r>
          <w:r>
            <w:rPr>
              <w:color w:val="auto"/>
            </w:rPr>
            <w:instrText xml:space="preserve"> PAGEREF _Toc7075 \h </w:instrText>
          </w:r>
          <w:r>
            <w:rPr>
              <w:color w:val="auto"/>
            </w:rPr>
            <w:fldChar w:fldCharType="separate"/>
          </w:r>
          <w:r>
            <w:rPr>
              <w:color w:val="auto"/>
            </w:rPr>
            <w:t>3</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_Toc4423 </w:instrText>
          </w:r>
          <w:r>
            <w:rPr>
              <w:color w:val="auto"/>
              <w:highlight w:val="none"/>
            </w:rPr>
            <w:fldChar w:fldCharType="separate"/>
          </w:r>
          <w:r>
            <w:rPr>
              <w:rFonts w:hint="eastAsia" w:ascii="黑体" w:hAnsi="黑体" w:eastAsia="黑体"/>
              <w:color w:val="auto"/>
              <w:szCs w:val="32"/>
              <w:highlight w:val="none"/>
            </w:rPr>
            <w:t>五、一</w:t>
          </w:r>
          <w:r>
            <w:rPr>
              <w:rFonts w:hint="eastAsia" w:ascii="黑体" w:hAnsi="黑体" w:eastAsia="黑体"/>
              <w:color w:val="auto"/>
              <w:highlight w:val="none"/>
            </w:rPr>
            <w:t>般公共预算财政拨款支出决算情况说明</w:t>
          </w:r>
          <w:r>
            <w:rPr>
              <w:color w:val="auto"/>
            </w:rPr>
            <w:tab/>
          </w:r>
          <w:r>
            <w:rPr>
              <w:color w:val="auto"/>
            </w:rPr>
            <w:fldChar w:fldCharType="begin"/>
          </w:r>
          <w:r>
            <w:rPr>
              <w:color w:val="auto"/>
            </w:rPr>
            <w:instrText xml:space="preserve"> PAGEREF _Toc4423 \h </w:instrText>
          </w:r>
          <w:r>
            <w:rPr>
              <w:color w:val="auto"/>
            </w:rPr>
            <w:fldChar w:fldCharType="separate"/>
          </w:r>
          <w:r>
            <w:rPr>
              <w:color w:val="auto"/>
            </w:rPr>
            <w:t>3</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_Toc1178 </w:instrText>
          </w:r>
          <w:r>
            <w:rPr>
              <w:color w:val="auto"/>
              <w:highlight w:val="none"/>
            </w:rPr>
            <w:fldChar w:fldCharType="separate"/>
          </w:r>
          <w:r>
            <w:rPr>
              <w:rFonts w:hint="eastAsia" w:ascii="黑体" w:eastAsia="黑体"/>
              <w:color w:val="auto"/>
              <w:szCs w:val="32"/>
              <w:highlight w:val="none"/>
            </w:rPr>
            <w:t>六、</w:t>
          </w:r>
          <w:r>
            <w:rPr>
              <w:rFonts w:hint="eastAsia" w:ascii="黑体" w:hAnsi="黑体" w:eastAsia="黑体"/>
              <w:color w:val="auto"/>
              <w:szCs w:val="32"/>
              <w:highlight w:val="none"/>
            </w:rPr>
            <w:t>一</w:t>
          </w:r>
          <w:r>
            <w:rPr>
              <w:rFonts w:hint="eastAsia" w:ascii="黑体" w:hAnsi="黑体" w:eastAsia="黑体"/>
              <w:color w:val="auto"/>
              <w:highlight w:val="none"/>
            </w:rPr>
            <w:t>般公共预算财政拨款基本支出决算情况说明</w:t>
          </w:r>
          <w:r>
            <w:rPr>
              <w:color w:val="auto"/>
            </w:rPr>
            <w:tab/>
          </w:r>
          <w:r>
            <w:rPr>
              <w:color w:val="auto"/>
            </w:rPr>
            <w:fldChar w:fldCharType="begin"/>
          </w:r>
          <w:r>
            <w:rPr>
              <w:color w:val="auto"/>
            </w:rPr>
            <w:instrText xml:space="preserve"> PAGEREF _Toc1178 \h </w:instrText>
          </w:r>
          <w:r>
            <w:rPr>
              <w:color w:val="auto"/>
            </w:rPr>
            <w:fldChar w:fldCharType="separate"/>
          </w:r>
          <w:r>
            <w:rPr>
              <w:color w:val="auto"/>
            </w:rPr>
            <w:t>5</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_Toc15217 </w:instrText>
          </w:r>
          <w:r>
            <w:rPr>
              <w:color w:val="auto"/>
              <w:highlight w:val="none"/>
            </w:rPr>
            <w:fldChar w:fldCharType="separate"/>
          </w:r>
          <w:r>
            <w:rPr>
              <w:rFonts w:hint="eastAsia" w:ascii="黑体" w:eastAsia="黑体"/>
              <w:color w:val="auto"/>
              <w:szCs w:val="32"/>
              <w:highlight w:val="none"/>
            </w:rPr>
            <w:t>七、</w:t>
          </w:r>
          <w:r>
            <w:rPr>
              <w:rFonts w:hint="eastAsia" w:ascii="黑体" w:hAnsi="黑体" w:eastAsia="黑体"/>
              <w:color w:val="auto"/>
              <w:highlight w:val="none"/>
            </w:rPr>
            <w:t>财政拨款“三公”经费支出决算情况说明</w:t>
          </w:r>
          <w:r>
            <w:rPr>
              <w:color w:val="auto"/>
            </w:rPr>
            <w:tab/>
          </w:r>
          <w:r>
            <w:rPr>
              <w:color w:val="auto"/>
            </w:rPr>
            <w:fldChar w:fldCharType="begin"/>
          </w:r>
          <w:r>
            <w:rPr>
              <w:color w:val="auto"/>
            </w:rPr>
            <w:instrText xml:space="preserve"> PAGEREF _Toc15217 \h </w:instrText>
          </w:r>
          <w:r>
            <w:rPr>
              <w:color w:val="auto"/>
            </w:rPr>
            <w:fldChar w:fldCharType="separate"/>
          </w:r>
          <w:r>
            <w:rPr>
              <w:color w:val="auto"/>
            </w:rPr>
            <w:t>6</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_Toc25636 </w:instrText>
          </w:r>
          <w:r>
            <w:rPr>
              <w:color w:val="auto"/>
              <w:highlight w:val="none"/>
            </w:rPr>
            <w:fldChar w:fldCharType="separate"/>
          </w:r>
          <w:r>
            <w:rPr>
              <w:rFonts w:hint="eastAsia" w:ascii="黑体" w:eastAsia="黑体"/>
              <w:color w:val="auto"/>
              <w:szCs w:val="32"/>
              <w:highlight w:val="none"/>
            </w:rPr>
            <w:t>八、</w:t>
          </w:r>
          <w:r>
            <w:rPr>
              <w:rFonts w:hint="eastAsia" w:ascii="黑体" w:hAnsi="黑体" w:eastAsia="黑体"/>
              <w:color w:val="auto"/>
              <w:highlight w:val="none"/>
            </w:rPr>
            <w:t>政府性基金预算支出决算情况说明</w:t>
          </w:r>
          <w:r>
            <w:rPr>
              <w:color w:val="auto"/>
            </w:rPr>
            <w:tab/>
          </w:r>
          <w:r>
            <w:rPr>
              <w:color w:val="auto"/>
            </w:rPr>
            <w:fldChar w:fldCharType="begin"/>
          </w:r>
          <w:r>
            <w:rPr>
              <w:color w:val="auto"/>
            </w:rPr>
            <w:instrText xml:space="preserve"> PAGEREF _Toc25636 \h </w:instrText>
          </w:r>
          <w:r>
            <w:rPr>
              <w:color w:val="auto"/>
            </w:rPr>
            <w:fldChar w:fldCharType="separate"/>
          </w:r>
          <w:r>
            <w:rPr>
              <w:color w:val="auto"/>
            </w:rPr>
            <w:t>7</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_Toc24531 </w:instrText>
          </w:r>
          <w:r>
            <w:rPr>
              <w:color w:val="auto"/>
              <w:highlight w:val="none"/>
            </w:rPr>
            <w:fldChar w:fldCharType="separate"/>
          </w:r>
          <w:r>
            <w:rPr>
              <w:rFonts w:hint="eastAsia" w:ascii="黑体" w:hAnsi="黑体" w:eastAsia="黑体"/>
              <w:color w:val="auto"/>
            </w:rPr>
            <w:t>九、</w:t>
          </w:r>
          <w:r>
            <w:rPr>
              <w:rFonts w:hint="eastAsia" w:ascii="黑体" w:hAnsi="黑体" w:eastAsia="黑体"/>
              <w:color w:val="auto"/>
              <w:highlight w:val="none"/>
            </w:rPr>
            <w:t>国有资本经营预算支出决算情况说明</w:t>
          </w:r>
          <w:r>
            <w:rPr>
              <w:color w:val="auto"/>
            </w:rPr>
            <w:tab/>
          </w:r>
          <w:r>
            <w:rPr>
              <w:color w:val="auto"/>
            </w:rPr>
            <w:fldChar w:fldCharType="begin"/>
          </w:r>
          <w:r>
            <w:rPr>
              <w:color w:val="auto"/>
            </w:rPr>
            <w:instrText xml:space="preserve"> PAGEREF _Toc24531 \h </w:instrText>
          </w:r>
          <w:r>
            <w:rPr>
              <w:color w:val="auto"/>
            </w:rPr>
            <w:fldChar w:fldCharType="separate"/>
          </w:r>
          <w:r>
            <w:rPr>
              <w:color w:val="auto"/>
            </w:rPr>
            <w:t>7</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_Toc13092 </w:instrText>
          </w:r>
          <w:r>
            <w:rPr>
              <w:color w:val="auto"/>
              <w:highlight w:val="none"/>
            </w:rPr>
            <w:fldChar w:fldCharType="separate"/>
          </w:r>
          <w:r>
            <w:rPr>
              <w:rFonts w:hint="eastAsia" w:ascii="黑体" w:hAnsi="黑体" w:eastAsia="黑体"/>
              <w:color w:val="auto"/>
            </w:rPr>
            <w:t>十、</w:t>
          </w:r>
          <w:r>
            <w:rPr>
              <w:rFonts w:hint="eastAsia" w:ascii="黑体" w:hAnsi="黑体" w:eastAsia="黑体"/>
              <w:color w:val="auto"/>
              <w:highlight w:val="none"/>
            </w:rPr>
            <w:t>其他重要事项的情况说明</w:t>
          </w:r>
          <w:r>
            <w:rPr>
              <w:color w:val="auto"/>
            </w:rPr>
            <w:tab/>
          </w:r>
          <w:r>
            <w:rPr>
              <w:color w:val="auto"/>
            </w:rPr>
            <w:fldChar w:fldCharType="begin"/>
          </w:r>
          <w:r>
            <w:rPr>
              <w:color w:val="auto"/>
            </w:rPr>
            <w:instrText xml:space="preserve"> PAGEREF _Toc13092 \h </w:instrText>
          </w:r>
          <w:r>
            <w:rPr>
              <w:color w:val="auto"/>
            </w:rPr>
            <w:fldChar w:fldCharType="separate"/>
          </w:r>
          <w:r>
            <w:rPr>
              <w:color w:val="auto"/>
            </w:rPr>
            <w:t>7</w:t>
          </w:r>
          <w:r>
            <w:rPr>
              <w:color w:val="auto"/>
            </w:rPr>
            <w:fldChar w:fldCharType="end"/>
          </w:r>
          <w:r>
            <w:rPr>
              <w:color w:val="auto"/>
              <w:highlight w:val="none"/>
            </w:rPr>
            <w:fldChar w:fldCharType="end"/>
          </w:r>
        </w:p>
        <w:p>
          <w:pPr>
            <w:pStyle w:val="11"/>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_Toc12039 </w:instrText>
          </w:r>
          <w:r>
            <w:rPr>
              <w:color w:val="auto"/>
              <w:highlight w:val="none"/>
            </w:rPr>
            <w:fldChar w:fldCharType="separate"/>
          </w:r>
          <w:r>
            <w:rPr>
              <w:rFonts w:hint="eastAsia" w:ascii="黑体" w:hAnsi="黑体" w:eastAsia="黑体"/>
              <w:color w:val="auto"/>
            </w:rPr>
            <w:t>第三部分</w:t>
          </w:r>
          <w:r>
            <w:rPr>
              <w:rFonts w:hint="eastAsia" w:ascii="黑体" w:hAnsi="黑体" w:eastAsia="黑体"/>
              <w:color w:val="auto"/>
              <w:szCs w:val="44"/>
              <w:highlight w:val="none"/>
            </w:rPr>
            <w:t>名</w:t>
          </w:r>
          <w:r>
            <w:rPr>
              <w:rFonts w:hint="eastAsia" w:ascii="黑体" w:hAnsi="黑体" w:eastAsia="黑体"/>
              <w:color w:val="auto"/>
              <w:highlight w:val="none"/>
            </w:rPr>
            <w:t>词解释</w:t>
          </w:r>
          <w:r>
            <w:rPr>
              <w:color w:val="auto"/>
            </w:rPr>
            <w:tab/>
          </w:r>
          <w:r>
            <w:rPr>
              <w:color w:val="auto"/>
            </w:rPr>
            <w:fldChar w:fldCharType="begin"/>
          </w:r>
          <w:r>
            <w:rPr>
              <w:color w:val="auto"/>
            </w:rPr>
            <w:instrText xml:space="preserve"> PAGEREF _Toc12039 \h </w:instrText>
          </w:r>
          <w:r>
            <w:rPr>
              <w:color w:val="auto"/>
            </w:rPr>
            <w:fldChar w:fldCharType="separate"/>
          </w:r>
          <w:r>
            <w:rPr>
              <w:color w:val="auto"/>
            </w:rPr>
            <w:t>10</w:t>
          </w:r>
          <w:r>
            <w:rPr>
              <w:color w:val="auto"/>
            </w:rPr>
            <w:fldChar w:fldCharType="end"/>
          </w:r>
          <w:r>
            <w:rPr>
              <w:color w:val="auto"/>
              <w:highlight w:val="none"/>
            </w:rPr>
            <w:fldChar w:fldCharType="end"/>
          </w:r>
        </w:p>
        <w:p>
          <w:pPr>
            <w:pStyle w:val="11"/>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_Toc16136 </w:instrText>
          </w:r>
          <w:r>
            <w:rPr>
              <w:color w:val="auto"/>
              <w:highlight w:val="none"/>
            </w:rPr>
            <w:fldChar w:fldCharType="separate"/>
          </w:r>
          <w:r>
            <w:rPr>
              <w:rFonts w:hint="eastAsia" w:ascii="黑体" w:hAnsi="黑体" w:eastAsia="黑体"/>
              <w:color w:val="auto"/>
              <w:szCs w:val="44"/>
              <w:highlight w:val="none"/>
            </w:rPr>
            <w:t>第</w:t>
          </w:r>
          <w:r>
            <w:rPr>
              <w:rFonts w:hint="eastAsia" w:ascii="黑体" w:hAnsi="黑体" w:eastAsia="黑体"/>
              <w:bCs/>
              <w:color w:val="auto"/>
              <w:highlight w:val="none"/>
            </w:rPr>
            <w:t>四部分附件</w:t>
          </w:r>
          <w:r>
            <w:rPr>
              <w:color w:val="auto"/>
            </w:rPr>
            <w:tab/>
          </w:r>
          <w:r>
            <w:rPr>
              <w:color w:val="auto"/>
            </w:rPr>
            <w:fldChar w:fldCharType="begin"/>
          </w:r>
          <w:r>
            <w:rPr>
              <w:color w:val="auto"/>
            </w:rPr>
            <w:instrText xml:space="preserve"> PAGEREF _Toc16136 \h </w:instrText>
          </w:r>
          <w:r>
            <w:rPr>
              <w:color w:val="auto"/>
            </w:rPr>
            <w:fldChar w:fldCharType="separate"/>
          </w:r>
          <w:r>
            <w:rPr>
              <w:color w:val="auto"/>
            </w:rPr>
            <w:t>11</w:t>
          </w:r>
          <w:r>
            <w:rPr>
              <w:color w:val="auto"/>
            </w:rPr>
            <w:fldChar w:fldCharType="end"/>
          </w:r>
          <w:r>
            <w:rPr>
              <w:color w:val="auto"/>
              <w:highlight w:val="none"/>
            </w:rPr>
            <w:fldChar w:fldCharType="end"/>
          </w:r>
        </w:p>
        <w:p>
          <w:pPr>
            <w:pStyle w:val="11"/>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_Toc14818 </w:instrText>
          </w:r>
          <w:r>
            <w:rPr>
              <w:color w:val="auto"/>
              <w:highlight w:val="none"/>
            </w:rPr>
            <w:fldChar w:fldCharType="separate"/>
          </w:r>
          <w:r>
            <w:rPr>
              <w:rFonts w:hint="eastAsia" w:ascii="黑体" w:hAnsi="黑体" w:eastAsia="黑体"/>
              <w:color w:val="auto"/>
              <w:szCs w:val="44"/>
              <w:highlight w:val="none"/>
            </w:rPr>
            <w:t>第</w:t>
          </w:r>
          <w:r>
            <w:rPr>
              <w:rFonts w:hint="eastAsia" w:ascii="黑体" w:hAnsi="黑体" w:eastAsia="黑体"/>
              <w:color w:val="auto"/>
              <w:highlight w:val="none"/>
            </w:rPr>
            <w:t>五部分附表</w:t>
          </w:r>
          <w:r>
            <w:rPr>
              <w:color w:val="auto"/>
            </w:rPr>
            <w:tab/>
          </w:r>
          <w:r>
            <w:rPr>
              <w:color w:val="auto"/>
            </w:rPr>
            <w:fldChar w:fldCharType="begin"/>
          </w:r>
          <w:r>
            <w:rPr>
              <w:color w:val="auto"/>
            </w:rPr>
            <w:instrText xml:space="preserve"> PAGEREF _Toc14818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_Toc11289 </w:instrText>
          </w:r>
          <w:r>
            <w:rPr>
              <w:color w:val="auto"/>
              <w:highlight w:val="none"/>
            </w:rPr>
            <w:fldChar w:fldCharType="separate"/>
          </w:r>
          <w:r>
            <w:rPr>
              <w:rFonts w:hint="eastAsia" w:ascii="仿宋" w:hAnsi="仿宋" w:eastAsia="仿宋"/>
              <w:color w:val="auto"/>
              <w:highlight w:val="none"/>
            </w:rPr>
            <w:t>一、收</w:t>
          </w:r>
          <w:r>
            <w:rPr>
              <w:rFonts w:hint="eastAsia" w:ascii="仿宋" w:hAnsi="仿宋" w:eastAsia="仿宋"/>
              <w:bCs w:val="0"/>
              <w:color w:val="auto"/>
              <w:highlight w:val="none"/>
            </w:rPr>
            <w:t>入支出决算总表</w:t>
          </w:r>
          <w:r>
            <w:rPr>
              <w:color w:val="auto"/>
            </w:rPr>
            <w:tab/>
          </w:r>
          <w:r>
            <w:rPr>
              <w:color w:val="auto"/>
            </w:rPr>
            <w:fldChar w:fldCharType="begin"/>
          </w:r>
          <w:r>
            <w:rPr>
              <w:color w:val="auto"/>
            </w:rPr>
            <w:instrText xml:space="preserve"> PAGEREF _Toc11289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_Toc18034 </w:instrText>
          </w:r>
          <w:r>
            <w:rPr>
              <w:color w:val="auto"/>
              <w:highlight w:val="none"/>
            </w:rPr>
            <w:fldChar w:fldCharType="separate"/>
          </w:r>
          <w:r>
            <w:rPr>
              <w:rFonts w:hint="eastAsia" w:ascii="仿宋" w:hAnsi="仿宋" w:eastAsia="仿宋"/>
              <w:color w:val="auto"/>
              <w:highlight w:val="none"/>
            </w:rPr>
            <w:t>二、收</w:t>
          </w:r>
          <w:r>
            <w:rPr>
              <w:rFonts w:hint="eastAsia" w:ascii="仿宋" w:hAnsi="仿宋" w:eastAsia="仿宋"/>
              <w:bCs w:val="0"/>
              <w:color w:val="auto"/>
              <w:highlight w:val="none"/>
            </w:rPr>
            <w:t>入决算表</w:t>
          </w:r>
          <w:r>
            <w:rPr>
              <w:color w:val="auto"/>
            </w:rPr>
            <w:tab/>
          </w:r>
          <w:r>
            <w:rPr>
              <w:color w:val="auto"/>
            </w:rPr>
            <w:fldChar w:fldCharType="begin"/>
          </w:r>
          <w:r>
            <w:rPr>
              <w:color w:val="auto"/>
            </w:rPr>
            <w:instrText xml:space="preserve"> PAGEREF _Toc18034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_Toc27353 </w:instrText>
          </w:r>
          <w:r>
            <w:rPr>
              <w:color w:val="auto"/>
              <w:highlight w:val="none"/>
            </w:rPr>
            <w:fldChar w:fldCharType="separate"/>
          </w:r>
          <w:r>
            <w:rPr>
              <w:rFonts w:hint="eastAsia" w:ascii="仿宋" w:hAnsi="仿宋" w:eastAsia="仿宋"/>
              <w:bCs w:val="0"/>
              <w:color w:val="auto"/>
              <w:highlight w:val="none"/>
            </w:rPr>
            <w:t>三、</w:t>
          </w:r>
          <w:r>
            <w:rPr>
              <w:rFonts w:hint="eastAsia" w:ascii="仿宋" w:hAnsi="仿宋" w:eastAsia="仿宋"/>
              <w:color w:val="auto"/>
              <w:highlight w:val="none"/>
            </w:rPr>
            <w:t>支</w:t>
          </w:r>
          <w:r>
            <w:rPr>
              <w:rFonts w:hint="eastAsia" w:ascii="仿宋" w:hAnsi="仿宋" w:eastAsia="仿宋"/>
              <w:bCs w:val="0"/>
              <w:color w:val="auto"/>
              <w:highlight w:val="none"/>
            </w:rPr>
            <w:t>出决算表</w:t>
          </w:r>
          <w:r>
            <w:rPr>
              <w:color w:val="auto"/>
            </w:rPr>
            <w:tab/>
          </w:r>
          <w:r>
            <w:rPr>
              <w:color w:val="auto"/>
            </w:rPr>
            <w:fldChar w:fldCharType="begin"/>
          </w:r>
          <w:r>
            <w:rPr>
              <w:color w:val="auto"/>
            </w:rPr>
            <w:instrText xml:space="preserve"> PAGEREF _Toc27353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_Toc4091 </w:instrText>
          </w:r>
          <w:r>
            <w:rPr>
              <w:color w:val="auto"/>
              <w:highlight w:val="none"/>
            </w:rPr>
            <w:fldChar w:fldCharType="separate"/>
          </w:r>
          <w:r>
            <w:rPr>
              <w:rFonts w:hint="eastAsia" w:ascii="仿宋" w:hAnsi="仿宋" w:eastAsia="仿宋"/>
              <w:bCs w:val="0"/>
              <w:color w:val="auto"/>
              <w:highlight w:val="none"/>
            </w:rPr>
            <w:t>四、</w:t>
          </w:r>
          <w:r>
            <w:rPr>
              <w:rFonts w:hint="eastAsia" w:ascii="仿宋" w:hAnsi="仿宋" w:eastAsia="仿宋"/>
              <w:color w:val="auto"/>
              <w:highlight w:val="none"/>
            </w:rPr>
            <w:t>财</w:t>
          </w:r>
          <w:r>
            <w:rPr>
              <w:rFonts w:hint="eastAsia" w:ascii="仿宋" w:hAnsi="仿宋" w:eastAsia="仿宋"/>
              <w:bCs w:val="0"/>
              <w:color w:val="auto"/>
              <w:highlight w:val="none"/>
            </w:rPr>
            <w:t>政拨款收入支出决算总表</w:t>
          </w:r>
          <w:r>
            <w:rPr>
              <w:color w:val="auto"/>
            </w:rPr>
            <w:tab/>
          </w:r>
          <w:r>
            <w:rPr>
              <w:color w:val="auto"/>
            </w:rPr>
            <w:fldChar w:fldCharType="begin"/>
          </w:r>
          <w:r>
            <w:rPr>
              <w:color w:val="auto"/>
            </w:rPr>
            <w:instrText xml:space="preserve"> PAGEREF _Toc4091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_Toc25477 </w:instrText>
          </w:r>
          <w:r>
            <w:rPr>
              <w:color w:val="auto"/>
              <w:highlight w:val="none"/>
            </w:rPr>
            <w:fldChar w:fldCharType="separate"/>
          </w:r>
          <w:r>
            <w:rPr>
              <w:rFonts w:hint="eastAsia" w:ascii="仿宋" w:hAnsi="仿宋" w:eastAsia="仿宋"/>
              <w:bCs w:val="0"/>
              <w:color w:val="auto"/>
              <w:highlight w:val="none"/>
            </w:rPr>
            <w:t>五、</w:t>
          </w:r>
          <w:r>
            <w:rPr>
              <w:rFonts w:hint="eastAsia" w:ascii="仿宋" w:hAnsi="仿宋" w:eastAsia="仿宋"/>
              <w:color w:val="auto"/>
              <w:highlight w:val="none"/>
            </w:rPr>
            <w:t>财</w:t>
          </w:r>
          <w:r>
            <w:rPr>
              <w:rFonts w:hint="eastAsia" w:ascii="仿宋" w:hAnsi="仿宋" w:eastAsia="仿宋"/>
              <w:bCs w:val="0"/>
              <w:color w:val="auto"/>
              <w:highlight w:val="none"/>
            </w:rPr>
            <w:t>政拨款支出决算明细表</w:t>
          </w:r>
          <w:r>
            <w:rPr>
              <w:color w:val="auto"/>
            </w:rPr>
            <w:tab/>
          </w:r>
          <w:r>
            <w:rPr>
              <w:color w:val="auto"/>
            </w:rPr>
            <w:fldChar w:fldCharType="begin"/>
          </w:r>
          <w:r>
            <w:rPr>
              <w:color w:val="auto"/>
            </w:rPr>
            <w:instrText xml:space="preserve"> PAGEREF _Toc25477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_Toc29257 </w:instrText>
          </w:r>
          <w:r>
            <w:rPr>
              <w:color w:val="auto"/>
              <w:highlight w:val="none"/>
            </w:rPr>
            <w:fldChar w:fldCharType="separate"/>
          </w:r>
          <w:r>
            <w:rPr>
              <w:rFonts w:hint="eastAsia" w:ascii="仿宋" w:hAnsi="仿宋" w:eastAsia="仿宋"/>
              <w:bCs w:val="0"/>
              <w:color w:val="auto"/>
              <w:highlight w:val="none"/>
            </w:rPr>
            <w:t>六、</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般公共预算财政拨款支出决算表</w:t>
          </w:r>
          <w:r>
            <w:rPr>
              <w:color w:val="auto"/>
            </w:rPr>
            <w:tab/>
          </w:r>
          <w:r>
            <w:rPr>
              <w:color w:val="auto"/>
            </w:rPr>
            <w:fldChar w:fldCharType="begin"/>
          </w:r>
          <w:r>
            <w:rPr>
              <w:color w:val="auto"/>
            </w:rPr>
            <w:instrText xml:space="preserve"> PAGEREF _Toc29257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_Toc29506 </w:instrText>
          </w:r>
          <w:r>
            <w:rPr>
              <w:color w:val="auto"/>
              <w:highlight w:val="none"/>
            </w:rPr>
            <w:fldChar w:fldCharType="separate"/>
          </w:r>
          <w:r>
            <w:rPr>
              <w:rFonts w:hint="eastAsia" w:ascii="仿宋" w:hAnsi="仿宋" w:eastAsia="仿宋"/>
              <w:bCs w:val="0"/>
              <w:color w:val="auto"/>
              <w:highlight w:val="none"/>
            </w:rPr>
            <w:t>七、</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般公共预算财政拨款支出决算明细表</w:t>
          </w:r>
          <w:r>
            <w:rPr>
              <w:color w:val="auto"/>
            </w:rPr>
            <w:tab/>
          </w:r>
          <w:r>
            <w:rPr>
              <w:color w:val="auto"/>
            </w:rPr>
            <w:fldChar w:fldCharType="begin"/>
          </w:r>
          <w:r>
            <w:rPr>
              <w:color w:val="auto"/>
            </w:rPr>
            <w:instrText xml:space="preserve"> PAGEREF _Toc29506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_Toc19514 </w:instrText>
          </w:r>
          <w:r>
            <w:rPr>
              <w:color w:val="auto"/>
              <w:highlight w:val="none"/>
            </w:rPr>
            <w:fldChar w:fldCharType="separate"/>
          </w:r>
          <w:r>
            <w:rPr>
              <w:rFonts w:hint="eastAsia" w:ascii="仿宋" w:hAnsi="仿宋" w:eastAsia="仿宋"/>
              <w:bCs w:val="0"/>
              <w:color w:val="auto"/>
              <w:highlight w:val="none"/>
            </w:rPr>
            <w:t>八、</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般公共预算财政拨款基本支出决算表</w:t>
          </w:r>
          <w:r>
            <w:rPr>
              <w:color w:val="auto"/>
            </w:rPr>
            <w:tab/>
          </w:r>
          <w:r>
            <w:rPr>
              <w:color w:val="auto"/>
            </w:rPr>
            <w:fldChar w:fldCharType="begin"/>
          </w:r>
          <w:r>
            <w:rPr>
              <w:color w:val="auto"/>
            </w:rPr>
            <w:instrText xml:space="preserve"> PAGEREF _Toc19514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_Toc17056 </w:instrText>
          </w:r>
          <w:r>
            <w:rPr>
              <w:color w:val="auto"/>
              <w:highlight w:val="none"/>
            </w:rPr>
            <w:fldChar w:fldCharType="separate"/>
          </w:r>
          <w:r>
            <w:rPr>
              <w:rFonts w:hint="eastAsia" w:ascii="仿宋" w:hAnsi="仿宋" w:eastAsia="仿宋"/>
              <w:bCs w:val="0"/>
              <w:color w:val="auto"/>
              <w:highlight w:val="none"/>
            </w:rPr>
            <w:t>九、</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般公共预算财政拨款项目支出决算表</w:t>
          </w:r>
          <w:r>
            <w:rPr>
              <w:color w:val="auto"/>
            </w:rPr>
            <w:tab/>
          </w:r>
          <w:r>
            <w:rPr>
              <w:color w:val="auto"/>
            </w:rPr>
            <w:fldChar w:fldCharType="begin"/>
          </w:r>
          <w:r>
            <w:rPr>
              <w:color w:val="auto"/>
            </w:rPr>
            <w:instrText xml:space="preserve"> PAGEREF _Toc17056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_Toc23729 </w:instrText>
          </w:r>
          <w:r>
            <w:rPr>
              <w:color w:val="auto"/>
              <w:highlight w:val="none"/>
            </w:rPr>
            <w:fldChar w:fldCharType="separate"/>
          </w:r>
          <w:r>
            <w:rPr>
              <w:rFonts w:hint="eastAsia" w:ascii="仿宋" w:hAnsi="仿宋" w:eastAsia="仿宋"/>
              <w:bCs w:val="0"/>
              <w:color w:val="auto"/>
              <w:highlight w:val="none"/>
            </w:rPr>
            <w:t>十、</w:t>
          </w:r>
          <w:r>
            <w:rPr>
              <w:rFonts w:hint="eastAsia" w:ascii="仿宋" w:hAnsi="仿宋" w:eastAsia="仿宋"/>
              <w:color w:val="auto"/>
              <w:highlight w:val="none"/>
            </w:rPr>
            <w:t>政</w:t>
          </w:r>
          <w:r>
            <w:rPr>
              <w:rFonts w:hint="eastAsia" w:ascii="仿宋" w:hAnsi="仿宋" w:eastAsia="仿宋"/>
              <w:bCs w:val="0"/>
              <w:color w:val="auto"/>
              <w:highlight w:val="none"/>
            </w:rPr>
            <w:t>府性基金预算财政拨款收入支出决算表</w:t>
          </w:r>
          <w:r>
            <w:rPr>
              <w:color w:val="auto"/>
            </w:rPr>
            <w:tab/>
          </w:r>
          <w:r>
            <w:rPr>
              <w:color w:val="auto"/>
            </w:rPr>
            <w:fldChar w:fldCharType="begin"/>
          </w:r>
          <w:r>
            <w:rPr>
              <w:color w:val="auto"/>
            </w:rPr>
            <w:instrText xml:space="preserve"> PAGEREF _Toc23729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_Toc21281 </w:instrText>
          </w:r>
          <w:r>
            <w:rPr>
              <w:color w:val="auto"/>
              <w:highlight w:val="none"/>
            </w:rPr>
            <w:fldChar w:fldCharType="separate"/>
          </w:r>
          <w:r>
            <w:rPr>
              <w:rFonts w:hint="eastAsia" w:ascii="仿宋" w:hAnsi="仿宋" w:eastAsia="仿宋"/>
              <w:bCs w:val="0"/>
              <w:color w:val="auto"/>
              <w:highlight w:val="none"/>
            </w:rPr>
            <w:t>十一、</w:t>
          </w:r>
          <w:r>
            <w:rPr>
              <w:rFonts w:hint="eastAsia" w:ascii="仿宋" w:hAnsi="仿宋" w:eastAsia="仿宋"/>
              <w:color w:val="auto"/>
              <w:highlight w:val="none"/>
            </w:rPr>
            <w:t>国</w:t>
          </w:r>
          <w:r>
            <w:rPr>
              <w:rFonts w:hint="eastAsia" w:ascii="仿宋" w:hAnsi="仿宋" w:eastAsia="仿宋"/>
              <w:bCs w:val="0"/>
              <w:color w:val="auto"/>
              <w:highlight w:val="none"/>
            </w:rPr>
            <w:t>有资本经营预算</w:t>
          </w:r>
          <w:r>
            <w:rPr>
              <w:rFonts w:hint="eastAsia" w:ascii="仿宋" w:hAnsi="仿宋" w:eastAsia="仿宋"/>
              <w:bCs w:val="0"/>
              <w:color w:val="auto"/>
              <w:highlight w:val="none"/>
              <w:lang w:eastAsia="zh-CN"/>
            </w:rPr>
            <w:t>财政拨款收入</w:t>
          </w:r>
          <w:r>
            <w:rPr>
              <w:rFonts w:hint="eastAsia" w:ascii="仿宋" w:hAnsi="仿宋" w:eastAsia="仿宋"/>
              <w:bCs w:val="0"/>
              <w:color w:val="auto"/>
              <w:highlight w:val="none"/>
            </w:rPr>
            <w:t>支出决算表</w:t>
          </w:r>
          <w:r>
            <w:rPr>
              <w:color w:val="auto"/>
            </w:rPr>
            <w:tab/>
          </w:r>
          <w:r>
            <w:rPr>
              <w:color w:val="auto"/>
            </w:rPr>
            <w:fldChar w:fldCharType="begin"/>
          </w:r>
          <w:r>
            <w:rPr>
              <w:color w:val="auto"/>
            </w:rPr>
            <w:instrText xml:space="preserve"> PAGEREF _Toc21281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rPr>
          </w:pPr>
          <w:r>
            <w:rPr>
              <w:color w:val="auto"/>
              <w:highlight w:val="none"/>
            </w:rPr>
            <w:fldChar w:fldCharType="begin"/>
          </w:r>
          <w:r>
            <w:rPr>
              <w:color w:val="auto"/>
              <w:highlight w:val="none"/>
            </w:rPr>
            <w:instrText xml:space="preserve"> HYPERLINK \l _Toc11417 </w:instrText>
          </w:r>
          <w:r>
            <w:rPr>
              <w:color w:val="auto"/>
              <w:highlight w:val="none"/>
            </w:rPr>
            <w:fldChar w:fldCharType="separate"/>
          </w:r>
          <w:r>
            <w:rPr>
              <w:rFonts w:hint="eastAsia" w:ascii="仿宋" w:hAnsi="仿宋" w:eastAsia="仿宋"/>
              <w:bCs w:val="0"/>
              <w:color w:val="auto"/>
              <w:highlight w:val="none"/>
            </w:rPr>
            <w:t>十二、</w:t>
          </w:r>
          <w:r>
            <w:rPr>
              <w:rFonts w:hint="eastAsia" w:ascii="仿宋" w:hAnsi="仿宋" w:eastAsia="仿宋"/>
              <w:bCs w:val="0"/>
              <w:color w:val="auto"/>
              <w:highlight w:val="none"/>
              <w:lang w:eastAsia="zh-CN"/>
            </w:rPr>
            <w:t>国有资本经营预算财政拨款支出决算表</w:t>
          </w:r>
          <w:r>
            <w:rPr>
              <w:color w:val="auto"/>
            </w:rPr>
            <w:tab/>
          </w:r>
          <w:r>
            <w:rPr>
              <w:color w:val="auto"/>
            </w:rPr>
            <w:fldChar w:fldCharType="begin"/>
          </w:r>
          <w:r>
            <w:rPr>
              <w:color w:val="auto"/>
            </w:rPr>
            <w:instrText xml:space="preserve"> PAGEREF _Toc11417 \h </w:instrText>
          </w:r>
          <w:r>
            <w:rPr>
              <w:color w:val="auto"/>
            </w:rPr>
            <w:fldChar w:fldCharType="separate"/>
          </w:r>
          <w:r>
            <w:rPr>
              <w:color w:val="auto"/>
            </w:rPr>
            <w:t>28</w:t>
          </w:r>
          <w:r>
            <w:rPr>
              <w:color w:val="auto"/>
            </w:rPr>
            <w:fldChar w:fldCharType="end"/>
          </w:r>
          <w:r>
            <w:rPr>
              <w:color w:val="auto"/>
              <w:highlight w:val="none"/>
            </w:rPr>
            <w:fldChar w:fldCharType="end"/>
          </w:r>
        </w:p>
        <w:p>
          <w:pPr>
            <w:pStyle w:val="12"/>
            <w:tabs>
              <w:tab w:val="right" w:leader="dot" w:pos="8306"/>
              <w:tab w:val="clear" w:pos="8296"/>
            </w:tabs>
            <w:spacing w:line="240" w:lineRule="auto"/>
            <w:rPr>
              <w:color w:val="auto"/>
              <w:highlight w:val="none"/>
            </w:rPr>
          </w:pPr>
          <w:r>
            <w:rPr>
              <w:color w:val="auto"/>
              <w:highlight w:val="none"/>
            </w:rPr>
            <w:fldChar w:fldCharType="begin"/>
          </w:r>
          <w:r>
            <w:rPr>
              <w:color w:val="auto"/>
              <w:highlight w:val="none"/>
            </w:rPr>
            <w:instrText xml:space="preserve"> HYPERLINK \l _Toc2507 </w:instrText>
          </w:r>
          <w:r>
            <w:rPr>
              <w:color w:val="auto"/>
              <w:highlight w:val="none"/>
            </w:rPr>
            <w:fldChar w:fldCharType="separate"/>
          </w:r>
          <w:r>
            <w:rPr>
              <w:rFonts w:hint="eastAsia" w:ascii="仿宋" w:hAnsi="仿宋" w:eastAsia="仿宋"/>
              <w:bCs w:val="0"/>
              <w:color w:val="auto"/>
              <w:highlight w:val="none"/>
            </w:rPr>
            <w:t>十三、</w:t>
          </w:r>
          <w:r>
            <w:rPr>
              <w:rFonts w:hint="eastAsia" w:ascii="仿宋" w:hAnsi="仿宋" w:eastAsia="仿宋"/>
              <w:bCs w:val="0"/>
              <w:color w:val="auto"/>
              <w:highlight w:val="none"/>
              <w:lang w:eastAsia="zh-CN"/>
            </w:rPr>
            <w:t>财政拨款“三公”经费支出决算表</w:t>
          </w:r>
          <w:r>
            <w:rPr>
              <w:color w:val="auto"/>
            </w:rPr>
            <w:tab/>
          </w:r>
          <w:r>
            <w:rPr>
              <w:color w:val="auto"/>
            </w:rPr>
            <w:fldChar w:fldCharType="begin"/>
          </w:r>
          <w:r>
            <w:rPr>
              <w:color w:val="auto"/>
            </w:rPr>
            <w:instrText xml:space="preserve"> PAGEREF _Toc2507 \h </w:instrText>
          </w:r>
          <w:r>
            <w:rPr>
              <w:color w:val="auto"/>
            </w:rPr>
            <w:fldChar w:fldCharType="separate"/>
          </w:r>
          <w:r>
            <w:rPr>
              <w:color w:val="auto"/>
            </w:rPr>
            <w:t>28</w:t>
          </w:r>
          <w:r>
            <w:rPr>
              <w:color w:val="auto"/>
            </w:rPr>
            <w:fldChar w:fldCharType="end"/>
          </w:r>
          <w:r>
            <w:rPr>
              <w:color w:val="auto"/>
              <w:highlight w:val="none"/>
            </w:rPr>
            <w:fldChar w:fldCharType="end"/>
          </w:r>
        </w:p>
        <w:p>
          <w:pPr>
            <w:spacing w:before="0" w:beforeLines="0" w:after="0" w:afterLines="0" w:line="240" w:lineRule="auto"/>
            <w:ind w:left="0" w:leftChars="0" w:right="0" w:rightChars="0" w:firstLine="0" w:firstLineChars="0"/>
            <w:jc w:val="center"/>
            <w:rPr>
              <w:b/>
              <w:color w:val="auto"/>
              <w:highlight w:val="none"/>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pPr>
            <w:spacing w:before="0" w:beforeLines="0" w:after="0" w:afterLines="0" w:line="240" w:lineRule="auto"/>
            <w:ind w:left="0" w:leftChars="0" w:right="0" w:rightChars="0" w:firstLine="0" w:firstLineChars="0"/>
            <w:jc w:val="center"/>
            <w:rPr>
              <w:color w:val="auto"/>
            </w:rPr>
          </w:pPr>
          <w:r>
            <w:rPr>
              <w:b/>
              <w:color w:val="auto"/>
              <w:highlight w:val="none"/>
            </w:rPr>
            <w:fldChar w:fldCharType="end"/>
          </w:r>
          <w:bookmarkStart w:id="16" w:name="_Toc15396599"/>
          <w:bookmarkStart w:id="17" w:name="_Toc15377196"/>
          <w:bookmarkStart w:id="18" w:name="_Toc289"/>
        </w:p>
      </w:sdtContent>
    </w:sdt>
    <w:p>
      <w:pPr>
        <w:pStyle w:val="2"/>
        <w:bidi w:val="0"/>
        <w:jc w:val="center"/>
        <w:rPr>
          <w:rFonts w:ascii="黑体" w:eastAsia="黑体"/>
          <w:color w:val="auto"/>
          <w:sz w:val="32"/>
          <w:szCs w:val="32"/>
          <w:highlight w:val="none"/>
        </w:rPr>
      </w:pPr>
      <w:r>
        <w:rPr>
          <w:rFonts w:hint="eastAsia"/>
          <w:color w:val="auto"/>
        </w:rPr>
        <w:t>第一部分部门概况</w:t>
      </w:r>
      <w:bookmarkEnd w:id="16"/>
      <w:bookmarkEnd w:id="17"/>
      <w:bookmarkEnd w:id="18"/>
    </w:p>
    <w:p>
      <w:pPr>
        <w:pStyle w:val="3"/>
        <w:numPr>
          <w:ilvl w:val="0"/>
          <w:numId w:val="1"/>
        </w:numPr>
        <w:ind w:firstLine="640" w:firstLineChars="200"/>
        <w:rPr>
          <w:rFonts w:hint="eastAsia" w:ascii="黑体" w:hAnsi="黑体" w:eastAsia="黑体"/>
          <w:b w:val="0"/>
          <w:color w:val="auto"/>
          <w:highlight w:val="none"/>
          <w:lang w:eastAsia="zh-CN"/>
        </w:rPr>
      </w:pPr>
      <w:bookmarkStart w:id="19" w:name="_Toc25637"/>
      <w:r>
        <w:rPr>
          <w:rFonts w:hint="eastAsia" w:ascii="黑体" w:hAnsi="黑体" w:eastAsia="黑体"/>
          <w:b w:val="0"/>
          <w:color w:val="auto"/>
          <w:highlight w:val="none"/>
          <w:lang w:eastAsia="zh-CN"/>
        </w:rPr>
        <w:t>部门职责</w:t>
      </w:r>
      <w:bookmarkEnd w:id="19"/>
    </w:p>
    <w:p>
      <w:pPr>
        <w:pStyle w:val="3"/>
        <w:numPr>
          <w:ilvl w:val="0"/>
          <w:numId w:val="0"/>
        </w:numPr>
        <w:ind w:firstLine="640" w:firstLineChars="200"/>
        <w:rPr>
          <w:rFonts w:hint="eastAsia" w:ascii="仿宋" w:hAnsi="仿宋" w:eastAsia="仿宋" w:cs="Times New Roman"/>
          <w:b w:val="0"/>
          <w:bCs w:val="0"/>
          <w:color w:val="auto"/>
          <w:kern w:val="2"/>
          <w:sz w:val="32"/>
          <w:szCs w:val="32"/>
          <w:highlight w:val="none"/>
          <w:lang w:val="en-US" w:eastAsia="zh-CN" w:bidi="ar-SA"/>
        </w:rPr>
      </w:pPr>
      <w:bookmarkStart w:id="20" w:name="_Toc17466"/>
      <w:bookmarkStart w:id="21" w:name="_Toc8075"/>
      <w:r>
        <w:rPr>
          <w:rFonts w:hint="eastAsia" w:ascii="仿宋" w:hAnsi="仿宋" w:eastAsia="仿宋" w:cs="Times New Roman"/>
          <w:b w:val="0"/>
          <w:bCs w:val="0"/>
          <w:color w:val="auto"/>
          <w:kern w:val="2"/>
          <w:sz w:val="32"/>
          <w:szCs w:val="32"/>
          <w:highlight w:val="none"/>
          <w:lang w:val="en-US" w:eastAsia="zh-CN" w:bidi="ar-SA"/>
        </w:rPr>
        <w:t>代市政府管理上世纪60年代国有企业关、停、并、转后的老、弱、病、残职工和部分落实政策人员。主要职责：一是切实做好维稳工作，确保退休职工不越级上访，确保不发生群体性上访事件，确保平稳过渡；二是按照有关规定，按时发放退休职工和供养人员生活费；三是及时核实核查财政专项资金（医疗费）的使用情况，确保财政资金的合理使用。</w:t>
      </w:r>
      <w:bookmarkEnd w:id="20"/>
      <w:bookmarkEnd w:id="21"/>
    </w:p>
    <w:p>
      <w:pPr>
        <w:pStyle w:val="3"/>
        <w:ind w:firstLine="640" w:firstLineChars="200"/>
        <w:rPr>
          <w:rStyle w:val="19"/>
          <w:b w:val="0"/>
          <w:bCs w:val="0"/>
          <w:color w:val="auto"/>
          <w:highlight w:val="none"/>
        </w:rPr>
      </w:pPr>
      <w:bookmarkStart w:id="22" w:name="_Toc20938"/>
      <w:bookmarkStart w:id="23" w:name="_Toc15396601"/>
      <w:bookmarkStart w:id="24" w:name="_Toc15377200"/>
      <w:r>
        <w:rPr>
          <w:rFonts w:hint="eastAsia" w:ascii="黑体" w:eastAsia="黑体"/>
          <w:b w:val="0"/>
          <w:color w:val="auto"/>
          <w:highlight w:val="none"/>
        </w:rPr>
        <w:t>二、</w:t>
      </w:r>
      <w:r>
        <w:rPr>
          <w:rFonts w:hint="eastAsia" w:ascii="黑体" w:hAnsi="黑体" w:eastAsia="黑体"/>
          <w:b w:val="0"/>
          <w:color w:val="auto"/>
          <w:highlight w:val="none"/>
        </w:rPr>
        <w:t>机</w:t>
      </w:r>
      <w:r>
        <w:rPr>
          <w:rStyle w:val="19"/>
          <w:rFonts w:hint="eastAsia" w:ascii="黑体" w:hAnsi="黑体" w:eastAsia="黑体"/>
          <w:b w:val="0"/>
          <w:bCs w:val="0"/>
          <w:color w:val="auto"/>
          <w:highlight w:val="none"/>
        </w:rPr>
        <w:t>构设置</w:t>
      </w:r>
      <w:bookmarkEnd w:id="22"/>
      <w:bookmarkEnd w:id="23"/>
      <w:bookmarkEnd w:id="24"/>
    </w:p>
    <w:p>
      <w:pPr>
        <w:spacing w:line="360" w:lineRule="auto"/>
        <w:ind w:firstLine="800" w:firstLineChars="250"/>
        <w:rPr>
          <w:rFonts w:ascii="仿宋" w:hAnsi="仿宋" w:eastAsia="仿宋"/>
          <w:color w:val="auto"/>
          <w:kern w:val="0"/>
          <w:sz w:val="32"/>
          <w:szCs w:val="32"/>
          <w:highlight w:val="none"/>
        </w:rPr>
      </w:pPr>
      <w:r>
        <w:rPr>
          <w:rFonts w:hint="eastAsia" w:ascii="仿宋_GB2312" w:hAnsi="仿宋_GB2312" w:eastAsia="仿宋_GB2312"/>
          <w:color w:val="auto"/>
          <w:kern w:val="0"/>
          <w:sz w:val="32"/>
          <w:szCs w:val="36"/>
        </w:rPr>
        <w:t>广元市停撤企业服务中心是一级预算单位，无下属二级单位。</w:t>
      </w:r>
      <w:r>
        <w:rPr>
          <w:rFonts w:ascii="仿宋" w:hAnsi="仿宋" w:eastAsia="仿宋"/>
          <w:color w:val="auto"/>
          <w:sz w:val="32"/>
          <w:szCs w:val="32"/>
          <w:highlight w:val="none"/>
        </w:rPr>
        <w:br w:type="page"/>
      </w:r>
    </w:p>
    <w:p>
      <w:pPr>
        <w:pStyle w:val="2"/>
        <w:ind w:right="440"/>
        <w:jc w:val="center"/>
        <w:rPr>
          <w:rStyle w:val="18"/>
          <w:rFonts w:ascii="黑体" w:hAnsi="黑体" w:eastAsia="黑体"/>
          <w:b w:val="0"/>
          <w:bCs/>
          <w:color w:val="auto"/>
          <w:highlight w:val="none"/>
        </w:rPr>
      </w:pPr>
      <w:bookmarkStart w:id="25" w:name="_Toc1057"/>
      <w:bookmarkStart w:id="26" w:name="_Toc15396602"/>
      <w:bookmarkStart w:id="27" w:name="_Toc15377204"/>
      <w:r>
        <w:rPr>
          <w:rFonts w:hint="eastAsia" w:ascii="黑体" w:hAnsi="黑体" w:eastAsia="黑体"/>
          <w:b w:val="0"/>
          <w:bCs/>
          <w:color w:val="auto"/>
          <w:highlight w:val="none"/>
        </w:rPr>
        <w:t>第二部分</w:t>
      </w:r>
      <w:r>
        <w:rPr>
          <w:rFonts w:hint="eastAsia" w:ascii="黑体" w:hAnsi="黑体" w:eastAsia="黑体"/>
          <w:b w:val="0"/>
          <w:bCs/>
          <w:color w:val="auto"/>
          <w:highlight w:val="none"/>
          <w:lang w:val="en-US" w:eastAsia="zh-CN"/>
        </w:rPr>
        <w:t>2022年度</w:t>
      </w:r>
      <w:r>
        <w:rPr>
          <w:rStyle w:val="18"/>
          <w:rFonts w:hint="eastAsia" w:ascii="黑体" w:hAnsi="黑体" w:eastAsia="黑体"/>
          <w:b w:val="0"/>
          <w:bCs/>
          <w:color w:val="auto"/>
          <w:highlight w:val="none"/>
        </w:rPr>
        <w:t>部门决算情况说明</w:t>
      </w:r>
      <w:bookmarkEnd w:id="25"/>
      <w:bookmarkEnd w:id="26"/>
      <w:bookmarkEnd w:id="27"/>
    </w:p>
    <w:p>
      <w:pPr>
        <w:rPr>
          <w:color w:val="auto"/>
          <w:highlight w:val="none"/>
        </w:rPr>
      </w:pPr>
    </w:p>
    <w:p>
      <w:pPr>
        <w:pStyle w:val="29"/>
        <w:numPr>
          <w:ilvl w:val="0"/>
          <w:numId w:val="2"/>
        </w:numPr>
        <w:spacing w:line="600" w:lineRule="exact"/>
        <w:ind w:firstLineChars="0"/>
        <w:outlineLvl w:val="1"/>
        <w:rPr>
          <w:rStyle w:val="19"/>
          <w:rFonts w:ascii="黑体" w:hAnsi="黑体" w:eastAsia="黑体"/>
          <w:b w:val="0"/>
          <w:color w:val="auto"/>
          <w:highlight w:val="none"/>
        </w:rPr>
      </w:pPr>
      <w:bookmarkStart w:id="28" w:name="_Toc15377205"/>
      <w:bookmarkStart w:id="29" w:name="_Toc15396603"/>
      <w:bookmarkStart w:id="30" w:name="_Toc28349"/>
      <w:r>
        <w:rPr>
          <w:rFonts w:hint="eastAsia" w:ascii="黑体" w:hAnsi="黑体" w:eastAsia="黑体"/>
          <w:color w:val="auto"/>
          <w:sz w:val="32"/>
          <w:szCs w:val="32"/>
          <w:highlight w:val="none"/>
        </w:rPr>
        <w:t>收</w:t>
      </w:r>
      <w:r>
        <w:rPr>
          <w:rStyle w:val="19"/>
          <w:rFonts w:hint="eastAsia" w:ascii="黑体" w:hAnsi="黑体" w:eastAsia="黑体"/>
          <w:b w:val="0"/>
          <w:color w:val="auto"/>
          <w:highlight w:val="none"/>
        </w:rPr>
        <w:t>入支出决算总体情况说明</w:t>
      </w:r>
      <w:bookmarkEnd w:id="28"/>
      <w:bookmarkEnd w:id="29"/>
      <w:bookmarkEnd w:id="30"/>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293.67</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5.65</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1.89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在职人员减少</w:t>
      </w:r>
      <w:r>
        <w:rPr>
          <w:rFonts w:hint="eastAsia" w:ascii="仿宋" w:hAnsi="仿宋" w:eastAsia="仿宋"/>
          <w:color w:val="auto"/>
          <w:sz w:val="32"/>
          <w:szCs w:val="32"/>
          <w:highlight w:val="none"/>
          <w:lang w:val="en-US" w:eastAsia="zh-CN"/>
        </w:rPr>
        <w:t>1人</w:t>
      </w:r>
      <w:r>
        <w:rPr>
          <w:rFonts w:hint="eastAsia" w:ascii="仿宋" w:hAnsi="仿宋" w:eastAsia="仿宋"/>
          <w:color w:val="auto"/>
          <w:sz w:val="32"/>
          <w:szCs w:val="32"/>
          <w:highlight w:val="none"/>
          <w:lang w:eastAsia="zh-CN"/>
        </w:rPr>
        <w:t>。</w:t>
      </w:r>
    </w:p>
    <w:p>
      <w:pPr>
        <w:pStyle w:val="5"/>
        <w:jc w:val="center"/>
        <w:rPr>
          <w:rFonts w:ascii="仿宋_GB2312" w:eastAsia="仿宋_GB2312"/>
          <w:color w:val="auto"/>
          <w:sz w:val="32"/>
          <w:szCs w:val="32"/>
          <w:highlight w:val="none"/>
        </w:rPr>
      </w:pPr>
      <w:r>
        <w:rPr>
          <w:color w:val="auto"/>
        </w:rPr>
        <w:drawing>
          <wp:inline distT="0" distB="0" distL="114300" distR="114300">
            <wp:extent cx="3720465" cy="1848485"/>
            <wp:effectExtent l="4445" t="4445" r="8890"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9"/>
        <w:numPr>
          <w:ilvl w:val="0"/>
          <w:numId w:val="2"/>
        </w:numPr>
        <w:spacing w:line="600" w:lineRule="exact"/>
        <w:ind w:firstLineChars="0"/>
        <w:outlineLvl w:val="1"/>
        <w:rPr>
          <w:rStyle w:val="19"/>
          <w:rFonts w:ascii="黑体" w:hAnsi="黑体" w:eastAsia="黑体"/>
          <w:b w:val="0"/>
          <w:color w:val="auto"/>
          <w:highlight w:val="none"/>
        </w:rPr>
      </w:pPr>
      <w:bookmarkStart w:id="31" w:name="_Toc12789"/>
      <w:bookmarkStart w:id="32" w:name="_Toc15377206"/>
      <w:bookmarkStart w:id="33" w:name="_Toc15396604"/>
      <w:r>
        <w:rPr>
          <w:rFonts w:hint="eastAsia" w:ascii="黑体" w:hAnsi="黑体" w:eastAsia="黑体"/>
          <w:color w:val="auto"/>
          <w:sz w:val="32"/>
          <w:szCs w:val="32"/>
          <w:highlight w:val="none"/>
        </w:rPr>
        <w:t>收</w:t>
      </w:r>
      <w:r>
        <w:rPr>
          <w:rStyle w:val="19"/>
          <w:rFonts w:hint="eastAsia" w:ascii="黑体" w:hAnsi="黑体" w:eastAsia="黑体"/>
          <w:b w:val="0"/>
          <w:color w:val="auto"/>
          <w:highlight w:val="none"/>
        </w:rPr>
        <w:t>入决算情况说明</w:t>
      </w:r>
      <w:bookmarkEnd w:id="31"/>
      <w:bookmarkEnd w:id="32"/>
      <w:bookmarkEnd w:id="33"/>
    </w:p>
    <w:p>
      <w:pPr>
        <w:spacing w:line="600" w:lineRule="exact"/>
        <w:ind w:firstLine="640" w:firstLineChars="200"/>
        <w:outlineLvl w:val="1"/>
        <w:rPr>
          <w:rFonts w:ascii="仿宋_GB2312" w:eastAsia="仿宋_GB2312"/>
          <w:color w:val="auto"/>
          <w:sz w:val="32"/>
          <w:szCs w:val="32"/>
          <w:highlight w:val="none"/>
        </w:rPr>
      </w:pPr>
      <w:bookmarkStart w:id="34" w:name="_Toc1878"/>
      <w:bookmarkStart w:id="35" w:name="_Toc29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293.60</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293.60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bookmarkEnd w:id="35"/>
    </w:p>
    <w:p>
      <w:pPr>
        <w:pStyle w:val="5"/>
        <w:jc w:val="center"/>
        <w:rPr>
          <w:rFonts w:ascii="仿宋_GB2312" w:eastAsia="仿宋_GB2312"/>
          <w:color w:val="auto"/>
          <w:sz w:val="32"/>
          <w:szCs w:val="32"/>
          <w:highlight w:val="none"/>
        </w:rPr>
      </w:pPr>
      <w:r>
        <w:rPr>
          <w:color w:val="auto"/>
        </w:rPr>
        <w:drawing>
          <wp:inline distT="0" distB="0" distL="0" distR="0">
            <wp:extent cx="3307080" cy="2003425"/>
            <wp:effectExtent l="4445" t="4445" r="22225" b="1143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9"/>
        <w:numPr>
          <w:ilvl w:val="0"/>
          <w:numId w:val="2"/>
        </w:numPr>
        <w:spacing w:line="600" w:lineRule="exact"/>
        <w:ind w:firstLineChars="0"/>
        <w:outlineLvl w:val="1"/>
        <w:rPr>
          <w:rStyle w:val="19"/>
          <w:rFonts w:ascii="黑体" w:hAnsi="黑体" w:eastAsia="黑体"/>
          <w:b w:val="0"/>
          <w:color w:val="auto"/>
          <w:highlight w:val="none"/>
        </w:rPr>
      </w:pPr>
      <w:bookmarkStart w:id="36" w:name="_Toc15396605"/>
      <w:bookmarkStart w:id="37" w:name="_Toc29058"/>
      <w:bookmarkStart w:id="38" w:name="_Toc15377207"/>
      <w:r>
        <w:rPr>
          <w:rFonts w:hint="eastAsia" w:ascii="黑体" w:hAnsi="黑体" w:eastAsia="黑体"/>
          <w:color w:val="auto"/>
          <w:sz w:val="32"/>
          <w:szCs w:val="32"/>
          <w:highlight w:val="none"/>
        </w:rPr>
        <w:t>支</w:t>
      </w:r>
      <w:r>
        <w:rPr>
          <w:rStyle w:val="19"/>
          <w:rFonts w:hint="eastAsia" w:ascii="黑体" w:hAnsi="黑体" w:eastAsia="黑体"/>
          <w:b w:val="0"/>
          <w:color w:val="auto"/>
          <w:highlight w:val="none"/>
        </w:rPr>
        <w:t>出决算情况说明</w:t>
      </w:r>
      <w:bookmarkEnd w:id="36"/>
      <w:bookmarkEnd w:id="37"/>
      <w:bookmarkEnd w:id="38"/>
    </w:p>
    <w:p>
      <w:pPr>
        <w:spacing w:line="600" w:lineRule="exact"/>
        <w:ind w:firstLine="640" w:firstLineChars="200"/>
        <w:outlineLvl w:val="1"/>
        <w:rPr>
          <w:color w:val="auto"/>
        </w:rPr>
      </w:pPr>
      <w:bookmarkStart w:id="39" w:name="_Toc3450"/>
      <w:bookmarkStart w:id="40" w:name="_Toc24003"/>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292.66</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73.23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25.02</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219.43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74.98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9"/>
      <w:bookmarkEnd w:id="40"/>
    </w:p>
    <w:p>
      <w:pPr>
        <w:pStyle w:val="5"/>
        <w:jc w:val="center"/>
        <w:rPr>
          <w:color w:val="auto"/>
        </w:rPr>
      </w:pPr>
      <w:r>
        <w:rPr>
          <w:color w:val="auto"/>
        </w:rPr>
        <w:drawing>
          <wp:inline distT="0" distB="0" distL="114300" distR="114300">
            <wp:extent cx="3369310" cy="1743075"/>
            <wp:effectExtent l="4445" t="5080" r="17145" b="4445"/>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outlineLvl w:val="1"/>
        <w:rPr>
          <w:rStyle w:val="19"/>
          <w:rFonts w:ascii="黑体" w:hAnsi="黑体" w:eastAsia="黑体"/>
          <w:b w:val="0"/>
          <w:color w:val="auto"/>
          <w:highlight w:val="none"/>
        </w:rPr>
      </w:pPr>
      <w:bookmarkStart w:id="41" w:name="_Toc15396606"/>
      <w:bookmarkStart w:id="42" w:name="_Toc15377208"/>
      <w:bookmarkStart w:id="43" w:name="_Toc7075"/>
      <w:r>
        <w:rPr>
          <w:rFonts w:hint="eastAsia" w:ascii="黑体" w:hAnsi="黑体" w:eastAsia="黑体"/>
          <w:color w:val="auto"/>
          <w:sz w:val="32"/>
          <w:szCs w:val="32"/>
          <w:highlight w:val="none"/>
        </w:rPr>
        <w:t>四、财</w:t>
      </w:r>
      <w:r>
        <w:rPr>
          <w:rStyle w:val="19"/>
          <w:rFonts w:hint="eastAsia" w:ascii="黑体" w:hAnsi="黑体" w:eastAsia="黑体"/>
          <w:b w:val="0"/>
          <w:color w:val="auto"/>
          <w:highlight w:val="none"/>
        </w:rPr>
        <w:t>政拨款收入支出决算总体情况说明</w:t>
      </w:r>
      <w:bookmarkEnd w:id="41"/>
      <w:bookmarkEnd w:id="42"/>
      <w:bookmarkEnd w:id="43"/>
    </w:p>
    <w:p>
      <w:pPr>
        <w:spacing w:line="600"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293.66</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5.65</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1.89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在职人员减少</w:t>
      </w:r>
      <w:r>
        <w:rPr>
          <w:rFonts w:hint="eastAsia" w:ascii="仿宋" w:hAnsi="仿宋" w:eastAsia="仿宋"/>
          <w:color w:val="auto"/>
          <w:sz w:val="32"/>
          <w:szCs w:val="32"/>
          <w:highlight w:val="none"/>
          <w:lang w:val="en-US" w:eastAsia="zh-CN"/>
        </w:rPr>
        <w:t>1人</w:t>
      </w:r>
      <w:r>
        <w:rPr>
          <w:rFonts w:hint="eastAsia" w:ascii="仿宋" w:hAnsi="仿宋" w:eastAsia="仿宋"/>
          <w:color w:val="auto"/>
          <w:sz w:val="32"/>
          <w:szCs w:val="32"/>
          <w:highlight w:val="none"/>
          <w:lang w:eastAsia="zh-CN"/>
        </w:rPr>
        <w:t>。</w:t>
      </w:r>
    </w:p>
    <w:p>
      <w:pPr>
        <w:pStyle w:val="5"/>
        <w:jc w:val="center"/>
        <w:rPr>
          <w:rFonts w:hint="eastAsia" w:ascii="仿宋" w:hAnsi="仿宋" w:eastAsia="仿宋"/>
          <w:color w:val="auto"/>
          <w:sz w:val="32"/>
          <w:szCs w:val="32"/>
          <w:highlight w:val="none"/>
        </w:rPr>
      </w:pPr>
      <w:r>
        <w:rPr>
          <w:color w:val="auto"/>
        </w:rPr>
        <w:drawing>
          <wp:inline distT="0" distB="0" distL="114300" distR="114300">
            <wp:extent cx="3855085" cy="1790700"/>
            <wp:effectExtent l="4445" t="5080" r="7620" b="1397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outlineLvl w:val="1"/>
        <w:rPr>
          <w:rStyle w:val="19"/>
          <w:rFonts w:ascii="黑体" w:hAnsi="黑体" w:eastAsia="黑体"/>
          <w:b w:val="0"/>
          <w:color w:val="auto"/>
          <w:highlight w:val="none"/>
        </w:rPr>
      </w:pPr>
      <w:bookmarkStart w:id="44" w:name="_Toc15396607"/>
      <w:bookmarkStart w:id="45" w:name="_Toc4423"/>
      <w:bookmarkStart w:id="46"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9"/>
          <w:rFonts w:hint="eastAsia" w:ascii="黑体" w:hAnsi="黑体" w:eastAsia="黑体"/>
          <w:b w:val="0"/>
          <w:color w:val="auto"/>
          <w:highlight w:val="none"/>
        </w:rPr>
        <w:t>般公共预算财政拨款支出决算情况说明</w:t>
      </w:r>
      <w:bookmarkEnd w:id="44"/>
      <w:bookmarkEnd w:id="45"/>
      <w:bookmarkEnd w:id="46"/>
    </w:p>
    <w:p>
      <w:pPr>
        <w:spacing w:line="600" w:lineRule="exact"/>
        <w:ind w:firstLine="642" w:firstLineChars="200"/>
        <w:outlineLvl w:val="2"/>
        <w:rPr>
          <w:rFonts w:ascii="仿宋" w:hAnsi="仿宋" w:eastAsia="仿宋"/>
          <w:b/>
          <w:color w:val="auto"/>
          <w:sz w:val="32"/>
          <w:szCs w:val="32"/>
          <w:highlight w:val="none"/>
        </w:rPr>
      </w:pPr>
      <w:bookmarkStart w:id="47" w:name="_Toc15377210"/>
      <w:r>
        <w:rPr>
          <w:rFonts w:hint="eastAsia" w:ascii="仿宋" w:hAnsi="仿宋" w:eastAsia="仿宋"/>
          <w:b/>
          <w:color w:val="auto"/>
          <w:sz w:val="32"/>
          <w:szCs w:val="32"/>
          <w:highlight w:val="none"/>
        </w:rPr>
        <w:t>（一）一般公共预算财政拨款支出决算总体情况</w:t>
      </w:r>
      <w:bookmarkEnd w:id="47"/>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293.66</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28.27</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10.69</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代管离退休职工医疗费用及生活补助增加。</w:t>
      </w:r>
    </w:p>
    <w:p>
      <w:pPr>
        <w:pStyle w:val="5"/>
        <w:jc w:val="center"/>
        <w:rPr>
          <w:color w:val="auto"/>
        </w:rPr>
      </w:pPr>
    </w:p>
    <w:p>
      <w:pPr>
        <w:pStyle w:val="5"/>
        <w:jc w:val="center"/>
        <w:rPr>
          <w:color w:val="auto"/>
        </w:rPr>
      </w:pPr>
      <w:r>
        <w:rPr>
          <w:color w:val="auto"/>
        </w:rPr>
        <w:drawing>
          <wp:inline distT="0" distB="0" distL="114300" distR="114300">
            <wp:extent cx="4378325" cy="2471420"/>
            <wp:effectExtent l="4445" t="4445" r="17780" b="19685"/>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2" w:firstLineChars="200"/>
        <w:outlineLvl w:val="2"/>
        <w:rPr>
          <w:rFonts w:ascii="仿宋" w:hAnsi="仿宋" w:eastAsia="仿宋"/>
          <w:b/>
          <w:color w:val="auto"/>
          <w:sz w:val="32"/>
          <w:szCs w:val="32"/>
          <w:highlight w:val="none"/>
        </w:rPr>
      </w:pPr>
      <w:bookmarkStart w:id="48" w:name="_Toc15377211"/>
      <w:r>
        <w:rPr>
          <w:rFonts w:hint="eastAsia" w:ascii="仿宋" w:hAnsi="仿宋" w:eastAsia="仿宋"/>
          <w:b/>
          <w:color w:val="auto"/>
          <w:sz w:val="32"/>
          <w:szCs w:val="32"/>
          <w:highlight w:val="none"/>
        </w:rPr>
        <w:t>（二）一般公共预算财政拨款支出决算结构情况</w:t>
      </w:r>
      <w:bookmarkEnd w:id="48"/>
    </w:p>
    <w:p>
      <w:pPr>
        <w:spacing w:line="600" w:lineRule="exact"/>
        <w:ind w:firstLine="640"/>
        <w:rPr>
          <w:color w:val="auto"/>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292.66</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286.18万</w:t>
      </w:r>
      <w:r>
        <w:rPr>
          <w:rFonts w:hint="eastAsia" w:ascii="仿宋" w:hAnsi="仿宋" w:eastAsia="仿宋"/>
          <w:color w:val="auto"/>
          <w:sz w:val="32"/>
          <w:szCs w:val="32"/>
          <w:highlight w:val="none"/>
        </w:rPr>
        <w:t>元，占</w:t>
      </w:r>
      <w:r>
        <w:rPr>
          <w:rFonts w:hint="eastAsia" w:ascii="仿宋" w:hAnsi="仿宋" w:eastAsia="仿宋"/>
          <w:color w:val="auto"/>
          <w:sz w:val="32"/>
          <w:szCs w:val="32"/>
          <w:highlight w:val="none"/>
          <w:lang w:val="en-US" w:eastAsia="zh-CN"/>
        </w:rPr>
        <w:t>97.79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1.79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0.61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4.69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1.60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Style w:val="5"/>
        <w:jc w:val="center"/>
        <w:rPr>
          <w:color w:val="auto"/>
        </w:rPr>
      </w:pPr>
      <w:r>
        <w:rPr>
          <w:color w:val="auto"/>
        </w:rPr>
        <w:drawing>
          <wp:inline distT="0" distB="0" distL="114300" distR="114300">
            <wp:extent cx="3964305" cy="2002155"/>
            <wp:effectExtent l="4445" t="5080" r="12700" b="12065"/>
            <wp:docPr id="22"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2" w:firstLineChars="200"/>
        <w:outlineLvl w:val="2"/>
        <w:rPr>
          <w:rFonts w:ascii="仿宋" w:hAnsi="仿宋" w:eastAsia="仿宋"/>
          <w:b/>
          <w:color w:val="auto"/>
          <w:sz w:val="32"/>
          <w:szCs w:val="32"/>
          <w:highlight w:val="none"/>
        </w:rPr>
      </w:pPr>
      <w:bookmarkStart w:id="49" w:name="_Toc15377212"/>
      <w:r>
        <w:rPr>
          <w:rFonts w:hint="eastAsia" w:ascii="仿宋" w:hAnsi="仿宋" w:eastAsia="仿宋"/>
          <w:b/>
          <w:color w:val="auto"/>
          <w:sz w:val="32"/>
          <w:szCs w:val="32"/>
          <w:highlight w:val="none"/>
        </w:rPr>
        <w:t>（三）一般公共预算财政拨款支出决算具体情况</w:t>
      </w:r>
      <w:bookmarkEnd w:id="49"/>
    </w:p>
    <w:p>
      <w:pPr>
        <w:spacing w:line="600" w:lineRule="exact"/>
        <w:ind w:firstLine="642" w:firstLineChars="200"/>
        <w:outlineLvl w:val="1"/>
        <w:rPr>
          <w:rFonts w:ascii="仿宋" w:hAnsi="仿宋" w:eastAsia="仿宋"/>
          <w:color w:val="auto"/>
          <w:sz w:val="32"/>
          <w:szCs w:val="32"/>
          <w:highlight w:val="none"/>
        </w:rPr>
      </w:pPr>
      <w:bookmarkStart w:id="50" w:name="_Toc15378460"/>
      <w:bookmarkStart w:id="51" w:name="_Toc15377444"/>
      <w:bookmarkStart w:id="52" w:name="_Toc29063"/>
      <w:bookmarkStart w:id="53" w:name="_Toc15615"/>
      <w:bookmarkStart w:id="54" w:name="_Toc15377213"/>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292.66万元</w:t>
      </w:r>
      <w:r>
        <w:rPr>
          <w:rFonts w:hint="eastAsia" w:ascii="仿宋" w:hAnsi="仿宋" w:eastAsia="仿宋"/>
          <w:color w:val="auto"/>
          <w:sz w:val="32"/>
          <w:szCs w:val="32"/>
          <w:highlight w:val="none"/>
        </w:rPr>
        <w:t>，</w:t>
      </w:r>
      <w:r>
        <w:rPr>
          <w:rStyle w:val="16"/>
          <w:rFonts w:hint="eastAsia" w:ascii="仿宋" w:hAnsi="仿宋" w:eastAsia="仿宋"/>
          <w:bCs/>
          <w:color w:val="auto"/>
          <w:sz w:val="32"/>
          <w:szCs w:val="32"/>
          <w:highlight w:val="none"/>
        </w:rPr>
        <w:t>完成预算</w:t>
      </w:r>
      <w:r>
        <w:rPr>
          <w:rStyle w:val="16"/>
          <w:rFonts w:hint="eastAsia" w:ascii="仿宋" w:hAnsi="仿宋" w:eastAsia="仿宋"/>
          <w:bCs/>
          <w:color w:val="auto"/>
          <w:sz w:val="32"/>
          <w:szCs w:val="32"/>
          <w:highlight w:val="none"/>
          <w:lang w:val="en-US" w:eastAsia="zh-CN"/>
        </w:rPr>
        <w:t>99.66%</w:t>
      </w:r>
      <w:r>
        <w:rPr>
          <w:rStyle w:val="16"/>
          <w:rFonts w:hint="eastAsia" w:ascii="仿宋" w:hAnsi="仿宋" w:eastAsia="仿宋"/>
          <w:bCs/>
          <w:color w:val="auto"/>
          <w:sz w:val="32"/>
          <w:szCs w:val="32"/>
          <w:highlight w:val="none"/>
        </w:rPr>
        <w:t>。其中：</w:t>
      </w:r>
      <w:bookmarkEnd w:id="50"/>
      <w:bookmarkEnd w:id="51"/>
      <w:bookmarkEnd w:id="52"/>
      <w:bookmarkEnd w:id="53"/>
      <w:bookmarkEnd w:id="54"/>
    </w:p>
    <w:p>
      <w:pPr>
        <w:spacing w:line="600" w:lineRule="exact"/>
        <w:ind w:firstLine="642"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1</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社会保障和就业（类）行政事业单位养老支出（款）事业单位离退休（项）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0.08</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2"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2</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社会保障和就业（类）行政事业单位养老支出（款）机关事业单位基本养老保险缴费支出（项）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3.58</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2"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3</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社会保障和就业（类）行政事业单位养老支出（款）机关事业单位职业年金缴费支出（项）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5.78</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p>
    <w:p>
      <w:pPr>
        <w:spacing w:line="600" w:lineRule="exact"/>
        <w:ind w:firstLine="642" w:firstLineChars="200"/>
        <w:rPr>
          <w:rStyle w:val="16"/>
          <w:rFonts w:hint="eastAsia" w:ascii="仿宋" w:hAnsi="仿宋" w:eastAsia="仿宋"/>
          <w:b w:val="0"/>
          <w:bCs/>
          <w:color w:val="auto"/>
          <w:sz w:val="32"/>
          <w:szCs w:val="32"/>
          <w:highlight w:val="none"/>
        </w:rPr>
      </w:pPr>
      <w:r>
        <w:rPr>
          <w:rStyle w:val="16"/>
          <w:rFonts w:hint="eastAsia" w:ascii="仿宋" w:hAnsi="仿宋" w:eastAsia="仿宋"/>
          <w:bCs/>
          <w:color w:val="auto"/>
          <w:sz w:val="32"/>
          <w:szCs w:val="32"/>
          <w:highlight w:val="none"/>
          <w:lang w:val="en-US" w:eastAsia="zh-CN"/>
        </w:rPr>
        <w:t>4</w:t>
      </w:r>
      <w:r>
        <w:rPr>
          <w:rStyle w:val="16"/>
          <w:rFonts w:ascii="仿宋" w:hAnsi="仿宋" w:eastAsia="仿宋"/>
          <w:bCs/>
          <w:color w:val="auto"/>
          <w:sz w:val="32"/>
          <w:szCs w:val="32"/>
          <w:highlight w:val="none"/>
        </w:rPr>
        <w:t>.</w:t>
      </w:r>
      <w:r>
        <w:rPr>
          <w:rStyle w:val="16"/>
          <w:rFonts w:hint="eastAsia" w:ascii="仿宋" w:hAnsi="仿宋" w:eastAsia="仿宋"/>
          <w:bCs/>
          <w:color w:val="auto"/>
          <w:sz w:val="32"/>
          <w:szCs w:val="32"/>
          <w:highlight w:val="none"/>
        </w:rPr>
        <w:t>社会保障和就业（类）其他社会保障和就业支出（款）其他社会保障和就业支出（项）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276.74</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99.68</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Style w:val="16"/>
          <w:rFonts w:hint="eastAsia" w:ascii="仿宋" w:hAnsi="仿宋" w:eastAsia="仿宋"/>
          <w:b w:val="0"/>
          <w:bCs/>
          <w:color w:val="auto"/>
          <w:sz w:val="32"/>
          <w:szCs w:val="32"/>
        </w:rPr>
        <w:t>决算数小于预算数的主要原因是</w:t>
      </w:r>
      <w:r>
        <w:rPr>
          <w:rStyle w:val="16"/>
          <w:rFonts w:hint="eastAsia" w:ascii="仿宋" w:hAnsi="仿宋" w:eastAsia="仿宋"/>
          <w:b w:val="0"/>
          <w:bCs/>
          <w:color w:val="auto"/>
          <w:sz w:val="32"/>
          <w:szCs w:val="32"/>
          <w:lang w:eastAsia="zh-CN"/>
        </w:rPr>
        <w:t>因社保缴费基数调整需待缴失业保险增加金额</w:t>
      </w:r>
      <w:r>
        <w:rPr>
          <w:rStyle w:val="16"/>
          <w:rFonts w:hint="eastAsia" w:ascii="仿宋" w:hAnsi="仿宋" w:eastAsia="仿宋"/>
          <w:b w:val="0"/>
          <w:bCs/>
          <w:color w:val="auto"/>
          <w:sz w:val="32"/>
          <w:szCs w:val="32"/>
          <w:highlight w:val="none"/>
        </w:rPr>
        <w:t>。</w:t>
      </w:r>
    </w:p>
    <w:p>
      <w:pPr>
        <w:numPr>
          <w:ilvl w:val="0"/>
          <w:numId w:val="0"/>
        </w:numPr>
        <w:spacing w:line="600" w:lineRule="exact"/>
        <w:ind w:firstLine="642" w:firstLineChars="200"/>
        <w:rPr>
          <w:rStyle w:val="16"/>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5.</w:t>
      </w:r>
      <w:r>
        <w:rPr>
          <w:rFonts w:hint="eastAsia" w:ascii="仿宋" w:hAnsi="仿宋" w:eastAsia="仿宋"/>
          <w:b/>
          <w:bCs/>
          <w:color w:val="auto"/>
          <w:sz w:val="32"/>
          <w:szCs w:val="32"/>
          <w:highlight w:val="none"/>
        </w:rPr>
        <w:t>卫生健康</w:t>
      </w:r>
      <w:r>
        <w:rPr>
          <w:rStyle w:val="16"/>
          <w:rFonts w:hint="eastAsia" w:ascii="仿宋" w:hAnsi="仿宋" w:eastAsia="仿宋"/>
          <w:bCs/>
          <w:color w:val="auto"/>
          <w:sz w:val="32"/>
          <w:szCs w:val="32"/>
          <w:highlight w:val="none"/>
        </w:rPr>
        <w:t>（类）行政事业单位医疗（款）事业单位医疗（项）</w:t>
      </w:r>
      <w:r>
        <w:rPr>
          <w:rStyle w:val="16"/>
          <w:rFonts w:ascii="仿宋" w:hAnsi="仿宋" w:eastAsia="仿宋"/>
          <w:bCs/>
          <w:color w:val="auto"/>
          <w:sz w:val="32"/>
          <w:szCs w:val="32"/>
          <w:highlight w:val="none"/>
        </w:rPr>
        <w:t>:</w:t>
      </w:r>
      <w:r>
        <w:rPr>
          <w:rStyle w:val="16"/>
          <w:rFonts w:hint="eastAsia" w:ascii="仿宋" w:hAnsi="仿宋" w:eastAsia="仿宋"/>
          <w:b w:val="0"/>
          <w:bCs/>
          <w:color w:val="auto"/>
          <w:sz w:val="32"/>
          <w:szCs w:val="32"/>
          <w:highlight w:val="none"/>
        </w:rPr>
        <w:t>支出决算为</w:t>
      </w:r>
      <w:r>
        <w:rPr>
          <w:rStyle w:val="16"/>
          <w:rFonts w:hint="eastAsia" w:ascii="仿宋" w:hAnsi="仿宋" w:eastAsia="仿宋"/>
          <w:b w:val="0"/>
          <w:bCs/>
          <w:color w:val="auto"/>
          <w:sz w:val="32"/>
          <w:szCs w:val="32"/>
          <w:highlight w:val="none"/>
          <w:lang w:val="en-US" w:eastAsia="zh-CN"/>
        </w:rPr>
        <w:t>1.79</w:t>
      </w:r>
      <w:r>
        <w:rPr>
          <w:rStyle w:val="16"/>
          <w:rFonts w:hint="eastAsia" w:ascii="仿宋" w:hAnsi="仿宋" w:eastAsia="仿宋"/>
          <w:b w:val="0"/>
          <w:bCs/>
          <w:color w:val="auto"/>
          <w:sz w:val="32"/>
          <w:szCs w:val="32"/>
          <w:highlight w:val="none"/>
        </w:rPr>
        <w:t>万元，完成预算</w:t>
      </w:r>
      <w:r>
        <w:rPr>
          <w:rStyle w:val="16"/>
          <w:rFonts w:hint="eastAsia" w:ascii="仿宋" w:hAnsi="仿宋" w:eastAsia="仿宋"/>
          <w:b w:val="0"/>
          <w:bCs/>
          <w:color w:val="auto"/>
          <w:sz w:val="32"/>
          <w:szCs w:val="32"/>
          <w:highlight w:val="none"/>
          <w:lang w:val="en-US" w:eastAsia="zh-CN"/>
        </w:rPr>
        <w:t>94.71</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lang w:eastAsia="zh-CN"/>
        </w:rPr>
        <w:t>，</w:t>
      </w:r>
      <w:r>
        <w:rPr>
          <w:rStyle w:val="16"/>
          <w:rFonts w:hint="eastAsia" w:ascii="仿宋" w:hAnsi="仿宋" w:eastAsia="仿宋"/>
          <w:b w:val="0"/>
          <w:bCs/>
          <w:color w:val="auto"/>
          <w:sz w:val="32"/>
          <w:szCs w:val="32"/>
        </w:rPr>
        <w:t>决算数小于预算数的主要原因是</w:t>
      </w:r>
      <w:r>
        <w:rPr>
          <w:rStyle w:val="16"/>
          <w:rFonts w:hint="eastAsia" w:ascii="仿宋" w:hAnsi="仿宋" w:eastAsia="仿宋"/>
          <w:b w:val="0"/>
          <w:bCs/>
          <w:color w:val="auto"/>
          <w:sz w:val="32"/>
          <w:szCs w:val="32"/>
          <w:lang w:eastAsia="zh-CN"/>
        </w:rPr>
        <w:t>因社保缴费基数调整需待缴医疗保险增加金额。</w:t>
      </w:r>
    </w:p>
    <w:p>
      <w:pPr>
        <w:pStyle w:val="5"/>
        <w:numPr>
          <w:ilvl w:val="0"/>
          <w:numId w:val="0"/>
        </w:numPr>
        <w:ind w:firstLine="642" w:firstLineChars="200"/>
        <w:rPr>
          <w:rFonts w:ascii="仿宋" w:hAnsi="仿宋" w:eastAsia="仿宋"/>
          <w:b/>
          <w:color w:val="auto"/>
          <w:sz w:val="32"/>
          <w:szCs w:val="32"/>
          <w:highlight w:val="none"/>
        </w:rPr>
      </w:pPr>
      <w:r>
        <w:rPr>
          <w:rStyle w:val="16"/>
          <w:rFonts w:hint="eastAsia" w:ascii="仿宋" w:hAnsi="仿宋" w:eastAsia="仿宋"/>
          <w:bCs/>
          <w:color w:val="auto"/>
          <w:sz w:val="32"/>
          <w:szCs w:val="32"/>
          <w:lang w:val="en-US" w:eastAsia="zh-CN"/>
        </w:rPr>
        <w:t>6.</w:t>
      </w:r>
      <w:r>
        <w:rPr>
          <w:rStyle w:val="16"/>
          <w:rFonts w:hint="eastAsia" w:ascii="仿宋" w:hAnsi="仿宋" w:eastAsia="仿宋"/>
          <w:bCs/>
          <w:color w:val="auto"/>
          <w:sz w:val="32"/>
          <w:szCs w:val="32"/>
        </w:rPr>
        <w:t>住房保障支出（类）住房改革支出（款）住房公积金（项）：</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4.69</w:t>
      </w:r>
      <w:r>
        <w:rPr>
          <w:rStyle w:val="16"/>
          <w:rFonts w:hint="eastAsia" w:ascii="仿宋" w:hAnsi="仿宋" w:eastAsia="仿宋"/>
          <w:b w:val="0"/>
          <w:bCs/>
          <w:color w:val="auto"/>
          <w:sz w:val="32"/>
          <w:szCs w:val="32"/>
        </w:rPr>
        <w:t>万元，完成预算</w:t>
      </w:r>
      <w:r>
        <w:rPr>
          <w:rStyle w:val="16"/>
          <w:rFonts w:ascii="仿宋" w:hAnsi="仿宋" w:eastAsia="仿宋"/>
          <w:b w:val="0"/>
          <w:bCs/>
          <w:color w:val="auto"/>
          <w:sz w:val="32"/>
          <w:szCs w:val="32"/>
        </w:rPr>
        <w:t>100%</w:t>
      </w:r>
      <w:r>
        <w:rPr>
          <w:rStyle w:val="16"/>
          <w:rFonts w:hint="eastAsia" w:ascii="仿宋" w:hAnsi="仿宋" w:eastAsia="仿宋"/>
          <w:b w:val="0"/>
          <w:bCs/>
          <w:color w:val="auto"/>
          <w:sz w:val="32"/>
          <w:szCs w:val="32"/>
        </w:rPr>
        <w:t>。</w:t>
      </w:r>
    </w:p>
    <w:p>
      <w:pPr>
        <w:tabs>
          <w:tab w:val="right" w:pos="8306"/>
        </w:tabs>
        <w:spacing w:line="600" w:lineRule="exact"/>
        <w:ind w:firstLine="640"/>
        <w:outlineLvl w:val="1"/>
        <w:rPr>
          <w:rStyle w:val="19"/>
          <w:color w:val="auto"/>
          <w:highlight w:val="none"/>
        </w:rPr>
      </w:pPr>
      <w:bookmarkStart w:id="55" w:name="_Toc15396608"/>
      <w:bookmarkStart w:id="56" w:name="_Toc1178"/>
      <w:bookmarkStart w:id="57"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9"/>
          <w:rFonts w:hint="eastAsia" w:ascii="黑体" w:hAnsi="黑体" w:eastAsia="黑体"/>
          <w:b w:val="0"/>
          <w:color w:val="auto"/>
          <w:highlight w:val="none"/>
        </w:rPr>
        <w:t>般公共预算财政拨款基本支出决算情况说明</w:t>
      </w:r>
      <w:bookmarkEnd w:id="55"/>
      <w:bookmarkEnd w:id="56"/>
      <w:bookmarkEnd w:id="57"/>
      <w:r>
        <w:rPr>
          <w:rStyle w:val="19"/>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73.23</w:t>
      </w:r>
      <w:r>
        <w:rPr>
          <w:rFonts w:hint="eastAsia" w:ascii="仿宋" w:hAnsi="仿宋" w:eastAsia="仿宋"/>
          <w:color w:val="auto"/>
          <w:sz w:val="32"/>
          <w:szCs w:val="32"/>
          <w:highlight w:val="none"/>
        </w:rPr>
        <w:t>万元，其中：</w:t>
      </w:r>
    </w:p>
    <w:p>
      <w:pPr>
        <w:spacing w:line="600"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69.24</w:t>
      </w:r>
      <w:r>
        <w:rPr>
          <w:rFonts w:hint="eastAsia" w:ascii="仿宋" w:hAnsi="仿宋" w:eastAsia="仿宋"/>
          <w:color w:val="auto"/>
          <w:sz w:val="32"/>
          <w:szCs w:val="32"/>
          <w:highlight w:val="none"/>
        </w:rPr>
        <w:t>万元，主要包括：基本工资、津贴补贴、奖金、绩效工资、机关事业单位基本养老保险缴费、职业年金缴费、职工基本医疗保险缴费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其他社会保障缴费、住房公积金、生活补助。</w:t>
      </w:r>
    </w:p>
    <w:p>
      <w:pPr>
        <w:spacing w:line="600"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3.99</w:t>
      </w:r>
      <w:r>
        <w:rPr>
          <w:rFonts w:hint="eastAsia" w:ascii="仿宋" w:hAnsi="仿宋" w:eastAsia="仿宋"/>
          <w:color w:val="auto"/>
          <w:sz w:val="32"/>
          <w:szCs w:val="32"/>
          <w:highlight w:val="none"/>
        </w:rPr>
        <w:t>万元，主要包括：办公费、印刷费、物业管理费、公务接待费、工会经费、福利费、其他商品和服务支出。</w:t>
      </w:r>
    </w:p>
    <w:p>
      <w:pPr>
        <w:spacing w:line="600" w:lineRule="exact"/>
        <w:ind w:firstLine="640"/>
        <w:outlineLvl w:val="1"/>
        <w:rPr>
          <w:rStyle w:val="19"/>
          <w:rFonts w:ascii="黑体" w:hAnsi="黑体" w:eastAsia="黑体"/>
          <w:b w:val="0"/>
          <w:color w:val="auto"/>
          <w:highlight w:val="none"/>
        </w:rPr>
      </w:pPr>
      <w:bookmarkStart w:id="58" w:name="_Toc15217"/>
      <w:bookmarkStart w:id="59" w:name="_Toc15377215"/>
      <w:bookmarkStart w:id="60" w:name="_Toc15396609"/>
      <w:r>
        <w:rPr>
          <w:rFonts w:hint="eastAsia" w:ascii="黑体" w:eastAsia="黑体"/>
          <w:color w:val="auto"/>
          <w:sz w:val="32"/>
          <w:szCs w:val="32"/>
          <w:highlight w:val="none"/>
        </w:rPr>
        <w:t>七、</w:t>
      </w:r>
      <w:r>
        <w:rPr>
          <w:rStyle w:val="19"/>
          <w:rFonts w:hint="eastAsia" w:ascii="黑体" w:hAnsi="黑体" w:eastAsia="黑体"/>
          <w:b w:val="0"/>
          <w:color w:val="auto"/>
          <w:highlight w:val="none"/>
        </w:rPr>
        <w:t>财政拨款</w:t>
      </w:r>
      <w:r>
        <w:rPr>
          <w:rStyle w:val="19"/>
          <w:rFonts w:hint="eastAsia" w:ascii="黑体" w:hAnsi="黑体" w:eastAsia="黑体"/>
          <w:color w:val="auto"/>
          <w:highlight w:val="none"/>
        </w:rPr>
        <w:t>“</w:t>
      </w:r>
      <w:r>
        <w:rPr>
          <w:rStyle w:val="19"/>
          <w:rFonts w:hint="eastAsia" w:ascii="黑体" w:hAnsi="黑体" w:eastAsia="黑体"/>
          <w:b w:val="0"/>
          <w:color w:val="auto"/>
          <w:highlight w:val="none"/>
        </w:rPr>
        <w:t>三公”经费支出决算情况说明</w:t>
      </w:r>
      <w:bookmarkEnd w:id="58"/>
      <w:bookmarkEnd w:id="59"/>
      <w:bookmarkEnd w:id="60"/>
    </w:p>
    <w:p>
      <w:pPr>
        <w:spacing w:line="600" w:lineRule="exact"/>
        <w:ind w:firstLine="640"/>
        <w:outlineLvl w:val="2"/>
        <w:rPr>
          <w:rFonts w:ascii="仿宋" w:hAnsi="仿宋" w:eastAsia="仿宋"/>
          <w:b/>
          <w:color w:val="auto"/>
          <w:sz w:val="32"/>
          <w:szCs w:val="32"/>
          <w:highlight w:val="none"/>
        </w:rPr>
      </w:pPr>
      <w:bookmarkStart w:id="61" w:name="_Toc15377216"/>
      <w:r>
        <w:rPr>
          <w:rFonts w:hint="eastAsia" w:ascii="仿宋" w:hAnsi="仿宋" w:eastAsia="仿宋"/>
          <w:b/>
          <w:color w:val="auto"/>
          <w:sz w:val="32"/>
          <w:szCs w:val="32"/>
          <w:highlight w:val="none"/>
        </w:rPr>
        <w:t>（一）“三公”经费财政拨款支出决算总体情况说明</w:t>
      </w:r>
      <w:bookmarkEnd w:id="61"/>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0.30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减少0.20万元，下降40%，</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eastAsia="zh-CN"/>
        </w:rPr>
        <w:t>进一步优化接待方案，压减经费支出</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62" w:name="_Toc15377217"/>
      <w:r>
        <w:rPr>
          <w:rFonts w:hint="eastAsia" w:ascii="仿宋" w:hAnsi="仿宋" w:eastAsia="仿宋"/>
          <w:b/>
          <w:color w:val="auto"/>
          <w:sz w:val="32"/>
          <w:szCs w:val="32"/>
          <w:highlight w:val="none"/>
        </w:rPr>
        <w:t>（二）“三公”经费财政拨款支出决算具体情况说明</w:t>
      </w:r>
      <w:bookmarkEnd w:id="62"/>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0.30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5"/>
        <w:jc w:val="center"/>
        <w:rPr>
          <w:rFonts w:hint="eastAsia" w:ascii="仿宋" w:hAnsi="仿宋" w:eastAsia="仿宋"/>
          <w:color w:val="auto"/>
          <w:sz w:val="32"/>
          <w:szCs w:val="32"/>
          <w:highlight w:val="none"/>
        </w:rPr>
      </w:pPr>
      <w:r>
        <w:rPr>
          <w:color w:val="auto"/>
        </w:rPr>
        <w:drawing>
          <wp:inline distT="0" distB="0" distL="114300" distR="114300">
            <wp:extent cx="3430270" cy="2096135"/>
            <wp:effectExtent l="4445" t="4445" r="13335" b="13970"/>
            <wp:docPr id="23"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rPr>
          <w:color w:val="auto"/>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rPr>
        <w:t>年初未安排预算。</w:t>
      </w:r>
      <w:r>
        <w:rPr>
          <w:rStyle w:val="16"/>
          <w:rFonts w:hint="eastAsia" w:ascii="仿宋" w:hAnsi="仿宋" w:eastAsia="仿宋"/>
          <w:b w:val="0"/>
          <w:bCs/>
          <w:color w:val="auto"/>
          <w:sz w:val="32"/>
          <w:szCs w:val="32"/>
          <w:lang w:eastAsia="zh-CN"/>
        </w:rPr>
        <w:t>因公出国（境）支出</w:t>
      </w:r>
      <w:r>
        <w:rPr>
          <w:rStyle w:val="16"/>
          <w:rFonts w:hint="eastAsia" w:ascii="仿宋" w:hAnsi="仿宋" w:eastAsia="仿宋"/>
          <w:b w:val="0"/>
          <w:bCs/>
          <w:color w:val="auto"/>
          <w:sz w:val="32"/>
          <w:szCs w:val="32"/>
        </w:rPr>
        <w:t>决算数</w:t>
      </w:r>
      <w:r>
        <w:rPr>
          <w:rStyle w:val="16"/>
          <w:rFonts w:hint="eastAsia" w:ascii="仿宋" w:hAnsi="仿宋" w:eastAsia="仿宋"/>
          <w:b w:val="0"/>
          <w:bCs/>
          <w:color w:val="auto"/>
          <w:sz w:val="32"/>
          <w:szCs w:val="32"/>
          <w:lang w:eastAsia="zh-CN"/>
        </w:rPr>
        <w:t>较</w:t>
      </w:r>
      <w:r>
        <w:rPr>
          <w:rStyle w:val="16"/>
          <w:rFonts w:hint="eastAsia" w:ascii="仿宋" w:hAnsi="仿宋" w:eastAsia="仿宋"/>
          <w:b w:val="0"/>
          <w:bCs/>
          <w:color w:val="auto"/>
          <w:sz w:val="32"/>
          <w:szCs w:val="32"/>
        </w:rPr>
        <w:t>202</w:t>
      </w:r>
      <w:r>
        <w:rPr>
          <w:rStyle w:val="16"/>
          <w:rFonts w:hint="eastAsia" w:ascii="仿宋" w:hAnsi="仿宋" w:eastAsia="仿宋"/>
          <w:b w:val="0"/>
          <w:bCs/>
          <w:color w:val="auto"/>
          <w:sz w:val="32"/>
          <w:szCs w:val="32"/>
          <w:lang w:val="en-US" w:eastAsia="zh-CN"/>
        </w:rPr>
        <w:t>1</w:t>
      </w:r>
      <w:r>
        <w:rPr>
          <w:rStyle w:val="16"/>
          <w:rFonts w:hint="eastAsia" w:ascii="仿宋" w:hAnsi="仿宋" w:eastAsia="仿宋"/>
          <w:b w:val="0"/>
          <w:bCs/>
          <w:color w:val="auto"/>
          <w:sz w:val="32"/>
          <w:szCs w:val="32"/>
        </w:rPr>
        <w:t>年</w:t>
      </w:r>
      <w:r>
        <w:rPr>
          <w:rStyle w:val="16"/>
          <w:rFonts w:hint="eastAsia" w:ascii="仿宋" w:hAnsi="仿宋" w:eastAsia="仿宋"/>
          <w:b w:val="0"/>
          <w:bCs/>
          <w:color w:val="auto"/>
          <w:sz w:val="32"/>
          <w:szCs w:val="32"/>
          <w:lang w:eastAsia="zh-CN"/>
        </w:rPr>
        <w:t>无变化。</w:t>
      </w:r>
    </w:p>
    <w:p>
      <w:pPr>
        <w:spacing w:line="600" w:lineRule="exact"/>
        <w:ind w:firstLine="640"/>
        <w:rPr>
          <w:rFonts w:hint="eastAsia" w:ascii="仿宋_GB2312" w:eastAsia="仿宋_GB2312"/>
          <w:color w:val="auto"/>
          <w:sz w:val="32"/>
          <w:szCs w:val="32"/>
          <w:highlight w:val="none"/>
          <w:lang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rPr>
        <w:t>年初未安排预算。</w:t>
      </w:r>
      <w:r>
        <w:rPr>
          <w:rStyle w:val="16"/>
          <w:rFonts w:hint="eastAsia" w:ascii="仿宋" w:hAnsi="仿宋" w:eastAsia="仿宋"/>
          <w:b w:val="0"/>
          <w:bCs/>
          <w:color w:val="auto"/>
          <w:sz w:val="32"/>
          <w:szCs w:val="32"/>
          <w:lang w:eastAsia="zh-CN"/>
        </w:rPr>
        <w:t>公务用车购置及运行维护费支出</w:t>
      </w:r>
      <w:r>
        <w:rPr>
          <w:rStyle w:val="16"/>
          <w:rFonts w:hint="eastAsia" w:ascii="仿宋" w:hAnsi="仿宋" w:eastAsia="仿宋"/>
          <w:b w:val="0"/>
          <w:bCs/>
          <w:color w:val="auto"/>
          <w:sz w:val="32"/>
          <w:szCs w:val="32"/>
        </w:rPr>
        <w:t>决算数</w:t>
      </w:r>
      <w:r>
        <w:rPr>
          <w:rStyle w:val="16"/>
          <w:rFonts w:hint="eastAsia" w:ascii="仿宋" w:hAnsi="仿宋" w:eastAsia="仿宋"/>
          <w:b w:val="0"/>
          <w:bCs/>
          <w:color w:val="auto"/>
          <w:sz w:val="32"/>
          <w:szCs w:val="32"/>
          <w:lang w:eastAsia="zh-CN"/>
        </w:rPr>
        <w:t>较</w:t>
      </w:r>
      <w:r>
        <w:rPr>
          <w:rStyle w:val="16"/>
          <w:rFonts w:hint="eastAsia" w:ascii="仿宋" w:hAnsi="仿宋" w:eastAsia="仿宋"/>
          <w:b w:val="0"/>
          <w:bCs/>
          <w:color w:val="auto"/>
          <w:sz w:val="32"/>
          <w:szCs w:val="32"/>
          <w:lang w:val="en-US" w:eastAsia="zh-CN"/>
        </w:rPr>
        <w:t>2021年无变化</w:t>
      </w:r>
      <w:r>
        <w:rPr>
          <w:rStyle w:val="16"/>
          <w:rFonts w:hint="eastAsia" w:ascii="仿宋" w:hAnsi="仿宋" w:eastAsia="仿宋"/>
          <w:b w:val="0"/>
          <w:bCs/>
          <w:color w:val="auto"/>
          <w:sz w:val="32"/>
          <w:szCs w:val="32"/>
          <w:lang w:eastAsia="zh-CN"/>
        </w:rPr>
        <w:t>。</w:t>
      </w: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0.30</w:t>
      </w:r>
      <w:r>
        <w:rPr>
          <w:rFonts w:hint="eastAsia" w:ascii="仿宋_GB2312" w:eastAsia="仿宋_GB2312"/>
          <w:color w:val="auto"/>
          <w:sz w:val="32"/>
          <w:szCs w:val="32"/>
          <w:highlight w:val="none"/>
        </w:rPr>
        <w:t>万元，</w:t>
      </w:r>
      <w:r>
        <w:rPr>
          <w:rStyle w:val="16"/>
          <w:rFonts w:hint="eastAsia" w:ascii="仿宋" w:hAnsi="仿宋" w:eastAsia="仿宋"/>
          <w:b w:val="0"/>
          <w:bCs/>
          <w:color w:val="auto"/>
          <w:sz w:val="32"/>
          <w:szCs w:val="32"/>
          <w:highlight w:val="none"/>
        </w:rPr>
        <w:t>完成预算</w:t>
      </w:r>
      <w:r>
        <w:rPr>
          <w:rStyle w:val="16"/>
          <w:rFonts w:hint="eastAsia" w:ascii="仿宋" w:hAnsi="仿宋" w:eastAsia="仿宋"/>
          <w:b w:val="0"/>
          <w:bCs/>
          <w:color w:val="auto"/>
          <w:sz w:val="32"/>
          <w:szCs w:val="32"/>
          <w:highlight w:val="none"/>
          <w:lang w:val="en-US" w:eastAsia="zh-CN"/>
        </w:rPr>
        <w:t>100</w:t>
      </w:r>
      <w:r>
        <w:rPr>
          <w:rStyle w:val="16"/>
          <w:rFonts w:ascii="仿宋" w:hAnsi="仿宋" w:eastAsia="仿宋"/>
          <w:b w:val="0"/>
          <w:bCs/>
          <w:color w:val="auto"/>
          <w:sz w:val="32"/>
          <w:szCs w:val="32"/>
          <w:highlight w:val="none"/>
        </w:rPr>
        <w:t>%</w:t>
      </w:r>
      <w:r>
        <w:rPr>
          <w:rStyle w:val="16"/>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0.20</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40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 w:hAnsi="仿宋" w:eastAsia="仿宋"/>
          <w:color w:val="auto"/>
          <w:sz w:val="32"/>
          <w:szCs w:val="32"/>
          <w:highlight w:val="none"/>
          <w:lang w:eastAsia="zh-CN"/>
        </w:rPr>
        <w:t>进一步优化接待方案，压减经费支出</w:t>
      </w:r>
      <w:r>
        <w:rPr>
          <w:rFonts w:hint="eastAsia" w:ascii="仿宋" w:hAnsi="仿宋" w:eastAsia="仿宋"/>
          <w:color w:val="auto"/>
          <w:sz w:val="32"/>
          <w:szCs w:val="32"/>
          <w:highlight w:val="none"/>
        </w:rPr>
        <w:t>。</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0.30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rPr>
        <w:t>开展业务活动开支的用餐费。国内公务接待</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批次，</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人次（不包括陪同人员），共计支出0.</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万元，具体内容包括：老干</w:t>
      </w:r>
      <w:r>
        <w:rPr>
          <w:rFonts w:ascii="仿宋_GB2312" w:eastAsia="仿宋_GB2312"/>
          <w:color w:val="auto"/>
          <w:sz w:val="32"/>
          <w:szCs w:val="32"/>
        </w:rPr>
        <w:t>部维稳</w:t>
      </w:r>
      <w:r>
        <w:rPr>
          <w:rFonts w:hint="eastAsia" w:ascii="仿宋_GB2312" w:eastAsia="仿宋_GB2312"/>
          <w:color w:val="auto"/>
          <w:sz w:val="32"/>
          <w:szCs w:val="32"/>
        </w:rPr>
        <w:t>用</w:t>
      </w:r>
      <w:r>
        <w:rPr>
          <w:rFonts w:ascii="仿宋_GB2312" w:eastAsia="仿宋_GB2312"/>
          <w:color w:val="auto"/>
          <w:sz w:val="32"/>
          <w:szCs w:val="32"/>
        </w:rPr>
        <w:t>餐0.</w:t>
      </w:r>
      <w:r>
        <w:rPr>
          <w:rFonts w:hint="eastAsia" w:ascii="仿宋_GB2312" w:eastAsia="仿宋_GB2312"/>
          <w:color w:val="auto"/>
          <w:sz w:val="32"/>
          <w:szCs w:val="32"/>
          <w:lang w:val="en-US" w:eastAsia="zh-CN"/>
        </w:rPr>
        <w:t>30</w:t>
      </w:r>
      <w:r>
        <w:rPr>
          <w:rFonts w:hint="eastAsia" w:ascii="仿宋_GB2312" w:eastAsia="仿宋_GB2312"/>
          <w:color w:val="auto"/>
          <w:sz w:val="32"/>
          <w:szCs w:val="32"/>
        </w:rPr>
        <w:t>万</w:t>
      </w:r>
      <w:r>
        <w:rPr>
          <w:rFonts w:ascii="仿宋_GB2312" w:eastAsia="仿宋_GB2312"/>
          <w:color w:val="auto"/>
          <w:sz w:val="32"/>
          <w:szCs w:val="32"/>
        </w:rPr>
        <w:t>元</w:t>
      </w:r>
      <w:r>
        <w:rPr>
          <w:rFonts w:hint="eastAsia" w:ascii="仿宋_GB2312" w:eastAsia="仿宋_GB2312"/>
          <w:color w:val="auto"/>
          <w:sz w:val="32"/>
          <w:szCs w:val="32"/>
          <w:highlight w:val="none"/>
        </w:rPr>
        <w:t>。</w:t>
      </w:r>
    </w:p>
    <w:p>
      <w:pPr>
        <w:spacing w:line="600" w:lineRule="exact"/>
        <w:ind w:firstLine="642" w:firstLineChars="200"/>
        <w:rPr>
          <w:rFonts w:hint="eastAsia" w:ascii="仿宋_GB2312" w:eastAsia="仿宋_GB2312"/>
          <w:color w:val="auto"/>
          <w:sz w:val="32"/>
          <w:szCs w:val="32"/>
          <w:highlight w:val="none"/>
          <w:lang w:eastAsia="zh-CN"/>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p>
    <w:p>
      <w:pPr>
        <w:spacing w:line="600" w:lineRule="exact"/>
        <w:ind w:firstLine="640"/>
        <w:outlineLvl w:val="1"/>
        <w:rPr>
          <w:rStyle w:val="19"/>
          <w:rFonts w:ascii="黑体" w:hAnsi="黑体" w:eastAsia="黑体"/>
          <w:color w:val="auto"/>
          <w:highlight w:val="none"/>
        </w:rPr>
      </w:pPr>
      <w:bookmarkStart w:id="63" w:name="_Toc15377218"/>
      <w:bookmarkStart w:id="64" w:name="_Toc15396610"/>
      <w:bookmarkStart w:id="65" w:name="_Toc25636"/>
      <w:r>
        <w:rPr>
          <w:rFonts w:hint="eastAsia" w:ascii="黑体" w:eastAsia="黑体"/>
          <w:color w:val="auto"/>
          <w:sz w:val="32"/>
          <w:szCs w:val="32"/>
          <w:highlight w:val="none"/>
        </w:rPr>
        <w:t>八、</w:t>
      </w:r>
      <w:r>
        <w:rPr>
          <w:rStyle w:val="19"/>
          <w:rFonts w:hint="eastAsia" w:ascii="黑体" w:hAnsi="黑体" w:eastAsia="黑体"/>
          <w:b w:val="0"/>
          <w:color w:val="auto"/>
          <w:highlight w:val="none"/>
        </w:rPr>
        <w:t>政府性基金预算支出决算情况说明</w:t>
      </w:r>
      <w:bookmarkEnd w:id="63"/>
      <w:bookmarkEnd w:id="64"/>
      <w:bookmarkEnd w:id="65"/>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rPr>
        <w:t>未使用政府性基金预算财政拨款安排“三公”经费支出。</w:t>
      </w:r>
    </w:p>
    <w:p>
      <w:pPr>
        <w:numPr>
          <w:ilvl w:val="0"/>
          <w:numId w:val="3"/>
        </w:numPr>
        <w:spacing w:line="600" w:lineRule="exact"/>
        <w:ind w:firstLine="640"/>
        <w:outlineLvl w:val="1"/>
        <w:rPr>
          <w:rStyle w:val="19"/>
          <w:rFonts w:ascii="黑体" w:hAnsi="黑体" w:eastAsia="黑体"/>
          <w:b w:val="0"/>
          <w:color w:val="auto"/>
          <w:highlight w:val="none"/>
        </w:rPr>
      </w:pPr>
      <w:bookmarkStart w:id="66" w:name="_Toc24531"/>
      <w:bookmarkStart w:id="67" w:name="_Toc15396611"/>
      <w:bookmarkStart w:id="68" w:name="_Toc15377219"/>
      <w:r>
        <w:rPr>
          <w:rStyle w:val="19"/>
          <w:rFonts w:hint="eastAsia" w:ascii="黑体" w:hAnsi="黑体" w:eastAsia="黑体"/>
          <w:b w:val="0"/>
          <w:color w:val="auto"/>
          <w:highlight w:val="none"/>
        </w:rPr>
        <w:t>国有资本经营预算支出决算情况说明</w:t>
      </w:r>
      <w:bookmarkEnd w:id="66"/>
      <w:bookmarkEnd w:id="67"/>
      <w:bookmarkEnd w:id="68"/>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rPr>
        <w:t>年国有资本经营预算财政拨款支出0万元。</w:t>
      </w:r>
    </w:p>
    <w:p>
      <w:pPr>
        <w:numPr>
          <w:ilvl w:val="0"/>
          <w:numId w:val="3"/>
        </w:numPr>
        <w:spacing w:line="600" w:lineRule="exact"/>
        <w:ind w:firstLine="640"/>
        <w:outlineLvl w:val="1"/>
        <w:rPr>
          <w:rStyle w:val="19"/>
          <w:rFonts w:hint="eastAsia" w:ascii="黑体" w:hAnsi="黑体" w:eastAsia="黑体"/>
          <w:b w:val="0"/>
          <w:color w:val="auto"/>
          <w:highlight w:val="none"/>
        </w:rPr>
      </w:pPr>
      <w:bookmarkStart w:id="69" w:name="_Toc15396612"/>
      <w:bookmarkStart w:id="70" w:name="_Toc15377221"/>
      <w:bookmarkStart w:id="71" w:name="_Toc13092"/>
      <w:r>
        <w:rPr>
          <w:rStyle w:val="19"/>
          <w:rFonts w:hint="eastAsia" w:ascii="黑体" w:hAnsi="黑体" w:eastAsia="黑体"/>
          <w:b w:val="0"/>
          <w:color w:val="auto"/>
          <w:highlight w:val="none"/>
        </w:rPr>
        <w:t>其他重要事项的情况说明</w:t>
      </w:r>
      <w:bookmarkEnd w:id="69"/>
      <w:bookmarkEnd w:id="70"/>
      <w:bookmarkEnd w:id="71"/>
    </w:p>
    <w:p>
      <w:pPr>
        <w:spacing w:line="600" w:lineRule="exact"/>
        <w:ind w:firstLine="642" w:firstLineChars="200"/>
        <w:outlineLvl w:val="2"/>
        <w:rPr>
          <w:rFonts w:ascii="仿宋" w:hAnsi="仿宋" w:eastAsia="仿宋"/>
          <w:color w:val="auto"/>
          <w:sz w:val="32"/>
          <w:szCs w:val="32"/>
          <w:highlight w:val="none"/>
        </w:rPr>
      </w:pPr>
      <w:bookmarkStart w:id="72" w:name="_Toc15377222"/>
      <w:r>
        <w:rPr>
          <w:rFonts w:hint="eastAsia" w:ascii="仿宋" w:hAnsi="仿宋" w:eastAsia="仿宋"/>
          <w:b/>
          <w:color w:val="auto"/>
          <w:sz w:val="32"/>
          <w:szCs w:val="32"/>
          <w:highlight w:val="none"/>
        </w:rPr>
        <w:t>（一）机关运行经费支出情况</w:t>
      </w:r>
      <w:bookmarkEnd w:id="72"/>
    </w:p>
    <w:p>
      <w:pPr>
        <w:spacing w:line="600" w:lineRule="exact"/>
        <w:ind w:firstLine="640"/>
        <w:rPr>
          <w:rFonts w:hint="eastAsia" w:ascii="仿宋_GB2312" w:eastAsia="仿宋_GB2312"/>
          <w:color w:val="auto"/>
          <w:sz w:val="32"/>
          <w:szCs w:val="32"/>
          <w:lang w:eastAsia="zh-CN"/>
        </w:rPr>
      </w:pPr>
      <w:r>
        <w:rPr>
          <w:rFonts w:hint="eastAsia" w:ascii="仿宋_GB2312" w:eastAsia="仿宋_GB2312"/>
          <w:color w:val="auto"/>
          <w:sz w:val="32"/>
          <w:szCs w:val="32"/>
        </w:rPr>
        <w:t>市停撤企业服务中心为事业单位，</w:t>
      </w:r>
      <w:r>
        <w:rPr>
          <w:rFonts w:hint="eastAsia" w:ascii="仿宋_GB2312" w:eastAsia="仿宋_GB2312"/>
          <w:color w:val="auto"/>
          <w:sz w:val="32"/>
          <w:szCs w:val="32"/>
          <w:lang w:val="en-US" w:eastAsia="zh-CN"/>
        </w:rPr>
        <w:t>2022年未发生机关运行经费支出，与2021年决算数持平</w:t>
      </w:r>
      <w:r>
        <w:rPr>
          <w:rFonts w:hint="eastAsia" w:ascii="仿宋_GB2312" w:eastAsia="仿宋_GB2312"/>
          <w:color w:val="auto"/>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73" w:name="_Toc15377223"/>
      <w:r>
        <w:rPr>
          <w:rFonts w:hint="eastAsia" w:ascii="仿宋" w:hAnsi="仿宋" w:eastAsia="仿宋"/>
          <w:b/>
          <w:color w:val="auto"/>
          <w:sz w:val="32"/>
          <w:szCs w:val="32"/>
          <w:highlight w:val="none"/>
        </w:rPr>
        <w:t>（二）政府采购支出情况</w:t>
      </w:r>
      <w:bookmarkEnd w:id="73"/>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市停撤企业服务中心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1.32</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1.32</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满足工作需要购置挂式空调</w:t>
      </w:r>
      <w:r>
        <w:rPr>
          <w:rFonts w:hint="eastAsia" w:ascii="仿宋_GB2312" w:eastAsia="仿宋_GB2312"/>
          <w:color w:val="auto"/>
          <w:sz w:val="32"/>
          <w:szCs w:val="32"/>
          <w:highlight w:val="none"/>
          <w:lang w:val="en-US" w:eastAsia="zh-CN"/>
        </w:rPr>
        <w:t>4台</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1.32</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1.32</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74" w:name="_Toc15377224"/>
      <w:r>
        <w:rPr>
          <w:rFonts w:hint="eastAsia" w:ascii="仿宋" w:hAnsi="仿宋" w:eastAsia="仿宋"/>
          <w:b/>
          <w:color w:val="auto"/>
          <w:sz w:val="32"/>
          <w:szCs w:val="32"/>
          <w:highlight w:val="none"/>
        </w:rPr>
        <w:t>（三）国有资产占有使用情况</w:t>
      </w:r>
      <w:bookmarkEnd w:id="74"/>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市停撤企业服务中心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rPr>
        <w:t>单价</w:t>
      </w:r>
      <w:r>
        <w:rPr>
          <w:rFonts w:ascii="仿宋_GB2312" w:eastAsia="仿宋_GB2312"/>
          <w:color w:val="auto"/>
          <w:sz w:val="32"/>
          <w:szCs w:val="32"/>
        </w:rPr>
        <w:t>50</w:t>
      </w:r>
      <w:r>
        <w:rPr>
          <w:rFonts w:hint="eastAsia" w:ascii="仿宋_GB2312" w:eastAsia="仿宋_GB2312"/>
          <w:color w:val="auto"/>
          <w:sz w:val="32"/>
          <w:szCs w:val="32"/>
        </w:rPr>
        <w:t>万元以上通用设备0台（套），单价</w:t>
      </w:r>
      <w:r>
        <w:rPr>
          <w:rFonts w:ascii="仿宋_GB2312" w:eastAsia="仿宋_GB2312"/>
          <w:color w:val="auto"/>
          <w:sz w:val="32"/>
          <w:szCs w:val="32"/>
        </w:rPr>
        <w:t>100</w:t>
      </w:r>
      <w:r>
        <w:rPr>
          <w:rFonts w:hint="eastAsia" w:ascii="仿宋_GB2312" w:eastAsia="仿宋_GB2312"/>
          <w:color w:val="auto"/>
          <w:sz w:val="32"/>
          <w:szCs w:val="32"/>
        </w:rPr>
        <w:t>万元以上专用设备0台（套）</w:t>
      </w:r>
      <w:r>
        <w:rPr>
          <w:rFonts w:hint="eastAsia" w:ascii="仿宋_GB2312" w:eastAsia="仿宋_GB2312"/>
          <w:color w:val="auto"/>
          <w:sz w:val="32"/>
          <w:szCs w:val="32"/>
          <w:highlight w:val="none"/>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年度预算编制阶段，组织对退休及遗属人员工资补助</w:t>
      </w:r>
      <w:r>
        <w:rPr>
          <w:rFonts w:hint="eastAsia" w:ascii="仿宋_GB2312" w:hAnsi="仿宋_GB2312" w:eastAsia="仿宋_GB2312" w:cs="仿宋_GB2312"/>
          <w:color w:val="auto"/>
          <w:sz w:val="32"/>
          <w:szCs w:val="32"/>
          <w:highlight w:val="none"/>
          <w:lang w:eastAsia="zh-CN"/>
        </w:rPr>
        <w:t>、医疗费、退休职工座谈慰问、维稳费</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个项目开展绩效监控。</w:t>
      </w:r>
    </w:p>
    <w:p>
      <w:pPr>
        <w:widowControl/>
        <w:ind w:firstLine="640" w:firstLineChars="200"/>
        <w:jc w:val="left"/>
        <w:rPr>
          <w:rFonts w:ascii="仿宋_GB2312" w:eastAsia="仿宋_GB2312"/>
          <w:b/>
          <w:color w:val="auto"/>
          <w:sz w:val="32"/>
          <w:szCs w:val="32"/>
          <w:highlight w:val="yellow"/>
        </w:rPr>
      </w:pPr>
      <w:r>
        <w:rPr>
          <w:rFonts w:hint="eastAsia" w:ascii="仿宋_GB2312" w:hAnsi="仿宋_GB2312" w:eastAsia="仿宋_GB2312" w:cs="仿宋_GB2312"/>
          <w:color w:val="auto"/>
          <w:sz w:val="32"/>
          <w:szCs w:val="32"/>
          <w:highlight w:val="none"/>
        </w:rPr>
        <w:t>组织对2022年度一般公共预算</w:t>
      </w:r>
      <w:r>
        <w:rPr>
          <w:rFonts w:hint="default" w:ascii="仿宋_GB2312" w:hAnsi="仿宋_GB2312" w:eastAsia="仿宋_GB2312" w:cs="仿宋_GB2312"/>
          <w:color w:val="auto"/>
          <w:sz w:val="32"/>
          <w:szCs w:val="32"/>
          <w:highlight w:val="none"/>
        </w:rPr>
        <w:t>资金</w:t>
      </w:r>
      <w:r>
        <w:rPr>
          <w:rFonts w:hint="eastAsia" w:ascii="仿宋_GB2312" w:hAnsi="仿宋_GB2312" w:eastAsia="仿宋_GB2312" w:cs="仿宋_GB2312"/>
          <w:color w:val="auto"/>
          <w:sz w:val="32"/>
          <w:szCs w:val="32"/>
          <w:highlight w:val="none"/>
        </w:rPr>
        <w:t>全面开展绩效自评，形成</w:t>
      </w:r>
      <w:r>
        <w:rPr>
          <w:rFonts w:hint="eastAsia" w:ascii="仿宋_GB2312" w:hAnsi="仿宋_GB2312" w:eastAsia="仿宋_GB2312" w:cs="仿宋_GB2312"/>
          <w:color w:val="auto"/>
          <w:sz w:val="32"/>
          <w:szCs w:val="32"/>
          <w:highlight w:val="none"/>
          <w:lang w:eastAsia="zh-CN"/>
        </w:rPr>
        <w:t>市停撤企业服务中心</w:t>
      </w:r>
      <w:r>
        <w:rPr>
          <w:rFonts w:hint="eastAsia" w:ascii="仿宋_GB2312" w:hAnsi="仿宋_GB2312" w:eastAsia="仿宋_GB2312" w:cs="仿宋_GB2312"/>
          <w:color w:val="auto"/>
          <w:sz w:val="32"/>
          <w:szCs w:val="32"/>
          <w:highlight w:val="none"/>
        </w:rPr>
        <w:t>整体绩效自评报告</w:t>
      </w:r>
      <w:r>
        <w:rPr>
          <w:rFonts w:hint="eastAsia" w:ascii="仿宋_GB2312" w:hAnsi="仿宋_GB2312" w:eastAsia="仿宋_GB2312" w:cs="仿宋_GB2312"/>
          <w:color w:val="auto"/>
          <w:sz w:val="32"/>
          <w:szCs w:val="32"/>
          <w:highlight w:val="none"/>
          <w:lang w:eastAsia="zh-CN"/>
        </w:rPr>
        <w:t>，部门</w:t>
      </w:r>
      <w:r>
        <w:rPr>
          <w:rFonts w:hint="eastAsia" w:ascii="仿宋_GB2312" w:hAnsi="仿宋_GB2312" w:eastAsia="仿宋_GB2312" w:cs="仿宋_GB2312"/>
          <w:color w:val="auto"/>
          <w:sz w:val="32"/>
          <w:szCs w:val="32"/>
          <w:highlight w:val="none"/>
        </w:rPr>
        <w:t>整体绩效自评得分为</w:t>
      </w:r>
      <w:r>
        <w:rPr>
          <w:rFonts w:hint="eastAsia" w:ascii="仿宋_GB2312" w:hAnsi="仿宋_GB2312" w:eastAsia="仿宋_GB2312" w:cs="仿宋_GB2312"/>
          <w:color w:val="auto"/>
          <w:sz w:val="32"/>
          <w:szCs w:val="32"/>
          <w:highlight w:val="none"/>
          <w:lang w:val="en-US" w:eastAsia="zh-CN"/>
        </w:rPr>
        <w:t>96.67</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kern w:val="2"/>
          <w:sz w:val="32"/>
          <w:szCs w:val="32"/>
          <w:lang w:val="zh-CN" w:eastAsia="zh-CN" w:bidi="ar-SA"/>
        </w:rPr>
        <w:t>全面完成</w:t>
      </w:r>
      <w:r>
        <w:rPr>
          <w:rFonts w:hint="eastAsia" w:ascii="仿宋_GB2312" w:hAnsi="仿宋_GB2312" w:cs="仿宋_GB2312"/>
          <w:color w:val="auto"/>
          <w:kern w:val="2"/>
          <w:sz w:val="32"/>
          <w:szCs w:val="32"/>
          <w:lang w:val="zh-CN" w:eastAsia="zh-CN" w:bidi="ar-SA"/>
        </w:rPr>
        <w:t>了</w:t>
      </w:r>
      <w:r>
        <w:rPr>
          <w:rFonts w:hint="eastAsia" w:ascii="仿宋_GB2312" w:hAnsi="仿宋_GB2312" w:eastAsia="仿宋_GB2312" w:cs="仿宋_GB2312"/>
          <w:color w:val="auto"/>
          <w:kern w:val="2"/>
          <w:sz w:val="32"/>
          <w:szCs w:val="32"/>
          <w:lang w:val="zh-CN" w:eastAsia="zh-CN" w:bidi="ar-SA"/>
        </w:rPr>
        <w:t>年初申报</w:t>
      </w:r>
      <w:r>
        <w:rPr>
          <w:rFonts w:hint="eastAsia" w:ascii="仿宋_GB2312" w:hAnsi="仿宋_GB2312" w:cs="仿宋_GB2312"/>
          <w:color w:val="auto"/>
          <w:kern w:val="2"/>
          <w:sz w:val="32"/>
          <w:szCs w:val="32"/>
          <w:lang w:val="zh-CN" w:eastAsia="zh-CN" w:bidi="ar-SA"/>
        </w:rPr>
        <w:t>、</w:t>
      </w:r>
      <w:r>
        <w:rPr>
          <w:rFonts w:hint="eastAsia" w:ascii="仿宋_GB2312" w:hAnsi="仿宋_GB2312" w:eastAsia="仿宋_GB2312" w:cs="仿宋_GB2312"/>
          <w:color w:val="auto"/>
          <w:kern w:val="2"/>
          <w:sz w:val="32"/>
          <w:szCs w:val="32"/>
          <w:lang w:val="zh-CN" w:eastAsia="zh-CN" w:bidi="ar-SA"/>
        </w:rPr>
        <w:t>批复的绩效目标任务，一是切实做好维稳工作，确保退休职工不越级上访，确保不发生群体性上访事件，确保平稳过渡；二是按照有关规定，按时发放退休职工和供养人员生活费；三是及时核实核查财</w:t>
      </w:r>
      <w:r>
        <w:rPr>
          <w:rFonts w:hint="eastAsia" w:ascii="仿宋_GB2312" w:hAnsi="仿宋_GB2312" w:eastAsia="仿宋_GB2312" w:cs="仿宋_GB2312"/>
          <w:color w:val="auto"/>
          <w:sz w:val="32"/>
          <w:szCs w:val="32"/>
        </w:rPr>
        <w:t>政专项资金（医疗费）的使用情况，确保财政资金的合理使用。</w:t>
      </w:r>
      <w:r>
        <w:rPr>
          <w:rFonts w:hint="eastAsia" w:ascii="仿宋_GB2312" w:hAnsi="仿宋" w:eastAsia="仿宋_GB2312"/>
          <w:color w:val="auto"/>
          <w:sz w:val="32"/>
          <w:szCs w:val="32"/>
          <w:lang w:eastAsia="zh-CN"/>
        </w:rPr>
        <w:t>但由于单位代管离退休职工生病住院的不确定性，可能存在项目资金不足或结余情况，财政按政策追加或对项目结余资金收回安排。对退休及遗属人员工资补助、医疗费、退休职工座谈慰问维稳费</w:t>
      </w:r>
      <w:r>
        <w:rPr>
          <w:rFonts w:hint="eastAsia" w:ascii="仿宋_GB2312" w:hAnsi="仿宋" w:eastAsia="仿宋_GB2312"/>
          <w:color w:val="auto"/>
          <w:sz w:val="32"/>
          <w:szCs w:val="32"/>
          <w:lang w:val="en-US" w:eastAsia="zh-CN"/>
        </w:rPr>
        <w:t>3个预算项目支出开展了绩效自评，自评得分分别为100分、94分、96.83分，绩效自评综述：足额保障并按月发放工资，完成医疗费保障对象100%，上门慰问、维稳次数达到设定目标任务，全年无越级上访事件发生，服务对象满意度高，绩效目标任务完成较好，因离退休职工生病住院的不确定性和受疫情影响无法及时报销，导致医疗费项目预算执行率偏低，年中报请财政进行了预算调剂。</w:t>
      </w:r>
      <w:r>
        <w:rPr>
          <w:rFonts w:hint="eastAsia" w:ascii="仿宋_GB2312" w:hAnsi="仿宋_GB2312" w:eastAsia="仿宋_GB2312" w:cs="仿宋_GB2312"/>
          <w:color w:val="auto"/>
          <w:sz w:val="32"/>
          <w:szCs w:val="32"/>
          <w:highlight w:val="none"/>
        </w:rPr>
        <w:t>绩效自评报告详见附件。</w:t>
      </w:r>
      <w:r>
        <w:rPr>
          <w:rFonts w:ascii="仿宋_GB2312" w:eastAsia="仿宋_GB2312"/>
          <w:b/>
          <w:color w:val="auto"/>
          <w:sz w:val="32"/>
          <w:szCs w:val="32"/>
          <w:highlight w:val="yellow"/>
        </w:rPr>
        <w:br w:type="page"/>
      </w:r>
    </w:p>
    <w:p>
      <w:pPr>
        <w:numPr>
          <w:ilvl w:val="0"/>
          <w:numId w:val="4"/>
        </w:numPr>
        <w:spacing w:line="600" w:lineRule="exact"/>
        <w:ind w:firstLine="660" w:firstLineChars="150"/>
        <w:jc w:val="center"/>
        <w:outlineLvl w:val="0"/>
        <w:rPr>
          <w:rStyle w:val="18"/>
          <w:rFonts w:ascii="黑体" w:hAnsi="黑体" w:eastAsia="黑体"/>
          <w:b w:val="0"/>
          <w:color w:val="auto"/>
          <w:highlight w:val="none"/>
        </w:rPr>
      </w:pPr>
      <w:bookmarkStart w:id="75" w:name="_Toc15377225"/>
      <w:bookmarkStart w:id="76" w:name="_Toc15396613"/>
      <w:bookmarkStart w:id="77" w:name="_Toc12039"/>
      <w:r>
        <w:rPr>
          <w:rFonts w:hint="eastAsia" w:ascii="黑体" w:hAnsi="黑体" w:eastAsia="黑体"/>
          <w:color w:val="auto"/>
          <w:sz w:val="44"/>
          <w:szCs w:val="44"/>
          <w:highlight w:val="none"/>
        </w:rPr>
        <w:t>名</w:t>
      </w:r>
      <w:r>
        <w:rPr>
          <w:rStyle w:val="18"/>
          <w:rFonts w:hint="eastAsia" w:ascii="黑体" w:hAnsi="黑体" w:eastAsia="黑体"/>
          <w:b w:val="0"/>
          <w:color w:val="auto"/>
          <w:highlight w:val="none"/>
        </w:rPr>
        <w:t>词解释</w:t>
      </w:r>
      <w:bookmarkEnd w:id="75"/>
      <w:bookmarkEnd w:id="76"/>
      <w:bookmarkEnd w:id="77"/>
    </w:p>
    <w:p>
      <w:pPr>
        <w:spacing w:line="600" w:lineRule="exact"/>
        <w:jc w:val="left"/>
        <w:rPr>
          <w:rFonts w:ascii="宋体"/>
          <w:b/>
          <w:color w:val="auto"/>
          <w:sz w:val="44"/>
          <w:szCs w:val="44"/>
          <w:highlight w:val="none"/>
        </w:rPr>
      </w:pPr>
    </w:p>
    <w:p>
      <w:pPr>
        <w:pStyle w:val="28"/>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rPr>
        <w:t>1.</w:t>
      </w:r>
      <w:r>
        <w:rPr>
          <w:rFonts w:hint="eastAsia" w:ascii="仿宋_GB2312" w:eastAsia="仿宋_GB2312"/>
          <w:color w:val="auto"/>
          <w:sz w:val="32"/>
          <w:szCs w:val="32"/>
        </w:rPr>
        <w:t>财政拨款收入：</w:t>
      </w:r>
      <w:r>
        <w:rPr>
          <w:rFonts w:hint="eastAsia" w:ascii="仿宋_GB2312" w:eastAsia="仿宋_GB2312"/>
          <w:color w:val="auto"/>
          <w:sz w:val="32"/>
          <w:szCs w:val="32"/>
          <w:highlight w:val="none"/>
        </w:rPr>
        <w:t>指单位从同级财政部门取得的财政预算资金。</w:t>
      </w:r>
    </w:p>
    <w:p>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其他收入：指单位取得的除上述收入以外的各项收入。</w:t>
      </w:r>
    </w:p>
    <w:p>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p>
    <w:p>
      <w:pPr>
        <w:pStyle w:val="2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年末结转和结余：指单位按有关规定结转到下年或以后年度继续使用的资金。</w:t>
      </w:r>
    </w:p>
    <w:p>
      <w:pPr>
        <w:pStyle w:val="28"/>
        <w:spacing w:line="560" w:lineRule="exact"/>
        <w:ind w:firstLine="640" w:firstLineChars="200"/>
        <w:rPr>
          <w:rFonts w:hint="eastAsia" w:ascii="仿宋_GB2312" w:eastAsia="仿宋_GB2312"/>
          <w:color w:val="auto"/>
          <w:sz w:val="32"/>
          <w:szCs w:val="32"/>
        </w:rPr>
      </w:pPr>
      <w:r>
        <w:rPr>
          <w:rFonts w:hint="eastAsia" w:ascii="仿宋_GB2312" w:eastAsia="仿宋_GB2312" w:cs="仿宋_GB2312"/>
          <w:color w:val="auto"/>
          <w:sz w:val="32"/>
          <w:szCs w:val="32"/>
          <w:lang w:val="en-US" w:eastAsia="zh-CN"/>
        </w:rPr>
        <w:t>5</w:t>
      </w:r>
      <w:r>
        <w:rPr>
          <w:rFonts w:ascii="仿宋_GB2312" w:eastAsia="仿宋_GB2312" w:cs="仿宋_GB2312"/>
          <w:color w:val="auto"/>
          <w:sz w:val="32"/>
          <w:szCs w:val="32"/>
        </w:rPr>
        <w:t>.</w:t>
      </w:r>
      <w:r>
        <w:rPr>
          <w:rFonts w:hint="eastAsia" w:ascii="仿宋_GB2312" w:eastAsia="仿宋_GB2312" w:cs="仿宋_GB2312"/>
          <w:color w:val="auto"/>
          <w:sz w:val="32"/>
          <w:szCs w:val="32"/>
        </w:rPr>
        <w:t>社会保障和就业</w:t>
      </w:r>
      <w:r>
        <w:rPr>
          <w:rFonts w:hint="eastAsia" w:ascii="仿宋_GB2312" w:eastAsia="仿宋_GB2312" w:cs="仿宋_GB2312"/>
          <w:color w:val="auto"/>
          <w:sz w:val="32"/>
          <w:szCs w:val="32"/>
          <w:lang w:val="en-US" w:eastAsia="zh-CN"/>
        </w:rPr>
        <w:t>支出</w:t>
      </w:r>
      <w:r>
        <w:rPr>
          <w:rFonts w:hint="eastAsia" w:ascii="仿宋_GB2312" w:eastAsia="仿宋_GB2312" w:cs="仿宋_GB2312"/>
          <w:color w:val="auto"/>
          <w:sz w:val="32"/>
          <w:szCs w:val="32"/>
        </w:rPr>
        <w:t>（类）行政事业单位养老支出（款）事</w:t>
      </w:r>
      <w:r>
        <w:rPr>
          <w:rFonts w:hint="eastAsia" w:ascii="仿宋_GB2312" w:eastAsia="仿宋_GB2312"/>
          <w:color w:val="auto"/>
          <w:sz w:val="32"/>
          <w:szCs w:val="32"/>
        </w:rPr>
        <w:t>业单位离退休（项）：</w:t>
      </w:r>
      <w:r>
        <w:rPr>
          <w:rFonts w:hint="eastAsia" w:ascii="仿宋_GB2312" w:eastAsia="仿宋_GB2312"/>
          <w:color w:val="auto"/>
          <w:sz w:val="32"/>
          <w:szCs w:val="32"/>
          <w:lang w:val="en-US" w:eastAsia="zh-CN"/>
        </w:rPr>
        <w:t>指事业单位离退休人员的支出</w:t>
      </w:r>
      <w:r>
        <w:rPr>
          <w:rFonts w:hint="eastAsia" w:ascii="仿宋_GB2312" w:eastAsia="仿宋_GB2312"/>
          <w:color w:val="auto"/>
          <w:sz w:val="32"/>
          <w:szCs w:val="32"/>
        </w:rPr>
        <w:t>。</w:t>
      </w:r>
    </w:p>
    <w:p>
      <w:pPr>
        <w:pStyle w:val="28"/>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6.社会保障和就业支出（类）行政事业单位养老支出（款）机关事业单位基本养老保险缴费支出（项）：指机关事业单位实施养老保险制度由单位缴纳的基本养老保险费支出。</w:t>
      </w:r>
    </w:p>
    <w:p>
      <w:pPr>
        <w:pStyle w:val="28"/>
        <w:spacing w:line="560" w:lineRule="exact"/>
        <w:ind w:firstLine="640" w:firstLineChars="200"/>
        <w:rPr>
          <w:rFonts w:ascii="仿宋_GB2312" w:eastAsia="仿宋_GB2312" w:cs="仿宋_GB2312"/>
          <w:color w:val="auto"/>
          <w:sz w:val="32"/>
          <w:szCs w:val="32"/>
        </w:rPr>
      </w:pPr>
      <w:r>
        <w:rPr>
          <w:rFonts w:hint="eastAsia" w:ascii="仿宋_GB2312" w:eastAsia="仿宋_GB2312"/>
          <w:color w:val="auto"/>
          <w:sz w:val="32"/>
          <w:szCs w:val="32"/>
          <w:lang w:val="en-US" w:eastAsia="zh-CN"/>
        </w:rPr>
        <w:t>7.社会保障和就业支出（类）行政事业单位养老支出（款）机关事业单位职业年金缴费支出（项）：指机关事业单位实施养老保险</w:t>
      </w:r>
      <w:r>
        <w:rPr>
          <w:rFonts w:hint="eastAsia" w:ascii="仿宋_GB2312" w:eastAsia="仿宋_GB2312"/>
          <w:color w:val="auto"/>
          <w:sz w:val="32"/>
          <w:szCs w:val="32"/>
        </w:rPr>
        <w:t>制度由单位实际缴纳的职业年金支出。</w:t>
      </w:r>
    </w:p>
    <w:p>
      <w:pPr>
        <w:spacing w:line="576" w:lineRule="exact"/>
        <w:ind w:firstLine="640" w:firstLineChars="200"/>
        <w:rPr>
          <w:color w:val="auto"/>
        </w:rPr>
      </w:pPr>
      <w:r>
        <w:rPr>
          <w:rFonts w:hint="eastAsia" w:ascii="仿宋_GB2312" w:eastAsia="仿宋_GB2312" w:cs="仿宋_GB2312"/>
          <w:color w:val="auto"/>
          <w:sz w:val="32"/>
          <w:szCs w:val="32"/>
          <w:lang w:val="en-US" w:eastAsia="zh-CN"/>
        </w:rPr>
        <w:t>8</w:t>
      </w:r>
      <w:r>
        <w:rPr>
          <w:rFonts w:ascii="仿宋_GB2312" w:eastAsia="仿宋_GB2312" w:cs="仿宋_GB2312"/>
          <w:color w:val="auto"/>
          <w:sz w:val="32"/>
          <w:szCs w:val="32"/>
        </w:rPr>
        <w:t>.</w:t>
      </w:r>
      <w:r>
        <w:rPr>
          <w:rStyle w:val="16"/>
          <w:rFonts w:hint="eastAsia" w:ascii="仿宋_GB2312" w:eastAsia="仿宋_GB2312" w:cs="仿宋_GB2312"/>
          <w:b w:val="0"/>
          <w:color w:val="auto"/>
          <w:sz w:val="32"/>
          <w:szCs w:val="32"/>
        </w:rPr>
        <w:t>社会保障和就业支出（类）其他社会保障和就业支出（款）其他社会保障和就业支出（项）</w:t>
      </w:r>
      <w:r>
        <w:rPr>
          <w:rStyle w:val="16"/>
          <w:rFonts w:hint="eastAsia" w:ascii="仿宋_GB2312" w:eastAsia="仿宋_GB2312" w:cs="仿宋_GB2312"/>
          <w:b w:val="0"/>
          <w:color w:val="auto"/>
          <w:sz w:val="32"/>
          <w:szCs w:val="32"/>
          <w:lang w:eastAsia="zh-CN"/>
        </w:rPr>
        <w:t>：</w:t>
      </w:r>
      <w:r>
        <w:rPr>
          <w:rFonts w:hint="eastAsia" w:ascii="仿宋_GB2312" w:eastAsia="仿宋_GB2312" w:cs="仿宋_GB2312"/>
          <w:color w:val="auto"/>
          <w:sz w:val="32"/>
          <w:szCs w:val="32"/>
        </w:rPr>
        <w:t>指其他用于社会保障和就业方面的支出。</w:t>
      </w:r>
    </w:p>
    <w:p>
      <w:pPr>
        <w:spacing w:line="576" w:lineRule="exact"/>
        <w:ind w:firstLine="640" w:firstLineChars="200"/>
        <w:rPr>
          <w:rStyle w:val="16"/>
          <w:rFonts w:ascii="仿宋_GB2312" w:eastAsia="仿宋_GB2312"/>
          <w:b w:val="0"/>
          <w:color w:val="auto"/>
          <w:sz w:val="32"/>
          <w:szCs w:val="32"/>
        </w:rPr>
      </w:pPr>
      <w:r>
        <w:rPr>
          <w:rStyle w:val="16"/>
          <w:rFonts w:hint="eastAsia" w:ascii="仿宋_GB2312" w:eastAsia="仿宋_GB2312" w:cs="仿宋_GB2312"/>
          <w:b w:val="0"/>
          <w:color w:val="auto"/>
          <w:sz w:val="32"/>
          <w:szCs w:val="32"/>
          <w:lang w:val="en-US" w:eastAsia="zh-CN"/>
        </w:rPr>
        <w:t>9</w:t>
      </w:r>
      <w:r>
        <w:rPr>
          <w:rStyle w:val="16"/>
          <w:rFonts w:ascii="仿宋_GB2312" w:eastAsia="仿宋_GB2312" w:cs="仿宋_GB2312"/>
          <w:b w:val="0"/>
          <w:color w:val="auto"/>
          <w:sz w:val="32"/>
          <w:szCs w:val="32"/>
        </w:rPr>
        <w:t>.</w:t>
      </w:r>
      <w:r>
        <w:rPr>
          <w:rStyle w:val="16"/>
          <w:rFonts w:hint="eastAsia" w:ascii="仿宋_GB2312" w:eastAsia="仿宋_GB2312" w:cs="仿宋_GB2312"/>
          <w:b w:val="0"/>
          <w:color w:val="auto"/>
          <w:sz w:val="32"/>
          <w:szCs w:val="32"/>
        </w:rPr>
        <w:t>卫生</w:t>
      </w:r>
      <w:r>
        <w:rPr>
          <w:rStyle w:val="16"/>
          <w:rFonts w:ascii="仿宋_GB2312" w:eastAsia="仿宋_GB2312" w:cs="仿宋_GB2312"/>
          <w:b w:val="0"/>
          <w:color w:val="auto"/>
          <w:sz w:val="32"/>
          <w:szCs w:val="32"/>
        </w:rPr>
        <w:t>健康支出</w:t>
      </w:r>
      <w:r>
        <w:rPr>
          <w:rStyle w:val="16"/>
          <w:rFonts w:hint="eastAsia" w:ascii="仿宋_GB2312" w:eastAsia="仿宋_GB2312" w:cs="仿宋_GB2312"/>
          <w:b w:val="0"/>
          <w:color w:val="auto"/>
          <w:sz w:val="32"/>
          <w:szCs w:val="32"/>
        </w:rPr>
        <w:t>（类）行政</w:t>
      </w:r>
      <w:r>
        <w:rPr>
          <w:rStyle w:val="16"/>
          <w:rFonts w:ascii="仿宋_GB2312" w:eastAsia="仿宋_GB2312" w:cs="仿宋_GB2312"/>
          <w:b w:val="0"/>
          <w:color w:val="auto"/>
          <w:sz w:val="32"/>
          <w:szCs w:val="32"/>
        </w:rPr>
        <w:t>事</w:t>
      </w:r>
      <w:r>
        <w:rPr>
          <w:rStyle w:val="16"/>
          <w:rFonts w:hint="eastAsia" w:ascii="仿宋_GB2312" w:eastAsia="仿宋_GB2312" w:cs="仿宋_GB2312"/>
          <w:b w:val="0"/>
          <w:color w:val="auto"/>
          <w:sz w:val="32"/>
          <w:szCs w:val="32"/>
        </w:rPr>
        <w:t>业</w:t>
      </w:r>
      <w:r>
        <w:rPr>
          <w:rStyle w:val="16"/>
          <w:rFonts w:ascii="仿宋_GB2312" w:eastAsia="仿宋_GB2312" w:cs="仿宋_GB2312"/>
          <w:b w:val="0"/>
          <w:color w:val="auto"/>
          <w:sz w:val="32"/>
          <w:szCs w:val="32"/>
        </w:rPr>
        <w:t>单位医疗</w:t>
      </w:r>
      <w:r>
        <w:rPr>
          <w:rStyle w:val="16"/>
          <w:rFonts w:hint="eastAsia" w:ascii="仿宋_GB2312" w:eastAsia="仿宋_GB2312" w:cs="仿宋_GB2312"/>
          <w:b w:val="0"/>
          <w:color w:val="auto"/>
          <w:sz w:val="32"/>
          <w:szCs w:val="32"/>
        </w:rPr>
        <w:t>（款）事业单位医疗（项）：指财政部门集中安排的事业单位基本医疗保险缴费经费，未参加医疗保险的事业单位的公费医疗经费，按国家规定享受离退休人员待遇的医疗经费。</w:t>
      </w:r>
    </w:p>
    <w:p>
      <w:pPr>
        <w:spacing w:line="576" w:lineRule="exact"/>
        <w:ind w:firstLine="640" w:firstLineChars="200"/>
        <w:rPr>
          <w:rFonts w:ascii="仿宋_GB2312" w:eastAsia="仿宋_GB2312"/>
          <w:color w:val="auto"/>
          <w:sz w:val="32"/>
          <w:szCs w:val="32"/>
        </w:rPr>
      </w:pPr>
      <w:r>
        <w:rPr>
          <w:rStyle w:val="16"/>
          <w:rFonts w:hint="eastAsia" w:ascii="仿宋_GB2312" w:eastAsia="仿宋_GB2312" w:cs="仿宋_GB2312"/>
          <w:b w:val="0"/>
          <w:color w:val="auto"/>
          <w:sz w:val="32"/>
          <w:szCs w:val="32"/>
        </w:rPr>
        <w:t>1</w:t>
      </w:r>
      <w:r>
        <w:rPr>
          <w:rStyle w:val="16"/>
          <w:rFonts w:hint="eastAsia" w:ascii="仿宋_GB2312" w:eastAsia="仿宋_GB2312" w:cs="仿宋_GB2312"/>
          <w:b w:val="0"/>
          <w:color w:val="auto"/>
          <w:sz w:val="32"/>
          <w:szCs w:val="32"/>
          <w:lang w:val="en-US" w:eastAsia="zh-CN"/>
        </w:rPr>
        <w:t>0</w:t>
      </w:r>
      <w:r>
        <w:rPr>
          <w:rStyle w:val="16"/>
          <w:rFonts w:ascii="仿宋_GB2312" w:eastAsia="仿宋_GB2312" w:cs="仿宋_GB2312"/>
          <w:b w:val="0"/>
          <w:color w:val="auto"/>
          <w:sz w:val="32"/>
          <w:szCs w:val="32"/>
        </w:rPr>
        <w:t>.</w:t>
      </w:r>
      <w:r>
        <w:rPr>
          <w:rStyle w:val="16"/>
          <w:rFonts w:hint="eastAsia" w:ascii="仿宋_GB2312" w:eastAsia="仿宋_GB2312" w:cs="仿宋_GB2312"/>
          <w:b w:val="0"/>
          <w:color w:val="auto"/>
          <w:sz w:val="32"/>
          <w:szCs w:val="32"/>
        </w:rPr>
        <w:t>住房保障支出（类）住房改革支出（款）住房公积金支出（项）：指行政事业单位按人力资源和社会保障部、财政部规定的基本工资和津贴补贴以及规定比例为职工缴纳的住房公积金。</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1</w:t>
      </w:r>
      <w:r>
        <w:rPr>
          <w:rFonts w:ascii="仿宋_GB2312" w:eastAsia="仿宋_GB2312"/>
          <w:color w:val="auto"/>
          <w:sz w:val="32"/>
          <w:szCs w:val="32"/>
        </w:rPr>
        <w:t>.</w:t>
      </w:r>
      <w:r>
        <w:rPr>
          <w:rFonts w:hint="eastAsia" w:ascii="仿宋_GB2312" w:eastAsia="仿宋_GB2312"/>
          <w:color w:val="auto"/>
          <w:sz w:val="32"/>
          <w:szCs w:val="32"/>
        </w:rPr>
        <w:t>基本支出：指为保障机构正常运转、完成日常工作任务而发生的人员支出和公用支出。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项目支出：指在基本支出之外为完成特定行政任务和事业发展目标所发生的支出。</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bookmarkStart w:id="78" w:name="_Toc16136"/>
    </w:p>
    <w:p>
      <w:pPr>
        <w:ind w:firstLine="640" w:firstLineChars="200"/>
        <w:rPr>
          <w:rStyle w:val="18"/>
          <w:rFonts w:hint="eastAsia" w:ascii="黑体" w:hAnsi="黑体" w:eastAsia="黑体"/>
          <w:b w:val="0"/>
          <w:color w:val="auto"/>
          <w:highlight w:val="none"/>
          <w:lang w:eastAsia="zh-CN"/>
        </w:rPr>
      </w:pPr>
      <w:r>
        <w:rPr>
          <w:rFonts w:hint="eastAsia" w:ascii="仿宋_GB2312" w:hAnsi="Times New Roman" w:eastAsia="仿宋_GB2312" w:cs="Times New Roman"/>
          <w:b w:val="0"/>
          <w:bCs w:val="0"/>
          <w:color w:val="auto"/>
          <w:kern w:val="2"/>
          <w:sz w:val="32"/>
          <w:szCs w:val="32"/>
          <w:lang w:val="en-US" w:eastAsia="zh-CN" w:bidi="ar-SA"/>
        </w:rPr>
        <w:t>14.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bookmarkStart w:id="79" w:name="_Toc15377226"/>
      <w:r>
        <w:rPr>
          <w:rFonts w:ascii="宋体"/>
          <w:b/>
          <w:color w:val="auto"/>
          <w:sz w:val="44"/>
          <w:szCs w:val="44"/>
          <w:highlight w:val="none"/>
        </w:rPr>
        <w:br w:type="page"/>
      </w:r>
      <w:bookmarkStart w:id="80" w:name="_Toc15396614"/>
      <w:r>
        <w:rPr>
          <w:rFonts w:hint="eastAsia" w:ascii="黑体" w:hAnsi="黑体" w:eastAsia="黑体"/>
          <w:color w:val="auto"/>
          <w:sz w:val="44"/>
          <w:szCs w:val="44"/>
          <w:highlight w:val="none"/>
        </w:rPr>
        <w:t>第</w:t>
      </w:r>
      <w:r>
        <w:rPr>
          <w:rStyle w:val="18"/>
          <w:rFonts w:hint="eastAsia" w:ascii="黑体" w:hAnsi="黑体" w:eastAsia="黑体"/>
          <w:b w:val="0"/>
          <w:color w:val="auto"/>
          <w:highlight w:val="none"/>
        </w:rPr>
        <w:t>四部分附件</w:t>
      </w:r>
      <w:bookmarkEnd w:id="78"/>
      <w:bookmarkEnd w:id="80"/>
    </w:p>
    <w:p>
      <w:pPr>
        <w:keepNext w:val="0"/>
        <w:keepLines w:val="0"/>
        <w:pageBreakBefore w:val="0"/>
        <w:kinsoku/>
        <w:wordWrap/>
        <w:overflowPunct/>
        <w:topLinePunct w:val="0"/>
        <w:autoSpaceDE/>
        <w:autoSpaceDN/>
        <w:bidi w:val="0"/>
        <w:spacing w:line="572" w:lineRule="exact"/>
        <w:jc w:val="left"/>
        <w:textAlignment w:val="auto"/>
        <w:outlineLvl w:val="1"/>
        <w:rPr>
          <w:rFonts w:hint="eastAsia" w:ascii="黑体" w:hAnsi="黑体" w:eastAsia="黑体" w:cs="黑体"/>
          <w:color w:val="auto"/>
          <w:sz w:val="32"/>
          <w:szCs w:val="32"/>
          <w:highlight w:val="none"/>
        </w:rPr>
      </w:pPr>
      <w:bookmarkStart w:id="81" w:name="_Toc5241"/>
      <w:r>
        <w:rPr>
          <w:rFonts w:hint="eastAsia" w:ascii="黑体" w:hAnsi="黑体" w:eastAsia="黑体" w:cs="黑体"/>
          <w:color w:val="auto"/>
          <w:sz w:val="32"/>
          <w:szCs w:val="32"/>
          <w:highlight w:val="none"/>
        </w:rPr>
        <w:t>附件</w:t>
      </w:r>
      <w:bookmarkEnd w:id="81"/>
    </w:p>
    <w:p>
      <w:pPr>
        <w:pStyle w:val="5"/>
        <w:rPr>
          <w:rFonts w:hint="eastAsia" w:ascii="仿宋_GB2312" w:hAnsi="仿宋_GB2312" w:eastAsia="仿宋_GB2312" w:cs="仿宋_GB2312"/>
          <w:color w:val="auto"/>
          <w:sz w:val="24"/>
          <w:szCs w:val="24"/>
          <w:highlight w:val="none"/>
        </w:rPr>
      </w:pPr>
    </w:p>
    <w:p>
      <w:pPr>
        <w:pStyle w:val="5"/>
        <w:rPr>
          <w:rFonts w:hint="eastAsia" w:ascii="仿宋_GB2312" w:hAnsi="仿宋_GB2312" w:eastAsia="仿宋_GB2312" w:cs="仿宋_GB2312"/>
          <w:color w:val="auto"/>
          <w:sz w:val="24"/>
          <w:szCs w:val="24"/>
          <w:highlight w:val="none"/>
        </w:rPr>
      </w:pP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pP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20</w:t>
      </w:r>
      <w:r>
        <w:rPr>
          <w:rFonts w:hint="eastAsia" w:ascii="方正小标宋简体" w:hAnsi="方正小标宋简体" w:eastAsia="方正小标宋简体" w:cs="方正小标宋简体"/>
          <w:b w:val="0"/>
          <w:bCs w:val="0"/>
          <w:color w:val="auto"/>
          <w:sz w:val="44"/>
          <w:szCs w:val="44"/>
          <w:highlight w:val="none"/>
          <w:shd w:val="clear" w:color="auto" w:fill="FFFFFF"/>
          <w:lang w:val="en-US" w:eastAsia="zh-CN"/>
        </w:rPr>
        <w:t>23</w:t>
      </w:r>
      <w:r>
        <w:rPr>
          <w:rFonts w:hint="eastAsia" w:ascii="方正小标宋简体" w:hAnsi="方正小标宋简体" w:eastAsia="方正小标宋简体" w:cs="方正小标宋简体"/>
          <w:b w:val="0"/>
          <w:bCs w:val="0"/>
          <w:color w:val="auto"/>
          <w:sz w:val="44"/>
          <w:szCs w:val="44"/>
          <w:highlight w:val="none"/>
          <w:shd w:val="clear" w:color="auto" w:fill="FFFFFF"/>
          <w:lang w:eastAsia="zh-CN"/>
        </w:rPr>
        <w:t>年市级部门整体支出绩效自评报告</w:t>
      </w:r>
    </w:p>
    <w:p>
      <w:pPr>
        <w:widowControl/>
        <w:spacing w:line="580" w:lineRule="exact"/>
        <w:contextualSpacing/>
        <w:jc w:val="center"/>
        <w:rPr>
          <w:rFonts w:hint="eastAsia" w:ascii="楷体_GB2312" w:hAnsi="楷体_GB2312" w:eastAsia="楷体_GB2312" w:cs="楷体_GB2312"/>
          <w:color w:val="auto"/>
          <w:sz w:val="32"/>
          <w:szCs w:val="32"/>
          <w:shd w:val="clear" w:color="auto" w:fill="FFFFFF"/>
        </w:rPr>
      </w:pPr>
      <w:r>
        <w:rPr>
          <w:rFonts w:hint="eastAsia" w:ascii="楷体_GB2312" w:hAnsi="楷体_GB2312" w:eastAsia="楷体_GB2312" w:cs="楷体_GB2312"/>
          <w:color w:val="auto"/>
          <w:sz w:val="32"/>
          <w:szCs w:val="32"/>
          <w:shd w:val="clear" w:color="auto" w:fill="FFFFFF"/>
        </w:rPr>
        <w:t>（</w:t>
      </w:r>
      <w:r>
        <w:rPr>
          <w:rFonts w:hint="eastAsia" w:ascii="楷体_GB2312" w:hAnsi="楷体_GB2312" w:eastAsia="楷体_GB2312" w:cs="楷体_GB2312"/>
          <w:color w:val="auto"/>
          <w:sz w:val="32"/>
          <w:szCs w:val="32"/>
          <w:shd w:val="clear" w:color="auto" w:fill="FFFFFF"/>
          <w:lang w:eastAsia="zh-CN"/>
        </w:rPr>
        <w:t>广元市停撤企业服务中心</w:t>
      </w:r>
      <w:r>
        <w:rPr>
          <w:rFonts w:hint="eastAsia" w:ascii="楷体_GB2312" w:hAnsi="楷体_GB2312" w:eastAsia="楷体_GB2312" w:cs="楷体_GB2312"/>
          <w:color w:val="auto"/>
          <w:sz w:val="32"/>
          <w:szCs w:val="32"/>
          <w:shd w:val="clear" w:color="auto" w:fill="FFFFFF"/>
        </w:rPr>
        <w:t>）</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rPr>
          <w:rFonts w:ascii="黑体" w:hAnsi="宋体" w:eastAsia="黑体" w:cs="宋体"/>
          <w:b w:val="0"/>
          <w:bCs w:val="0"/>
          <w:color w:val="auto"/>
          <w:kern w:val="0"/>
          <w:sz w:val="24"/>
          <w:szCs w:val="32"/>
          <w:highlight w:val="none"/>
          <w:shd w:val="clear" w:color="auto" w:fill="FFFFFF"/>
        </w:rPr>
      </w:pPr>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b w:val="0"/>
          <w:bCs w:val="0"/>
          <w:color w:val="auto"/>
          <w:kern w:val="0"/>
          <w:sz w:val="32"/>
          <w:szCs w:val="32"/>
          <w:highlight w:val="none"/>
          <w:shd w:val="clear" w:color="auto" w:fill="FFFFFF"/>
          <w:lang w:val="zh-CN"/>
        </w:rPr>
      </w:pPr>
      <w:bookmarkStart w:id="82" w:name="_Toc21434"/>
      <w:bookmarkStart w:id="83" w:name="_Toc4731"/>
      <w:r>
        <w:rPr>
          <w:rFonts w:hint="eastAsia" w:ascii="黑体" w:hAnsi="宋体" w:eastAsia="黑体" w:cs="宋体"/>
          <w:b w:val="0"/>
          <w:bCs w:val="0"/>
          <w:color w:val="auto"/>
          <w:kern w:val="0"/>
          <w:sz w:val="32"/>
          <w:szCs w:val="32"/>
          <w:highlight w:val="none"/>
          <w:shd w:val="clear" w:color="auto" w:fill="FFFFFF"/>
          <w:lang w:val="zh-CN"/>
        </w:rPr>
        <w:t>部门（单位）基本情况</w:t>
      </w:r>
      <w:bookmarkEnd w:id="82"/>
      <w:bookmarkEnd w:id="83"/>
    </w:p>
    <w:p>
      <w:pPr>
        <w:keepNext w:val="0"/>
        <w:keepLines w:val="0"/>
        <w:pageBreakBefore w:val="0"/>
        <w:widowControl/>
        <w:numPr>
          <w:ilvl w:val="0"/>
          <w:numId w:val="6"/>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机构组成。</w:t>
      </w:r>
      <w:r>
        <w:rPr>
          <w:rFonts w:hint="eastAsia" w:ascii="仿宋_GB2312" w:hAnsi="仿宋_GB2312" w:eastAsia="仿宋_GB2312" w:cs="仿宋_GB2312"/>
          <w:color w:val="auto"/>
          <w:kern w:val="2"/>
          <w:sz w:val="32"/>
          <w:szCs w:val="32"/>
          <w:lang w:val="zh-CN" w:eastAsia="zh-CN" w:bidi="ar-SA"/>
        </w:rPr>
        <w:t>本单位为市应急管理局下属事业单位（一级预算单位）</w:t>
      </w:r>
      <w:r>
        <w:rPr>
          <w:rFonts w:hint="eastAsia" w:ascii="仿宋_GB2312" w:hAnsi="仿宋_GB2312" w:eastAsia="仿宋_GB2312" w:cs="仿宋_GB2312"/>
          <w:color w:val="auto"/>
          <w:kern w:val="2"/>
          <w:sz w:val="32"/>
          <w:szCs w:val="32"/>
          <w:lang w:val="en-US" w:eastAsia="zh-CN" w:bidi="ar-SA"/>
        </w:rPr>
        <w:t>。</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楷体_GB2312" w:hAnsi="楷体_GB2312" w:eastAsia="楷体_GB2312" w:cs="楷体_GB2312"/>
          <w:b w:val="0"/>
          <w:bCs w:val="0"/>
          <w:color w:val="auto"/>
          <w:kern w:val="0"/>
          <w:sz w:val="32"/>
          <w:szCs w:val="32"/>
          <w:highlight w:val="none"/>
          <w:shd w:val="clear" w:color="auto" w:fill="FFFFFF"/>
          <w:lang w:val="zh-CN"/>
        </w:rPr>
        <w:t>（二）机构职能和人员概况。</w:t>
      </w:r>
      <w:r>
        <w:rPr>
          <w:rFonts w:hint="eastAsia" w:ascii="仿宋_GB2312" w:hAnsi="仿宋_GB2312" w:eastAsia="仿宋_GB2312" w:cs="仿宋_GB2312"/>
          <w:color w:val="auto"/>
          <w:kern w:val="2"/>
          <w:sz w:val="32"/>
          <w:szCs w:val="32"/>
          <w:lang w:val="en-US" w:eastAsia="zh-CN" w:bidi="ar-SA"/>
        </w:rPr>
        <w:t>代市政府管理上世纪60年代国有企业关、</w:t>
      </w:r>
      <w:r>
        <w:rPr>
          <w:rFonts w:hint="eastAsia" w:ascii="仿宋_GB2312" w:hAnsi="仿宋_GB2312" w:eastAsia="仿宋_GB2312" w:cs="仿宋_GB2312"/>
          <w:color w:val="auto"/>
          <w:kern w:val="2"/>
          <w:sz w:val="32"/>
          <w:szCs w:val="32"/>
          <w:lang w:val="zh-CN" w:eastAsia="zh-CN" w:bidi="ar-SA"/>
        </w:rPr>
        <w:t>停、并、转后的老、弱、病、残职工和部分落实政策人员。主要职责：一是切实做好维稳工作，确保退休职工不越级上访，确保不发生群体性上访事件，确保平稳过渡；二是按照有关规定，按时发放退休职工和供养人员生活费；三是及时核实核查财政专项资金（医疗费）的使用情况，确保财政资金的合理使用。当年</w:t>
      </w:r>
      <w:r>
        <w:rPr>
          <w:rFonts w:hint="eastAsia" w:ascii="仿宋_GB2312" w:hAnsi="仿宋_GB2312" w:eastAsia="仿宋_GB2312" w:cs="仿宋_GB2312"/>
          <w:color w:val="auto"/>
          <w:kern w:val="2"/>
          <w:sz w:val="32"/>
          <w:szCs w:val="32"/>
          <w:lang w:val="en-US" w:eastAsia="zh-CN" w:bidi="ar-SA"/>
        </w:rPr>
        <w:t>退休1人，年末在编在职人员2人，单位退休人员3人，代管离退休人员年初20人，当年死亡6人，年末14人、遗属人员年初22人，当年死亡3人，年末19人。</w:t>
      </w:r>
    </w:p>
    <w:p>
      <w:pPr>
        <w:spacing w:line="576" w:lineRule="exact"/>
        <w:ind w:firstLine="640" w:firstLineChars="200"/>
        <w:rPr>
          <w:rFonts w:hint="eastAsia" w:ascii="仿宋_GB2312" w:hAnsi="仿宋_GB2312" w:eastAsia="仿宋_GB2312" w:cs="仿宋_GB2312"/>
          <w:color w:val="auto"/>
          <w:kern w:val="2"/>
          <w:sz w:val="32"/>
          <w:szCs w:val="32"/>
          <w:lang w:val="zh-CN" w:eastAsia="zh-CN" w:bidi="ar-SA"/>
        </w:rPr>
      </w:pPr>
      <w:r>
        <w:rPr>
          <w:rFonts w:hint="eastAsia" w:ascii="楷体_GB2312" w:hAnsi="楷体_GB2312" w:eastAsia="楷体_GB2312" w:cs="楷体_GB2312"/>
          <w:b w:val="0"/>
          <w:bCs w:val="0"/>
          <w:color w:val="auto"/>
          <w:kern w:val="0"/>
          <w:sz w:val="32"/>
          <w:szCs w:val="32"/>
          <w:highlight w:val="none"/>
          <w:shd w:val="clear" w:color="auto" w:fill="FFFFFF"/>
          <w:lang w:val="zh-CN"/>
        </w:rPr>
        <w:t>（三）年度主要工作任务。</w:t>
      </w:r>
      <w:r>
        <w:rPr>
          <w:rFonts w:hint="eastAsia" w:ascii="仿宋_GB2312" w:hAnsi="仿宋_GB2312" w:eastAsia="仿宋_GB2312" w:cs="仿宋_GB2312"/>
          <w:color w:val="auto"/>
          <w:kern w:val="2"/>
          <w:sz w:val="32"/>
          <w:szCs w:val="32"/>
          <w:lang w:val="zh-CN" w:eastAsia="zh-CN" w:bidi="ar-SA"/>
        </w:rPr>
        <w:t>一是做好202</w:t>
      </w:r>
      <w:r>
        <w:rPr>
          <w:rFonts w:hint="eastAsia" w:ascii="仿宋_GB2312" w:hAnsi="仿宋_GB2312" w:eastAsia="仿宋_GB2312" w:cs="仿宋_GB2312"/>
          <w:color w:val="auto"/>
          <w:kern w:val="2"/>
          <w:sz w:val="32"/>
          <w:szCs w:val="32"/>
          <w:lang w:val="en-US" w:eastAsia="zh-CN" w:bidi="ar-SA"/>
        </w:rPr>
        <w:t>2</w:t>
      </w:r>
      <w:r>
        <w:rPr>
          <w:rFonts w:hint="eastAsia" w:ascii="仿宋_GB2312" w:hAnsi="仿宋_GB2312" w:eastAsia="仿宋_GB2312" w:cs="仿宋_GB2312"/>
          <w:color w:val="auto"/>
          <w:kern w:val="2"/>
          <w:sz w:val="32"/>
          <w:szCs w:val="32"/>
          <w:lang w:val="zh-CN" w:eastAsia="zh-CN" w:bidi="ar-SA"/>
        </w:rPr>
        <w:t>年春节前和重大节日期间的走访慰问，座谈交流，宣讲党的二十大报告精神，加强离退休职工和遗属人员的思想引导，稳定人员思想情绪，确保无越级上访和群体性上访事件等发生；二是继续开展对离退休职工和遗属人员的走访调查、核实信息，保证财政专项资金的安全合理支出，按时发放人员工资和生活补助，确保无冒领经费现象发生；三是做好离退休职工因病住院，所产生医疗费用的核查、审核、报销等工作；四是积极配合机关党办抓好党的建设、党风廉政建设、党史学习教育、机关纪律作风整顿、正风行风建设、精神文明等工作；五是积极配合局党委办公室抓好网络安全、文明城市创建、节能减排、疫情防控、城乡环境综合治理等工作；六是积极协助分管领导抓好重大决策贯彻落实、确保政令畅通，完成局党委和领导交办的其他工作任务。</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楷体_GB2312" w:hAnsi="楷体_GB2312" w:eastAsia="楷体_GB2312" w:cs="楷体_GB2312"/>
          <w:b w:val="0"/>
          <w:bCs w:val="0"/>
          <w:color w:val="auto"/>
          <w:kern w:val="0"/>
          <w:sz w:val="32"/>
          <w:szCs w:val="32"/>
          <w:highlight w:val="none"/>
          <w:shd w:val="clear" w:color="auto" w:fill="FFFFFF"/>
          <w:lang w:val="zh-CN"/>
        </w:rPr>
        <w:t>（四）部门整体支出绩效目标。</w:t>
      </w:r>
      <w:r>
        <w:rPr>
          <w:rFonts w:hint="eastAsia" w:ascii="仿宋_GB2312" w:hAnsi="仿宋_GB2312" w:eastAsia="仿宋_GB2312" w:cs="仿宋_GB2312"/>
          <w:color w:val="auto"/>
          <w:kern w:val="2"/>
          <w:sz w:val="32"/>
          <w:szCs w:val="32"/>
          <w:lang w:val="zh-CN" w:eastAsia="zh-CN" w:bidi="ar-SA"/>
        </w:rPr>
        <w:t>一是按时发放退休人员工资；二是保障离退休人员医疗费；三是完成2022度离退休人员生活困难、生病住院的慰问工作；四是做好离退休人员稳定走访调查工作，确保离退休人员不越级上访，确保平稳过渡。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b w:val="0"/>
          <w:bCs w:val="0"/>
          <w:color w:val="auto"/>
          <w:kern w:val="0"/>
          <w:sz w:val="32"/>
          <w:szCs w:val="32"/>
          <w:highlight w:val="none"/>
          <w:shd w:val="clear" w:color="auto" w:fill="FFFFFF"/>
          <w:lang w:val="zh-CN" w:eastAsia="zh-CN"/>
        </w:rPr>
      </w:pPr>
      <w:bookmarkStart w:id="84" w:name="_Toc27337"/>
      <w:bookmarkStart w:id="85" w:name="_Toc12648"/>
      <w:r>
        <w:rPr>
          <w:rFonts w:hint="eastAsia" w:ascii="黑体" w:hAnsi="宋体" w:eastAsia="黑体" w:cs="宋体"/>
          <w:b w:val="0"/>
          <w:bCs w:val="0"/>
          <w:color w:val="auto"/>
          <w:kern w:val="0"/>
          <w:sz w:val="32"/>
          <w:szCs w:val="32"/>
          <w:highlight w:val="none"/>
          <w:shd w:val="clear" w:color="auto" w:fill="FFFFFF"/>
          <w:lang w:val="zh-CN" w:eastAsia="zh-CN"/>
        </w:rPr>
        <w:t>二、部门资金收支情况</w:t>
      </w:r>
      <w:bookmarkEnd w:id="84"/>
      <w:bookmarkEnd w:id="85"/>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（一）部门总体收支情况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部门总体收入情况。批复数329.19万元（包括上年结转34.85万元，本年收入294.34万元），调剂数-7.93万元（其中收回财政-41.77万元），预算数321.26万元（其中人员经费77.36万元，公用经费4.88万元，项目经费239.02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2.部门总体支出情况。本年支出总额293.60万元（包括人员经费支出69.68万元，公用经费支出4.49万元，项目支出219.43万元）。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3.部门总体结转结余情况。预算数321.26万元，支出数293.60万元，年末结转和结余27.66万元（包括人员经费7.68万元，公用经费0.39万元，项目经费19.59万元）。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（二）部门财政拨款收支情况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部门财政拨款收入情况。批复数329.19万元（包括上年结转34.85万元，本年收入294.34万元），调剂数-7.93万元（其中收回财政-41.77万元），预算数321.26万元（其中人员经费77.36万元，公用经费4.88万元，项目经费239.02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2.部门财政拨款支出情况。本年支出总额293.60万元（包括人员经费支出69.68万元，公用经费支出4.49万元，项目支出219.43万元）。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3.部门财政拨款结转结余情况。预算数321.26万元，支出数293.60万元，年末结转和结余27.66万元（包括人员经费7.68万元，公用经费0.39万元，项目经费19.59万元）。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b w:val="0"/>
          <w:bCs w:val="0"/>
          <w:color w:val="auto"/>
          <w:kern w:val="0"/>
          <w:sz w:val="32"/>
          <w:szCs w:val="32"/>
          <w:highlight w:val="none"/>
          <w:shd w:val="clear" w:color="auto" w:fill="FFFFFF"/>
          <w:lang w:val="zh-CN" w:eastAsia="zh-CN"/>
        </w:rPr>
      </w:pPr>
      <w:bookmarkStart w:id="86" w:name="_Toc3575"/>
      <w:bookmarkStart w:id="87" w:name="_Toc21235"/>
      <w:r>
        <w:rPr>
          <w:rFonts w:hint="eastAsia" w:ascii="黑体" w:hAnsi="宋体" w:eastAsia="黑体" w:cs="宋体"/>
          <w:b w:val="0"/>
          <w:bCs w:val="0"/>
          <w:color w:val="auto"/>
          <w:kern w:val="0"/>
          <w:sz w:val="32"/>
          <w:szCs w:val="32"/>
          <w:highlight w:val="none"/>
          <w:shd w:val="clear" w:color="auto" w:fill="FFFFFF"/>
          <w:lang w:val="zh-CN" w:eastAsia="zh-CN"/>
        </w:rPr>
        <w:t>三、部门整体绩效分析</w:t>
      </w:r>
      <w:bookmarkEnd w:id="86"/>
      <w:bookmarkEnd w:id="87"/>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（一）部门预算项目绩效分析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按照预算绩效管理要求，本部门对2022年一般公共预算项目支出开展了绩效目标管理，编制了部门整体支出绩效目标和</w:t>
      </w:r>
      <w:r>
        <w:rPr>
          <w:rFonts w:hint="eastAsia" w:ascii="仿宋_GB2312" w:hAnsi="仿宋_GB2312" w:eastAsia="仿宋_GB2312" w:cs="仿宋_GB2312"/>
          <w:color w:val="auto"/>
          <w:kern w:val="2"/>
          <w:sz w:val="32"/>
          <w:szCs w:val="32"/>
          <w:lang w:val="zh-CN" w:eastAsia="zh-CN" w:bidi="ar-SA"/>
        </w:rPr>
        <w:t>特定目标类</w:t>
      </w:r>
      <w:r>
        <w:rPr>
          <w:rFonts w:hint="eastAsia" w:ascii="仿宋_GB2312" w:hAnsi="仿宋_GB2312" w:eastAsia="仿宋_GB2312" w:cs="仿宋_GB2312"/>
          <w:color w:val="auto"/>
          <w:kern w:val="2"/>
          <w:sz w:val="32"/>
          <w:szCs w:val="32"/>
          <w:lang w:val="en-US" w:eastAsia="zh-CN" w:bidi="ar-SA"/>
        </w:rPr>
        <w:t>项目支出绩效目标，覆盖率达到100%，制定了年度主要任务、年度总体目标、细化了年度绩效指标。</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1.人员类项目绩效分析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zh-CN" w:eastAsia="zh-CN" w:bidi="ar-SA"/>
        </w:rPr>
        <w:t>我单位年初制定了绩效目标，</w:t>
      </w:r>
      <w:r>
        <w:rPr>
          <w:rFonts w:hint="eastAsia" w:ascii="仿宋_GB2312" w:hAnsi="仿宋_GB2312" w:eastAsia="仿宋_GB2312" w:cs="仿宋_GB2312"/>
          <w:color w:val="auto"/>
          <w:kern w:val="2"/>
          <w:sz w:val="32"/>
          <w:szCs w:val="32"/>
          <w:lang w:val="en-US" w:eastAsia="zh-CN" w:bidi="ar-SA"/>
        </w:rPr>
        <w:t>人员类经费预算数77.36万元（年初预算47.08万元，调剂数30.28），实际支付69.68万元，年末结转和结余7.68万元，预算执行率90.07%，保障了在职人员基本工资、津贴补贴、奖金、社会保险缴费、住房公积金等及单位退休人员绩效补助按时支付和解缴。</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2.运转类项目绩效分析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zh-CN" w:eastAsia="zh-CN" w:bidi="ar-SA"/>
        </w:rPr>
        <w:t>我单位年初制定了年度绩效目标，包括保障单位日常运转，提高预算编制质量，严格执行预算。</w:t>
      </w:r>
      <w:r>
        <w:rPr>
          <w:rFonts w:hint="eastAsia" w:ascii="仿宋_GB2312" w:hAnsi="仿宋_GB2312" w:eastAsia="仿宋_GB2312" w:cs="仿宋_GB2312"/>
          <w:color w:val="auto"/>
          <w:kern w:val="2"/>
          <w:sz w:val="32"/>
          <w:szCs w:val="32"/>
          <w:lang w:val="en-US" w:eastAsia="zh-CN" w:bidi="ar-SA"/>
        </w:rPr>
        <w:t>运转类经费预算数4.88万元（年初预算5.14万元，调剂数-0.26万元），实际支付4.49万元，年末结转和结余0.39万元，预算执行率92.01%，保障了办公费、印刷费、水费、电费、邮电费、物业管理费、差旅费、维修（护）费、公务接待费、工会经费、福利费、其他交通费用等支出，其中“三公经费”控制率75%，符合≤100%的绩效目标，预算编制准确率8.61%，超出≤5%的绩效目标。单位日常运转正常。</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3.特定目标类项目绩效分析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年初，本部门编制了退休及遗属人员工资补助、退休职工座谈慰问、维稳费与医疗费3个</w:t>
      </w:r>
      <w:r>
        <w:rPr>
          <w:rFonts w:hint="eastAsia" w:ascii="仿宋_GB2312" w:hAnsi="仿宋_GB2312" w:eastAsia="仿宋_GB2312" w:cs="仿宋_GB2312"/>
          <w:color w:val="auto"/>
          <w:kern w:val="2"/>
          <w:sz w:val="32"/>
          <w:szCs w:val="32"/>
          <w:lang w:val="zh-CN" w:eastAsia="zh-CN" w:bidi="ar-SA"/>
        </w:rPr>
        <w:t>特定目标类</w:t>
      </w:r>
      <w:r>
        <w:rPr>
          <w:rFonts w:hint="eastAsia" w:ascii="仿宋_GB2312" w:hAnsi="仿宋_GB2312" w:eastAsia="仿宋_GB2312" w:cs="仿宋_GB2312"/>
          <w:color w:val="auto"/>
          <w:kern w:val="2"/>
          <w:sz w:val="32"/>
          <w:szCs w:val="32"/>
          <w:lang w:val="en-US" w:eastAsia="zh-CN" w:bidi="ar-SA"/>
        </w:rPr>
        <w:t>项目支出绩效目标，制定了年度主要任务、年度总体目标、细化了年度绩效指标。</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退休及遗属人员工资补助</w:t>
      </w:r>
      <w:r>
        <w:rPr>
          <w:rFonts w:hint="eastAsia" w:ascii="仿宋_GB2312" w:hAnsi="仿宋_GB2312" w:eastAsia="仿宋_GB2312" w:cs="仿宋_GB2312"/>
          <w:color w:val="auto"/>
          <w:kern w:val="2"/>
          <w:sz w:val="32"/>
          <w:szCs w:val="32"/>
          <w:lang w:val="zh-CN" w:eastAsia="zh-CN" w:bidi="ar-SA"/>
        </w:rPr>
        <w:t>特定目标类</w:t>
      </w:r>
      <w:r>
        <w:rPr>
          <w:rFonts w:hint="eastAsia" w:ascii="仿宋_GB2312" w:hAnsi="仿宋_GB2312" w:eastAsia="仿宋_GB2312" w:cs="仿宋_GB2312"/>
          <w:color w:val="auto"/>
          <w:kern w:val="2"/>
          <w:sz w:val="32"/>
          <w:szCs w:val="32"/>
          <w:lang w:val="en-US" w:eastAsia="zh-CN" w:bidi="ar-SA"/>
        </w:rPr>
        <w:t>项目绩效目标为按时发放退休人员工资及遗嘱人员生活补助。项目预算数136.03万元，实际支付135.21万元，预算执行率99.40%，足额保障并按月发放工资，服务对象满意度高，完成了绩效目标任务。</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退休职工座谈慰问、维稳费</w:t>
      </w:r>
      <w:r>
        <w:rPr>
          <w:rFonts w:hint="eastAsia" w:ascii="仿宋_GB2312" w:hAnsi="仿宋_GB2312" w:eastAsia="仿宋_GB2312" w:cs="仿宋_GB2312"/>
          <w:color w:val="auto"/>
          <w:kern w:val="2"/>
          <w:sz w:val="32"/>
          <w:szCs w:val="32"/>
          <w:lang w:val="zh-CN" w:eastAsia="zh-CN" w:bidi="ar-SA"/>
        </w:rPr>
        <w:t>特定目标类</w:t>
      </w:r>
      <w:r>
        <w:rPr>
          <w:rFonts w:hint="eastAsia" w:ascii="仿宋_GB2312" w:hAnsi="仿宋_GB2312" w:eastAsia="仿宋_GB2312" w:cs="仿宋_GB2312"/>
          <w:color w:val="auto"/>
          <w:kern w:val="2"/>
          <w:sz w:val="32"/>
          <w:szCs w:val="32"/>
          <w:lang w:val="en-US" w:eastAsia="zh-CN" w:bidi="ar-SA"/>
        </w:rPr>
        <w:t>项目绩效目标为完成2022度离退休人员生活困难、生病住院的慰问工作；做好离退休人员稳定走访调查工作，确保离退休人员不越级上访，确保平稳过渡。项目预算数20.29万元（年初预算25.29万元，调剂数-5万元），实际支付18.09万元，预算执行率89.15%，上门慰问、维稳次数达到设定的100次目标任务，全年无越级上访事件发生，服务对象满意度高，但受疫情影响，未按期走访慰问代管退休、遗属人员，项目支付进度略低于设立的绩效目标值。</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医疗费</w:t>
      </w:r>
      <w:r>
        <w:rPr>
          <w:rFonts w:hint="eastAsia" w:ascii="仿宋_GB2312" w:hAnsi="仿宋_GB2312" w:eastAsia="仿宋_GB2312" w:cs="仿宋_GB2312"/>
          <w:color w:val="auto"/>
          <w:kern w:val="2"/>
          <w:sz w:val="32"/>
          <w:szCs w:val="32"/>
          <w:lang w:val="zh-CN" w:eastAsia="zh-CN" w:bidi="ar-SA"/>
        </w:rPr>
        <w:t>特定目标类</w:t>
      </w:r>
      <w:r>
        <w:rPr>
          <w:rFonts w:hint="eastAsia" w:ascii="仿宋_GB2312" w:hAnsi="仿宋_GB2312" w:eastAsia="仿宋_GB2312" w:cs="仿宋_GB2312"/>
          <w:color w:val="auto"/>
          <w:kern w:val="2"/>
          <w:sz w:val="32"/>
          <w:szCs w:val="32"/>
          <w:lang w:val="en-US" w:eastAsia="zh-CN" w:bidi="ar-SA"/>
        </w:rPr>
        <w:t>项目绩效目标为保障离退休人员医疗费。项目预算数40万元，实际支付23.43万元，预算执行率58.59%，完成医疗费保障对象=100%、医疗费报销比例=85%、支付时效≤30个工作日、越级上访事件≤3次、离退休人员满意度≥90%等绩效指标，但由于离退休职工生病住院的不确定性和受疫情影响无法及时前来办理报销业务等因素，医疗费项目执行率未达到≥90%的指标设定值。</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shd w:val="clear" w:color="auto" w:fill="FFFFFF"/>
          <w:lang w:val="zh-CN" w:eastAsia="zh-CN"/>
        </w:rPr>
        <w:t>（二）部门整体履职绩效分析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zh-CN" w:eastAsia="zh-CN" w:bidi="ar-SA"/>
        </w:rPr>
        <w:t>根据部门职能职责，结合年度重点工作内容，我单位年初编制了部门整体和</w:t>
      </w:r>
      <w:r>
        <w:rPr>
          <w:rFonts w:hint="eastAsia" w:ascii="仿宋_GB2312" w:hAnsi="仿宋_GB2312" w:eastAsia="仿宋_GB2312" w:cs="仿宋_GB2312"/>
          <w:color w:val="auto"/>
          <w:kern w:val="2"/>
          <w:sz w:val="32"/>
          <w:szCs w:val="32"/>
          <w:lang w:val="en-US" w:eastAsia="zh-CN" w:bidi="ar-SA"/>
        </w:rPr>
        <w:t>3个</w:t>
      </w:r>
      <w:r>
        <w:rPr>
          <w:rFonts w:hint="eastAsia" w:ascii="仿宋_GB2312" w:hAnsi="仿宋_GB2312" w:eastAsia="仿宋_GB2312" w:cs="仿宋_GB2312"/>
          <w:color w:val="auto"/>
          <w:kern w:val="2"/>
          <w:sz w:val="32"/>
          <w:szCs w:val="32"/>
          <w:lang w:val="zh-CN" w:eastAsia="zh-CN" w:bidi="ar-SA"/>
        </w:rPr>
        <w:t>特定项目绩效目标，</w:t>
      </w:r>
      <w:r>
        <w:rPr>
          <w:rFonts w:hint="eastAsia" w:ascii="仿宋_GB2312" w:hAnsi="仿宋_GB2312" w:eastAsia="仿宋_GB2312" w:cs="仿宋_GB2312"/>
          <w:color w:val="auto"/>
          <w:kern w:val="2"/>
          <w:sz w:val="32"/>
          <w:szCs w:val="32"/>
          <w:lang w:val="en-US" w:eastAsia="zh-CN" w:bidi="ar-SA"/>
        </w:rPr>
        <w:t>对3个项目开展绩效监控，开展了绩效目标完成情况自评，按时完成离退休人员和供养人员的工资、生活费发放，全员足额保障了单位代管退休及遗嘱人员工资；完成了2022年度离退休人员和供养人员生存状况、住院治疗费用、信访、上访维稳的调查、核查及离退休人员节假日、生病住院、丧事慰问工作；全员保证离退休人员医疗费，实现离退休人员、供养人员医疗费全覆盖，在收到报账单据后30日内完成支付，保障了离退休人员老有所医，全年无上坊事件。但由于离退休职工生病住院的不确定性和受疫情影响无法及时前来办理报销业务等因素，全年预算执行率仅为91.39%。</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shd w:val="clear" w:color="auto" w:fill="FFFFFF"/>
          <w:lang w:val="zh-CN" w:eastAsia="zh-CN"/>
        </w:rPr>
        <w:t>（三）结果应用情况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color w:val="auto"/>
          <w:kern w:val="2"/>
          <w:sz w:val="32"/>
          <w:szCs w:val="32"/>
          <w:lang w:val="en-US" w:eastAsia="zh-CN" w:bidi="ar-SA"/>
        </w:rPr>
        <w:t>我单位按要求规范编制预算绩效目标并随预算公开，严格按财政要求及时、完整填报绩效监控报表，做到了预算执行事中有监控。结合具体情况，向单位相关部门和领导发出预算执行提醒函，督促进度慢的项目加快进度，对预估结余资金及时报请财政予以收回，提高资金使用效率。</w:t>
      </w:r>
    </w:p>
    <w:p>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shd w:val="clear" w:color="auto" w:fill="FFFFFF"/>
          <w:lang w:val="zh-CN" w:eastAsia="zh-CN"/>
        </w:rPr>
        <w:t>（四）自评质量</w:t>
      </w:r>
    </w:p>
    <w:p>
      <w:pPr>
        <w:pStyle w:val="13"/>
        <w:keepNext w:val="0"/>
        <w:keepLines w:val="0"/>
        <w:pageBreakBefore w:val="0"/>
        <w:widowControl w:val="0"/>
        <w:numPr>
          <w:ilvl w:val="0"/>
          <w:numId w:val="0"/>
        </w:numPr>
        <w:kinsoku/>
        <w:wordWrap/>
        <w:overflowPunct/>
        <w:topLinePunct w:val="0"/>
        <w:autoSpaceDE/>
        <w:autoSpaceDN/>
        <w:bidi w:val="0"/>
        <w:spacing w:after="0" w:line="560" w:lineRule="exact"/>
        <w:ind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我单位切实开展了部门整体支出绩效自评，对照《2023年市级部门整体支出绩效评价指标体系》逐项核实、分析，自评得分96.67分（退休职工座谈慰问、维稳费项目资金结余率10.85%，医疗费项目资金结余率41.41%，大于10%，扣分2个/3个*5分=3.33分），自评得分客观真实。</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b w:val="0"/>
          <w:bCs w:val="0"/>
          <w:color w:val="auto"/>
          <w:kern w:val="0"/>
          <w:sz w:val="32"/>
          <w:szCs w:val="32"/>
          <w:highlight w:val="none"/>
          <w:shd w:val="clear" w:color="auto" w:fill="FFFFFF"/>
          <w:lang w:val="zh-CN" w:eastAsia="zh-CN"/>
        </w:rPr>
      </w:pPr>
      <w:bookmarkStart w:id="88" w:name="_Toc32694"/>
      <w:bookmarkStart w:id="89" w:name="_Toc9190"/>
      <w:r>
        <w:rPr>
          <w:rFonts w:hint="eastAsia" w:ascii="黑体" w:hAnsi="宋体" w:eastAsia="黑体" w:cs="宋体"/>
          <w:b w:val="0"/>
          <w:bCs w:val="0"/>
          <w:color w:val="auto"/>
          <w:kern w:val="0"/>
          <w:sz w:val="32"/>
          <w:szCs w:val="32"/>
          <w:highlight w:val="none"/>
          <w:shd w:val="clear" w:color="auto" w:fill="FFFFFF"/>
          <w:lang w:val="zh-CN" w:eastAsia="zh-CN"/>
        </w:rPr>
        <w:t>四、评价结论及建议</w:t>
      </w:r>
      <w:bookmarkEnd w:id="88"/>
      <w:bookmarkEnd w:id="89"/>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楷体_GB2312" w:hAnsi="楷体_GB2312" w:eastAsia="楷体_GB2312" w:cs="楷体_GB2312"/>
          <w:b w:val="0"/>
          <w:bCs w:val="0"/>
          <w:color w:val="auto"/>
          <w:kern w:val="0"/>
          <w:sz w:val="32"/>
          <w:szCs w:val="32"/>
          <w:highlight w:val="none"/>
          <w:shd w:val="clear" w:color="auto" w:fill="FFFFFF"/>
          <w:lang w:val="zh-CN" w:eastAsia="zh-CN"/>
        </w:rPr>
        <w:t>（一）评价结论。</w:t>
      </w:r>
      <w:r>
        <w:rPr>
          <w:rFonts w:hint="eastAsia" w:ascii="仿宋_GB2312" w:hAnsi="仿宋_GB2312" w:eastAsia="仿宋_GB2312" w:cs="仿宋_GB2312"/>
          <w:color w:val="auto"/>
          <w:kern w:val="2"/>
          <w:sz w:val="32"/>
          <w:szCs w:val="32"/>
          <w:lang w:val="zh-CN" w:eastAsia="zh-CN" w:bidi="ar-SA"/>
        </w:rPr>
        <w:t>全面完成了年初申报、批复的绩效目标任务，一是切实做好维稳工作，确保退休职工不越级上访，确保不发生群体性上访事件，确保平稳过渡；二是按照有关规定，按时发放退休职工和供养人员生活费；三是及时核实核查财</w:t>
      </w:r>
      <w:r>
        <w:rPr>
          <w:rFonts w:hint="eastAsia" w:ascii="仿宋_GB2312" w:hAnsi="仿宋_GB2312" w:eastAsia="仿宋_GB2312" w:cs="仿宋_GB2312"/>
          <w:color w:val="auto"/>
          <w:kern w:val="2"/>
          <w:sz w:val="32"/>
          <w:szCs w:val="32"/>
          <w:lang w:val="en-US" w:eastAsia="zh-CN" w:bidi="ar-SA"/>
        </w:rPr>
        <w:t>政专项资金（医疗费）的使用情况，确保财政资金的合理使用。但由于单位代管离退休职工生病住院的不确定性，可能存在项目资金不足或结余情况，财政按政策追加或对项目结余资金收回安排。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auto"/>
          <w:kern w:val="2"/>
          <w:sz w:val="32"/>
          <w:szCs w:val="32"/>
          <w:lang w:val="zh-CN" w:eastAsia="zh-CN" w:bidi="ar-SA"/>
        </w:rPr>
      </w:pPr>
      <w:r>
        <w:rPr>
          <w:rFonts w:hint="eastAsia" w:ascii="楷体_GB2312" w:hAnsi="楷体_GB2312" w:eastAsia="楷体_GB2312" w:cs="楷体_GB2312"/>
          <w:b w:val="0"/>
          <w:bCs w:val="0"/>
          <w:color w:val="auto"/>
          <w:kern w:val="0"/>
          <w:sz w:val="32"/>
          <w:szCs w:val="32"/>
          <w:highlight w:val="none"/>
          <w:shd w:val="clear" w:color="auto" w:fill="FFFFFF"/>
          <w:lang w:val="zh-CN" w:eastAsia="zh-CN"/>
        </w:rPr>
        <w:t>（二）存在问题。</w:t>
      </w:r>
      <w:r>
        <w:rPr>
          <w:rFonts w:hint="eastAsia" w:ascii="仿宋_GB2312" w:hAnsi="仿宋_GB2312" w:eastAsia="仿宋_GB2312" w:cs="仿宋_GB2312"/>
          <w:color w:val="auto"/>
          <w:kern w:val="2"/>
          <w:sz w:val="32"/>
          <w:szCs w:val="32"/>
          <w:lang w:val="zh-CN" w:eastAsia="zh-CN" w:bidi="ar-SA"/>
        </w:rPr>
        <w:t>一</w:t>
      </w:r>
      <w:r>
        <w:rPr>
          <w:rFonts w:hint="eastAsia" w:ascii="仿宋_GB2312" w:hAnsi="仿宋_GB2312" w:eastAsia="仿宋_GB2312" w:cs="仿宋_GB2312"/>
          <w:color w:val="auto"/>
          <w:kern w:val="2"/>
          <w:sz w:val="32"/>
          <w:szCs w:val="32"/>
          <w:lang w:val="en-US" w:eastAsia="zh-CN" w:bidi="ar-SA"/>
        </w:rPr>
        <w:t>是部分项目难以用指标量化，不具有项目实体；二是绩效评价工作近年来要求逐渐提高，任务加重、专业性更强，经办人员在理解文件等学习资料上存在偏差，质量不高；三是单位代管离退休职工生病住院的不确定性，可能存在项目资金不足或结余情况。</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zh-CN" w:eastAsia="zh-CN" w:bidi="ar-SA"/>
        </w:rPr>
      </w:pPr>
      <w:r>
        <w:rPr>
          <w:rFonts w:hint="eastAsia" w:ascii="楷体_GB2312" w:hAnsi="楷体_GB2312" w:eastAsia="楷体_GB2312" w:cs="楷体_GB2312"/>
          <w:b w:val="0"/>
          <w:bCs w:val="0"/>
          <w:color w:val="auto"/>
          <w:kern w:val="0"/>
          <w:sz w:val="32"/>
          <w:szCs w:val="32"/>
          <w:highlight w:val="none"/>
          <w:shd w:val="clear" w:color="auto" w:fill="FFFFFF"/>
          <w:lang w:val="zh-CN" w:eastAsia="zh-CN"/>
        </w:rPr>
        <w:t>（三）改进建议。</w:t>
      </w:r>
      <w:r>
        <w:rPr>
          <w:rFonts w:hint="eastAsia" w:ascii="仿宋_GB2312" w:hAnsi="仿宋_GB2312" w:eastAsia="仿宋_GB2312" w:cs="仿宋_GB2312"/>
          <w:color w:val="auto"/>
          <w:kern w:val="2"/>
          <w:sz w:val="32"/>
          <w:szCs w:val="32"/>
          <w:lang w:val="en-US" w:eastAsia="zh-CN" w:bidi="ar-SA"/>
        </w:rPr>
        <w:t>绩效评价是深入贯彻落实新《中华人民共和国</w:t>
      </w:r>
      <w:bookmarkStart w:id="118" w:name="_GoBack"/>
      <w:bookmarkEnd w:id="118"/>
      <w:r>
        <w:rPr>
          <w:rFonts w:hint="eastAsia" w:ascii="仿宋_GB2312" w:hAnsi="仿宋_GB2312" w:eastAsia="仿宋_GB2312" w:cs="仿宋_GB2312"/>
          <w:color w:val="auto"/>
          <w:kern w:val="2"/>
          <w:sz w:val="32"/>
          <w:szCs w:val="32"/>
          <w:lang w:val="en-US" w:eastAsia="zh-CN" w:bidi="ar-SA"/>
        </w:rPr>
        <w:t>预算法》和《国务院关于深化预算管理制度改革的决定》（国发〔2014〕45号）的一项重要内容，建议市财政部门进一步加强对部门绩效评价工作的培训和指导，进一步优化</w:t>
      </w:r>
      <w:r>
        <w:rPr>
          <w:rFonts w:hint="eastAsia" w:ascii="仿宋_GB2312" w:hAnsi="仿宋_GB2312" w:eastAsia="仿宋_GB2312" w:cs="仿宋_GB2312"/>
          <w:color w:val="auto"/>
          <w:kern w:val="2"/>
          <w:sz w:val="32"/>
          <w:szCs w:val="32"/>
          <w:lang w:val="zh-CN" w:eastAsia="zh-CN" w:bidi="ar-SA"/>
        </w:rPr>
        <w:t>特定</w:t>
      </w:r>
      <w:r>
        <w:rPr>
          <w:rFonts w:hint="eastAsia" w:ascii="仿宋_GB2312" w:hAnsi="仿宋_GB2312" w:eastAsia="仿宋_GB2312" w:cs="仿宋_GB2312"/>
          <w:color w:val="auto"/>
          <w:kern w:val="2"/>
          <w:sz w:val="32"/>
          <w:szCs w:val="32"/>
          <w:lang w:val="en-US" w:eastAsia="zh-CN" w:bidi="ar-SA"/>
        </w:rPr>
        <w:t>项目绩效考核指标体系，做到合理性与可操作性的有机统一。</w:t>
      </w:r>
    </w:p>
    <w:p>
      <w:pPr>
        <w:pStyle w:val="5"/>
        <w:rPr>
          <w:rFonts w:hint="eastAsia" w:ascii="仿宋_GB2312" w:hAnsi="仿宋_GB2312" w:eastAsia="仿宋_GB2312" w:cs="仿宋_GB2312"/>
          <w:color w:val="auto"/>
          <w:sz w:val="24"/>
          <w:szCs w:val="24"/>
          <w:highlight w:val="none"/>
        </w:rPr>
      </w:pPr>
    </w:p>
    <w:p>
      <w:pPr>
        <w:pStyle w:val="5"/>
        <w:rPr>
          <w:rFonts w:hint="eastAsia" w:ascii="仿宋_GB2312" w:hAnsi="仿宋_GB2312" w:eastAsia="仿宋_GB2312" w:cs="仿宋_GB2312"/>
          <w:color w:val="auto"/>
          <w:sz w:val="24"/>
          <w:szCs w:val="24"/>
          <w:highlight w:val="none"/>
        </w:rPr>
      </w:pPr>
    </w:p>
    <w:p>
      <w:pPr>
        <w:pStyle w:val="5"/>
        <w:rPr>
          <w:rFonts w:hint="eastAsia" w:ascii="仿宋_GB2312" w:hAnsi="仿宋_GB2312" w:eastAsia="仿宋_GB2312" w:cs="仿宋_GB2312"/>
          <w:color w:val="auto"/>
          <w:sz w:val="24"/>
          <w:szCs w:val="24"/>
          <w:highlight w:val="none"/>
        </w:rPr>
      </w:pPr>
    </w:p>
    <w:p>
      <w:pPr>
        <w:pStyle w:val="5"/>
        <w:rPr>
          <w:rFonts w:hint="eastAsia" w:ascii="仿宋_GB2312" w:hAnsi="仿宋_GB2312" w:eastAsia="仿宋_GB2312" w:cs="仿宋_GB2312"/>
          <w:color w:val="auto"/>
          <w:sz w:val="24"/>
          <w:szCs w:val="24"/>
          <w:highlight w:val="none"/>
        </w:rPr>
      </w:pPr>
    </w:p>
    <w:p>
      <w:pPr>
        <w:pStyle w:val="5"/>
        <w:rPr>
          <w:rFonts w:hint="eastAsia" w:ascii="仿宋_GB2312" w:hAnsi="仿宋_GB2312" w:eastAsia="仿宋_GB2312" w:cs="仿宋_GB2312"/>
          <w:color w:val="auto"/>
          <w:sz w:val="24"/>
          <w:szCs w:val="24"/>
          <w:highlight w:val="none"/>
        </w:rPr>
      </w:pPr>
    </w:p>
    <w:p>
      <w:pPr>
        <w:pStyle w:val="5"/>
        <w:rPr>
          <w:rFonts w:hint="eastAsia" w:ascii="仿宋_GB2312" w:hAnsi="仿宋_GB2312" w:eastAsia="仿宋_GB2312" w:cs="仿宋_GB2312"/>
          <w:color w:val="auto"/>
          <w:sz w:val="24"/>
          <w:szCs w:val="24"/>
          <w:highlight w:val="none"/>
        </w:rPr>
      </w:pPr>
    </w:p>
    <w:p>
      <w:pPr>
        <w:pStyle w:val="5"/>
        <w:rPr>
          <w:rFonts w:hint="eastAsia" w:ascii="仿宋_GB2312" w:hAnsi="仿宋_GB2312" w:eastAsia="仿宋_GB2312" w:cs="仿宋_GB2312"/>
          <w:color w:val="auto"/>
          <w:sz w:val="24"/>
          <w:szCs w:val="24"/>
          <w:highlight w:val="none"/>
        </w:rPr>
      </w:pPr>
    </w:p>
    <w:p>
      <w:pPr>
        <w:pStyle w:val="5"/>
        <w:rPr>
          <w:rFonts w:hint="eastAsia" w:ascii="仿宋_GB2312" w:hAnsi="仿宋_GB2312" w:eastAsia="仿宋_GB2312" w:cs="仿宋_GB2312"/>
          <w:color w:val="auto"/>
          <w:sz w:val="24"/>
          <w:szCs w:val="24"/>
          <w:highlight w:val="none"/>
        </w:rPr>
      </w:pPr>
    </w:p>
    <w:p>
      <w:pPr>
        <w:pStyle w:val="5"/>
        <w:rPr>
          <w:rFonts w:hint="eastAsia" w:ascii="仿宋_GB2312" w:hAnsi="仿宋_GB2312" w:eastAsia="仿宋_GB2312" w:cs="仿宋_GB2312"/>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560" w:lineRule="exact"/>
        <w:contextualSpacing/>
        <w:jc w:val="left"/>
        <w:textAlignment w:val="auto"/>
        <w:rPr>
          <w:rFonts w:hint="eastAsia" w:ascii="楷体_GB2312" w:hAnsi="楷体_GB2312" w:eastAsia="楷体_GB2312" w:cs="楷体_GB2312"/>
          <w:b/>
          <w:bCs/>
          <w:color w:val="auto"/>
          <w:kern w:val="0"/>
          <w:sz w:val="32"/>
          <w:szCs w:val="32"/>
          <w:highlight w:val="none"/>
          <w:shd w:val="clear" w:color="auto" w:fill="FFFFFF"/>
          <w:lang w:val="zh-CN"/>
        </w:rPr>
      </w:pPr>
    </w:p>
    <w:p>
      <w:pPr>
        <w:pStyle w:val="1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sz w:val="32"/>
          <w:szCs w:val="32"/>
          <w:highlight w:val="none"/>
          <w:lang w:val="en-US" w:eastAsia="zh-CN"/>
        </w:rPr>
        <w:t>部门预算项目支出绩效自评表（2022年度）</w:t>
      </w:r>
    </w:p>
    <w:tbl>
      <w:tblPr>
        <w:tblStyle w:val="14"/>
        <w:tblW w:w="86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4"/>
        <w:gridCol w:w="731"/>
        <w:gridCol w:w="825"/>
        <w:gridCol w:w="919"/>
        <w:gridCol w:w="581"/>
        <w:gridCol w:w="506"/>
        <w:gridCol w:w="488"/>
        <w:gridCol w:w="1275"/>
        <w:gridCol w:w="468"/>
        <w:gridCol w:w="619"/>
        <w:gridCol w:w="375"/>
        <w:gridCol w:w="1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654"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44"/>
                <w:szCs w:val="44"/>
                <w:u w:val="none"/>
              </w:rPr>
            </w:pPr>
            <w:r>
              <w:rPr>
                <w:rFonts w:hint="default" w:ascii="仿宋_GB2312" w:hAnsi="仿宋_GB2312" w:eastAsia="仿宋_GB2312" w:cs="仿宋_GB2312"/>
                <w:color w:val="auto"/>
                <w:kern w:val="2"/>
                <w:sz w:val="32"/>
                <w:szCs w:val="32"/>
                <w:highlight w:val="none"/>
                <w:lang w:val="en-US" w:eastAsia="zh-CN" w:bidi="ar-SA"/>
              </w:rPr>
              <w:t>部门预算项目支出绩效目标自评表（2022年度）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项目名称</w:t>
            </w:r>
          </w:p>
        </w:tc>
        <w:tc>
          <w:tcPr>
            <w:tcW w:w="70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退休及遗属人员工资补助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5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主管部门（盖章）</w:t>
            </w:r>
          </w:p>
        </w:tc>
        <w:tc>
          <w:tcPr>
            <w:tcW w:w="33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广元市停撤企业服务中心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实施单位（盖章）</w:t>
            </w:r>
          </w:p>
        </w:tc>
        <w:tc>
          <w:tcPr>
            <w:tcW w:w="24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广元市停撤企业服务中心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项目基本情况</w:t>
            </w:r>
          </w:p>
        </w:tc>
        <w:tc>
          <w:tcPr>
            <w:tcW w:w="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1.项目年度目标完成情况</w:t>
            </w:r>
          </w:p>
        </w:tc>
        <w:tc>
          <w:tcPr>
            <w:tcW w:w="33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项目年度目标</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u w:val="none"/>
              </w:rPr>
            </w:pPr>
          </w:p>
        </w:tc>
        <w:tc>
          <w:tcPr>
            <w:tcW w:w="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u w:val="none"/>
              </w:rPr>
            </w:pPr>
          </w:p>
        </w:tc>
        <w:tc>
          <w:tcPr>
            <w:tcW w:w="33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按时发放退休人员工资。</w:t>
            </w:r>
          </w:p>
        </w:tc>
        <w:tc>
          <w:tcPr>
            <w:tcW w:w="37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按月计发代管离退休及遗属人员工资。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2.项目实施内容及过程概述</w:t>
            </w:r>
          </w:p>
        </w:tc>
        <w:tc>
          <w:tcPr>
            <w:tcW w:w="706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结合日常信息核查工作，按照人社局核定工资标准，在中心领导审批后，中心财务通过预算一体化系统按月计发单位代管离退休及遗属人员工资。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预算执行情况（10分）</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年度预算数（万元）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年初预算</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调整后预算数</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预算执行数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预算执行率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权重%</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部门自评得分</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财政部门科室复评得分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总额</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139.16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136.03</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99.40%%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年初预算139.16万元，包括上年结转3.13万元，当年预算136.03万元，依据项目完成情况，年中报请财政收回上年结转3.13万元。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其中：财政资金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139.16</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136.03</w:t>
            </w: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135.21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财政专户管理资金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其他资金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绩效指标（90分）</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一级指标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二级指标</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三级指标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指标性质</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指标值</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度量单位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完成值</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权重</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部门自评得分</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财政部门科室复评得分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保障工资人员数量</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足额保障代管离退休及遗属人员42人工资</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足额保障工资</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结余率0.60%，足额保障了离退休及遗属人员工资</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工资按月发放率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实行工资按月发放</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按预算执行</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136.0297</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万元</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实际支付135.21万元</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可持续影响指标</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维持代管国企改制退休职工稳定</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定性</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好坏</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任务完成好，全年无越级上访事件发生</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8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服务对象满意度指标</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退休及遗属人员满意度</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服务对象满意度高，达到95%以上</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17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合计</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部门（单位）自评结论</w:t>
            </w:r>
          </w:p>
        </w:tc>
        <w:tc>
          <w:tcPr>
            <w:tcW w:w="78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项目预算数136.03万元，实际支付135.21万元，预算执行率99.40%，足额保障并按月发放工资，服务对象满意度高，完成了绩效目标任务。项目自评总分100分。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部门（单位）自评存在问题</w:t>
            </w:r>
          </w:p>
        </w:tc>
        <w:tc>
          <w:tcPr>
            <w:tcW w:w="78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代管离退休及遗属人员年龄普遍偏大，因人员减少核销工资有滞后情况。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部门（单位）自评改进措施</w:t>
            </w:r>
          </w:p>
        </w:tc>
        <w:tc>
          <w:tcPr>
            <w:tcW w:w="78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进一步加强人员信息核查，严格绩效监控和预算执行进度。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财政部门对口科室复评结论及整改要求</w:t>
            </w:r>
          </w:p>
        </w:tc>
        <w:tc>
          <w:tcPr>
            <w:tcW w:w="78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9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单位项目负责人：</w:t>
            </w:r>
          </w:p>
        </w:tc>
        <w:tc>
          <w:tcPr>
            <w:tcW w:w="47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91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部门项目负责人：</w:t>
            </w:r>
          </w:p>
        </w:tc>
        <w:tc>
          <w:tcPr>
            <w:tcW w:w="47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65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财政部门科室负责人：</w:t>
            </w:r>
          </w:p>
        </w:tc>
      </w:tr>
    </w:tbl>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r>
        <w:rPr>
          <w:rStyle w:val="18"/>
          <w:rFonts w:ascii="黑体" w:hAnsi="黑体" w:eastAsia="黑体"/>
          <w:b w:val="0"/>
          <w:color w:val="auto"/>
          <w:highlight w:val="none"/>
        </w:rPr>
        <w:br w:type="page"/>
      </w:r>
    </w:p>
    <w:tbl>
      <w:tblPr>
        <w:tblStyle w:val="14"/>
        <w:tblW w:w="80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6"/>
        <w:gridCol w:w="807"/>
        <w:gridCol w:w="468"/>
        <w:gridCol w:w="657"/>
        <w:gridCol w:w="467"/>
        <w:gridCol w:w="394"/>
        <w:gridCol w:w="356"/>
        <w:gridCol w:w="919"/>
        <w:gridCol w:w="487"/>
        <w:gridCol w:w="450"/>
        <w:gridCol w:w="525"/>
        <w:gridCol w:w="14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021"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44"/>
                <w:szCs w:val="44"/>
                <w:u w:val="none"/>
              </w:rPr>
            </w:pPr>
            <w:r>
              <w:rPr>
                <w:rFonts w:hint="default" w:ascii="仿宋_GB2312" w:hAnsi="仿宋_GB2312" w:eastAsia="仿宋_GB2312" w:cs="仿宋_GB2312"/>
                <w:color w:val="auto"/>
                <w:kern w:val="2"/>
                <w:sz w:val="32"/>
                <w:szCs w:val="32"/>
                <w:highlight w:val="none"/>
                <w:lang w:val="en-US" w:eastAsia="zh-CN" w:bidi="ar-SA"/>
              </w:rPr>
              <w:t>部门预算项目支出绩效目标自评表（2022年度）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项目名称</w:t>
            </w:r>
          </w:p>
        </w:tc>
        <w:tc>
          <w:tcPr>
            <w:tcW w:w="61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主管部门（盖章）</w:t>
            </w:r>
          </w:p>
        </w:tc>
        <w:tc>
          <w:tcPr>
            <w:tcW w:w="2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广元市停撤企业服务中心</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实施单位（盖章）</w:t>
            </w:r>
          </w:p>
        </w:tc>
        <w:tc>
          <w:tcPr>
            <w:tcW w:w="29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广元市停撤企业服务中心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项目基本情况</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1.项目年度目标完成情况</w:t>
            </w:r>
          </w:p>
        </w:tc>
        <w:tc>
          <w:tcPr>
            <w:tcW w:w="2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项目年度目标</w:t>
            </w:r>
          </w:p>
        </w:tc>
        <w:tc>
          <w:tcPr>
            <w:tcW w:w="3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u w:val="none"/>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u w:val="none"/>
              </w:rPr>
            </w:pPr>
          </w:p>
        </w:tc>
        <w:tc>
          <w:tcPr>
            <w:tcW w:w="23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保障离退休人员医疗费。</w:t>
            </w:r>
          </w:p>
        </w:tc>
        <w:tc>
          <w:tcPr>
            <w:tcW w:w="38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预算执行率58.59%，完成医疗费保障对象全覆盖，按规定标准和时限报销医疗费，全年未发生越级上访事件，离退休人员满意度高。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2.项目实施内容及过程概述</w:t>
            </w:r>
          </w:p>
        </w:tc>
        <w:tc>
          <w:tcPr>
            <w:tcW w:w="616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中心工作人员收到代管离退休人员提交的住院单据后，依据报销范围和比例核定报销金额，交中心主任审核后通过预算一体化系统支付医疗费。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预算执行情况（10分）</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年度预算数（万元）</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年初预算</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调整后预算数</w:t>
            </w:r>
          </w:p>
        </w:tc>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预算执行数</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预算执行率</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部门自评得分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财政部门科室复评得分</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总额</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69.82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40.00</w:t>
            </w:r>
          </w:p>
        </w:tc>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23.43</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58.59%</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1.预算执行率未达到90%的原因为离退休职工生病住院的不确定性和受疫情影响无法及时前来办理报销业务</w:t>
            </w:r>
            <w:r>
              <w:rPr>
                <w:rFonts w:hint="eastAsia" w:ascii="宋体" w:hAnsi="宋体" w:cs="宋体"/>
                <w:i w:val="0"/>
                <w:iCs w:val="0"/>
                <w:color w:val="auto"/>
                <w:kern w:val="0"/>
                <w:sz w:val="18"/>
                <w:szCs w:val="18"/>
                <w:u w:val="none"/>
                <w:lang w:val="en-US" w:eastAsia="zh-CN" w:bidi="ar"/>
              </w:rPr>
              <w:t>；</w:t>
            </w:r>
            <w:r>
              <w:rPr>
                <w:rFonts w:hint="eastAsia" w:ascii="宋体" w:hAnsi="宋体" w:eastAsia="宋体" w:cs="宋体"/>
                <w:i w:val="0"/>
                <w:iCs w:val="0"/>
                <w:color w:val="auto"/>
                <w:kern w:val="0"/>
                <w:sz w:val="18"/>
                <w:szCs w:val="18"/>
                <w:u w:val="none"/>
                <w:lang w:val="en-US" w:eastAsia="zh-CN" w:bidi="ar"/>
              </w:rPr>
              <w:t>2.年初预算69.82万元，其中上年结转29.82万元，根据绩效监控和预算执行情况，年中报请财政进行预算调剂，收回财政29.82万元。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其中：财政资金</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69.82</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40.00</w:t>
            </w:r>
          </w:p>
        </w:tc>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23.43</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财政专户管理资金</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单位资金</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其他资金</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绩效指标（90分）</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一级指标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二级指标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三级指标</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指标性质</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指标值</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度量单位</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完成值</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部门自评得分</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财政部门科室复评得分</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医疗费保障对象</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全员保障了生病住院职工医疗费报销</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医疗费报销比例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85</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按规定比例85%报销医疗费</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支付时效</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个工作日</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收到报销凭单后及时核定报销金额，在30个工作日内支付</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预算执行率</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95</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实际执行率为58.59%</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离退休职工生病住院的不确定性和受疫情影响无法及时报销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越级上访事件</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全年无越级上访事件发生</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服务对象满意度指标</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离退休人员满意度</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服务对象满意度高，达到95%以上</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合计</w:t>
            </w:r>
          </w:p>
        </w:tc>
        <w:tc>
          <w:tcPr>
            <w:tcW w:w="4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94</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部门（单位）自评结论</w:t>
            </w:r>
          </w:p>
        </w:tc>
        <w:tc>
          <w:tcPr>
            <w:tcW w:w="69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项目预算数40万元，实际支付23.43万元，预算执行率58.59%，完成医疗费保障对象=100%、医疗费报销比例=85%、支付时效≤30个工作日、越级上访事件≤3次、离退休人员满意度≥90%等绩效指标，项目自评总分94分，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部门（单位）自评存在问题</w:t>
            </w:r>
          </w:p>
        </w:tc>
        <w:tc>
          <w:tcPr>
            <w:tcW w:w="69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因离退休职工生病住院的不确定性和受疫情影响无法及时报销，导致预算执行率偏低。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部门（单位）自评改进措施</w:t>
            </w:r>
          </w:p>
        </w:tc>
        <w:tc>
          <w:tcPr>
            <w:tcW w:w="69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进一步提高预算编制精准度，加强项目绩效监控和支付进度。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财政部门对口科室复评结论及整改要求</w:t>
            </w:r>
          </w:p>
        </w:tc>
        <w:tc>
          <w:tcPr>
            <w:tcW w:w="697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34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单位项目负责人：</w:t>
            </w:r>
          </w:p>
        </w:tc>
        <w:tc>
          <w:tcPr>
            <w:tcW w:w="45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34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部门项目负责人：</w:t>
            </w:r>
          </w:p>
        </w:tc>
        <w:tc>
          <w:tcPr>
            <w:tcW w:w="45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部门财务负责人：</w:t>
            </w:r>
          </w:p>
        </w:tc>
      </w:tr>
    </w:tbl>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tbl>
      <w:tblPr>
        <w:tblStyle w:val="14"/>
        <w:tblW w:w="8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1027"/>
        <w:gridCol w:w="753"/>
        <w:gridCol w:w="753"/>
        <w:gridCol w:w="426"/>
        <w:gridCol w:w="507"/>
        <w:gridCol w:w="338"/>
        <w:gridCol w:w="994"/>
        <w:gridCol w:w="488"/>
        <w:gridCol w:w="666"/>
        <w:gridCol w:w="397"/>
        <w:gridCol w:w="13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1"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44"/>
                <w:szCs w:val="44"/>
                <w:u w:val="none"/>
              </w:rPr>
            </w:pPr>
            <w:r>
              <w:rPr>
                <w:rFonts w:hint="default" w:ascii="仿宋_GB2312" w:hAnsi="仿宋_GB2312" w:eastAsia="仿宋_GB2312" w:cs="仿宋_GB2312"/>
                <w:color w:val="auto"/>
                <w:kern w:val="2"/>
                <w:sz w:val="32"/>
                <w:szCs w:val="32"/>
                <w:highlight w:val="none"/>
                <w:lang w:val="en-US" w:eastAsia="zh-CN" w:bidi="ar-SA"/>
              </w:rPr>
              <w:t>部门预算项目支出绩效目标自评表（2022年度）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项目名称</w:t>
            </w:r>
          </w:p>
        </w:tc>
        <w:tc>
          <w:tcPr>
            <w:tcW w:w="6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退休职工座谈慰问、维稳费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主管部门（盖章）</w:t>
            </w:r>
          </w:p>
        </w:tc>
        <w:tc>
          <w:tcPr>
            <w:tcW w:w="27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广元市停撤企业服务中心</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实施单位（盖章）</w:t>
            </w:r>
          </w:p>
        </w:tc>
        <w:tc>
          <w:tcPr>
            <w:tcW w:w="29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广元市停撤企业服务中心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6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项目基本情况</w:t>
            </w:r>
          </w:p>
        </w:tc>
        <w:tc>
          <w:tcPr>
            <w:tcW w:w="10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1.项目年度目标完成情况</w:t>
            </w:r>
          </w:p>
        </w:tc>
        <w:tc>
          <w:tcPr>
            <w:tcW w:w="27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项目年度目标</w:t>
            </w:r>
          </w:p>
        </w:tc>
        <w:tc>
          <w:tcPr>
            <w:tcW w:w="39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0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auto"/>
                <w:sz w:val="18"/>
                <w:szCs w:val="18"/>
                <w:u w:val="none"/>
              </w:rPr>
            </w:pPr>
          </w:p>
        </w:tc>
        <w:tc>
          <w:tcPr>
            <w:tcW w:w="27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完成2022度离退休人员生活困难、生病住院的慰问工作；做好离退休人员稳定走访调查工作，确保离退休人员不越级上访，确保平稳过渡。</w:t>
            </w:r>
          </w:p>
        </w:tc>
        <w:tc>
          <w:tcPr>
            <w:tcW w:w="391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完成了年度离退休人员生活困难、生病住院的慰问工作；全年上门慰问、维稳105次，无越级上访事件发生。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2.项目实施内容及过程概述</w:t>
            </w:r>
          </w:p>
        </w:tc>
        <w:tc>
          <w:tcPr>
            <w:tcW w:w="66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按照年初制定的走访工作计划、走访对象和频次，适时上门走访、核查代管离退休及遗属人员信息，宣讲医疗、养老等政策，做好年度离退休人员生活困难、生病住院的慰问工作。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预算执行情况（10分）</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年度预算数（万元）</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年初预算</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调整后预算数</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预算执行数</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预算执行率</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部门自评得分</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财政部门科室复评得分</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总额</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25.29</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20.29</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89.16%</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1.预算执行率未达到90%的原因为受疫情影响，第四季度未能按期开展走访慰问维稳工作。2.依据绩效监控和项目执行进度，年中报请财政进行预算调剂，收回财政5万元。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其中：财政资金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25.29</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20.29</w:t>
            </w: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18.09</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89.16%</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财政专户管理资金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其他资金</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12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79"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绩效指标（90分）</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一级指标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二级指标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三级指标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指标性质</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指标值</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度量单位</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完成值</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部门自评得分</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财政部门科室复评得分</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上门慰问、维稳次数</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全年上门慰问、维稳105次</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时效指标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完成时间</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2022</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年底前完成全覆盖走访慰问</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产出指标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质量指标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慰问、维稳全覆盖率</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实现了慰问维稳全覆盖</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成本指标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完成预算额度</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预算执行率89.15%</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17.83</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受疫情影响未能按期开展走访慰问维稳工作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社会效益指标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越级上访人次</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人次</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全年无越级上访事件发生</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7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auto"/>
                <w:sz w:val="18"/>
                <w:szCs w:val="18"/>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满意度指标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服务对象满意度指标</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对离退休人员</w:t>
            </w:r>
          </w:p>
        </w:tc>
        <w:tc>
          <w:tcPr>
            <w:tcW w:w="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w:t>
            </w:r>
          </w:p>
        </w:tc>
        <w:tc>
          <w:tcPr>
            <w:tcW w:w="3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服务对象满意度高，达到95%以上</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40" w:hRule="atLeast"/>
        </w:trPr>
        <w:tc>
          <w:tcPr>
            <w:tcW w:w="53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合计</w:t>
            </w:r>
          </w:p>
        </w:tc>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96.83</w:t>
            </w:r>
          </w:p>
        </w:tc>
        <w:tc>
          <w:tcPr>
            <w:tcW w:w="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部门（单位）自评结论</w:t>
            </w:r>
          </w:p>
        </w:tc>
        <w:tc>
          <w:tcPr>
            <w:tcW w:w="77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项目预算数20.29万元，实际支付18.09万元，预算执行率89.15%，上门慰问、维稳次数达到设定的100次目标任务，全年无越级上访事件发生，服务对象满意度高，绩效目标任务完成较好，项目自评总分96.83分。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部门（单位）自评存在问题</w:t>
            </w:r>
          </w:p>
        </w:tc>
        <w:tc>
          <w:tcPr>
            <w:tcW w:w="77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受疫情影响未能按期开展走访慰问维稳工作，影响预算执行进度，年中报请财政进行了预算调剂。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部门（单位）自评改进措施</w:t>
            </w:r>
          </w:p>
        </w:tc>
        <w:tc>
          <w:tcPr>
            <w:tcW w:w="77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我中心将进一步精准编制预算，加强预算绩效监控，合理安排走访慰问维稳工作。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20"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财政部门对口科室复评结论及整改要求</w:t>
            </w:r>
          </w:p>
        </w:tc>
        <w:tc>
          <w:tcPr>
            <w:tcW w:w="772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单位项目负责人：</w:t>
            </w:r>
          </w:p>
        </w:tc>
        <w:tc>
          <w:tcPr>
            <w:tcW w:w="476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53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部门项目负责人：</w:t>
            </w:r>
          </w:p>
        </w:tc>
        <w:tc>
          <w:tcPr>
            <w:tcW w:w="476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01"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财政部门科室负责人：</w:t>
            </w:r>
          </w:p>
        </w:tc>
      </w:tr>
    </w:tbl>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pStyle w:val="13"/>
        <w:keepNext w:val="0"/>
        <w:keepLines w:val="0"/>
        <w:pageBreakBefore w:val="0"/>
        <w:numPr>
          <w:ilvl w:val="0"/>
          <w:numId w:val="0"/>
        </w:numPr>
        <w:kinsoku/>
        <w:wordWrap/>
        <w:overflowPunct/>
        <w:topLinePunct w:val="0"/>
        <w:autoSpaceDE/>
        <w:autoSpaceDN/>
        <w:bidi w:val="0"/>
        <w:spacing w:line="560" w:lineRule="exact"/>
        <w:textAlignment w:val="auto"/>
        <w:rPr>
          <w:rStyle w:val="18"/>
          <w:rFonts w:ascii="黑体" w:hAnsi="黑体" w:eastAsia="黑体"/>
          <w:b w:val="0"/>
          <w:color w:val="auto"/>
          <w:highlight w:val="none"/>
        </w:rPr>
      </w:pPr>
    </w:p>
    <w:p>
      <w:pPr>
        <w:spacing w:line="600" w:lineRule="exact"/>
        <w:jc w:val="center"/>
        <w:outlineLvl w:val="0"/>
        <w:rPr>
          <w:rFonts w:hint="eastAsia" w:ascii="仿宋" w:hAnsi="仿宋" w:eastAsia="仿宋"/>
          <w:b w:val="0"/>
          <w:color w:val="auto"/>
          <w:highlight w:val="none"/>
        </w:rPr>
      </w:pPr>
      <w:bookmarkStart w:id="90" w:name="_Toc14818"/>
      <w:bookmarkStart w:id="91" w:name="_Toc15396618"/>
      <w:r>
        <w:rPr>
          <w:rFonts w:hint="eastAsia" w:ascii="黑体" w:hAnsi="黑体" w:eastAsia="黑体"/>
          <w:color w:val="auto"/>
          <w:sz w:val="44"/>
          <w:szCs w:val="44"/>
          <w:highlight w:val="none"/>
        </w:rPr>
        <w:t>第</w:t>
      </w:r>
      <w:r>
        <w:rPr>
          <w:rStyle w:val="18"/>
          <w:rFonts w:hint="eastAsia" w:ascii="黑体" w:hAnsi="黑体" w:eastAsia="黑体"/>
          <w:b w:val="0"/>
          <w:color w:val="auto"/>
          <w:highlight w:val="none"/>
        </w:rPr>
        <w:t>五部分附表</w:t>
      </w:r>
      <w:bookmarkEnd w:id="79"/>
      <w:bookmarkEnd w:id="90"/>
      <w:bookmarkEnd w:id="91"/>
      <w:bookmarkStart w:id="92" w:name="_Toc15396619"/>
    </w:p>
    <w:p>
      <w:pPr>
        <w:pStyle w:val="3"/>
        <w:rPr>
          <w:rFonts w:ascii="仿宋" w:hAnsi="仿宋" w:eastAsia="仿宋"/>
          <w:color w:val="auto"/>
          <w:highlight w:val="none"/>
        </w:rPr>
      </w:pPr>
      <w:bookmarkStart w:id="93" w:name="_Toc11289"/>
      <w:r>
        <w:rPr>
          <w:rFonts w:hint="eastAsia" w:ascii="仿宋" w:hAnsi="仿宋" w:eastAsia="仿宋"/>
          <w:b w:val="0"/>
          <w:color w:val="auto"/>
          <w:highlight w:val="none"/>
        </w:rPr>
        <w:t>一、收</w:t>
      </w:r>
      <w:r>
        <w:rPr>
          <w:rStyle w:val="19"/>
          <w:rFonts w:hint="eastAsia" w:ascii="仿宋" w:hAnsi="仿宋" w:eastAsia="仿宋"/>
          <w:b w:val="0"/>
          <w:bCs w:val="0"/>
          <w:color w:val="auto"/>
          <w:highlight w:val="none"/>
        </w:rPr>
        <w:t>入支出决算总表</w:t>
      </w:r>
      <w:bookmarkEnd w:id="92"/>
      <w:bookmarkEnd w:id="93"/>
    </w:p>
    <w:p>
      <w:pPr>
        <w:pStyle w:val="3"/>
        <w:rPr>
          <w:rFonts w:ascii="仿宋" w:hAnsi="仿宋" w:eastAsia="仿宋"/>
          <w:color w:val="auto"/>
          <w:highlight w:val="none"/>
        </w:rPr>
      </w:pPr>
      <w:bookmarkStart w:id="94" w:name="_Toc18034"/>
      <w:bookmarkStart w:id="95" w:name="_Toc15396620"/>
      <w:r>
        <w:rPr>
          <w:rFonts w:hint="eastAsia" w:ascii="仿宋" w:hAnsi="仿宋" w:eastAsia="仿宋"/>
          <w:b w:val="0"/>
          <w:color w:val="auto"/>
          <w:highlight w:val="none"/>
        </w:rPr>
        <w:t>二、收</w:t>
      </w:r>
      <w:r>
        <w:rPr>
          <w:rStyle w:val="19"/>
          <w:rFonts w:hint="eastAsia" w:ascii="仿宋" w:hAnsi="仿宋" w:eastAsia="仿宋"/>
          <w:b w:val="0"/>
          <w:bCs w:val="0"/>
          <w:color w:val="auto"/>
          <w:highlight w:val="none"/>
        </w:rPr>
        <w:t>入决算表</w:t>
      </w:r>
      <w:bookmarkEnd w:id="94"/>
      <w:bookmarkEnd w:id="95"/>
    </w:p>
    <w:p>
      <w:pPr>
        <w:pStyle w:val="3"/>
        <w:rPr>
          <w:rFonts w:ascii="仿宋" w:hAnsi="仿宋" w:eastAsia="仿宋"/>
          <w:color w:val="auto"/>
          <w:highlight w:val="none"/>
        </w:rPr>
      </w:pPr>
      <w:bookmarkStart w:id="96" w:name="_Toc27353"/>
      <w:bookmarkStart w:id="97" w:name="_Toc15396621"/>
      <w:r>
        <w:rPr>
          <w:rStyle w:val="1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9"/>
          <w:rFonts w:hint="eastAsia" w:ascii="仿宋" w:hAnsi="仿宋" w:eastAsia="仿宋"/>
          <w:b w:val="0"/>
          <w:bCs w:val="0"/>
          <w:color w:val="auto"/>
          <w:highlight w:val="none"/>
        </w:rPr>
        <w:t>出决算表</w:t>
      </w:r>
      <w:bookmarkEnd w:id="96"/>
      <w:bookmarkEnd w:id="97"/>
    </w:p>
    <w:p>
      <w:pPr>
        <w:pStyle w:val="3"/>
        <w:rPr>
          <w:rFonts w:ascii="仿宋" w:hAnsi="仿宋" w:eastAsia="仿宋"/>
          <w:b w:val="0"/>
          <w:color w:val="auto"/>
          <w:highlight w:val="none"/>
        </w:rPr>
      </w:pPr>
      <w:bookmarkStart w:id="98" w:name="_Toc4091"/>
      <w:bookmarkStart w:id="99" w:name="_Toc15396622"/>
      <w:r>
        <w:rPr>
          <w:rStyle w:val="1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9"/>
          <w:rFonts w:hint="eastAsia" w:ascii="仿宋" w:hAnsi="仿宋" w:eastAsia="仿宋"/>
          <w:b w:val="0"/>
          <w:bCs w:val="0"/>
          <w:color w:val="auto"/>
          <w:highlight w:val="none"/>
        </w:rPr>
        <w:t>政拨款收入支出决算总表</w:t>
      </w:r>
      <w:bookmarkEnd w:id="98"/>
      <w:bookmarkEnd w:id="99"/>
    </w:p>
    <w:p>
      <w:pPr>
        <w:pStyle w:val="3"/>
        <w:rPr>
          <w:rStyle w:val="19"/>
          <w:rFonts w:ascii="仿宋" w:hAnsi="仿宋" w:eastAsia="仿宋"/>
          <w:b w:val="0"/>
          <w:bCs w:val="0"/>
          <w:color w:val="auto"/>
          <w:highlight w:val="none"/>
        </w:rPr>
      </w:pPr>
      <w:bookmarkStart w:id="100" w:name="_Toc15396623"/>
      <w:bookmarkStart w:id="101" w:name="_Toc25477"/>
      <w:r>
        <w:rPr>
          <w:rStyle w:val="1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9"/>
          <w:rFonts w:hint="eastAsia" w:ascii="仿宋" w:hAnsi="仿宋" w:eastAsia="仿宋"/>
          <w:b w:val="0"/>
          <w:bCs w:val="0"/>
          <w:color w:val="auto"/>
          <w:highlight w:val="none"/>
        </w:rPr>
        <w:t>政拨款支出决算明细表</w:t>
      </w:r>
      <w:bookmarkEnd w:id="100"/>
      <w:bookmarkEnd w:id="101"/>
      <w:bookmarkStart w:id="102" w:name="_Toc15396624"/>
    </w:p>
    <w:p>
      <w:pPr>
        <w:pStyle w:val="3"/>
        <w:rPr>
          <w:rFonts w:ascii="仿宋" w:hAnsi="仿宋" w:eastAsia="仿宋"/>
          <w:color w:val="auto"/>
          <w:highlight w:val="none"/>
        </w:rPr>
      </w:pPr>
      <w:bookmarkStart w:id="103" w:name="_Toc29257"/>
      <w:r>
        <w:rPr>
          <w:rStyle w:val="1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般公共预算财政拨款支出决算表</w:t>
      </w:r>
      <w:bookmarkEnd w:id="102"/>
      <w:bookmarkEnd w:id="103"/>
    </w:p>
    <w:p>
      <w:pPr>
        <w:pStyle w:val="3"/>
        <w:rPr>
          <w:rFonts w:ascii="仿宋" w:hAnsi="仿宋" w:eastAsia="仿宋"/>
          <w:color w:val="auto"/>
          <w:highlight w:val="none"/>
        </w:rPr>
      </w:pPr>
      <w:bookmarkStart w:id="104" w:name="_Toc29506"/>
      <w:bookmarkStart w:id="105" w:name="_Toc15396625"/>
      <w:r>
        <w:rPr>
          <w:rStyle w:val="1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般公共预算财政拨款支出决算明细表</w:t>
      </w:r>
      <w:bookmarkEnd w:id="104"/>
      <w:bookmarkEnd w:id="105"/>
    </w:p>
    <w:p>
      <w:pPr>
        <w:pStyle w:val="3"/>
        <w:rPr>
          <w:rFonts w:ascii="仿宋" w:hAnsi="仿宋" w:eastAsia="仿宋"/>
          <w:color w:val="auto"/>
          <w:highlight w:val="none"/>
        </w:rPr>
      </w:pPr>
      <w:bookmarkStart w:id="106" w:name="_Toc19514"/>
      <w:bookmarkStart w:id="107" w:name="_Toc15396626"/>
      <w:r>
        <w:rPr>
          <w:rStyle w:val="1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般公共预算财政拨款基本支出决算表</w:t>
      </w:r>
      <w:bookmarkEnd w:id="106"/>
      <w:bookmarkEnd w:id="107"/>
    </w:p>
    <w:p>
      <w:pPr>
        <w:pStyle w:val="3"/>
        <w:rPr>
          <w:rFonts w:ascii="仿宋" w:hAnsi="仿宋" w:eastAsia="仿宋"/>
          <w:color w:val="auto"/>
          <w:highlight w:val="none"/>
        </w:rPr>
      </w:pPr>
      <w:bookmarkStart w:id="108" w:name="_Toc15396627"/>
      <w:bookmarkStart w:id="109" w:name="_Toc17056"/>
      <w:r>
        <w:rPr>
          <w:rStyle w:val="1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般公共预算财政拨款项目支出决算表</w:t>
      </w:r>
      <w:bookmarkEnd w:id="108"/>
      <w:bookmarkEnd w:id="109"/>
    </w:p>
    <w:p>
      <w:pPr>
        <w:pStyle w:val="3"/>
        <w:rPr>
          <w:rFonts w:ascii="仿宋" w:hAnsi="仿宋" w:eastAsia="仿宋"/>
          <w:color w:val="auto"/>
          <w:highlight w:val="none"/>
        </w:rPr>
      </w:pPr>
      <w:bookmarkStart w:id="110" w:name="_Toc15396628"/>
      <w:bookmarkStart w:id="111" w:name="_Toc23729"/>
      <w:r>
        <w:rPr>
          <w:rStyle w:val="19"/>
          <w:rFonts w:hint="eastAsia" w:ascii="仿宋" w:hAnsi="仿宋" w:eastAsia="仿宋"/>
          <w:b w:val="0"/>
          <w:bCs w:val="0"/>
          <w:color w:val="auto"/>
          <w:highlight w:val="none"/>
        </w:rPr>
        <w:t>十、</w:t>
      </w:r>
      <w:bookmarkEnd w:id="110"/>
      <w:r>
        <w:rPr>
          <w:rFonts w:hint="eastAsia" w:ascii="仿宋" w:hAnsi="仿宋" w:eastAsia="仿宋"/>
          <w:b w:val="0"/>
          <w:color w:val="auto"/>
          <w:highlight w:val="none"/>
        </w:rPr>
        <w:t>政</w:t>
      </w:r>
      <w:r>
        <w:rPr>
          <w:rStyle w:val="19"/>
          <w:rFonts w:hint="eastAsia" w:ascii="仿宋" w:hAnsi="仿宋" w:eastAsia="仿宋"/>
          <w:b w:val="0"/>
          <w:bCs w:val="0"/>
          <w:color w:val="auto"/>
          <w:highlight w:val="none"/>
        </w:rPr>
        <w:t>府性基金预算财政拨款收入支出决算表</w:t>
      </w:r>
      <w:bookmarkEnd w:id="111"/>
    </w:p>
    <w:p>
      <w:pPr>
        <w:pStyle w:val="3"/>
        <w:rPr>
          <w:rFonts w:ascii="仿宋" w:hAnsi="仿宋" w:eastAsia="仿宋"/>
          <w:color w:val="auto"/>
          <w:highlight w:val="none"/>
        </w:rPr>
      </w:pPr>
      <w:bookmarkStart w:id="112" w:name="_Toc15396629"/>
      <w:bookmarkStart w:id="113" w:name="_Toc21281"/>
      <w:r>
        <w:rPr>
          <w:rStyle w:val="19"/>
          <w:rFonts w:hint="eastAsia" w:ascii="仿宋" w:hAnsi="仿宋" w:eastAsia="仿宋"/>
          <w:b w:val="0"/>
          <w:bCs w:val="0"/>
          <w:color w:val="auto"/>
          <w:highlight w:val="none"/>
        </w:rPr>
        <w:t>十一、</w:t>
      </w:r>
      <w:bookmarkEnd w:id="112"/>
      <w:r>
        <w:rPr>
          <w:rFonts w:hint="eastAsia" w:ascii="仿宋" w:hAnsi="仿宋" w:eastAsia="仿宋"/>
          <w:b w:val="0"/>
          <w:color w:val="auto"/>
          <w:highlight w:val="none"/>
        </w:rPr>
        <w:t>国</w:t>
      </w:r>
      <w:r>
        <w:rPr>
          <w:rStyle w:val="19"/>
          <w:rFonts w:hint="eastAsia" w:ascii="仿宋" w:hAnsi="仿宋" w:eastAsia="仿宋"/>
          <w:b w:val="0"/>
          <w:bCs w:val="0"/>
          <w:color w:val="auto"/>
          <w:highlight w:val="none"/>
        </w:rPr>
        <w:t>有资本经营预算</w:t>
      </w:r>
      <w:r>
        <w:rPr>
          <w:rStyle w:val="19"/>
          <w:rFonts w:hint="eastAsia" w:ascii="仿宋" w:hAnsi="仿宋" w:eastAsia="仿宋"/>
          <w:b w:val="0"/>
          <w:bCs w:val="0"/>
          <w:color w:val="auto"/>
          <w:highlight w:val="none"/>
          <w:lang w:eastAsia="zh-CN"/>
        </w:rPr>
        <w:t>财政拨款收入</w:t>
      </w:r>
      <w:r>
        <w:rPr>
          <w:rStyle w:val="19"/>
          <w:rFonts w:hint="eastAsia" w:ascii="仿宋" w:hAnsi="仿宋" w:eastAsia="仿宋"/>
          <w:b w:val="0"/>
          <w:bCs w:val="0"/>
          <w:color w:val="auto"/>
          <w:highlight w:val="none"/>
        </w:rPr>
        <w:t>支出决算表</w:t>
      </w:r>
      <w:bookmarkEnd w:id="113"/>
    </w:p>
    <w:p>
      <w:pPr>
        <w:pStyle w:val="3"/>
        <w:rPr>
          <w:rFonts w:ascii="仿宋" w:hAnsi="仿宋" w:eastAsia="仿宋"/>
          <w:color w:val="auto"/>
          <w:highlight w:val="none"/>
        </w:rPr>
      </w:pPr>
      <w:bookmarkStart w:id="114" w:name="_Toc15396630"/>
      <w:bookmarkStart w:id="115" w:name="_Toc11417"/>
      <w:r>
        <w:rPr>
          <w:rStyle w:val="19"/>
          <w:rFonts w:hint="eastAsia" w:ascii="仿宋" w:hAnsi="仿宋" w:eastAsia="仿宋"/>
          <w:b w:val="0"/>
          <w:bCs w:val="0"/>
          <w:color w:val="auto"/>
          <w:highlight w:val="none"/>
        </w:rPr>
        <w:t>十二、</w:t>
      </w:r>
      <w:bookmarkEnd w:id="114"/>
      <w:r>
        <w:rPr>
          <w:rStyle w:val="19"/>
          <w:rFonts w:hint="eastAsia" w:ascii="仿宋" w:hAnsi="仿宋" w:eastAsia="仿宋"/>
          <w:b w:val="0"/>
          <w:bCs w:val="0"/>
          <w:color w:val="auto"/>
          <w:highlight w:val="none"/>
          <w:lang w:eastAsia="zh-CN"/>
        </w:rPr>
        <w:t>国有资本经营预算财政拨款支出决算表</w:t>
      </w:r>
      <w:bookmarkEnd w:id="115"/>
    </w:p>
    <w:p>
      <w:pPr>
        <w:pStyle w:val="3"/>
        <w:rPr>
          <w:rFonts w:hint="eastAsia" w:eastAsia="仿宋"/>
          <w:color w:val="auto"/>
          <w:highlight w:val="none"/>
          <w:lang w:eastAsia="zh-CN"/>
        </w:rPr>
      </w:pPr>
      <w:bookmarkStart w:id="116" w:name="_Toc15396631"/>
      <w:bookmarkStart w:id="117" w:name="_Toc2507"/>
      <w:r>
        <w:rPr>
          <w:rStyle w:val="19"/>
          <w:rFonts w:hint="eastAsia" w:ascii="仿宋" w:hAnsi="仿宋" w:eastAsia="仿宋"/>
          <w:b w:val="0"/>
          <w:bCs w:val="0"/>
          <w:color w:val="auto"/>
          <w:highlight w:val="none"/>
        </w:rPr>
        <w:t>十三、</w:t>
      </w:r>
      <w:bookmarkEnd w:id="116"/>
      <w:r>
        <w:rPr>
          <w:rStyle w:val="19"/>
          <w:rFonts w:hint="eastAsia" w:ascii="仿宋" w:hAnsi="仿宋" w:eastAsia="仿宋"/>
          <w:b w:val="0"/>
          <w:bCs w:val="0"/>
          <w:color w:val="auto"/>
          <w:highlight w:val="none"/>
          <w:lang w:eastAsia="zh-CN"/>
        </w:rPr>
        <w:t>财政拨款“三公”经费支出决算表</w:t>
      </w:r>
      <w:bookmarkEnd w:id="117"/>
    </w:p>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Georgia"/>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eastAsia="宋体"/>
        <w:lang w:eastAsia="zh-CN"/>
      </w:rPr>
    </w:pPr>
    <w:r>
      <w:rPr>
        <w:rFonts w:hint="eastAsia"/>
        <w:lang w:val="en-US" w:eastAsia="zh-CN"/>
      </w:rPr>
      <w:t>1</w: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eastAsia="宋体"/>
        <w:lang w:eastAsia="zh-CN"/>
      </w:rPr>
    </w:pPr>
    <w:r>
      <w:rPr>
        <w:rFonts w:hint="eastAsia"/>
        <w:lang w:val="en-US" w:eastAsia="zh-CN"/>
      </w:rPr>
      <w:t>1</w:t>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eastAsia="宋体"/>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val="en-US" w:eastAsia="zh-CN"/>
      </w:rPr>
      <w:t>1</w: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58444"/>
    <w:multiLevelType w:val="singleLevel"/>
    <w:tmpl w:val="A4E58444"/>
    <w:lvl w:ilvl="0" w:tentative="0">
      <w:start w:val="1"/>
      <w:numFmt w:val="chineseCounting"/>
      <w:suff w:val="nothing"/>
      <w:lvlText w:val="%1、"/>
      <w:lvlJc w:val="left"/>
      <w:rPr>
        <w:rFonts w:hint="eastAsia"/>
      </w:rPr>
    </w:lvl>
  </w:abstractNum>
  <w:abstractNum w:abstractNumId="1">
    <w:nsid w:val="B48C88B2"/>
    <w:multiLevelType w:val="singleLevel"/>
    <w:tmpl w:val="B48C88B2"/>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FF674BC"/>
    <w:multiLevelType w:val="singleLevel"/>
    <w:tmpl w:val="FFF674BC"/>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47A59"/>
    <w:rsid w:val="015975B8"/>
    <w:rsid w:val="02143E91"/>
    <w:rsid w:val="04874344"/>
    <w:rsid w:val="066E0107"/>
    <w:rsid w:val="06FE7E70"/>
    <w:rsid w:val="07996F6E"/>
    <w:rsid w:val="080011D2"/>
    <w:rsid w:val="0A2032A3"/>
    <w:rsid w:val="0AED6EE6"/>
    <w:rsid w:val="0DA05C67"/>
    <w:rsid w:val="0F98263C"/>
    <w:rsid w:val="0FFA4974"/>
    <w:rsid w:val="101860EC"/>
    <w:rsid w:val="108F5D13"/>
    <w:rsid w:val="10C055FF"/>
    <w:rsid w:val="10D538B8"/>
    <w:rsid w:val="111B167B"/>
    <w:rsid w:val="118107EC"/>
    <w:rsid w:val="13D50BC4"/>
    <w:rsid w:val="1542725E"/>
    <w:rsid w:val="16AE7CA6"/>
    <w:rsid w:val="16BB723D"/>
    <w:rsid w:val="18310D91"/>
    <w:rsid w:val="18FD3599"/>
    <w:rsid w:val="191B532F"/>
    <w:rsid w:val="1BE8440E"/>
    <w:rsid w:val="1C0643A1"/>
    <w:rsid w:val="1D155CEE"/>
    <w:rsid w:val="1ED744B3"/>
    <w:rsid w:val="1FB07E10"/>
    <w:rsid w:val="1FF35744"/>
    <w:rsid w:val="208C0791"/>
    <w:rsid w:val="223936C3"/>
    <w:rsid w:val="23860B96"/>
    <w:rsid w:val="240371BF"/>
    <w:rsid w:val="246A5D3E"/>
    <w:rsid w:val="26C26CF7"/>
    <w:rsid w:val="29FD04D3"/>
    <w:rsid w:val="2B50164C"/>
    <w:rsid w:val="2B622D7E"/>
    <w:rsid w:val="2C8A61B5"/>
    <w:rsid w:val="2D067403"/>
    <w:rsid w:val="2DF04E50"/>
    <w:rsid w:val="2F040D46"/>
    <w:rsid w:val="306D4B10"/>
    <w:rsid w:val="319F7F4E"/>
    <w:rsid w:val="31A93257"/>
    <w:rsid w:val="32A9493D"/>
    <w:rsid w:val="3304709D"/>
    <w:rsid w:val="34050C5E"/>
    <w:rsid w:val="35F644B8"/>
    <w:rsid w:val="36AA5135"/>
    <w:rsid w:val="376D39B2"/>
    <w:rsid w:val="37E16F03"/>
    <w:rsid w:val="38D469F0"/>
    <w:rsid w:val="3D98207C"/>
    <w:rsid w:val="3E78745D"/>
    <w:rsid w:val="3F8A0A30"/>
    <w:rsid w:val="41E20F7D"/>
    <w:rsid w:val="43A7763B"/>
    <w:rsid w:val="44E268DA"/>
    <w:rsid w:val="47F93943"/>
    <w:rsid w:val="4A627F82"/>
    <w:rsid w:val="4B0E749A"/>
    <w:rsid w:val="4B4F25DA"/>
    <w:rsid w:val="4BE068DB"/>
    <w:rsid w:val="4BF4745C"/>
    <w:rsid w:val="4D577224"/>
    <w:rsid w:val="4D650D74"/>
    <w:rsid w:val="4EAB630A"/>
    <w:rsid w:val="4ECE2238"/>
    <w:rsid w:val="4F626B7A"/>
    <w:rsid w:val="537E6D0A"/>
    <w:rsid w:val="59EB7947"/>
    <w:rsid w:val="5AF92295"/>
    <w:rsid w:val="5CD71FC4"/>
    <w:rsid w:val="6C4A05C8"/>
    <w:rsid w:val="6E7E3605"/>
    <w:rsid w:val="6FF5CC65"/>
    <w:rsid w:val="715C0E4B"/>
    <w:rsid w:val="72734D90"/>
    <w:rsid w:val="72C232B3"/>
    <w:rsid w:val="73AD73D5"/>
    <w:rsid w:val="73B6EB34"/>
    <w:rsid w:val="744731E5"/>
    <w:rsid w:val="76E3355F"/>
    <w:rsid w:val="778769C8"/>
    <w:rsid w:val="79EE5BA4"/>
    <w:rsid w:val="7A894339"/>
    <w:rsid w:val="7A95268C"/>
    <w:rsid w:val="7EEF11D3"/>
    <w:rsid w:val="7F75E92C"/>
    <w:rsid w:val="7F99624F"/>
    <w:rsid w:val="7FA30C79"/>
    <w:rsid w:val="7FB7269E"/>
    <w:rsid w:val="7FC96657"/>
    <w:rsid w:val="B79F2256"/>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标题 1 Char"/>
    <w:basedOn w:val="15"/>
    <w:link w:val="2"/>
    <w:qFormat/>
    <w:uiPriority w:val="9"/>
    <w:rPr>
      <w:rFonts w:ascii="Times New Roman" w:hAnsi="Times New Roman"/>
      <w:b/>
      <w:bCs/>
      <w:kern w:val="44"/>
      <w:sz w:val="44"/>
      <w:szCs w:val="44"/>
    </w:rPr>
  </w:style>
  <w:style w:type="character" w:customStyle="1" w:styleId="19">
    <w:name w:val="标题 2 Char"/>
    <w:basedOn w:val="15"/>
    <w:link w:val="3"/>
    <w:qFormat/>
    <w:uiPriority w:val="9"/>
    <w:rPr>
      <w:rFonts w:asciiTheme="majorHAnsi" w:hAnsiTheme="majorHAnsi" w:eastAsiaTheme="majorEastAsia" w:cstheme="majorBidi"/>
      <w:b/>
      <w:bCs/>
      <w:kern w:val="2"/>
      <w:sz w:val="32"/>
      <w:szCs w:val="32"/>
    </w:rPr>
  </w:style>
  <w:style w:type="character" w:customStyle="1" w:styleId="20">
    <w:name w:val="标题 3 Char"/>
    <w:basedOn w:val="15"/>
    <w:link w:val="4"/>
    <w:qFormat/>
    <w:uiPriority w:val="9"/>
    <w:rPr>
      <w:rFonts w:ascii="Times New Roman" w:hAnsi="Times New Roman"/>
      <w:b/>
      <w:bCs/>
      <w:kern w:val="2"/>
      <w:sz w:val="32"/>
      <w:szCs w:val="32"/>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5"/>
    <w:semiHidden/>
    <w:qFormat/>
    <w:uiPriority w:val="99"/>
    <w:rPr>
      <w:rFonts w:ascii="Times New Roman" w:hAnsi="Times New Roman"/>
      <w:sz w:val="18"/>
      <w:szCs w:val="18"/>
    </w:rPr>
  </w:style>
  <w:style w:type="character" w:customStyle="1" w:styleId="23">
    <w:name w:val="页眉 Char"/>
    <w:link w:val="10"/>
    <w:semiHidden/>
    <w:qFormat/>
    <w:locked/>
    <w:uiPriority w:val="99"/>
    <w:rPr>
      <w:sz w:val="18"/>
    </w:rPr>
  </w:style>
  <w:style w:type="character" w:customStyle="1" w:styleId="24">
    <w:name w:val="Footer Char"/>
    <w:basedOn w:val="15"/>
    <w:semiHidden/>
    <w:qFormat/>
    <w:uiPriority w:val="99"/>
    <w:rPr>
      <w:rFonts w:ascii="Times New Roman" w:hAnsi="Times New Roman"/>
      <w:sz w:val="18"/>
      <w:szCs w:val="18"/>
    </w:rPr>
  </w:style>
  <w:style w:type="character" w:customStyle="1" w:styleId="25">
    <w:name w:val="页脚 Char"/>
    <w:link w:val="9"/>
    <w:qFormat/>
    <w:locked/>
    <w:uiPriority w:val="99"/>
    <w:rPr>
      <w:sz w:val="18"/>
    </w:rPr>
  </w:style>
  <w:style w:type="character" w:customStyle="1" w:styleId="26">
    <w:name w:val="Body Text Char"/>
    <w:basedOn w:val="15"/>
    <w:semiHidden/>
    <w:qFormat/>
    <w:uiPriority w:val="99"/>
    <w:rPr>
      <w:rFonts w:ascii="Times New Roman" w:hAnsi="Times New Roman"/>
      <w:szCs w:val="24"/>
    </w:rPr>
  </w:style>
  <w:style w:type="character" w:customStyle="1" w:styleId="27">
    <w:name w:val="正文文本 Char"/>
    <w:link w:val="5"/>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5"/>
    <w:link w:val="8"/>
    <w:semiHidden/>
    <w:qFormat/>
    <w:uiPriority w:val="99"/>
    <w:rPr>
      <w:rFonts w:ascii="Times New Roman" w:hAnsi="Times New Roman"/>
      <w:kern w:val="2"/>
      <w:sz w:val="18"/>
      <w:szCs w:val="18"/>
    </w:rPr>
  </w:style>
  <w:style w:type="paragraph" w:customStyle="1" w:styleId="32">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6032;&#24314;%20XLS%20&#24037;&#20316;&#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2\2021&#24180;\2020&#24180;&#20915;&#31639;\&#20915;&#31639;&#20844;&#24320;\2020&#24180;&#20915;&#31639;&#32534;&#21046;&#35828;&#26126;&#36741;&#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6032;&#24314;%20XLS%20&#24037;&#20316;&#34920;.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6032;&#24314;%20XLS%20&#24037;&#20316;&#34920;.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20&#24037;&#20316;&#3492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ome/user/Desktop/&#26032;&#24314;Excel&#25991;&#2672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200" b="1" i="0" u="none" strike="noStrike" kern="1200" baseline="0">
                <a:solidFill>
                  <a:schemeClr val="dk1">
                    <a:lumMod val="75000"/>
                    <a:lumOff val="25000"/>
                  </a:schemeClr>
                </a:solidFill>
                <a:latin typeface="+mn-lt"/>
                <a:ea typeface="+mn-ea"/>
                <a:cs typeface="+mn-cs"/>
              </a:defRPr>
            </a:pPr>
            <a:r>
              <a:rPr sz="1200" b="0"/>
              <a:t>图</a:t>
            </a:r>
            <a:r>
              <a:rPr lang="en-US" altLang="zh-CN" sz="1200" b="0"/>
              <a:t>1</a:t>
            </a:r>
            <a:r>
              <a:rPr altLang="en-US" sz="1200" b="0"/>
              <a:t>：收、支决算总计变动情况图</a:t>
            </a:r>
            <a:endParaRPr altLang="en-US" sz="1200" b="0"/>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'[新建 XLS 工作表.xls]Sheet1'!$F$6:$F$7</c:f>
              <c:strCache>
                <c:ptCount val="2"/>
                <c:pt idx="0">
                  <c:v>2021年收支总计</c:v>
                </c:pt>
                <c:pt idx="1">
                  <c:v>2022年收支总计</c:v>
                </c:pt>
              </c:strCache>
            </c:strRef>
          </c:cat>
          <c:val>
            <c:numRef>
              <c:f>'[新建 XLS 工作表.xls]Sheet1'!$G$6:$G$7</c:f>
              <c:numCache>
                <c:formatCode>General</c:formatCode>
                <c:ptCount val="2"/>
                <c:pt idx="0">
                  <c:v>299.32</c:v>
                </c:pt>
                <c:pt idx="1">
                  <c:v>293.67</c:v>
                </c:pt>
              </c:numCache>
            </c:numRef>
          </c:val>
        </c:ser>
        <c:dLbls>
          <c:showLegendKey val="false"/>
          <c:showVal val="false"/>
          <c:showCatName val="false"/>
          <c:showSerName val="false"/>
          <c:showPercent val="false"/>
          <c:showBubbleSize val="false"/>
        </c:dLbls>
        <c:gapWidth val="150"/>
        <c:overlap val="0"/>
        <c:axId val="516114496"/>
        <c:axId val="847232471"/>
      </c:barChart>
      <c:catAx>
        <c:axId val="516114496"/>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crossAx val="847232471"/>
        <c:crosses val="autoZero"/>
        <c:auto val="true"/>
        <c:lblAlgn val="ctr"/>
        <c:lblOffset val="100"/>
        <c:noMultiLvlLbl val="false"/>
      </c:catAx>
      <c:valAx>
        <c:axId val="847232471"/>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1100" b="0" i="0" u="none" strike="noStrike" kern="1200" baseline="0">
                <a:solidFill>
                  <a:schemeClr val="tx1">
                    <a:lumMod val="65000"/>
                    <a:lumOff val="35000"/>
                  </a:schemeClr>
                </a:solidFill>
                <a:latin typeface="+mn-lt"/>
                <a:ea typeface="+mn-ea"/>
                <a:cs typeface="+mn-cs"/>
              </a:defRPr>
            </a:pPr>
          </a:p>
        </c:txPr>
        <c:crossAx val="516114496"/>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sz="1100"/>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true"/>
          <a:lstStyle/>
          <a:p>
            <a:pPr>
              <a:defRPr lang="zh-CN" sz="1200" b="0" i="0" u="none" strike="noStrike" kern="1200" spc="0" baseline="0">
                <a:solidFill>
                  <a:schemeClr val="tx1">
                    <a:lumMod val="65000"/>
                    <a:lumOff val="35000"/>
                  </a:schemeClr>
                </a:solidFill>
                <a:latin typeface="+mn-lt"/>
                <a:ea typeface="+mn-ea"/>
                <a:cs typeface="+mn-cs"/>
              </a:defRPr>
            </a:pPr>
            <a:r>
              <a:rPr lang="zh-CN" altLang="en-US" sz="1200"/>
              <a:t>图</a:t>
            </a:r>
            <a:r>
              <a:rPr lang="en-US" altLang="zh-CN" sz="1200"/>
              <a:t>2</a:t>
            </a:r>
            <a:r>
              <a:rPr lang="zh-CN" altLang="en-US" sz="1200"/>
              <a:t>：收入决算结构图</a:t>
            </a:r>
            <a:endParaRPr lang="zh-CN" altLang="en-US" sz="1200"/>
          </a:p>
        </c:rich>
      </c:tx>
      <c:layout/>
      <c:overlay val="false"/>
      <c:spPr>
        <a:noFill/>
        <a:ln>
          <a:noFill/>
        </a:ln>
        <a:effectLst/>
      </c:spPr>
    </c:title>
    <c:autoTitleDeleted val="false"/>
    <c:plotArea>
      <c:layout/>
      <c:pieChart>
        <c:varyColors val="true"/>
        <c:ser>
          <c:idx val="0"/>
          <c:order val="0"/>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elete val="true"/>
          </c:dLbls>
          <c:cat>
            <c:strRef>
              <c:f>停!$B$1:$B$2</c:f>
              <c:strCache>
                <c:ptCount val="1"/>
                <c:pt idx="0">
                  <c:v>一般公共预算</c:v>
                </c:pt>
              </c:strCache>
            </c:strRef>
          </c:cat>
          <c:val>
            <c:numRef>
              <c:f>停!$C$1:$C$2</c:f>
              <c:numCache>
                <c:formatCode>#,##0.00</c:formatCode>
                <c:ptCount val="2"/>
                <c:pt idx="0">
                  <c:v>283.01</c:v>
                </c:pt>
                <c:pt idx="1" c:formatCode="General">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egendEntry>
        <c:idx val="0"/>
        <c:txPr>
          <a:bodyPr rot="0" spcFirstLastPara="1"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delete val="true"/>
      </c:legendEntry>
      <c:layout/>
      <c:overlay val="false"/>
      <c:spPr>
        <a:noFill/>
        <a:ln>
          <a:noFill/>
        </a:ln>
        <a:effectLst/>
      </c:spPr>
      <c:txPr>
        <a:bodyPr rot="0" spcFirstLastPara="1"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sz="1000"/>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1" i="0" u="none" strike="noStrike" kern="1200" baseline="0">
                <a:solidFill>
                  <a:schemeClr val="dk1">
                    <a:lumMod val="75000"/>
                    <a:lumOff val="25000"/>
                  </a:schemeClr>
                </a:solidFill>
                <a:latin typeface="+mn-lt"/>
                <a:ea typeface="+mn-ea"/>
                <a:cs typeface="+mn-cs"/>
              </a:defRPr>
            </a:pPr>
            <a:r>
              <a:rPr sz="1200" b="0"/>
              <a:t>图3：支出决算结构图</a:t>
            </a:r>
            <a:endParaRPr sz="1200" b="0"/>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a:solidFill>
                  <a:schemeClr val="bg1"/>
                </a:solidFill>
              </a:ln>
              <a:effectLst/>
            </c:spPr>
          </c:dPt>
          <c:dPt>
            <c:idx val="1"/>
            <c:bubble3D val="false"/>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'[新建 XLS 工作表.xls]Sheet1'!$F$8:$F$9</c:f>
              <c:strCache>
                <c:ptCount val="2"/>
                <c:pt idx="0">
                  <c:v>基本支出</c:v>
                </c:pt>
                <c:pt idx="1">
                  <c:v>项目支出</c:v>
                </c:pt>
              </c:strCache>
            </c:strRef>
          </c:cat>
          <c:val>
            <c:numRef>
              <c:f>'[新建 XLS 工作表.xls]Sheet1'!$G$8:$G$9</c:f>
              <c:numCache>
                <c:formatCode>0.00%</c:formatCode>
                <c:ptCount val="2"/>
                <c:pt idx="0">
                  <c:v>0.2502</c:v>
                </c:pt>
                <c:pt idx="1">
                  <c:v>0.7498</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200" b="0" i="0" u="none" strike="noStrike" kern="1200" baseline="0">
                <a:solidFill>
                  <a:schemeClr val="dk1">
                    <a:lumMod val="75000"/>
                    <a:lumOff val="25000"/>
                  </a:schemeClr>
                </a:solidFill>
                <a:latin typeface="+mn-lt"/>
                <a:ea typeface="+mn-ea"/>
                <a:cs typeface="+mn-cs"/>
              </a:defRPr>
            </a:pPr>
            <a:r>
              <a:rPr sz="1200" b="0"/>
              <a:t>图</a:t>
            </a:r>
            <a:r>
              <a:rPr lang="en-US" altLang="zh-CN" sz="1200" b="0"/>
              <a:t>4</a:t>
            </a:r>
            <a:r>
              <a:rPr altLang="en-US" sz="1200" b="0"/>
              <a:t>：</a:t>
            </a:r>
            <a:r>
              <a:rPr sz="1200" b="0"/>
              <a:t>财政拨款收、支决算总计变动情况</a:t>
            </a:r>
            <a:endParaRPr sz="1200" b="0"/>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'[新建 XLS 工作表.xls]Sheet1'!$F$6:$F$7</c:f>
              <c:strCache>
                <c:ptCount val="2"/>
                <c:pt idx="0">
                  <c:v>2021年财政拨款收支总计</c:v>
                </c:pt>
                <c:pt idx="1">
                  <c:v>2022年财政拨款收支总计</c:v>
                </c:pt>
              </c:strCache>
            </c:strRef>
          </c:cat>
          <c:val>
            <c:numRef>
              <c:f>'[新建 XLS 工作表.xls]Sheet1'!$G$6:$G$7</c:f>
              <c:numCache>
                <c:formatCode>General</c:formatCode>
                <c:ptCount val="2"/>
                <c:pt idx="0">
                  <c:v>299.31</c:v>
                </c:pt>
                <c:pt idx="1">
                  <c:v>293.66</c:v>
                </c:pt>
              </c:numCache>
            </c:numRef>
          </c:val>
        </c:ser>
        <c:dLbls>
          <c:showLegendKey val="false"/>
          <c:showVal val="false"/>
          <c:showCatName val="false"/>
          <c:showSerName val="false"/>
          <c:showPercent val="false"/>
          <c:showBubbleSize val="false"/>
        </c:dLbls>
        <c:gapWidth val="246"/>
        <c:overlap val="-28"/>
        <c:axId val="943124296"/>
        <c:axId val="627775036"/>
      </c:barChart>
      <c:catAx>
        <c:axId val="943124296"/>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crossAx val="627775036"/>
        <c:crosses val="autoZero"/>
        <c:auto val="true"/>
        <c:lblAlgn val="ctr"/>
        <c:lblOffset val="100"/>
        <c:noMultiLvlLbl val="false"/>
      </c:catAx>
      <c:valAx>
        <c:axId val="627775036"/>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1000" b="0" i="0" u="none" strike="noStrike" kern="1200" baseline="0">
                <a:solidFill>
                  <a:schemeClr val="tx1">
                    <a:lumMod val="65000"/>
                    <a:lumOff val="35000"/>
                  </a:schemeClr>
                </a:solidFill>
                <a:latin typeface="+mn-lt"/>
                <a:ea typeface="+mn-ea"/>
                <a:cs typeface="+mn-cs"/>
              </a:defRPr>
            </a:pPr>
          </a:p>
        </c:txPr>
        <c:crossAx val="943124296"/>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sz="1000"/>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200" b="1" i="0" u="none" strike="noStrike" kern="1200" baseline="0">
                <a:solidFill>
                  <a:schemeClr val="dk1">
                    <a:lumMod val="75000"/>
                    <a:lumOff val="25000"/>
                  </a:schemeClr>
                </a:solidFill>
                <a:latin typeface="+mn-lt"/>
                <a:ea typeface="+mn-ea"/>
                <a:cs typeface="+mn-cs"/>
              </a:defRPr>
            </a:pPr>
            <a:r>
              <a:rPr sz="1100" b="0"/>
              <a:t>图5：一般公共预算财政拨款支出决算变动情况</a:t>
            </a:r>
            <a:endParaRPr sz="1100" b="0"/>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'[新建 XLS 工作表.xls]Sheet1'!$F$8:$F$9</c:f>
              <c:strCache>
                <c:ptCount val="2"/>
                <c:pt idx="0">
                  <c:v>2021年一般公共预算财政拨款支出</c:v>
                </c:pt>
                <c:pt idx="1">
                  <c:v>2022年一般公共预算财政拨款支出</c:v>
                </c:pt>
              </c:strCache>
            </c:strRef>
          </c:cat>
          <c:val>
            <c:numRef>
              <c:f>'[新建 XLS 工作表.xls]Sheet1'!$G$8:$G$9</c:f>
              <c:numCache>
                <c:formatCode>General</c:formatCode>
                <c:ptCount val="2"/>
                <c:pt idx="0">
                  <c:v>264.39</c:v>
                </c:pt>
                <c:pt idx="1">
                  <c:v>292.66</c:v>
                </c:pt>
              </c:numCache>
            </c:numRef>
          </c:val>
        </c:ser>
        <c:dLbls>
          <c:showLegendKey val="false"/>
          <c:showVal val="false"/>
          <c:showCatName val="false"/>
          <c:showSerName val="false"/>
          <c:showPercent val="false"/>
          <c:showBubbleSize val="false"/>
        </c:dLbls>
        <c:gapWidth val="246"/>
        <c:overlap val="-28"/>
        <c:axId val="950221233"/>
        <c:axId val="172550689"/>
      </c:barChart>
      <c:catAx>
        <c:axId val="950221233"/>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72550689"/>
        <c:crosses val="autoZero"/>
        <c:auto val="true"/>
        <c:lblAlgn val="ctr"/>
        <c:lblOffset val="100"/>
        <c:noMultiLvlLbl val="false"/>
      </c:catAx>
      <c:valAx>
        <c:axId val="172550689"/>
        <c:scaling>
          <c:orientation val="minMax"/>
        </c:scaling>
        <c:delete val="false"/>
        <c:axPos val="l"/>
        <c:majorGridlines>
          <c:spPr>
            <a:ln w="9525" cap="flat" cmpd="sng" algn="ctr">
              <a:solidFill>
                <a:schemeClr val="bg1">
                  <a:lumMod val="902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50221233"/>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100" b="0" i="0" u="none" strike="noStrike" kern="1200" spc="0" baseline="0">
                <a:solidFill>
                  <a:schemeClr val="tx1">
                    <a:lumMod val="65000"/>
                    <a:lumOff val="35000"/>
                  </a:schemeClr>
                </a:solidFill>
                <a:latin typeface="+mn-lt"/>
                <a:ea typeface="+mn-ea"/>
                <a:cs typeface="+mn-cs"/>
              </a:defRPr>
            </a:pPr>
            <a:r>
              <a:rPr sz="1100"/>
              <a:t>图6：一般公共预算财政拨款支出决算结构</a:t>
            </a:r>
            <a:endParaRPr sz="1100"/>
          </a:p>
        </c:rich>
      </c:tx>
      <c:layout/>
      <c:overlay val="false"/>
      <c:spPr>
        <a:noFill/>
        <a:ln>
          <a:noFill/>
        </a:ln>
        <a:effectLst/>
      </c:spPr>
    </c:title>
    <c:autoTitleDeleted val="false"/>
    <c:plotArea>
      <c:layout/>
      <c:pieChart>
        <c:varyColors val="true"/>
        <c:ser>
          <c:idx val="0"/>
          <c:order val="0"/>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elete val="true"/>
          </c:dLbls>
          <c:cat>
            <c:strRef>
              <c:f>[新建Excel文档.xls]Sheet1!$F$44:$F$46</c:f>
              <c:strCache>
                <c:ptCount val="3"/>
                <c:pt idx="0">
                  <c:v>社会保障和就业支出</c:v>
                </c:pt>
                <c:pt idx="1">
                  <c:v>卫生健康支出</c:v>
                </c:pt>
                <c:pt idx="2">
                  <c:v>住房保障支出</c:v>
                </c:pt>
              </c:strCache>
            </c:strRef>
          </c:cat>
          <c:val>
            <c:numRef>
              <c:f>[新建Excel文档.xls]Sheet1!$G$44:$G$46</c:f>
              <c:numCache>
                <c:formatCode>0.00%</c:formatCode>
                <c:ptCount val="3"/>
                <c:pt idx="0">
                  <c:v>0.976600000000001</c:v>
                </c:pt>
                <c:pt idx="1">
                  <c:v>0.00780000000000001</c:v>
                </c:pt>
                <c:pt idx="2">
                  <c:v>0.0156</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100" b="0" i="0" u="none" strike="noStrike" kern="1200" spc="0" baseline="0">
                <a:solidFill>
                  <a:schemeClr val="tx1">
                    <a:lumMod val="65000"/>
                    <a:lumOff val="35000"/>
                  </a:schemeClr>
                </a:solidFill>
                <a:latin typeface="+mn-lt"/>
                <a:ea typeface="+mn-ea"/>
                <a:cs typeface="+mn-cs"/>
              </a:defRPr>
            </a:pPr>
            <a:r>
              <a:rPr sz="1100"/>
              <a:t>图7：“三公”经费财政拨款支出结构</a:t>
            </a:r>
            <a:endParaRPr sz="1100"/>
          </a:p>
        </c:rich>
      </c:tx>
      <c:layout/>
      <c:overlay val="false"/>
      <c:spPr>
        <a:noFill/>
        <a:ln>
          <a:noFill/>
        </a:ln>
        <a:effectLst/>
      </c:spPr>
    </c:title>
    <c:autoTitleDeleted val="false"/>
    <c:plotArea>
      <c:layout/>
      <c:pieChart>
        <c:varyColors val="true"/>
        <c:ser>
          <c:idx val="0"/>
          <c:order val="0"/>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elete val="true"/>
          </c:dLbls>
          <c:cat>
            <c:strRef>
              <c:f>[新建Excel文档.xls]Sheet1!$F$49:$F$51</c:f>
              <c:strCache>
                <c:ptCount val="3"/>
                <c:pt idx="0">
                  <c:v>因公出国（境）费</c:v>
                </c:pt>
                <c:pt idx="1">
                  <c:v>公务用车购置及运行维护费</c:v>
                </c:pt>
                <c:pt idx="2">
                  <c:v>公务接待费</c:v>
                </c:pt>
              </c:strCache>
            </c:strRef>
          </c:cat>
          <c:val>
            <c:numRef>
              <c:f>[新建Excel文档.xls]Sheet1!$G$49:$G$51</c:f>
              <c:numCache>
                <c:formatCode>0%</c:formatCode>
                <c:ptCount val="3"/>
                <c:pt idx="0">
                  <c:v>0</c:v>
                </c:pt>
                <c:pt idx="1">
                  <c:v>0</c:v>
                </c:pt>
                <c:pt idx="2">
                  <c:v>1</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true">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4</TotalTime>
  <ScaleCrop>false</ScaleCrop>
  <LinksUpToDate>false</LinksUpToDate>
  <CharactersWithSpaces>8692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 </cp:lastModifiedBy>
  <cp:lastPrinted>2023-09-15T01:44:00Z</cp:lastPrinted>
  <dcterms:modified xsi:type="dcterms:W3CDTF">2023-11-01T18:16:55Z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1BF328E4FCBC46E183310AF8D9815CC9</vt:lpwstr>
  </property>
</Properties>
</file>