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sz w:val="72"/>
          <w:szCs w:val="72"/>
        </w:rPr>
      </w:pPr>
      <w:bookmarkStart w:id="0" w:name="_Toc15378441"/>
      <w:bookmarkStart w:id="1" w:name="_Toc15377425"/>
      <w:bookmarkStart w:id="2" w:name="_Toc15377193"/>
      <w:bookmarkStart w:id="3" w:name="_Toc15396475"/>
      <w:bookmarkStart w:id="4" w:name="_Toc15396597"/>
      <w:bookmarkStart w:id="5" w:name="_Toc15306267"/>
    </w:p>
    <w:p>
      <w:pPr>
        <w:spacing w:line="600" w:lineRule="exact"/>
        <w:jc w:val="center"/>
        <w:outlineLvl w:val="0"/>
        <w:rPr>
          <w:rFonts w:ascii="方正小标宋简体" w:hAnsi="宋体" w:eastAsia="方正小标宋简体"/>
          <w:b/>
          <w:sz w:val="72"/>
          <w:szCs w:val="72"/>
        </w:rPr>
      </w:pPr>
    </w:p>
    <w:p>
      <w:pPr>
        <w:spacing w:line="600" w:lineRule="exact"/>
        <w:jc w:val="center"/>
        <w:outlineLvl w:val="0"/>
        <w:rPr>
          <w:rFonts w:ascii="方正小标宋简体" w:hAnsi="宋体" w:eastAsia="方正小标宋简体"/>
          <w:b/>
          <w:sz w:val="72"/>
          <w:szCs w:val="72"/>
        </w:rPr>
      </w:pPr>
    </w:p>
    <w:p>
      <w:pPr>
        <w:adjustRightInd w:val="0"/>
        <w:snapToGrid w:val="0"/>
        <w:spacing w:line="360" w:lineRule="auto"/>
        <w:jc w:val="center"/>
        <w:outlineLvl w:val="0"/>
        <w:rPr>
          <w:rFonts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b/>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hAnsi="方正小标宋简体" w:eastAsia="方正小标宋简体" w:cs="方正小标宋简体"/>
          <w:b/>
          <w:sz w:val="72"/>
          <w:szCs w:val="72"/>
        </w:rPr>
        <w:t>广元市</w:t>
      </w:r>
      <w:bookmarkEnd w:id="5"/>
      <w:bookmarkStart w:id="11" w:name="_Toc15306268"/>
      <w:r>
        <w:rPr>
          <w:rFonts w:hint="eastAsia" w:ascii="方正小标宋简体" w:hAnsi="方正小标宋简体" w:eastAsia="方正小标宋简体" w:cs="方正小标宋简体"/>
          <w:b/>
          <w:sz w:val="72"/>
          <w:szCs w:val="72"/>
        </w:rPr>
        <w:t>科协部门决算</w:t>
      </w:r>
      <w:bookmarkEnd w:id="6"/>
      <w:bookmarkEnd w:id="7"/>
      <w:bookmarkEnd w:id="8"/>
      <w:bookmarkEnd w:id="9"/>
      <w:bookmarkEnd w:id="10"/>
      <w:bookmarkEnd w:id="11"/>
    </w:p>
    <w:p>
      <w:pPr>
        <w:widowControl/>
        <w:jc w:val="center"/>
        <w:rPr>
          <w:rFonts w:ascii="方正小标宋简体" w:hAnsi="宋体" w:eastAsia="方正小标宋简体"/>
          <w:b/>
          <w:sz w:val="52"/>
          <w:szCs w:val="52"/>
        </w:rPr>
        <w:sectPr>
          <w:footerReference r:id="rId5" w:type="first"/>
          <w:footerReference r:id="rId3" w:type="default"/>
          <w:footerReference r:id="rId4" w:type="even"/>
          <w:pgSz w:w="11906" w:h="16838"/>
          <w:pgMar w:top="2098" w:right="1474" w:bottom="1985" w:left="1588" w:header="851" w:footer="1531" w:gutter="0"/>
          <w:cols w:space="425" w:num="1"/>
          <w:titlePg/>
          <w:docGrid w:type="linesAndChars" w:linePitch="312" w:charSpace="0"/>
        </w:sectPr>
      </w:pPr>
      <w:r>
        <w:rPr>
          <w:rFonts w:hint="eastAsia" w:ascii="方正小标宋简体" w:hAnsi="宋体" w:eastAsia="方正小标宋简体"/>
          <w:b/>
          <w:sz w:val="52"/>
          <w:szCs w:val="52"/>
        </w:rPr>
        <w:t>　</w:t>
      </w:r>
    </w:p>
    <w:p>
      <w:pPr>
        <w:widowControl/>
        <w:jc w:val="center"/>
        <w:rPr>
          <w:rFonts w:ascii="黑体" w:hAnsi="黑体" w:eastAsia="黑体"/>
          <w:b/>
          <w:sz w:val="48"/>
          <w:szCs w:val="48"/>
        </w:rPr>
      </w:pPr>
      <w:r>
        <w:rPr>
          <w:rFonts w:ascii="方正小标宋简体" w:hAnsi="宋体" w:eastAsia="方正小标宋简体"/>
          <w:b/>
          <w:sz w:val="36"/>
          <w:szCs w:val="36"/>
        </w:rPr>
        <w:br w:type="page"/>
      </w:r>
      <w:r>
        <w:rPr>
          <w:rFonts w:hint="eastAsia" w:ascii="黑体" w:hAnsi="黑体" w:eastAsia="黑体"/>
          <w:b/>
          <w:sz w:val="48"/>
          <w:szCs w:val="48"/>
        </w:rPr>
        <w:t>目  录</w:t>
      </w:r>
    </w:p>
    <w:p>
      <w:pPr>
        <w:widowControl/>
        <w:jc w:val="center"/>
        <w:rPr>
          <w:rFonts w:ascii="黑体" w:hAnsi="黑体" w:eastAsia="黑体" w:cstheme="minorBidi"/>
          <w:b/>
          <w:sz w:val="28"/>
          <w:szCs w:val="28"/>
        </w:rPr>
      </w:pPr>
    </w:p>
    <w:p>
      <w:pPr>
        <w:pStyle w:val="12"/>
        <w:rPr>
          <w:rFonts w:hint="eastAsia" w:ascii="仿宋_GB2312" w:eastAsia="仿宋_GB2312"/>
          <w:b/>
        </w:rPr>
      </w:pPr>
      <w:r>
        <w:rPr>
          <w:rFonts w:hint="eastAsia" w:ascii="仿宋_GB2312" w:eastAsia="仿宋_GB2312"/>
          <w:b/>
        </w:rPr>
        <w:t>公开时间：2023年9月27日</w:t>
      </w:r>
    </w:p>
    <w:p>
      <w:pPr>
        <w:rPr>
          <w:b/>
        </w:rPr>
      </w:pPr>
    </w:p>
    <w:p>
      <w:pPr>
        <w:pStyle w:val="12"/>
        <w:adjustRightInd w:val="0"/>
        <w:snapToGrid w:val="0"/>
        <w:spacing w:before="0" w:line="440" w:lineRule="exact"/>
        <w:jc w:val="left"/>
        <w:rPr>
          <w:rFonts w:hint="default" w:asciiTheme="minorEastAsia" w:hAnsiTheme="minorEastAsia" w:eastAsiaTheme="minorEastAsia" w:cstheme="minorBidi"/>
          <w:b/>
          <w:sz w:val="24"/>
          <w:szCs w:val="24"/>
          <w:lang w:val="en-US" w:eastAsia="zh-CN"/>
        </w:rPr>
      </w:pPr>
      <w:bookmarkStart w:id="12" w:name="_Toc15396599"/>
      <w:bookmarkStart w:id="13" w:name="_Toc15377196"/>
      <w:r>
        <w:rPr>
          <w:rFonts w:hint="eastAsia" w:asciiTheme="minorEastAsia" w:hAnsiTheme="minorEastAsia" w:eastAsiaTheme="minorEastAsia"/>
          <w:b/>
          <w:sz w:val="24"/>
        </w:rPr>
        <w:t>第一部分部门概况</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w:t>
      </w:r>
    </w:p>
    <w:p>
      <w:pPr>
        <w:pStyle w:val="13"/>
        <w:adjustRightInd w:val="0"/>
        <w:snapToGrid w:val="0"/>
        <w:spacing w:line="440" w:lineRule="exact"/>
        <w:jc w:val="left"/>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rPr>
        <w:t>一、部门职责</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w:t>
      </w:r>
    </w:p>
    <w:p>
      <w:pPr>
        <w:pStyle w:val="13"/>
        <w:adjustRightInd w:val="0"/>
        <w:snapToGrid w:val="0"/>
        <w:spacing w:line="440" w:lineRule="exact"/>
        <w:jc w:val="left"/>
        <w:rPr>
          <w:rFonts w:hint="eastAsia" w:asciiTheme="minorEastAsia" w:hAnsiTheme="minorEastAsia" w:eastAsiaTheme="minorEastAsia" w:cstheme="minorBidi"/>
          <w:b/>
          <w:sz w:val="24"/>
          <w:lang w:eastAsia="zh-CN"/>
        </w:rPr>
      </w:pPr>
      <w:r>
        <w:rPr>
          <w:rFonts w:hint="eastAsia" w:asciiTheme="minorEastAsia" w:hAnsiTheme="minorEastAsia" w:eastAsiaTheme="minorEastAsia"/>
          <w:b/>
          <w:sz w:val="24"/>
        </w:rPr>
        <w:t>二、机构设置</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5</w:t>
      </w:r>
    </w:p>
    <w:p>
      <w:pPr>
        <w:pStyle w:val="12"/>
        <w:adjustRightInd w:val="0"/>
        <w:snapToGrid w:val="0"/>
        <w:spacing w:before="0" w:line="440" w:lineRule="exact"/>
        <w:jc w:val="left"/>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rPr>
        <w:t>第二部分 2022年度部门决算情况说明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6</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一、收入支出决算总体情况说明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6</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二、收入决算情况说明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6</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三、支出决算情况说明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7</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四、财政拨款收入支出决算总体情况说明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7</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五、一般公共预算财政拨款支出决算情况说明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7</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六、一般公共预算财政拨款基本支出决算情况说明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10</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七、财政拨款“三公”经费支出决算情况说明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11</w:t>
      </w:r>
    </w:p>
    <w:p>
      <w:pPr>
        <w:pStyle w:val="13"/>
        <w:adjustRightInd w:val="0"/>
        <w:snapToGrid w:val="0"/>
        <w:spacing w:line="440" w:lineRule="exact"/>
        <w:jc w:val="left"/>
        <w:rPr>
          <w:rFonts w:hint="default" w:asciiTheme="minorEastAsia" w:hAnsiTheme="minorEastAsia" w:eastAsiaTheme="minorEastAsia" w:cstheme="minorBidi"/>
          <w:b/>
          <w:sz w:val="24"/>
          <w:lang w:val="en-US" w:eastAsia="zh-CN"/>
        </w:rPr>
      </w:pPr>
      <w:r>
        <w:rPr>
          <w:rFonts w:hint="eastAsia" w:asciiTheme="minorEastAsia" w:hAnsiTheme="minorEastAsia" w:eastAsiaTheme="minorEastAsia"/>
          <w:b/>
          <w:sz w:val="24"/>
        </w:rPr>
        <w:t>八、政府性基金预算支出决算情况说明</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12</w:t>
      </w:r>
    </w:p>
    <w:p>
      <w:pPr>
        <w:pStyle w:val="13"/>
        <w:adjustRightInd w:val="0"/>
        <w:snapToGrid w:val="0"/>
        <w:spacing w:line="440" w:lineRule="exact"/>
        <w:ind w:leftChars="0"/>
        <w:jc w:val="left"/>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九、国有资本经营预算支出决算情况说明</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12</w:t>
      </w:r>
    </w:p>
    <w:p>
      <w:pPr>
        <w:adjustRightInd w:val="0"/>
        <w:snapToGrid w:val="0"/>
        <w:spacing w:line="440" w:lineRule="exact"/>
        <w:ind w:firstLine="420" w:firstLineChars="175"/>
        <w:jc w:val="left"/>
        <w:rPr>
          <w:rFonts w:hint="default" w:asciiTheme="minorEastAsia" w:hAnsiTheme="minorEastAsia" w:eastAsiaTheme="minorEastAsia" w:cstheme="minorEastAsia"/>
          <w:b/>
          <w:sz w:val="24"/>
          <w:lang w:val="en-US" w:eastAsia="zh-CN"/>
        </w:rPr>
      </w:pPr>
      <w:r>
        <w:rPr>
          <w:rStyle w:val="20"/>
          <w:rFonts w:hint="eastAsia" w:asciiTheme="minorEastAsia" w:hAnsiTheme="minorEastAsia" w:eastAsiaTheme="minorEastAsia" w:cstheme="minorEastAsia"/>
          <w:b/>
          <w:color w:val="auto"/>
          <w:sz w:val="24"/>
          <w:u w:val="none"/>
        </w:rPr>
        <w:t>十、</w:t>
      </w:r>
      <w:r>
        <w:rPr>
          <w:rFonts w:hint="eastAsia" w:asciiTheme="minorEastAsia" w:hAnsiTheme="minorEastAsia" w:eastAsiaTheme="minorEastAsia" w:cstheme="minorEastAsia"/>
          <w:b/>
          <w:sz w:val="24"/>
        </w:rPr>
        <w:t>其他重要事项的情况说明</w:t>
      </w: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12</w:t>
      </w:r>
    </w:p>
    <w:p>
      <w:pPr>
        <w:pStyle w:val="12"/>
        <w:adjustRightInd w:val="0"/>
        <w:snapToGrid w:val="0"/>
        <w:spacing w:before="0" w:line="440" w:lineRule="exact"/>
        <w:jc w:val="left"/>
        <w:rPr>
          <w:rFonts w:hint="default" w:asciiTheme="minorEastAsia" w:hAnsiTheme="minorEastAsia" w:eastAsiaTheme="minorEastAsia" w:cstheme="minorBidi"/>
          <w:b/>
          <w:sz w:val="24"/>
          <w:szCs w:val="24"/>
          <w:lang w:val="en-US" w:eastAsia="zh-CN"/>
        </w:rPr>
      </w:pPr>
      <w:r>
        <w:rPr>
          <w:rFonts w:hint="eastAsia" w:asciiTheme="minorEastAsia" w:hAnsiTheme="minorEastAsia" w:eastAsiaTheme="minorEastAsia"/>
          <w:b/>
          <w:sz w:val="24"/>
        </w:rPr>
        <w:t>第三部分名词解释</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14</w:t>
      </w:r>
    </w:p>
    <w:p>
      <w:pPr>
        <w:pStyle w:val="12"/>
        <w:adjustRightInd w:val="0"/>
        <w:snapToGrid w:val="0"/>
        <w:spacing w:before="0" w:line="440" w:lineRule="exact"/>
        <w:jc w:val="left"/>
        <w:rPr>
          <w:rFonts w:hint="default" w:asciiTheme="minorEastAsia" w:hAnsiTheme="minorEastAsia" w:eastAsiaTheme="minorEastAsia" w:cstheme="minorBidi"/>
          <w:b/>
          <w:sz w:val="24"/>
          <w:szCs w:val="24"/>
          <w:lang w:val="en-US" w:eastAsia="zh-CN"/>
        </w:rPr>
      </w:pPr>
      <w:r>
        <w:rPr>
          <w:rFonts w:hint="eastAsia" w:asciiTheme="minorEastAsia" w:hAnsiTheme="minorEastAsia" w:eastAsiaTheme="minorEastAsia"/>
          <w:b/>
          <w:sz w:val="24"/>
        </w:rPr>
        <w:t>第四部分附件</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17</w:t>
      </w:r>
    </w:p>
    <w:p>
      <w:pPr>
        <w:pStyle w:val="12"/>
        <w:adjustRightInd w:val="0"/>
        <w:snapToGrid w:val="0"/>
        <w:spacing w:before="0" w:line="440" w:lineRule="exact"/>
        <w:jc w:val="left"/>
        <w:rPr>
          <w:rFonts w:hint="default" w:asciiTheme="minorEastAsia" w:hAnsiTheme="minorEastAsia" w:eastAsiaTheme="minorEastAsia" w:cstheme="minorBidi"/>
          <w:b/>
          <w:sz w:val="24"/>
          <w:szCs w:val="24"/>
          <w:lang w:val="en-US" w:eastAsia="zh-CN"/>
        </w:rPr>
      </w:pPr>
      <w:r>
        <w:rPr>
          <w:rFonts w:hint="eastAsia" w:asciiTheme="minorEastAsia" w:hAnsiTheme="minorEastAsia" w:eastAsiaTheme="minorEastAsia"/>
          <w:b/>
          <w:sz w:val="24"/>
        </w:rPr>
        <w:t>第五部分附表</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80</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一、收入支出决算总表</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二、收入决算表</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三、支出决算表</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四、财政拨款收入支出决算总表</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五、财政拨款支出决算明细表</w:t>
      </w:r>
    </w:p>
    <w:p>
      <w:pPr>
        <w:pStyle w:val="13"/>
        <w:adjustRightInd w:val="0"/>
        <w:snapToGrid w:val="0"/>
        <w:spacing w:line="440" w:lineRule="exact"/>
        <w:jc w:val="left"/>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六、一般公共预算财政拨款支出决算表</w:t>
      </w:r>
    </w:p>
    <w:p>
      <w:pPr>
        <w:pStyle w:val="13"/>
        <w:adjustRightInd w:val="0"/>
        <w:snapToGrid w:val="0"/>
        <w:spacing w:line="440" w:lineRule="exact"/>
        <w:jc w:val="left"/>
        <w:rPr>
          <w:rFonts w:hint="eastAsia" w:eastAsia="宋体"/>
          <w:b/>
          <w:sz w:val="24"/>
          <w:lang w:eastAsia="zh-CN"/>
        </w:rPr>
      </w:pPr>
      <w:r>
        <w:rPr>
          <w:rFonts w:hint="eastAsia"/>
          <w:b/>
          <w:sz w:val="24"/>
        </w:rPr>
        <w:t>七、一般公共预算财政拨款支出决算明细表</w:t>
      </w:r>
    </w:p>
    <w:p>
      <w:pPr>
        <w:pStyle w:val="13"/>
        <w:adjustRightInd w:val="0"/>
        <w:snapToGrid w:val="0"/>
        <w:spacing w:line="440" w:lineRule="exact"/>
        <w:jc w:val="left"/>
        <w:rPr>
          <w:rFonts w:hint="eastAsia" w:eastAsia="宋体"/>
          <w:b/>
          <w:sz w:val="24"/>
          <w:lang w:eastAsia="zh-CN"/>
        </w:rPr>
      </w:pPr>
      <w:r>
        <w:rPr>
          <w:rFonts w:hint="eastAsia"/>
          <w:b/>
          <w:sz w:val="24"/>
        </w:rPr>
        <w:t>八、一般公共预算财政拨款基本支出决算明细表</w:t>
      </w:r>
    </w:p>
    <w:p>
      <w:pPr>
        <w:pStyle w:val="13"/>
        <w:adjustRightInd w:val="0"/>
        <w:snapToGrid w:val="0"/>
        <w:spacing w:line="440" w:lineRule="exact"/>
        <w:jc w:val="left"/>
        <w:rPr>
          <w:rFonts w:hint="eastAsia" w:eastAsia="宋体"/>
          <w:b/>
          <w:sz w:val="24"/>
          <w:lang w:eastAsia="zh-CN"/>
        </w:rPr>
      </w:pPr>
      <w:r>
        <w:rPr>
          <w:rFonts w:hint="eastAsia"/>
          <w:b/>
          <w:sz w:val="24"/>
        </w:rPr>
        <w:t>九、一般公共预算财政拨款项目支出决算表</w:t>
      </w:r>
    </w:p>
    <w:p>
      <w:pPr>
        <w:pStyle w:val="13"/>
        <w:adjustRightInd w:val="0"/>
        <w:snapToGrid w:val="0"/>
        <w:spacing w:line="440" w:lineRule="exact"/>
        <w:jc w:val="left"/>
        <w:rPr>
          <w:rFonts w:hint="eastAsia" w:eastAsia="宋体"/>
          <w:b/>
          <w:sz w:val="24"/>
          <w:lang w:eastAsia="zh-CN"/>
        </w:rPr>
      </w:pPr>
      <w:r>
        <w:rPr>
          <w:rFonts w:hint="eastAsia"/>
          <w:b/>
          <w:sz w:val="24"/>
        </w:rPr>
        <w:t>十、政府性基金预算财政拨款收入支出决算表</w:t>
      </w:r>
    </w:p>
    <w:p>
      <w:pPr>
        <w:pStyle w:val="13"/>
        <w:adjustRightInd w:val="0"/>
        <w:snapToGrid w:val="0"/>
        <w:spacing w:line="440" w:lineRule="exact"/>
        <w:jc w:val="left"/>
        <w:rPr>
          <w:rFonts w:hint="eastAsia" w:eastAsia="宋体"/>
          <w:b/>
          <w:sz w:val="24"/>
          <w:lang w:eastAsia="zh-CN"/>
        </w:rPr>
      </w:pPr>
      <w:r>
        <w:rPr>
          <w:rFonts w:hint="eastAsia"/>
          <w:b/>
          <w:sz w:val="24"/>
        </w:rPr>
        <w:t>十一、国有资本经营预算财政拨款收入支出决算表</w:t>
      </w:r>
    </w:p>
    <w:p>
      <w:pPr>
        <w:pStyle w:val="13"/>
        <w:adjustRightInd w:val="0"/>
        <w:snapToGrid w:val="0"/>
        <w:spacing w:line="440" w:lineRule="exact"/>
        <w:jc w:val="left"/>
        <w:rPr>
          <w:rFonts w:hint="eastAsia" w:eastAsia="宋体"/>
          <w:b/>
          <w:sz w:val="24"/>
          <w:lang w:eastAsia="zh-CN"/>
        </w:rPr>
      </w:pPr>
      <w:r>
        <w:rPr>
          <w:rFonts w:hint="eastAsia"/>
          <w:b/>
          <w:sz w:val="24"/>
        </w:rPr>
        <w:t>十二、国有资本经营预算财政拨款支出决算表</w:t>
      </w:r>
    </w:p>
    <w:p>
      <w:pPr>
        <w:pStyle w:val="13"/>
        <w:adjustRightInd w:val="0"/>
        <w:snapToGrid w:val="0"/>
        <w:spacing w:line="440" w:lineRule="exact"/>
        <w:jc w:val="left"/>
        <w:rPr>
          <w:rFonts w:hint="eastAsia" w:eastAsia="宋体" w:asciiTheme="minorEastAsia" w:hAnsiTheme="minorEastAsia" w:cstheme="minorEastAsia"/>
          <w:b/>
          <w:sz w:val="24"/>
          <w:lang w:eastAsia="zh-CN"/>
        </w:rPr>
      </w:pPr>
      <w:r>
        <w:rPr>
          <w:rFonts w:hint="eastAsia"/>
          <w:b/>
          <w:sz w:val="24"/>
        </w:rPr>
        <w:t>十三、财政拨款“三公”经费支出决算表</w:t>
      </w:r>
    </w:p>
    <w:p>
      <w:pPr>
        <w:pStyle w:val="3"/>
        <w:adjustRightInd w:val="0"/>
        <w:snapToGrid w:val="0"/>
        <w:spacing w:before="0" w:after="0" w:line="576" w:lineRule="exact"/>
        <w:jc w:val="center"/>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ascii="黑体" w:hAnsi="黑体" w:eastAsia="黑体"/>
        </w:rPr>
      </w:pPr>
    </w:p>
    <w:p>
      <w:pPr>
        <w:rPr>
          <w:rFonts w:hint="eastAsia" w:ascii="黑体" w:hAnsi="黑体" w:eastAsia="黑体"/>
        </w:rPr>
      </w:pPr>
    </w:p>
    <w:p>
      <w:pPr>
        <w:pStyle w:val="2"/>
        <w:rPr>
          <w:rFonts w:hint="eastAsia"/>
        </w:rPr>
      </w:pPr>
    </w:p>
    <w:p>
      <w:pPr>
        <w:pStyle w:val="3"/>
        <w:adjustRightInd w:val="0"/>
        <w:snapToGrid w:val="0"/>
        <w:spacing w:before="0" w:after="0" w:line="576" w:lineRule="exact"/>
        <w:jc w:val="center"/>
        <w:rPr>
          <w:rFonts w:hint="eastAsia" w:ascii="黑体" w:hAnsi="黑体" w:eastAsia="黑体"/>
        </w:rPr>
      </w:pPr>
    </w:p>
    <w:p>
      <w:pPr>
        <w:pStyle w:val="3"/>
        <w:adjustRightInd w:val="0"/>
        <w:snapToGrid w:val="0"/>
        <w:spacing w:before="0" w:after="0" w:line="576" w:lineRule="exact"/>
        <w:jc w:val="center"/>
        <w:rPr>
          <w:rStyle w:val="30"/>
          <w:rFonts w:ascii="黑体" w:hAnsi="黑体" w:eastAsia="黑体"/>
          <w:b/>
          <w:bCs w:val="0"/>
        </w:rPr>
      </w:pPr>
      <w:r>
        <w:rPr>
          <w:rFonts w:hint="eastAsia" w:ascii="黑体" w:hAnsi="黑体" w:eastAsia="黑体"/>
        </w:rPr>
        <w:t xml:space="preserve">第一部分 </w:t>
      </w:r>
      <w:r>
        <w:rPr>
          <w:rStyle w:val="30"/>
          <w:rFonts w:hint="eastAsia" w:ascii="黑体" w:hAnsi="黑体" w:eastAsia="黑体"/>
          <w:b/>
          <w:bCs w:val="0"/>
        </w:rPr>
        <w:t>部门概况</w:t>
      </w:r>
      <w:bookmarkEnd w:id="12"/>
      <w:bookmarkEnd w:id="13"/>
    </w:p>
    <w:p>
      <w:pPr>
        <w:widowControl/>
        <w:adjustRightInd w:val="0"/>
        <w:snapToGrid w:val="0"/>
        <w:spacing w:line="576" w:lineRule="exact"/>
        <w:jc w:val="left"/>
        <w:rPr>
          <w:rFonts w:ascii="黑体" w:eastAsia="黑体"/>
          <w:b/>
          <w:sz w:val="32"/>
          <w:szCs w:val="32"/>
        </w:rPr>
      </w:pPr>
    </w:p>
    <w:p>
      <w:pPr>
        <w:pStyle w:val="4"/>
        <w:adjustRightInd w:val="0"/>
        <w:snapToGrid w:val="0"/>
        <w:spacing w:before="0" w:after="0" w:line="576" w:lineRule="exact"/>
        <w:ind w:firstLine="640" w:firstLineChars="200"/>
        <w:rPr>
          <w:rFonts w:ascii="黑体" w:hAnsi="黑体" w:eastAsia="黑体"/>
        </w:rPr>
      </w:pPr>
      <w:r>
        <w:rPr>
          <w:rFonts w:hint="eastAsia" w:ascii="黑体" w:hAnsi="黑体" w:eastAsia="黑体"/>
        </w:rPr>
        <w:t>一、部门职责</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广元市科学技术协会（简称广元市科协）是广元市科技工作者的群众组织，是中共广元市委领导下的人民团体，是市委、市政府联系科技工作者的桥梁和纽带，是推动我市科学技术事业发展的重要力量。主要工作任务是：</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（1）根据总体规划，制定科普计划，面向城市、农村、党员干部、群众、青少年普及科学知识，弘扬科学精神，宣传科学思想、科学方法，推广先进技术；</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（2）开展学术交流，活跃学术思想，促进学科发展，加强国际、国内民间科技交流，推动决策的科学化和民主化；</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（3）反映科技工作者的意见和要求，维护科技工作者的合法权益，为科技团体和科技工作者服务；</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（4）表扬奖励优秀科技工作者，举荐人才，组织开展科技人员再创业服务；</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（5）开展继续教育和技术培训，进行技术咨询服务，管理全市科技咨询行业，推动科技成果向现实生产力转化；</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（6）开展院士（专家）工作站建设工作，柔性引进院士（专家）高端智力人才搭建科技服务平台，服务创新驱动发展；</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（7）开展海智基地建设工作，积极引进海外智力人才，服务“一带一路”</w:t>
      </w:r>
      <w:r>
        <w:rPr>
          <w:rFonts w:hint="eastAsia" w:ascii="仿宋_GB2312" w:hAnsi="仿宋_GB2312" w:eastAsia="仿宋_GB2312" w:cs="仿宋_GB2312"/>
          <w:b/>
          <w:sz w:val="32"/>
          <w:szCs w:val="32"/>
          <w:lang w:eastAsia="zh-CN"/>
        </w:rPr>
        <w:t>倡议</w:t>
      </w:r>
      <w:r>
        <w:rPr>
          <w:rFonts w:hint="eastAsia" w:ascii="仿宋_GB2312" w:hAnsi="仿宋_GB2312" w:eastAsia="仿宋_GB2312" w:cs="仿宋_GB2312"/>
          <w:b/>
          <w:sz w:val="32"/>
          <w:szCs w:val="32"/>
        </w:rPr>
        <w:t>，促进对外经济交流，助力“双创”，为推动科技成果转化和科技进步作出积极贡献；</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（8）开展科普场馆建设工作，夯实基层科普，服务社会大众，提高市民科学素质；</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（9）实施科普惠农兴村计划，带领广大科技工作者及农技协等相关学协会助力脱贫</w:t>
      </w:r>
      <w:r>
        <w:rPr>
          <w:rFonts w:hint="eastAsia" w:ascii="仿宋_GB2312" w:hAnsi="仿宋_GB2312" w:eastAsia="仿宋_GB2312" w:cs="仿宋_GB2312"/>
          <w:b/>
          <w:sz w:val="32"/>
          <w:szCs w:val="32"/>
          <w:lang w:eastAsia="zh-CN"/>
        </w:rPr>
        <w:t>共</w:t>
      </w:r>
      <w:r>
        <w:rPr>
          <w:rFonts w:hint="eastAsia" w:ascii="仿宋_GB2312" w:hAnsi="仿宋_GB2312" w:eastAsia="仿宋_GB2312" w:cs="仿宋_GB2312"/>
          <w:b/>
          <w:sz w:val="32"/>
          <w:szCs w:val="32"/>
        </w:rPr>
        <w:t>坚；</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（10）实施社区科普益民计划，建立各级科普示范社区，提高公民科学素质；</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（11）对直属市级学会、协会、研究会、企业科协进行管理，对县区科协、基层科协组织进行业务指导；</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（12）开展反对邪教及其他反科学、伪科学和封建迷信活动；</w:t>
      </w:r>
    </w:p>
    <w:p>
      <w:pPr>
        <w:pStyle w:val="14"/>
        <w:adjustRightInd w:val="0"/>
        <w:snapToGrid w:val="0"/>
        <w:spacing w:beforeAutospacing="0" w:afterAutospacing="0" w:line="576" w:lineRule="exact"/>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（13）承担市委、市政府和上级科协交办的其他工作。</w:t>
      </w:r>
      <w:bookmarkStart w:id="14" w:name="_Toc15377200"/>
      <w:bookmarkStart w:id="15" w:name="_Toc15396601"/>
    </w:p>
    <w:p>
      <w:pPr>
        <w:pStyle w:val="14"/>
        <w:adjustRightInd w:val="0"/>
        <w:snapToGrid w:val="0"/>
        <w:spacing w:beforeAutospacing="0" w:afterAutospacing="0" w:line="576" w:lineRule="exact"/>
        <w:ind w:firstLine="640" w:firstLineChars="200"/>
        <w:jc w:val="both"/>
        <w:rPr>
          <w:rStyle w:val="31"/>
          <w:rFonts w:hint="eastAsia" w:ascii="黑体" w:hAnsi="黑体" w:eastAsia="黑体"/>
          <w:bCs w:val="0"/>
        </w:rPr>
      </w:pPr>
      <w:r>
        <w:rPr>
          <w:rStyle w:val="31"/>
          <w:rFonts w:hint="eastAsia" w:ascii="黑体" w:hAnsi="黑体" w:eastAsia="黑体"/>
        </w:rPr>
        <w:t>二、机</w:t>
      </w:r>
      <w:r>
        <w:rPr>
          <w:rStyle w:val="31"/>
          <w:rFonts w:hint="eastAsia" w:ascii="黑体" w:hAnsi="黑体" w:eastAsia="黑体"/>
          <w:bCs w:val="0"/>
        </w:rPr>
        <w:t>构设置</w:t>
      </w:r>
      <w:bookmarkEnd w:id="14"/>
      <w:bookmarkEnd w:id="15"/>
    </w:p>
    <w:p>
      <w:pPr>
        <w:pStyle w:val="14"/>
        <w:adjustRightInd w:val="0"/>
        <w:snapToGrid w:val="0"/>
        <w:spacing w:beforeAutospacing="0" w:afterAutospacing="0" w:line="576" w:lineRule="exact"/>
        <w:ind w:firstLine="640" w:firstLineChars="200"/>
        <w:jc w:val="both"/>
        <w:rPr>
          <w:rFonts w:hint="eastAsia" w:ascii="仿宋_GB2312" w:hAnsi="仿宋" w:eastAsia="仿宋_GB2312"/>
          <w:b/>
          <w:sz w:val="32"/>
          <w:szCs w:val="32"/>
        </w:rPr>
      </w:pPr>
      <w:r>
        <w:rPr>
          <w:rFonts w:hint="eastAsia" w:ascii="仿宋_GB2312" w:hAnsi="仿宋" w:eastAsia="仿宋_GB2312"/>
          <w:b/>
          <w:sz w:val="32"/>
          <w:szCs w:val="32"/>
        </w:rPr>
        <w:t>下属二级单位1个，其中：行政单位0个，参照公务员法管理的事业单位</w:t>
      </w:r>
      <w:r>
        <w:rPr>
          <w:rFonts w:hint="eastAsia" w:ascii="仿宋_GB2312" w:hAnsi="仿宋" w:eastAsia="仿宋_GB2312"/>
          <w:b/>
          <w:bCs/>
          <w:sz w:val="32"/>
          <w:szCs w:val="32"/>
        </w:rPr>
        <w:t>0</w:t>
      </w:r>
      <w:r>
        <w:rPr>
          <w:rFonts w:hint="eastAsia" w:ascii="仿宋_GB2312" w:hAnsi="仿宋" w:eastAsia="仿宋_GB2312"/>
          <w:b/>
          <w:sz w:val="32"/>
          <w:szCs w:val="32"/>
        </w:rPr>
        <w:t>个，其他事业单位1个，未独立预算。</w:t>
      </w:r>
    </w:p>
    <w:p>
      <w:pPr>
        <w:pStyle w:val="2"/>
        <w:adjustRightInd w:val="0"/>
        <w:snapToGrid w:val="0"/>
        <w:spacing w:beforeLines="0" w:line="576" w:lineRule="exact"/>
        <w:ind w:firstLine="672" w:firstLineChars="210"/>
        <w:rPr>
          <w:rFonts w:hint="eastAsia" w:hAnsi="仿宋"/>
          <w:b/>
          <w:spacing w:val="-6"/>
          <w:sz w:val="32"/>
          <w:szCs w:val="32"/>
        </w:rPr>
      </w:pPr>
      <w:r>
        <w:rPr>
          <w:rFonts w:hint="eastAsia" w:hAnsi="仿宋"/>
          <w:b/>
          <w:sz w:val="32"/>
          <w:szCs w:val="32"/>
        </w:rPr>
        <w:t>纳</w:t>
      </w:r>
      <w:r>
        <w:rPr>
          <w:rFonts w:hint="eastAsia" w:hAnsi="仿宋"/>
          <w:b/>
          <w:spacing w:val="-6"/>
          <w:sz w:val="32"/>
          <w:szCs w:val="32"/>
        </w:rPr>
        <w:t>入</w:t>
      </w:r>
      <w:r>
        <w:rPr>
          <w:rFonts w:hint="eastAsia" w:hAnsi="??"/>
          <w:b/>
          <w:spacing w:val="-6"/>
          <w:sz w:val="32"/>
          <w:szCs w:val="32"/>
        </w:rPr>
        <w:t>广元市科</w:t>
      </w:r>
      <w:r>
        <w:rPr>
          <w:rFonts w:hint="eastAsia" w:hAnsi="宋体" w:cs="宋体"/>
          <w:b/>
          <w:spacing w:val="-6"/>
          <w:sz w:val="32"/>
          <w:szCs w:val="32"/>
        </w:rPr>
        <w:t>协</w:t>
      </w:r>
      <w:r>
        <w:rPr>
          <w:rFonts w:hint="eastAsia" w:hAnsi="仿宋"/>
          <w:b/>
          <w:spacing w:val="-6"/>
          <w:sz w:val="32"/>
          <w:szCs w:val="32"/>
        </w:rPr>
        <w:t>2022年度部门决算编制范围的二级单位包括：</w:t>
      </w:r>
      <w:bookmarkStart w:id="16" w:name="_Toc15378449"/>
      <w:bookmarkStart w:id="17" w:name="_Toc15377433"/>
      <w:bookmarkStart w:id="18" w:name="_Toc15306276"/>
      <w:bookmarkStart w:id="19" w:name="_Toc15377202"/>
    </w:p>
    <w:p>
      <w:pPr>
        <w:pStyle w:val="2"/>
        <w:adjustRightInd w:val="0"/>
        <w:snapToGrid w:val="0"/>
        <w:spacing w:beforeLines="0" w:line="576" w:lineRule="exact"/>
        <w:ind w:firstLine="646" w:firstLineChars="210"/>
        <w:rPr>
          <w:rFonts w:hint="eastAsia" w:hAnsi="仿宋"/>
          <w:b/>
          <w:sz w:val="32"/>
          <w:szCs w:val="32"/>
        </w:rPr>
      </w:pPr>
      <w:r>
        <w:rPr>
          <w:rFonts w:hint="eastAsia" w:hAnsi="仿宋"/>
          <w:b/>
          <w:spacing w:val="-6"/>
          <w:sz w:val="32"/>
          <w:szCs w:val="32"/>
        </w:rPr>
        <w:t>1.</w:t>
      </w:r>
      <w:r>
        <w:rPr>
          <w:rFonts w:hint="eastAsia" w:hAnsi="仿宋"/>
          <w:b/>
          <w:sz w:val="32"/>
          <w:szCs w:val="32"/>
        </w:rPr>
        <w:t>广元市科技服务中心</w:t>
      </w:r>
      <w:bookmarkEnd w:id="16"/>
      <w:bookmarkEnd w:id="17"/>
      <w:bookmarkEnd w:id="18"/>
      <w:bookmarkEnd w:id="19"/>
    </w:p>
    <w:p>
      <w:pPr>
        <w:widowControl/>
        <w:adjustRightInd w:val="0"/>
        <w:snapToGrid w:val="0"/>
        <w:spacing w:line="576" w:lineRule="exact"/>
        <w:jc w:val="left"/>
        <w:rPr>
          <w:rFonts w:ascii="仿宋" w:hAnsi="仿宋" w:eastAsia="仿宋"/>
          <w:b/>
          <w:kern w:val="0"/>
          <w:sz w:val="32"/>
          <w:szCs w:val="32"/>
        </w:rPr>
      </w:pPr>
      <w:r>
        <w:rPr>
          <w:rFonts w:ascii="仿宋" w:hAnsi="仿宋" w:eastAsia="仿宋"/>
          <w:b/>
          <w:sz w:val="32"/>
          <w:szCs w:val="32"/>
        </w:rPr>
        <w:br w:type="page"/>
      </w:r>
    </w:p>
    <w:p>
      <w:pPr>
        <w:pStyle w:val="3"/>
        <w:adjustRightInd w:val="0"/>
        <w:snapToGrid w:val="0"/>
        <w:spacing w:before="0" w:after="0" w:line="540" w:lineRule="exact"/>
        <w:jc w:val="center"/>
        <w:rPr>
          <w:rFonts w:hint="eastAsia" w:ascii="方正黑体简体" w:hAnsi="黑体" w:eastAsia="方正黑体简体"/>
        </w:rPr>
      </w:pPr>
      <w:bookmarkStart w:id="20" w:name="_Toc15377204"/>
      <w:bookmarkStart w:id="21" w:name="_Toc15396602"/>
    </w:p>
    <w:p>
      <w:pPr>
        <w:pStyle w:val="3"/>
        <w:adjustRightInd w:val="0"/>
        <w:snapToGrid w:val="0"/>
        <w:spacing w:before="0" w:after="0" w:line="540" w:lineRule="exact"/>
        <w:jc w:val="center"/>
        <w:rPr>
          <w:rStyle w:val="30"/>
          <w:rFonts w:hint="eastAsia" w:ascii="方正黑体简体" w:hAnsi="黑体" w:eastAsia="方正黑体简体"/>
          <w:b/>
          <w:bCs/>
        </w:rPr>
      </w:pPr>
      <w:r>
        <w:rPr>
          <w:rFonts w:hint="eastAsia" w:ascii="方正黑体简体" w:hAnsi="黑体" w:eastAsia="方正黑体简体"/>
        </w:rPr>
        <w:t>第二部分 2022年度</w:t>
      </w:r>
      <w:r>
        <w:rPr>
          <w:rStyle w:val="30"/>
          <w:rFonts w:hint="eastAsia" w:ascii="方正黑体简体" w:hAnsi="黑体" w:eastAsia="方正黑体简体"/>
          <w:b/>
          <w:bCs/>
        </w:rPr>
        <w:t>部门决算情况说明</w:t>
      </w:r>
      <w:bookmarkEnd w:id="20"/>
      <w:bookmarkEnd w:id="21"/>
    </w:p>
    <w:p>
      <w:pPr>
        <w:adjustRightInd w:val="0"/>
        <w:snapToGrid w:val="0"/>
        <w:spacing w:line="540" w:lineRule="exact"/>
        <w:rPr>
          <w:b/>
        </w:rPr>
      </w:pPr>
    </w:p>
    <w:p>
      <w:pPr>
        <w:adjustRightInd w:val="0"/>
        <w:snapToGrid w:val="0"/>
        <w:spacing w:line="540" w:lineRule="exact"/>
        <w:ind w:firstLine="640" w:firstLineChars="200"/>
        <w:outlineLvl w:val="1"/>
        <w:rPr>
          <w:rStyle w:val="31"/>
          <w:rFonts w:hint="eastAsia" w:ascii="黑体" w:hAnsi="黑体" w:eastAsia="黑体"/>
        </w:rPr>
      </w:pPr>
      <w:bookmarkStart w:id="22" w:name="_Toc15396603"/>
      <w:bookmarkStart w:id="23" w:name="_Toc15377205"/>
      <w:r>
        <w:rPr>
          <w:rFonts w:hint="eastAsia" w:ascii="黑体" w:hAnsi="黑体" w:eastAsia="黑体"/>
          <w:b/>
          <w:sz w:val="32"/>
          <w:szCs w:val="32"/>
        </w:rPr>
        <w:t>一、收</w:t>
      </w:r>
      <w:r>
        <w:rPr>
          <w:rStyle w:val="31"/>
          <w:rFonts w:hint="eastAsia" w:ascii="黑体" w:hAnsi="黑体" w:eastAsia="黑体"/>
        </w:rPr>
        <w:t>入支出决算总体情况说明</w:t>
      </w:r>
      <w:bookmarkEnd w:id="22"/>
      <w:bookmarkEnd w:id="23"/>
    </w:p>
    <w:p>
      <w:pPr>
        <w:adjustRightInd w:val="0"/>
        <w:snapToGrid w:val="0"/>
        <w:spacing w:line="54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2022年度收、支总计６４５.３０万元。与2021年相比，收、支总计各增加１１３.９４万元，增长２１.４４%。主要变动原因是追加人员经费、会议费。</w:t>
      </w:r>
    </w:p>
    <w:p>
      <w:pPr>
        <w:adjustRightInd w:val="0"/>
        <w:snapToGrid w:val="0"/>
        <w:spacing w:line="540" w:lineRule="exact"/>
        <w:ind w:firstLine="640" w:firstLineChars="200"/>
        <w:rPr>
          <w:rFonts w:hint="eastAsia" w:ascii="仿宋_GB2312" w:hAnsi="??" w:eastAsia="仿宋_GB2312"/>
          <w:b/>
          <w:sz w:val="32"/>
          <w:szCs w:val="32"/>
        </w:rPr>
      </w:pPr>
      <w:r>
        <w:rPr>
          <w:rFonts w:hint="eastAsia" w:ascii="仿宋_GB2312" w:hAnsi="仿宋" w:eastAsia="仿宋_GB2312"/>
          <w:b/>
          <w:sz w:val="32"/>
          <w:szCs w:val="32"/>
        </w:rPr>
        <w:t>（图1：收、支决算总计变动情况图）（柱状图）</w:t>
      </w:r>
    </w:p>
    <w:p>
      <w:pPr>
        <w:rPr>
          <w:b/>
        </w:rPr>
      </w:pPr>
      <w:r>
        <w:rPr>
          <w:rFonts w:hint="eastAsia" w:ascii="??" w:hAnsi="??" w:eastAsia="宋体"/>
          <w:b/>
          <w:sz w:val="32"/>
          <w:szCs w:val="32"/>
        </w:rPr>
        <w:t>　　　　</w:t>
      </w:r>
      <w:r>
        <w:rPr>
          <w:rFonts w:ascii="??" w:hAnsi="??" w:eastAsia="Times New Roman"/>
          <w:b/>
          <w:sz w:val="32"/>
          <w:szCs w:val="32"/>
        </w:rPr>
        <w:object>
          <v:shape id="_x0000_i1025" o:spt="75" alt="olechartimg_1695342915297569_577716224" type="#_x0000_t75" style="height:147pt;width:290.25pt;" o:ole="t" filled="f" o:preferrelative="t" stroked="f" coordsize="21600,21600">
            <v:path/>
            <v:fill on="f" focussize="0,0"/>
            <v:stroke on="f" joinstyle="miter"/>
            <v:imagedata r:id="rId11" cropbottom="-86f" o:title="olechartimg_1695610850570913_274491392"/>
            <o:lock v:ext="edit" aspectratio="f"/>
            <w10:wrap type="none"/>
            <w10:anchorlock/>
          </v:shape>
          <o:OLEObject Type="Embed" ProgID="Excel.Sheet.8" ShapeID="_x0000_i1025" DrawAspect="Content" ObjectID="_1468075725" r:id="rId10">
            <o:LockedField>false</o:LockedField>
          </o:OLEObject>
        </w:object>
      </w:r>
    </w:p>
    <w:p>
      <w:pPr>
        <w:spacing w:line="540" w:lineRule="exact"/>
        <w:ind w:firstLine="640" w:firstLineChars="200"/>
        <w:outlineLvl w:val="1"/>
        <w:rPr>
          <w:rStyle w:val="31"/>
          <w:rFonts w:hint="eastAsia" w:ascii="黑体" w:hAnsi="黑体" w:eastAsia="黑体"/>
        </w:rPr>
      </w:pPr>
      <w:bookmarkStart w:id="24" w:name="_Toc15377206"/>
      <w:bookmarkStart w:id="25" w:name="_Toc15396604"/>
      <w:r>
        <w:rPr>
          <w:rFonts w:hint="eastAsia" w:ascii="黑体" w:hAnsi="黑体" w:eastAsia="黑体"/>
          <w:b/>
          <w:sz w:val="32"/>
          <w:szCs w:val="32"/>
        </w:rPr>
        <w:t>二、收</w:t>
      </w:r>
      <w:r>
        <w:rPr>
          <w:rStyle w:val="31"/>
          <w:rFonts w:hint="eastAsia" w:ascii="黑体" w:hAnsi="黑体" w:eastAsia="黑体"/>
        </w:rPr>
        <w:t>入决算情况说明</w:t>
      </w:r>
      <w:bookmarkEnd w:id="24"/>
      <w:bookmarkEnd w:id="25"/>
    </w:p>
    <w:p>
      <w:pPr>
        <w:spacing w:line="540" w:lineRule="exact"/>
        <w:ind w:firstLine="640" w:firstLineChars="200"/>
        <w:outlineLvl w:val="1"/>
        <w:rPr>
          <w:rFonts w:hint="eastAsia" w:ascii="仿宋_GB2312" w:hAnsi="仿宋" w:eastAsia="仿宋_GB2312"/>
          <w:b/>
          <w:sz w:val="32"/>
          <w:szCs w:val="32"/>
        </w:rPr>
      </w:pPr>
      <w:r>
        <w:rPr>
          <w:rFonts w:hint="eastAsia" w:ascii="仿宋_GB2312" w:hAnsi="仿宋" w:eastAsia="仿宋_GB2312"/>
          <w:b/>
          <w:sz w:val="32"/>
          <w:szCs w:val="32"/>
        </w:rPr>
        <w:t>2022年本年收入合计593.04万元，其中：一般公共预算财政拨款收入593.04万元，占100%。</w:t>
      </w:r>
    </w:p>
    <w:p>
      <w:pPr>
        <w:spacing w:line="54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（图2：收入决算结构图）（饼状图）</w:t>
      </w:r>
    </w:p>
    <w:p>
      <w:pPr>
        <w:spacing w:line="600" w:lineRule="exact"/>
        <w:ind w:firstLine="640" w:firstLineChars="200"/>
        <w:rPr>
          <w:rFonts w:ascii="仿宋_GB2312" w:eastAsia="仿宋_GB2312"/>
          <w:b/>
          <w:sz w:val="32"/>
          <w:szCs w:val="32"/>
        </w:rPr>
      </w:pPr>
      <w:r>
        <w:rPr>
          <w:rFonts w:hint="eastAsia" w:ascii="仿宋_GB2312" w:eastAsia="仿宋_GB2312"/>
          <w:b/>
          <w:sz w:val="32"/>
          <w:szCs w:val="32"/>
        </w:rPr>
        <w:drawing>
          <wp:anchor distT="0" distB="0" distL="114300" distR="114300" simplePos="0" relativeHeight="251659264" behindDoc="1" locked="0" layoutInCell="1" allowOverlap="1">
            <wp:simplePos x="0" y="0"/>
            <wp:positionH relativeFrom="column">
              <wp:posOffset>834390</wp:posOffset>
            </wp:positionH>
            <wp:positionV relativeFrom="paragraph">
              <wp:posOffset>73660</wp:posOffset>
            </wp:positionV>
            <wp:extent cx="3584575" cy="2036445"/>
            <wp:effectExtent l="4445" t="4445" r="11430" b="1651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_GB2312" w:eastAsia="仿宋_GB2312"/>
          <w:b/>
          <w:sz w:val="32"/>
          <w:szCs w:val="32"/>
        </w:rPr>
      </w:pPr>
    </w:p>
    <w:p>
      <w:pPr>
        <w:spacing w:line="600" w:lineRule="exact"/>
        <w:ind w:firstLine="640" w:firstLineChars="200"/>
        <w:rPr>
          <w:rFonts w:ascii="仿宋_GB2312" w:eastAsia="仿宋_GB2312"/>
          <w:b/>
          <w:sz w:val="32"/>
          <w:szCs w:val="32"/>
        </w:rPr>
      </w:pPr>
    </w:p>
    <w:p>
      <w:pPr>
        <w:spacing w:line="600" w:lineRule="exact"/>
        <w:ind w:firstLine="640" w:firstLineChars="200"/>
        <w:rPr>
          <w:rFonts w:ascii="仿宋_GB2312" w:eastAsia="仿宋_GB2312"/>
          <w:b/>
          <w:sz w:val="32"/>
          <w:szCs w:val="32"/>
        </w:rPr>
      </w:pPr>
    </w:p>
    <w:p>
      <w:pPr>
        <w:spacing w:line="600" w:lineRule="exact"/>
        <w:ind w:firstLine="640" w:firstLineChars="200"/>
        <w:rPr>
          <w:rFonts w:ascii="仿宋_GB2312" w:eastAsia="仿宋_GB2312"/>
          <w:b/>
          <w:sz w:val="32"/>
          <w:szCs w:val="32"/>
        </w:rPr>
      </w:pPr>
    </w:p>
    <w:p>
      <w:pPr>
        <w:spacing w:line="540" w:lineRule="exact"/>
        <w:ind w:firstLine="640" w:firstLineChars="200"/>
        <w:outlineLvl w:val="1"/>
        <w:rPr>
          <w:rStyle w:val="31"/>
          <w:rFonts w:ascii="黑体" w:hAnsi="黑体" w:eastAsia="黑体"/>
        </w:rPr>
      </w:pPr>
      <w:bookmarkStart w:id="26" w:name="_Toc15396605"/>
      <w:bookmarkStart w:id="27" w:name="_Toc15377207"/>
      <w:r>
        <w:rPr>
          <w:rFonts w:hint="eastAsia" w:ascii="黑体" w:hAnsi="黑体" w:eastAsia="黑体"/>
          <w:b/>
          <w:sz w:val="32"/>
          <w:szCs w:val="32"/>
        </w:rPr>
        <w:t>三、支</w:t>
      </w:r>
      <w:r>
        <w:rPr>
          <w:rStyle w:val="31"/>
          <w:rFonts w:hint="eastAsia" w:ascii="黑体" w:hAnsi="黑体" w:eastAsia="黑体"/>
        </w:rPr>
        <w:t>出决算情况说明</w:t>
      </w:r>
      <w:bookmarkEnd w:id="26"/>
      <w:bookmarkEnd w:id="27"/>
    </w:p>
    <w:p>
      <w:pPr>
        <w:spacing w:line="540" w:lineRule="exact"/>
        <w:ind w:firstLine="640" w:firstLineChars="200"/>
        <w:outlineLvl w:val="1"/>
        <w:rPr>
          <w:rFonts w:hint="eastAsia" w:ascii="仿宋_GB2312" w:hAnsi="仿宋" w:eastAsia="仿宋_GB2312"/>
          <w:b/>
          <w:sz w:val="32"/>
          <w:szCs w:val="32"/>
          <w:shd w:val="pct10" w:color="auto" w:fill="FFFFFF"/>
        </w:rPr>
      </w:pPr>
      <w:r>
        <w:rPr>
          <w:rFonts w:hint="eastAsia" w:ascii="仿宋_GB2312" w:hAnsi="仿宋" w:eastAsia="仿宋_GB2312"/>
          <w:b/>
          <w:sz w:val="32"/>
          <w:szCs w:val="32"/>
        </w:rPr>
        <w:t>2022年本年支出合计645.30万元，其中：基本支出478.95万元，占74%；项目支出166.35万元，占26%。</w:t>
      </w:r>
    </w:p>
    <w:p>
      <w:pPr>
        <w:pStyle w:val="2"/>
        <w:spacing w:before="93"/>
        <w:jc w:val="center"/>
        <w:rPr>
          <w:b/>
        </w:rPr>
      </w:pPr>
      <w:r>
        <w:rPr>
          <w:rFonts w:hint="eastAsia" w:ascii="仿宋" w:hAnsi="仿宋" w:eastAsia="仿宋"/>
          <w:b/>
          <w:sz w:val="32"/>
          <w:szCs w:val="32"/>
          <w:shd w:val="clear" w:color="FFFFFF" w:fill="D9D9D9"/>
        </w:rPr>
        <w:drawing>
          <wp:inline distT="0" distB="0" distL="114300" distR="114300">
            <wp:extent cx="3091815" cy="1950085"/>
            <wp:effectExtent l="4445" t="4445" r="889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40" w:lineRule="exact"/>
        <w:ind w:firstLine="1280" w:firstLineChars="400"/>
        <w:rPr>
          <w:rFonts w:hint="eastAsia" w:ascii="仿宋_GB2312" w:eastAsia="仿宋_GB2312"/>
          <w:b/>
          <w:sz w:val="32"/>
          <w:szCs w:val="32"/>
        </w:rPr>
      </w:pPr>
      <w:r>
        <w:rPr>
          <w:rFonts w:hint="eastAsia" w:ascii="仿宋_GB2312" w:hAnsi="仿宋" w:eastAsia="仿宋_GB2312"/>
          <w:b/>
          <w:sz w:val="32"/>
          <w:szCs w:val="32"/>
        </w:rPr>
        <w:t>（图3：支出决算结构图）（饼状图）</w:t>
      </w:r>
    </w:p>
    <w:p>
      <w:pPr>
        <w:spacing w:line="540" w:lineRule="exact"/>
        <w:ind w:firstLine="640" w:firstLineChars="200"/>
        <w:outlineLvl w:val="1"/>
        <w:rPr>
          <w:rStyle w:val="31"/>
          <w:rFonts w:ascii="黑体" w:hAnsi="黑体" w:eastAsia="黑体"/>
        </w:rPr>
      </w:pPr>
      <w:bookmarkStart w:id="28" w:name="_Toc15377208"/>
      <w:bookmarkStart w:id="29" w:name="_Toc15396606"/>
      <w:r>
        <w:rPr>
          <w:rFonts w:hint="eastAsia" w:ascii="黑体" w:hAnsi="黑体" w:eastAsia="黑体"/>
          <w:b/>
          <w:sz w:val="32"/>
          <w:szCs w:val="32"/>
        </w:rPr>
        <w:t>四、财</w:t>
      </w:r>
      <w:r>
        <w:rPr>
          <w:rStyle w:val="31"/>
          <w:rFonts w:hint="eastAsia" w:ascii="黑体" w:hAnsi="黑体" w:eastAsia="黑体"/>
        </w:rPr>
        <w:t>政拨款收入支出决算总体情况说明</w:t>
      </w:r>
      <w:bookmarkEnd w:id="28"/>
      <w:bookmarkEnd w:id="29"/>
    </w:p>
    <w:p>
      <w:pPr>
        <w:spacing w:line="54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2022年财政拨款收、支总计645.30万元。与2021年相比，财政拨款收、支总计各增加１１３.９４万元，增长２１.４４%。主要变动原因是追加人员经费、会议费。</w:t>
      </w:r>
    </w:p>
    <w:p>
      <w:pPr>
        <w:spacing w:line="540" w:lineRule="exact"/>
        <w:ind w:firstLine="640" w:firstLineChars="200"/>
        <w:rPr>
          <w:rFonts w:hint="eastAsia" w:ascii="仿宋_GB2312" w:hAnsi="??" w:eastAsia="仿宋_GB2312"/>
          <w:b/>
          <w:sz w:val="32"/>
          <w:szCs w:val="32"/>
        </w:rPr>
      </w:pPr>
      <w:r>
        <w:rPr>
          <w:rFonts w:hint="eastAsia" w:ascii="仿宋_GB2312" w:hAnsi="仿宋" w:eastAsia="仿宋_GB2312"/>
          <w:b/>
          <w:sz w:val="32"/>
          <w:szCs w:val="32"/>
        </w:rPr>
        <w:t>（图4：财政拨款收、支决算总计变动情况）（柱状图）</w:t>
      </w:r>
    </w:p>
    <w:p>
      <w:pPr>
        <w:pStyle w:val="2"/>
        <w:spacing w:before="93"/>
        <w:jc w:val="center"/>
        <w:rPr>
          <w:b/>
        </w:rPr>
      </w:pPr>
      <w:r>
        <w:rPr>
          <w:rFonts w:ascii="??" w:hAnsi="??" w:eastAsia="Times New Roman"/>
          <w:b/>
          <w:sz w:val="32"/>
          <w:szCs w:val="32"/>
        </w:rPr>
        <w:object>
          <v:shape id="_x0000_i1026" o:spt="75" alt="olechartimg_1695342915297569_577716224" type="#_x0000_t75" style="height:134.25pt;width:281.25pt;" o:ole="t" filled="f" o:preferrelative="t" stroked="f" coordsize="21600,21600">
            <v:path/>
            <v:fill on="f" focussize="0,0"/>
            <v:stroke on="f" joinstyle="miter"/>
            <v:imagedata r:id="rId15" cropbottom="-86f" o:title="olechartimg_1695612380335015_372131840"/>
            <o:lock v:ext="edit" aspectratio="f"/>
            <w10:wrap type="none"/>
            <w10:anchorlock/>
          </v:shape>
          <o:OLEObject Type="Embed" ProgID="Excel.Sheet.8" ShapeID="_x0000_i1026" DrawAspect="Content" ObjectID="_1468075726" r:id="rId14">
            <o:LockedField>false</o:LockedField>
          </o:OLEObject>
        </w:object>
      </w:r>
    </w:p>
    <w:p>
      <w:pPr>
        <w:spacing w:line="540" w:lineRule="exact"/>
        <w:ind w:firstLine="640" w:firstLineChars="200"/>
        <w:outlineLvl w:val="1"/>
        <w:rPr>
          <w:rStyle w:val="31"/>
          <w:rFonts w:ascii="黑体" w:hAnsi="黑体" w:eastAsia="黑体"/>
        </w:rPr>
      </w:pPr>
      <w:bookmarkStart w:id="30" w:name="_Toc15396607"/>
      <w:bookmarkStart w:id="31" w:name="_Toc15377209"/>
      <w:r>
        <w:rPr>
          <w:rFonts w:hint="eastAsia" w:ascii="黑体" w:hAnsi="黑体" w:eastAsia="黑体"/>
          <w:b/>
          <w:sz w:val="32"/>
          <w:szCs w:val="32"/>
        </w:rPr>
        <w:t>五、一</w:t>
      </w:r>
      <w:r>
        <w:rPr>
          <w:rStyle w:val="31"/>
          <w:rFonts w:hint="eastAsia" w:ascii="黑体" w:hAnsi="黑体" w:eastAsia="黑体"/>
        </w:rPr>
        <w:t>般公共预算财政拨款支出决算情况说明</w:t>
      </w:r>
      <w:bookmarkEnd w:id="30"/>
      <w:bookmarkEnd w:id="31"/>
    </w:p>
    <w:p>
      <w:pPr>
        <w:spacing w:line="540" w:lineRule="exact"/>
        <w:ind w:firstLine="640" w:firstLineChars="200"/>
        <w:outlineLvl w:val="2"/>
        <w:rPr>
          <w:rFonts w:hint="eastAsia" w:ascii="楷体_GB2312" w:hAnsi="仿宋" w:eastAsia="楷体_GB2312"/>
          <w:b/>
          <w:sz w:val="32"/>
          <w:szCs w:val="32"/>
        </w:rPr>
      </w:pPr>
      <w:bookmarkStart w:id="32" w:name="_Toc15377210"/>
      <w:r>
        <w:rPr>
          <w:rFonts w:hint="eastAsia" w:ascii="楷体_GB2312" w:hAnsi="仿宋" w:eastAsia="楷体_GB2312"/>
          <w:b/>
          <w:sz w:val="32"/>
          <w:szCs w:val="32"/>
        </w:rPr>
        <w:t>（一）一般公共预算财政拨款支出决算总体情况</w:t>
      </w:r>
      <w:bookmarkEnd w:id="32"/>
    </w:p>
    <w:p>
      <w:pPr>
        <w:spacing w:line="55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2022年一般公共预算财政拨款支出645.30万元，占本年支出合计的100%。与2021年相比，一般公共预算财政拨款支出增加166.19万元，增长34.68%。主要变动原因：一是追加人员经费、会议费；二是年末无结转结余。</w:t>
      </w:r>
    </w:p>
    <w:p>
      <w:pPr>
        <w:spacing w:line="55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pacing w:val="-6"/>
          <w:sz w:val="32"/>
          <w:szCs w:val="32"/>
        </w:rPr>
        <w:t>图5：一般公共预算财政拨款支出决算变动情况）（柱状图）</w:t>
      </w:r>
    </w:p>
    <w:p>
      <w:pPr>
        <w:pStyle w:val="2"/>
        <w:spacing w:before="93"/>
        <w:jc w:val="center"/>
        <w:rPr>
          <w:rFonts w:ascii="仿宋" w:hAnsi="仿宋" w:eastAsia="仿宋"/>
          <w:b/>
          <w:sz w:val="32"/>
          <w:szCs w:val="32"/>
        </w:rPr>
      </w:pPr>
      <w:r>
        <w:rPr>
          <w:rFonts w:ascii="??" w:hAnsi="??" w:eastAsia="Times New Roman"/>
          <w:b/>
          <w:sz w:val="32"/>
          <w:szCs w:val="32"/>
        </w:rPr>
        <w:object>
          <v:shape id="_x0000_i1027" o:spt="75" alt="olechartimg_1695342915297569_577716224" type="#_x0000_t75" style="height:147pt;width:290.25pt;" o:ole="t" filled="f" o:preferrelative="t" stroked="f" coordsize="21600,21600">
            <v:path/>
            <v:fill on="f" focussize="0,0"/>
            <v:stroke on="f" joinstyle="miter"/>
            <v:imagedata r:id="rId17" cropbottom="-86f" o:title="olechartimg_1695612064281319_372131840"/>
            <o:lock v:ext="edit" aspectratio="f"/>
            <w10:wrap type="none"/>
            <w10:anchorlock/>
          </v:shape>
          <o:OLEObject Type="Embed" ProgID="Excel.Sheet.8" ShapeID="_x0000_i1027" DrawAspect="Content" ObjectID="_1468075727" r:id="rId16">
            <o:LockedField>false</o:LockedField>
          </o:OLEObject>
        </w:object>
      </w:r>
    </w:p>
    <w:p>
      <w:pPr>
        <w:spacing w:line="550" w:lineRule="exact"/>
        <w:ind w:firstLine="640" w:firstLineChars="200"/>
        <w:outlineLvl w:val="2"/>
        <w:rPr>
          <w:rFonts w:hint="eastAsia" w:ascii="楷体_GB2312" w:hAnsi="宋体" w:eastAsia="楷体_GB2312"/>
          <w:b/>
          <w:sz w:val="32"/>
          <w:szCs w:val="32"/>
        </w:rPr>
      </w:pPr>
      <w:bookmarkStart w:id="33" w:name="_Toc15377211"/>
      <w:r>
        <w:rPr>
          <w:rFonts w:hint="eastAsia" w:ascii="楷体_GB2312" w:hAnsi="宋体" w:eastAsia="楷体_GB2312"/>
          <w:b/>
          <w:sz w:val="32"/>
          <w:szCs w:val="32"/>
        </w:rPr>
        <w:t>（二）一般公共预算财政拨款支出决算结构情况</w:t>
      </w:r>
      <w:bookmarkEnd w:id="33"/>
    </w:p>
    <w:p>
      <w:pPr>
        <w:spacing w:line="550" w:lineRule="exact"/>
        <w:ind w:firstLine="200"/>
        <w:rPr>
          <w:rFonts w:hint="eastAsia" w:ascii="仿宋_GB2312" w:hAnsi="宋体" w:eastAsia="仿宋_GB2312"/>
          <w:b/>
          <w:spacing w:val="-6"/>
          <w:sz w:val="32"/>
          <w:szCs w:val="32"/>
        </w:rPr>
      </w:pPr>
      <w:r>
        <w:rPr>
          <w:rFonts w:hint="eastAsia" w:ascii="仿宋_GB2312" w:hAnsi="宋体" w:eastAsia="仿宋_GB2312"/>
          <w:b/>
          <w:sz w:val="32"/>
          <w:szCs w:val="32"/>
        </w:rPr>
        <w:t>2022年一般公共预算财政拨款支出645.30万元，主要用于以下方面:一般公共服务</w:t>
      </w:r>
      <w:r>
        <w:rPr>
          <w:rFonts w:hint="eastAsia" w:ascii="仿宋_GB2312" w:hAnsi="宋体" w:eastAsia="仿宋_GB2312"/>
          <w:b/>
          <w:bCs/>
          <w:sz w:val="32"/>
          <w:szCs w:val="32"/>
        </w:rPr>
        <w:t>支出</w:t>
      </w:r>
      <w:r>
        <w:rPr>
          <w:rFonts w:hint="eastAsia" w:ascii="仿宋_GB2312" w:hAnsi="宋体" w:eastAsia="仿宋_GB2312"/>
          <w:b/>
          <w:sz w:val="32"/>
          <w:szCs w:val="32"/>
        </w:rPr>
        <w:t>94.9万元，占15%；科学技术</w:t>
      </w:r>
      <w:r>
        <w:rPr>
          <w:rFonts w:hint="eastAsia" w:ascii="仿宋_GB2312" w:hAnsi="宋体" w:eastAsia="仿宋_GB2312"/>
          <w:b/>
          <w:bCs/>
          <w:sz w:val="32"/>
          <w:szCs w:val="32"/>
        </w:rPr>
        <w:t>支出</w:t>
      </w:r>
      <w:r>
        <w:rPr>
          <w:rFonts w:hint="eastAsia" w:ascii="仿宋_GB2312" w:hAnsi="宋体" w:eastAsia="仿宋_GB2312"/>
          <w:b/>
          <w:spacing w:val="-6"/>
          <w:sz w:val="32"/>
          <w:szCs w:val="32"/>
        </w:rPr>
        <w:t>467.36万元，占72%；社会保障和就业</w:t>
      </w:r>
      <w:r>
        <w:rPr>
          <w:rFonts w:hint="eastAsia" w:ascii="仿宋_GB2312" w:hAnsi="宋体" w:eastAsia="仿宋_GB2312"/>
          <w:b/>
          <w:bCs/>
          <w:spacing w:val="-6"/>
          <w:sz w:val="32"/>
          <w:szCs w:val="32"/>
        </w:rPr>
        <w:t>支出</w:t>
      </w:r>
      <w:r>
        <w:rPr>
          <w:rFonts w:hint="eastAsia" w:ascii="仿宋_GB2312" w:hAnsi="宋体" w:eastAsia="仿宋_GB2312"/>
          <w:b/>
          <w:spacing w:val="-6"/>
          <w:sz w:val="32"/>
          <w:szCs w:val="32"/>
        </w:rPr>
        <w:t>43.24万元，占7%；</w:t>
      </w:r>
      <w:r>
        <w:rPr>
          <w:rFonts w:hint="eastAsia" w:ascii="仿宋_GB2312" w:hAnsi="宋体" w:eastAsia="仿宋_GB2312"/>
          <w:b/>
          <w:bCs/>
          <w:spacing w:val="-14"/>
          <w:sz w:val="32"/>
          <w:szCs w:val="32"/>
        </w:rPr>
        <w:t>卫生健康支出</w:t>
      </w:r>
      <w:r>
        <w:rPr>
          <w:rFonts w:hint="eastAsia" w:ascii="仿宋_GB2312" w:hAnsi="宋体" w:eastAsia="仿宋_GB2312"/>
          <w:b/>
          <w:spacing w:val="-14"/>
          <w:sz w:val="32"/>
          <w:szCs w:val="32"/>
        </w:rPr>
        <w:t>12.84万元，占2%；</w:t>
      </w:r>
      <w:r>
        <w:rPr>
          <w:rFonts w:hint="eastAsia" w:ascii="仿宋_GB2312" w:hAnsi="宋体" w:eastAsia="仿宋_GB2312"/>
          <w:b/>
          <w:bCs/>
          <w:spacing w:val="-14"/>
          <w:sz w:val="32"/>
          <w:szCs w:val="32"/>
        </w:rPr>
        <w:t>住房保障支出</w:t>
      </w:r>
      <w:r>
        <w:rPr>
          <w:rFonts w:hint="eastAsia" w:ascii="仿宋_GB2312" w:hAnsi="宋体" w:eastAsia="仿宋_GB2312"/>
          <w:b/>
          <w:spacing w:val="-14"/>
          <w:sz w:val="32"/>
          <w:szCs w:val="32"/>
        </w:rPr>
        <w:t>26.95万元，占4%。</w:t>
      </w:r>
    </w:p>
    <w:p>
      <w:pPr>
        <w:spacing w:line="550" w:lineRule="exact"/>
        <w:ind w:firstLine="640" w:firstLineChars="200"/>
        <w:rPr>
          <w:rFonts w:hint="eastAsia" w:ascii="仿宋_GB2312" w:hAnsi="宋体" w:eastAsia="仿宋_GB2312"/>
          <w:b/>
        </w:rPr>
      </w:pPr>
      <w:r>
        <w:rPr>
          <w:rFonts w:hint="eastAsia" w:ascii="仿宋_GB2312" w:hAnsi="宋体" w:eastAsia="仿宋_GB2312"/>
          <w:b/>
          <w:sz w:val="32"/>
          <w:szCs w:val="32"/>
        </w:rPr>
        <w:t>（图6：一般公共预算财政拨款支出决算结构）（饼状图）</w:t>
      </w:r>
    </w:p>
    <w:p>
      <w:pPr>
        <w:spacing w:line="600" w:lineRule="exact"/>
        <w:rPr>
          <w:rFonts w:hint="eastAsia" w:ascii="仿宋_GB2312" w:hAnsi="宋体" w:eastAsia="仿宋_GB2312"/>
          <w:b/>
          <w:sz w:val="32"/>
          <w:szCs w:val="32"/>
        </w:rPr>
      </w:pPr>
      <w:r>
        <w:rPr>
          <w:rFonts w:hint="eastAsia" w:ascii="仿宋_GB2312" w:hAnsi="宋体" w:eastAsia="仿宋_GB2312"/>
          <w:b/>
          <w:sz w:val="32"/>
          <w:szCs w:val="32"/>
        </w:rPr>
        <w:drawing>
          <wp:anchor distT="0" distB="0" distL="114300" distR="114300" simplePos="0" relativeHeight="251660288" behindDoc="1" locked="0" layoutInCell="1" allowOverlap="1">
            <wp:simplePos x="0" y="0"/>
            <wp:positionH relativeFrom="column">
              <wp:posOffset>671195</wp:posOffset>
            </wp:positionH>
            <wp:positionV relativeFrom="paragraph">
              <wp:posOffset>79375</wp:posOffset>
            </wp:positionV>
            <wp:extent cx="3971290" cy="2327910"/>
            <wp:effectExtent l="19050" t="0" r="1016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ascii="仿宋" w:hAnsi="仿宋" w:eastAsia="仿宋"/>
          <w:b/>
          <w:sz w:val="32"/>
          <w:szCs w:val="32"/>
        </w:rPr>
      </w:pPr>
    </w:p>
    <w:p>
      <w:pPr>
        <w:pStyle w:val="2"/>
        <w:spacing w:before="93"/>
        <w:rPr>
          <w:rFonts w:ascii="仿宋" w:hAnsi="仿宋" w:eastAsia="仿宋"/>
          <w:b/>
          <w:sz w:val="32"/>
          <w:szCs w:val="32"/>
        </w:rPr>
      </w:pPr>
    </w:p>
    <w:p>
      <w:pPr>
        <w:rPr>
          <w:rFonts w:ascii="仿宋" w:hAnsi="仿宋" w:eastAsia="仿宋"/>
          <w:b/>
          <w:sz w:val="32"/>
          <w:szCs w:val="32"/>
        </w:rPr>
      </w:pPr>
    </w:p>
    <w:p>
      <w:pPr>
        <w:pStyle w:val="2"/>
        <w:spacing w:before="93"/>
        <w:rPr>
          <w:rFonts w:ascii="仿宋" w:hAnsi="仿宋" w:eastAsia="仿宋"/>
          <w:b/>
          <w:sz w:val="32"/>
          <w:szCs w:val="32"/>
        </w:rPr>
      </w:pPr>
    </w:p>
    <w:p>
      <w:pPr>
        <w:spacing w:line="600" w:lineRule="exact"/>
        <w:ind w:firstLine="640" w:firstLineChars="200"/>
        <w:outlineLvl w:val="2"/>
        <w:rPr>
          <w:rFonts w:hint="eastAsia" w:ascii="楷体_GB2312" w:hAnsi="仿宋" w:eastAsia="楷体_GB2312"/>
          <w:b/>
          <w:sz w:val="32"/>
          <w:szCs w:val="32"/>
        </w:rPr>
      </w:pPr>
      <w:bookmarkStart w:id="34" w:name="_Toc15377212"/>
    </w:p>
    <w:p>
      <w:pPr>
        <w:spacing w:line="600" w:lineRule="exact"/>
        <w:ind w:firstLine="640" w:firstLineChars="200"/>
        <w:outlineLvl w:val="2"/>
        <w:rPr>
          <w:rFonts w:hint="eastAsia" w:ascii="楷体_GB2312" w:hAnsi="仿宋" w:eastAsia="楷体_GB2312"/>
          <w:b/>
          <w:sz w:val="32"/>
          <w:szCs w:val="32"/>
        </w:rPr>
      </w:pPr>
      <w:r>
        <w:rPr>
          <w:rFonts w:hint="eastAsia" w:ascii="楷体_GB2312" w:hAnsi="仿宋" w:eastAsia="楷体_GB2312"/>
          <w:b/>
          <w:sz w:val="32"/>
          <w:szCs w:val="32"/>
        </w:rPr>
        <w:t>（三）一般公共预算财政拨款支出决算具体情况</w:t>
      </w:r>
      <w:bookmarkEnd w:id="34"/>
    </w:p>
    <w:p>
      <w:pPr>
        <w:spacing w:line="600" w:lineRule="exact"/>
        <w:ind w:firstLine="640" w:firstLineChars="200"/>
        <w:outlineLvl w:val="2"/>
        <w:rPr>
          <w:rStyle w:val="18"/>
          <w:rFonts w:hint="eastAsia" w:ascii="仿宋_GB2312" w:hAnsi="仿宋" w:eastAsia="仿宋_GB2312"/>
          <w:bCs/>
          <w:sz w:val="32"/>
          <w:szCs w:val="32"/>
        </w:rPr>
      </w:pPr>
      <w:bookmarkStart w:id="35" w:name="_Toc15378460"/>
      <w:bookmarkStart w:id="36" w:name="_Toc15377213"/>
      <w:bookmarkStart w:id="37" w:name="_Toc15377444"/>
      <w:r>
        <w:rPr>
          <w:rFonts w:hint="eastAsia" w:ascii="仿宋_GB2312" w:hAnsi="仿宋" w:eastAsia="仿宋_GB2312"/>
          <w:b/>
          <w:sz w:val="32"/>
          <w:szCs w:val="32"/>
        </w:rPr>
        <w:t>2022年一般公共预算支出决算数为645.30，</w:t>
      </w:r>
      <w:r>
        <w:rPr>
          <w:rStyle w:val="18"/>
          <w:rFonts w:hint="eastAsia" w:ascii="仿宋_GB2312" w:hAnsi="仿宋" w:eastAsia="仿宋_GB2312"/>
          <w:bCs/>
          <w:sz w:val="32"/>
          <w:szCs w:val="32"/>
        </w:rPr>
        <w:t>完成预算100%。其中：</w:t>
      </w:r>
      <w:bookmarkEnd w:id="35"/>
      <w:bookmarkEnd w:id="36"/>
      <w:bookmarkEnd w:id="37"/>
    </w:p>
    <w:p>
      <w:pPr>
        <w:spacing w:line="600" w:lineRule="exact"/>
        <w:ind w:firstLine="640" w:firstLineChars="200"/>
        <w:rPr>
          <w:rFonts w:hint="eastAsia" w:ascii="仿宋_GB2312" w:hAnsi="仿宋" w:eastAsia="仿宋_GB2312"/>
          <w:b/>
          <w:sz w:val="32"/>
          <w:szCs w:val="32"/>
        </w:rPr>
      </w:pPr>
      <w:r>
        <w:rPr>
          <w:rStyle w:val="18"/>
          <w:rFonts w:hint="eastAsia" w:ascii="仿宋_GB2312" w:hAnsi="仿宋" w:eastAsia="仿宋_GB2312"/>
          <w:bCs/>
          <w:sz w:val="32"/>
          <w:szCs w:val="32"/>
        </w:rPr>
        <w:t>1.一般公共服务（类）群众团体事务（款）事业运行（项）:支出决算为94.9万元，完成预算100%，决算数小等于预算数。</w:t>
      </w:r>
    </w:p>
    <w:p>
      <w:pPr>
        <w:spacing w:line="600" w:lineRule="exact"/>
        <w:ind w:firstLine="640" w:firstLineChars="200"/>
        <w:rPr>
          <w:rStyle w:val="18"/>
          <w:rFonts w:hint="eastAsia" w:ascii="仿宋_GB2312" w:hAnsi="仿宋" w:eastAsia="仿宋_GB2312"/>
          <w:bCs/>
          <w:sz w:val="32"/>
          <w:szCs w:val="32"/>
        </w:rPr>
      </w:pPr>
      <w:r>
        <w:rPr>
          <w:rStyle w:val="18"/>
          <w:rFonts w:hint="eastAsia" w:ascii="仿宋_GB2312" w:hAnsi="仿宋" w:eastAsia="仿宋_GB2312"/>
          <w:bCs/>
          <w:sz w:val="32"/>
          <w:szCs w:val="32"/>
        </w:rPr>
        <w:t>2.科学技术（类）科学技术管理事务（款）行政运行（项）:支出决算为301.01万元，完成预算100%，决算数小等于预算数。</w:t>
      </w:r>
    </w:p>
    <w:p>
      <w:pPr>
        <w:spacing w:line="600" w:lineRule="exact"/>
        <w:ind w:firstLine="640" w:firstLineChars="200"/>
        <w:rPr>
          <w:rStyle w:val="18"/>
          <w:rFonts w:hint="eastAsia" w:ascii="仿宋_GB2312" w:hAnsi="??" w:eastAsia="仿宋_GB2312"/>
          <w:bCs/>
          <w:sz w:val="32"/>
          <w:szCs w:val="32"/>
        </w:rPr>
      </w:pPr>
      <w:r>
        <w:rPr>
          <w:rStyle w:val="18"/>
          <w:rFonts w:hint="eastAsia" w:ascii="仿宋_GB2312" w:hAnsi="??" w:eastAsia="仿宋_GB2312"/>
          <w:bCs/>
          <w:sz w:val="32"/>
          <w:szCs w:val="32"/>
        </w:rPr>
        <w:t>2.科学技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类</w:t>
      </w:r>
      <w:r>
        <w:rPr>
          <w:rStyle w:val="18"/>
          <w:rFonts w:hint="eastAsia" w:ascii="仿宋_GB2312" w:hAnsi="??" w:eastAsia="仿宋_GB2312"/>
          <w:bCs/>
          <w:sz w:val="32"/>
          <w:szCs w:val="32"/>
        </w:rPr>
        <w:t>）科学技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管理事</w:t>
      </w:r>
      <w:r>
        <w:rPr>
          <w:rStyle w:val="18"/>
          <w:rFonts w:hint="eastAsia" w:ascii="仿宋_GB2312" w:hAnsi="宋体" w:eastAsia="仿宋_GB2312" w:cs="宋体"/>
          <w:bCs/>
          <w:sz w:val="32"/>
          <w:szCs w:val="32"/>
        </w:rPr>
        <w:t>务</w:t>
      </w:r>
      <w:r>
        <w:rPr>
          <w:rStyle w:val="18"/>
          <w:rFonts w:hint="eastAsia" w:ascii="仿宋_GB2312" w:hAnsi="??" w:eastAsia="仿宋_GB2312"/>
          <w:bCs/>
          <w:sz w:val="32"/>
          <w:szCs w:val="32"/>
        </w:rPr>
        <w:t>（款）一般行政管理事</w:t>
      </w:r>
      <w:r>
        <w:rPr>
          <w:rStyle w:val="18"/>
          <w:rFonts w:hint="eastAsia" w:ascii="仿宋_GB2312" w:hAnsi="宋体" w:eastAsia="仿宋_GB2312" w:cs="宋体"/>
          <w:bCs/>
          <w:sz w:val="32"/>
          <w:szCs w:val="32"/>
        </w:rPr>
        <w:t>务</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rPr>
        <w:t>2.24万元，完成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spacing w:line="600" w:lineRule="exact"/>
        <w:ind w:firstLine="640" w:firstLineChars="200"/>
        <w:rPr>
          <w:rStyle w:val="18"/>
          <w:rFonts w:hint="eastAsia" w:ascii="仿宋_GB2312" w:hAnsi="??" w:eastAsia="仿宋_GB2312"/>
          <w:bCs/>
          <w:sz w:val="32"/>
          <w:szCs w:val="32"/>
        </w:rPr>
      </w:pPr>
      <w:r>
        <w:rPr>
          <w:rStyle w:val="18"/>
          <w:rFonts w:hint="eastAsia" w:ascii="仿宋_GB2312" w:hAnsi="??" w:eastAsia="仿宋_GB2312"/>
          <w:bCs/>
          <w:sz w:val="32"/>
          <w:szCs w:val="32"/>
        </w:rPr>
        <w:t>3.科学技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类</w:t>
      </w:r>
      <w:r>
        <w:rPr>
          <w:rStyle w:val="18"/>
          <w:rFonts w:hint="eastAsia" w:ascii="仿宋_GB2312" w:hAnsi="??" w:eastAsia="仿宋_GB2312"/>
          <w:bCs/>
          <w:sz w:val="32"/>
          <w:szCs w:val="32"/>
        </w:rPr>
        <w:t>）科学技术普及（款）科普活动（</w:t>
      </w:r>
      <w:r>
        <w:rPr>
          <w:rStyle w:val="18"/>
          <w:rFonts w:hint="eastAsia" w:ascii="仿宋_GB2312" w:hAnsi="宋体" w:eastAsia="仿宋_GB2312" w:cs="宋体"/>
          <w:bCs/>
          <w:sz w:val="32"/>
          <w:szCs w:val="32"/>
        </w:rPr>
        <w:t>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rPr>
        <w:t>40万元，完成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spacing w:line="600" w:lineRule="exact"/>
        <w:ind w:firstLine="640" w:firstLineChars="200"/>
        <w:rPr>
          <w:rFonts w:hint="eastAsia" w:ascii="仿宋_GB2312" w:eastAsia="仿宋_GB2312"/>
          <w:b/>
        </w:rPr>
      </w:pPr>
      <w:r>
        <w:rPr>
          <w:rStyle w:val="18"/>
          <w:rFonts w:hint="eastAsia" w:ascii="仿宋_GB2312" w:hAnsi="??" w:eastAsia="仿宋_GB2312"/>
          <w:bCs/>
          <w:sz w:val="32"/>
          <w:szCs w:val="32"/>
        </w:rPr>
        <w:t>4.科学技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类</w:t>
      </w:r>
      <w:r>
        <w:rPr>
          <w:rStyle w:val="18"/>
          <w:rFonts w:hint="eastAsia" w:ascii="仿宋_GB2312" w:hAnsi="??" w:eastAsia="仿宋_GB2312"/>
          <w:bCs/>
          <w:sz w:val="32"/>
          <w:szCs w:val="32"/>
        </w:rPr>
        <w:t>）科学技术普及（款）学术交流活动（</w:t>
      </w:r>
      <w:r>
        <w:rPr>
          <w:rStyle w:val="18"/>
          <w:rFonts w:hint="eastAsia" w:ascii="仿宋_GB2312" w:hAnsi="宋体" w:eastAsia="仿宋_GB2312" w:cs="宋体"/>
          <w:bCs/>
          <w:sz w:val="32"/>
          <w:szCs w:val="32"/>
        </w:rPr>
        <w:t>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rPr>
        <w:t>15万元，完成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spacing w:line="600" w:lineRule="exact"/>
        <w:ind w:firstLine="640" w:firstLineChars="200"/>
        <w:rPr>
          <w:rStyle w:val="18"/>
          <w:rFonts w:hint="eastAsia" w:ascii="仿宋_GB2312" w:hAnsi="??" w:eastAsia="仿宋_GB2312"/>
          <w:bCs/>
          <w:sz w:val="32"/>
          <w:szCs w:val="32"/>
        </w:rPr>
      </w:pPr>
      <w:r>
        <w:rPr>
          <w:rStyle w:val="18"/>
          <w:rFonts w:hint="eastAsia" w:ascii="仿宋_GB2312" w:hAnsi="??" w:eastAsia="仿宋_GB2312"/>
          <w:bCs/>
          <w:sz w:val="32"/>
          <w:szCs w:val="32"/>
        </w:rPr>
        <w:t>5.科学技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类</w:t>
      </w:r>
      <w:r>
        <w:rPr>
          <w:rStyle w:val="18"/>
          <w:rFonts w:hint="eastAsia" w:ascii="仿宋_GB2312" w:hAnsi="??" w:eastAsia="仿宋_GB2312"/>
          <w:bCs/>
          <w:sz w:val="32"/>
          <w:szCs w:val="32"/>
        </w:rPr>
        <w:t>）科学技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管理事</w:t>
      </w:r>
      <w:r>
        <w:rPr>
          <w:rStyle w:val="18"/>
          <w:rFonts w:hint="eastAsia" w:ascii="仿宋_GB2312" w:hAnsi="宋体" w:eastAsia="仿宋_GB2312" w:cs="宋体"/>
          <w:bCs/>
          <w:sz w:val="32"/>
          <w:szCs w:val="32"/>
        </w:rPr>
        <w:t>务</w:t>
      </w:r>
      <w:r>
        <w:rPr>
          <w:rStyle w:val="18"/>
          <w:rFonts w:hint="eastAsia" w:ascii="仿宋_GB2312" w:hAnsi="??" w:eastAsia="仿宋_GB2312"/>
          <w:bCs/>
          <w:sz w:val="32"/>
          <w:szCs w:val="32"/>
        </w:rPr>
        <w:t>（款）其他科学技</w:t>
      </w:r>
      <w:r>
        <w:rPr>
          <w:rStyle w:val="18"/>
          <w:rFonts w:hint="eastAsia" w:ascii="仿宋_GB2312" w:hAnsi="宋体" w:eastAsia="仿宋_GB2312" w:cs="宋体"/>
          <w:bCs/>
          <w:sz w:val="32"/>
          <w:szCs w:val="32"/>
        </w:rPr>
        <w:t>术</w:t>
      </w:r>
      <w:r>
        <w:rPr>
          <w:rStyle w:val="18"/>
          <w:rFonts w:hint="eastAsia" w:ascii="仿宋_GB2312" w:hAnsi="??" w:eastAsia="仿宋_GB2312"/>
          <w:bCs/>
          <w:sz w:val="32"/>
          <w:szCs w:val="32"/>
        </w:rPr>
        <w:t>管理事</w:t>
      </w:r>
      <w:r>
        <w:rPr>
          <w:rStyle w:val="18"/>
          <w:rFonts w:hint="eastAsia" w:ascii="仿宋_GB2312" w:hAnsi="宋体" w:eastAsia="仿宋_GB2312" w:cs="宋体"/>
          <w:bCs/>
          <w:sz w:val="32"/>
          <w:szCs w:val="32"/>
        </w:rPr>
        <w:t>务</w:t>
      </w:r>
      <w:r>
        <w:rPr>
          <w:rStyle w:val="18"/>
          <w:rFonts w:hint="eastAsia" w:ascii="仿宋_GB2312" w:hAnsi="??" w:eastAsia="仿宋_GB2312"/>
          <w:bCs/>
          <w:sz w:val="32"/>
          <w:szCs w:val="32"/>
        </w:rPr>
        <w:t>支出（</w:t>
      </w:r>
      <w:r>
        <w:rPr>
          <w:rStyle w:val="18"/>
          <w:rFonts w:hint="eastAsia" w:ascii="仿宋_GB2312" w:hAnsi="宋体" w:eastAsia="仿宋_GB2312" w:cs="宋体"/>
          <w:bCs/>
          <w:sz w:val="32"/>
          <w:szCs w:val="32"/>
        </w:rPr>
        <w:t>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rPr>
        <w:t>109.11万元，完成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spacing w:line="600" w:lineRule="exact"/>
        <w:ind w:firstLine="640" w:firstLineChars="200"/>
        <w:rPr>
          <w:rFonts w:hint="eastAsia"/>
        </w:rPr>
      </w:pPr>
      <w:r>
        <w:rPr>
          <w:rStyle w:val="18"/>
          <w:rFonts w:hint="eastAsia" w:ascii="仿宋_GB2312" w:hAnsi="仿宋" w:eastAsia="仿宋_GB2312"/>
          <w:bCs/>
          <w:sz w:val="32"/>
          <w:szCs w:val="32"/>
        </w:rPr>
        <w:t>6.社会保障和就业（类）行政事业单位养老</w:t>
      </w:r>
      <w:r>
        <w:rPr>
          <w:rStyle w:val="18"/>
          <w:rFonts w:hint="eastAsia" w:ascii="仿宋_GB2312" w:hAnsi="仿宋" w:eastAsia="仿宋_GB2312"/>
          <w:bCs/>
          <w:sz w:val="32"/>
          <w:szCs w:val="32"/>
          <w:lang w:val="en-US" w:eastAsia="zh-CN"/>
        </w:rPr>
        <w:t>支出</w:t>
      </w:r>
      <w:r>
        <w:rPr>
          <w:rStyle w:val="18"/>
          <w:rFonts w:hint="eastAsia" w:ascii="仿宋_GB2312" w:hAnsi="仿宋" w:eastAsia="仿宋_GB2312"/>
          <w:bCs/>
          <w:sz w:val="32"/>
          <w:szCs w:val="32"/>
        </w:rPr>
        <w:t>（款）行政单位离退休（项）:支出决算为1.18万元，完成预算100%，决算数等于预算数；社会保障和就业（类）行政事业单位养老（款）机关事业单位基本养老保险缴费（项）:支出决算为25.68万元，完成预算100%，决算数等于预算数；社会保障和就业（类）行政事业单位养老（款）机关事业单位职业年金缴费（项）:支出决算为15.26万元，完成预算100%，决算数等于预算数。</w:t>
      </w:r>
    </w:p>
    <w:p>
      <w:pPr>
        <w:spacing w:line="600" w:lineRule="exact"/>
        <w:ind w:firstLine="640" w:firstLineChars="200"/>
        <w:rPr>
          <w:rStyle w:val="18"/>
          <w:rFonts w:hint="eastAsia" w:ascii="仿宋_GB2312" w:hAnsi="仿宋" w:eastAsia="仿宋_GB2312"/>
          <w:bCs/>
          <w:sz w:val="32"/>
          <w:szCs w:val="32"/>
        </w:rPr>
      </w:pPr>
      <w:r>
        <w:rPr>
          <w:rStyle w:val="18"/>
          <w:rFonts w:hint="eastAsia" w:ascii="仿宋_GB2312" w:hAnsi="仿宋" w:eastAsia="仿宋_GB2312"/>
          <w:bCs/>
          <w:sz w:val="32"/>
          <w:szCs w:val="32"/>
        </w:rPr>
        <w:t>7.</w:t>
      </w:r>
      <w:r>
        <w:rPr>
          <w:rFonts w:hint="eastAsia" w:ascii="仿宋_GB2312" w:hAnsi="仿宋" w:eastAsia="仿宋_GB2312"/>
          <w:b/>
          <w:bCs/>
          <w:sz w:val="32"/>
          <w:szCs w:val="32"/>
        </w:rPr>
        <w:t>卫生健康</w:t>
      </w:r>
      <w:r>
        <w:rPr>
          <w:rStyle w:val="18"/>
          <w:rFonts w:hint="eastAsia" w:ascii="仿宋_GB2312" w:hAnsi="仿宋" w:eastAsia="仿宋_GB2312"/>
          <w:bCs/>
          <w:sz w:val="32"/>
          <w:szCs w:val="32"/>
        </w:rPr>
        <w:t>（类）行政事业单位医疗（款）行政单位医疗（项）:支出决算为12.84万元，完成预算100%，决算数等于预算数。</w:t>
      </w:r>
    </w:p>
    <w:p>
      <w:pPr>
        <w:spacing w:line="600" w:lineRule="exact"/>
        <w:ind w:firstLine="640" w:firstLineChars="200"/>
        <w:rPr>
          <w:rStyle w:val="18"/>
          <w:rFonts w:hint="eastAsia" w:ascii="仿宋_GB2312" w:hAnsi="??" w:eastAsia="仿宋_GB2312"/>
          <w:bCs/>
          <w:sz w:val="32"/>
          <w:szCs w:val="32"/>
        </w:rPr>
      </w:pPr>
      <w:r>
        <w:rPr>
          <w:rFonts w:hint="eastAsia" w:ascii="仿宋_GB2312" w:hAnsi="??" w:eastAsia="仿宋_GB2312"/>
          <w:b/>
          <w:bCs/>
          <w:sz w:val="32"/>
          <w:szCs w:val="32"/>
        </w:rPr>
        <w:t>8.住房保障支出</w:t>
      </w:r>
      <w:r>
        <w:rPr>
          <w:rStyle w:val="18"/>
          <w:rFonts w:hint="eastAsia" w:ascii="仿宋_GB2312" w:hAnsi="??" w:eastAsia="仿宋_GB2312"/>
          <w:bCs/>
          <w:sz w:val="32"/>
          <w:szCs w:val="32"/>
        </w:rPr>
        <w:t>（</w:t>
      </w:r>
      <w:r>
        <w:rPr>
          <w:rStyle w:val="18"/>
          <w:rFonts w:hint="eastAsia" w:ascii="仿宋_GB2312" w:hAnsi="宋体" w:eastAsia="仿宋_GB2312" w:cs="宋体"/>
          <w:bCs/>
          <w:sz w:val="32"/>
          <w:szCs w:val="32"/>
        </w:rPr>
        <w:t>类</w:t>
      </w:r>
      <w:r>
        <w:rPr>
          <w:rStyle w:val="18"/>
          <w:rFonts w:hint="eastAsia" w:ascii="仿宋_GB2312" w:hAnsi="??" w:eastAsia="仿宋_GB2312"/>
          <w:bCs/>
          <w:sz w:val="32"/>
          <w:szCs w:val="32"/>
        </w:rPr>
        <w:t>）住房改革支出（款）住房公</w:t>
      </w:r>
      <w:r>
        <w:rPr>
          <w:rStyle w:val="18"/>
          <w:rFonts w:hint="eastAsia" w:ascii="仿宋_GB2312" w:hAnsi="宋体" w:eastAsia="仿宋_GB2312" w:cs="宋体"/>
          <w:bCs/>
          <w:sz w:val="32"/>
          <w:szCs w:val="32"/>
        </w:rPr>
        <w:t>积</w:t>
      </w:r>
      <w:r>
        <w:rPr>
          <w:rStyle w:val="18"/>
          <w:rFonts w:hint="eastAsia" w:ascii="仿宋_GB2312" w:hAnsi="??" w:eastAsia="仿宋_GB2312"/>
          <w:bCs/>
          <w:sz w:val="32"/>
          <w:szCs w:val="32"/>
        </w:rPr>
        <w:t>金（</w:t>
      </w:r>
      <w:r>
        <w:rPr>
          <w:rStyle w:val="18"/>
          <w:rFonts w:hint="eastAsia" w:ascii="仿宋_GB2312" w:hAnsi="宋体" w:eastAsia="仿宋_GB2312" w:cs="宋体"/>
          <w:bCs/>
          <w:sz w:val="32"/>
          <w:szCs w:val="32"/>
        </w:rPr>
        <w:t>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rPr>
        <w:t>26.95万元，完成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spacing w:line="600" w:lineRule="exact"/>
        <w:ind w:firstLine="640" w:firstLineChars="200"/>
        <w:rPr>
          <w:rFonts w:hint="default" w:eastAsia="仿宋_GB2312"/>
          <w:lang w:val="en-US" w:eastAsia="zh-CN"/>
        </w:rPr>
      </w:pPr>
      <w:r>
        <w:rPr>
          <w:rStyle w:val="18"/>
          <w:rFonts w:hint="eastAsia" w:hAnsi="??"/>
          <w:bCs/>
          <w:sz w:val="32"/>
          <w:szCs w:val="32"/>
          <w:lang w:val="en-US" w:eastAsia="zh-CN"/>
        </w:rPr>
        <w:t>9.社会保障和就业支出（类）其他社会保障和就业支出（款）  其他社会保障和就业支出（项）</w:t>
      </w:r>
      <w:r>
        <w:rPr>
          <w:rStyle w:val="18"/>
          <w:rFonts w:hint="eastAsia" w:ascii="仿宋_GB2312" w:hAnsi="??" w:eastAsia="仿宋_GB2312"/>
          <w:bCs/>
          <w:sz w:val="32"/>
          <w:szCs w:val="32"/>
        </w:rPr>
        <w:t>支出决算</w:t>
      </w:r>
      <w:r>
        <w:rPr>
          <w:rStyle w:val="18"/>
          <w:rFonts w:hint="eastAsia" w:ascii="仿宋_GB2312" w:hAnsi="宋体" w:eastAsia="仿宋_GB2312" w:cs="宋体"/>
          <w:bCs/>
          <w:sz w:val="32"/>
          <w:szCs w:val="32"/>
        </w:rPr>
        <w:t>为</w:t>
      </w:r>
      <w:r>
        <w:rPr>
          <w:rStyle w:val="18"/>
          <w:rFonts w:hint="eastAsia" w:ascii="仿宋_GB2312" w:hAnsi="??" w:eastAsia="仿宋_GB2312"/>
          <w:bCs/>
          <w:sz w:val="32"/>
          <w:szCs w:val="32"/>
          <w:lang w:val="en-US" w:eastAsia="zh-CN"/>
        </w:rPr>
        <w:t>1.12</w:t>
      </w:r>
      <w:r>
        <w:rPr>
          <w:rStyle w:val="18"/>
          <w:rFonts w:hint="eastAsia" w:ascii="仿宋_GB2312" w:hAnsi="??" w:eastAsia="仿宋_GB2312"/>
          <w:bCs/>
          <w:sz w:val="32"/>
          <w:szCs w:val="32"/>
        </w:rPr>
        <w:t>万元，完成</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算100%，决算数等于</w:t>
      </w:r>
      <w:r>
        <w:rPr>
          <w:rStyle w:val="18"/>
          <w:rFonts w:hint="eastAsia" w:ascii="仿宋_GB2312" w:hAnsi="宋体" w:eastAsia="仿宋_GB2312" w:cs="宋体"/>
          <w:bCs/>
          <w:sz w:val="32"/>
          <w:szCs w:val="32"/>
        </w:rPr>
        <w:t>预</w:t>
      </w:r>
      <w:r>
        <w:rPr>
          <w:rStyle w:val="18"/>
          <w:rFonts w:hint="eastAsia" w:ascii="仿宋_GB2312" w:hAnsi="??" w:eastAsia="仿宋_GB2312"/>
          <w:bCs/>
          <w:sz w:val="32"/>
          <w:szCs w:val="32"/>
        </w:rPr>
        <w:t>算数。</w:t>
      </w:r>
    </w:p>
    <w:p>
      <w:pPr>
        <w:tabs>
          <w:tab w:val="right" w:pos="8306"/>
        </w:tabs>
        <w:spacing w:line="600" w:lineRule="exact"/>
        <w:ind w:firstLine="640"/>
        <w:outlineLvl w:val="1"/>
        <w:rPr>
          <w:rStyle w:val="31"/>
        </w:rPr>
      </w:pPr>
      <w:bookmarkStart w:id="38" w:name="_Toc15377214"/>
      <w:bookmarkStart w:id="39" w:name="_Toc15396608"/>
      <w:r>
        <w:rPr>
          <w:rFonts w:hint="eastAsia" w:ascii="黑体" w:eastAsia="黑体"/>
          <w:b/>
          <w:sz w:val="32"/>
          <w:szCs w:val="32"/>
        </w:rPr>
        <w:t>六、</w:t>
      </w:r>
      <w:r>
        <w:rPr>
          <w:rFonts w:hint="eastAsia" w:ascii="黑体" w:hAnsi="黑体" w:eastAsia="黑体"/>
          <w:b/>
          <w:sz w:val="32"/>
          <w:szCs w:val="32"/>
        </w:rPr>
        <w:t>一</w:t>
      </w:r>
      <w:r>
        <w:rPr>
          <w:rStyle w:val="31"/>
          <w:rFonts w:hint="eastAsia" w:ascii="黑体" w:hAnsi="黑体" w:eastAsia="黑体"/>
        </w:rPr>
        <w:t>般公共预算财政拨款基本支出决算情况说明</w:t>
      </w:r>
      <w:bookmarkEnd w:id="38"/>
      <w:bookmarkEnd w:id="39"/>
      <w:r>
        <w:rPr>
          <w:rStyle w:val="31"/>
          <w:rFonts w:ascii="黑体" w:hAnsi="黑体" w:eastAsia="黑体"/>
        </w:rPr>
        <w:tab/>
      </w:r>
    </w:p>
    <w:p>
      <w:pPr>
        <w:spacing w:line="600" w:lineRule="exact"/>
        <w:ind w:firstLine="645"/>
        <w:rPr>
          <w:rFonts w:hint="eastAsia" w:ascii="仿宋_GB2312" w:hAnsi="仿宋" w:eastAsia="仿宋_GB2312"/>
          <w:b/>
          <w:sz w:val="32"/>
          <w:szCs w:val="32"/>
        </w:rPr>
      </w:pPr>
      <w:r>
        <w:rPr>
          <w:rFonts w:hint="eastAsia" w:ascii="仿宋_GB2312" w:hAnsi="仿宋" w:eastAsia="仿宋_GB2312"/>
          <w:b/>
          <w:sz w:val="32"/>
          <w:szCs w:val="32"/>
        </w:rPr>
        <w:t>2022年一般公共预算财政拨款基本支出478.95万元，其中：</w:t>
      </w:r>
    </w:p>
    <w:p>
      <w:pPr>
        <w:spacing w:line="600" w:lineRule="exact"/>
        <w:ind w:firstLine="645"/>
        <w:rPr>
          <w:rFonts w:hint="eastAsia" w:ascii="仿宋_GB2312" w:hAnsi="仿宋" w:eastAsia="仿宋_GB2312"/>
          <w:b/>
          <w:sz w:val="32"/>
          <w:szCs w:val="32"/>
        </w:rPr>
      </w:pPr>
      <w:r>
        <w:rPr>
          <w:rFonts w:hint="eastAsia" w:ascii="仿宋_GB2312" w:hAnsi="仿宋" w:eastAsia="仿宋_GB2312"/>
          <w:b/>
          <w:sz w:val="32"/>
          <w:szCs w:val="32"/>
        </w:rPr>
        <w:t>人员经费425.20万元，主要包括：基本工资、津贴补贴、奖金、绩效工资、机关事业单位基本养老保险缴费、职业年金缴费、职工基本医疗保险、其他社会保障缴费、住房公积金、其他工资福利支出、对个人和家庭的补助、生活补助等。</w:t>
      </w:r>
      <w:r>
        <w:rPr>
          <w:rFonts w:hint="eastAsia" w:ascii="仿宋_GB2312" w:hAnsi="仿宋" w:eastAsia="仿宋_GB2312"/>
          <w:b/>
          <w:sz w:val="32"/>
          <w:szCs w:val="32"/>
        </w:rPr>
        <w:br w:type="textWrapping"/>
      </w:r>
      <w:r>
        <w:rPr>
          <w:rFonts w:hint="eastAsia" w:ascii="仿宋_GB2312" w:hAnsi="仿宋" w:eastAsia="仿宋_GB2312"/>
          <w:b/>
          <w:sz w:val="32"/>
          <w:szCs w:val="32"/>
        </w:rPr>
        <w:t>　　公用经费53.76万元，主要包括：办公费、印刷费、水费、电费、邮电费、物业管理费、差旅费、维修（护）费、会议费、培训费、公务接待费、劳务费、工会经费、公务用车运行维护费、其他交通费、其他商品和服务支出。</w:t>
      </w:r>
    </w:p>
    <w:p>
      <w:pPr>
        <w:spacing w:line="600" w:lineRule="exact"/>
        <w:ind w:firstLine="640"/>
        <w:outlineLvl w:val="1"/>
        <w:rPr>
          <w:rStyle w:val="31"/>
          <w:rFonts w:ascii="黑体" w:hAnsi="黑体" w:eastAsia="黑体"/>
        </w:rPr>
      </w:pPr>
      <w:bookmarkStart w:id="40" w:name="_Toc15396609"/>
      <w:bookmarkStart w:id="41" w:name="_Toc15377215"/>
      <w:r>
        <w:rPr>
          <w:rFonts w:hint="eastAsia" w:ascii="黑体" w:eastAsia="黑体"/>
          <w:b/>
          <w:sz w:val="32"/>
          <w:szCs w:val="32"/>
        </w:rPr>
        <w:t>七、</w:t>
      </w:r>
      <w:r>
        <w:rPr>
          <w:rStyle w:val="31"/>
          <w:rFonts w:hint="eastAsia" w:ascii="黑体" w:hAnsi="黑体" w:eastAsia="黑体"/>
        </w:rPr>
        <w:t>财政拨款“三公”经费支出决算情况说明</w:t>
      </w:r>
      <w:bookmarkEnd w:id="40"/>
      <w:bookmarkEnd w:id="41"/>
    </w:p>
    <w:p>
      <w:pPr>
        <w:spacing w:line="600" w:lineRule="exact"/>
        <w:ind w:firstLine="640"/>
        <w:outlineLvl w:val="2"/>
        <w:rPr>
          <w:rFonts w:hint="eastAsia" w:ascii="楷体_GB2312" w:hAnsi="仿宋" w:eastAsia="楷体_GB2312"/>
          <w:b/>
          <w:sz w:val="32"/>
          <w:szCs w:val="32"/>
        </w:rPr>
      </w:pPr>
      <w:bookmarkStart w:id="42" w:name="_Toc15377216"/>
      <w:r>
        <w:rPr>
          <w:rFonts w:hint="eastAsia" w:ascii="楷体_GB2312" w:hAnsi="仿宋" w:eastAsia="楷体_GB2312"/>
          <w:b/>
          <w:sz w:val="32"/>
          <w:szCs w:val="32"/>
        </w:rPr>
        <w:t>（一）“三公”经费财政拨款支出决算总体情况说明</w:t>
      </w:r>
      <w:bookmarkEnd w:id="42"/>
    </w:p>
    <w:p>
      <w:pPr>
        <w:spacing w:line="600" w:lineRule="exact"/>
        <w:ind w:firstLine="640" w:firstLineChars="200"/>
        <w:rPr>
          <w:rFonts w:hint="eastAsia" w:ascii="仿宋_GB2312" w:hAnsi="仿宋" w:eastAsia="仿宋_GB2312"/>
          <w:b/>
          <w:sz w:val="32"/>
          <w:szCs w:val="32"/>
        </w:rPr>
      </w:pPr>
      <w:r>
        <w:rPr>
          <w:rFonts w:hint="eastAsia" w:ascii="仿宋_GB2312" w:hAnsi="仿宋" w:eastAsia="仿宋_GB2312"/>
          <w:b/>
          <w:sz w:val="32"/>
          <w:szCs w:val="32"/>
        </w:rPr>
        <w:t>2022年“三公”经费财政拨款支出决算为1.98万元，完成</w:t>
      </w:r>
      <w:r>
        <w:rPr>
          <w:rFonts w:hint="eastAsia" w:ascii="仿宋_GB2312" w:hAnsi="仿宋" w:eastAsia="仿宋_GB2312"/>
          <w:b/>
          <w:spacing w:val="-6"/>
          <w:sz w:val="32"/>
          <w:szCs w:val="32"/>
        </w:rPr>
        <w:t>预算100%，较上年减少0.06万元，下降3%。</w:t>
      </w:r>
      <w:r>
        <w:rPr>
          <w:rStyle w:val="18"/>
          <w:rFonts w:hint="eastAsia" w:ascii="仿宋_GB2312" w:hAnsi="??" w:eastAsia="仿宋_GB2312"/>
          <w:bCs/>
          <w:spacing w:val="-6"/>
          <w:sz w:val="32"/>
          <w:szCs w:val="32"/>
        </w:rPr>
        <w:t>决算数等于</w:t>
      </w:r>
      <w:r>
        <w:rPr>
          <w:rStyle w:val="18"/>
          <w:rFonts w:hint="eastAsia" w:ascii="仿宋_GB2312" w:hAnsi="宋体" w:eastAsia="仿宋_GB2312" w:cs="宋体"/>
          <w:bCs/>
          <w:spacing w:val="-6"/>
          <w:sz w:val="32"/>
          <w:szCs w:val="32"/>
        </w:rPr>
        <w:t>预</w:t>
      </w:r>
      <w:r>
        <w:rPr>
          <w:rStyle w:val="18"/>
          <w:rFonts w:hint="eastAsia" w:ascii="仿宋_GB2312" w:hAnsi="??" w:eastAsia="仿宋_GB2312"/>
          <w:bCs/>
          <w:spacing w:val="-6"/>
          <w:sz w:val="32"/>
          <w:szCs w:val="32"/>
        </w:rPr>
        <w:t>算数。</w:t>
      </w:r>
    </w:p>
    <w:p>
      <w:pPr>
        <w:spacing w:line="600" w:lineRule="exact"/>
        <w:ind w:firstLine="640"/>
        <w:outlineLvl w:val="2"/>
        <w:rPr>
          <w:rFonts w:hint="eastAsia" w:ascii="楷体_GB2312" w:hAnsi="仿宋" w:eastAsia="楷体_GB2312"/>
          <w:b/>
          <w:sz w:val="32"/>
          <w:szCs w:val="32"/>
        </w:rPr>
      </w:pPr>
      <w:bookmarkStart w:id="43" w:name="_Toc15377217"/>
      <w:r>
        <w:rPr>
          <w:rFonts w:hint="eastAsia" w:ascii="楷体_GB2312" w:hAnsi="仿宋" w:eastAsia="楷体_GB2312"/>
          <w:b/>
          <w:sz w:val="32"/>
          <w:szCs w:val="32"/>
        </w:rPr>
        <w:t>（二）“三公”经费财政拨款支出决算具体情况说明</w:t>
      </w:r>
      <w:bookmarkEnd w:id="43"/>
    </w:p>
    <w:p>
      <w:pPr>
        <w:spacing w:line="600" w:lineRule="exact"/>
        <w:ind w:firstLine="640"/>
        <w:rPr>
          <w:rFonts w:hint="eastAsia" w:ascii="仿宋_GB2312" w:hAnsi="仿宋" w:eastAsia="仿宋_GB2312"/>
          <w:b/>
          <w:sz w:val="32"/>
          <w:szCs w:val="32"/>
        </w:rPr>
      </w:pPr>
      <w:r>
        <w:rPr>
          <w:rFonts w:hint="eastAsia" w:ascii="仿宋_GB2312" w:hAnsi="仿宋" w:eastAsia="仿宋_GB2312"/>
          <w:b/>
          <w:sz w:val="32"/>
          <w:szCs w:val="32"/>
        </w:rPr>
        <w:t>2022年“三公”经费财政拨款支出决算中，因公出国（境）费支出决算0万元，占0%；公务用车购置及运行维护费支出决算1.18万元，占60%；公务接待费支出决算0.8万元，占40%。具体情况如下：</w:t>
      </w:r>
    </w:p>
    <w:p>
      <w:pPr>
        <w:pStyle w:val="2"/>
        <w:spacing w:before="93"/>
        <w:jc w:val="center"/>
        <w:rPr>
          <w:rFonts w:eastAsia="仿宋"/>
          <w:b/>
        </w:rPr>
      </w:pPr>
      <w:r>
        <w:rPr>
          <w:rFonts w:hint="eastAsia" w:eastAsia="仿宋"/>
          <w:b/>
        </w:rPr>
        <w:drawing>
          <wp:inline distT="0" distB="0" distL="114300" distR="114300">
            <wp:extent cx="2936875" cy="1905635"/>
            <wp:effectExtent l="5080" t="4445" r="10795"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576" w:lineRule="exact"/>
        <w:ind w:firstLine="640"/>
        <w:rPr>
          <w:rFonts w:hint="eastAsia" w:ascii="仿宋_GB2312" w:eastAsia="仿宋_GB2312"/>
          <w:b/>
          <w:sz w:val="32"/>
          <w:szCs w:val="32"/>
        </w:rPr>
      </w:pPr>
      <w:r>
        <w:rPr>
          <w:rFonts w:hint="eastAsia" w:ascii="仿宋_GB2312" w:hAnsi="仿宋" w:eastAsia="仿宋_GB2312"/>
          <w:b/>
          <w:sz w:val="32"/>
          <w:szCs w:val="32"/>
        </w:rPr>
        <w:t>（图7：“三公”经费财政拨款支出</w:t>
      </w:r>
      <w:r>
        <w:rPr>
          <w:rFonts w:hint="eastAsia" w:ascii="仿宋_GB2312" w:eastAsia="仿宋_GB2312"/>
          <w:b/>
          <w:sz w:val="32"/>
          <w:szCs w:val="32"/>
        </w:rPr>
        <w:t>结构）（饼状图）</w:t>
      </w:r>
    </w:p>
    <w:p>
      <w:pPr>
        <w:spacing w:line="576" w:lineRule="exact"/>
        <w:ind w:firstLine="640"/>
        <w:rPr>
          <w:rFonts w:hint="eastAsia" w:ascii="仿宋_GB2312" w:eastAsia="仿宋_GB2312"/>
          <w:b/>
          <w:sz w:val="32"/>
          <w:szCs w:val="32"/>
        </w:rPr>
      </w:pPr>
      <w:r>
        <w:rPr>
          <w:rFonts w:hint="eastAsia" w:ascii="仿宋_GB2312" w:eastAsia="仿宋_GB2312"/>
          <w:b/>
          <w:sz w:val="32"/>
          <w:szCs w:val="32"/>
        </w:rPr>
        <w:t>1.因公出国（境）经费支出0万元，年初未安排预算</w:t>
      </w:r>
      <w:r>
        <w:rPr>
          <w:rFonts w:hint="eastAsia" w:ascii="仿宋_GB2312" w:eastAsia="仿宋_GB2312"/>
          <w:b/>
          <w:sz w:val="32"/>
          <w:szCs w:val="32"/>
          <w:lang w:eastAsia="zh-CN"/>
        </w:rPr>
        <w:t>，</w:t>
      </w:r>
      <w:r>
        <w:rPr>
          <w:rFonts w:hint="eastAsia" w:ascii="仿宋_GB2312" w:eastAsia="仿宋_GB2312"/>
          <w:b/>
          <w:sz w:val="32"/>
          <w:szCs w:val="32"/>
          <w:lang w:val="en-US" w:eastAsia="zh-CN"/>
        </w:rPr>
        <w:t>较2021年无变化</w:t>
      </w:r>
      <w:r>
        <w:rPr>
          <w:rFonts w:hint="eastAsia" w:ascii="仿宋_GB2312" w:eastAsia="仿宋_GB2312"/>
          <w:b/>
          <w:sz w:val="32"/>
          <w:szCs w:val="32"/>
        </w:rPr>
        <w:t>。</w:t>
      </w:r>
    </w:p>
    <w:p>
      <w:pPr>
        <w:spacing w:line="576" w:lineRule="exact"/>
        <w:ind w:firstLine="640"/>
        <w:rPr>
          <w:rFonts w:ascii="仿宋_GB2312" w:eastAsia="仿宋_GB2312"/>
          <w:b/>
          <w:sz w:val="32"/>
          <w:szCs w:val="32"/>
        </w:rPr>
      </w:pPr>
      <w:r>
        <w:rPr>
          <w:rFonts w:hint="eastAsia" w:ascii="仿宋_GB2312" w:eastAsia="仿宋_GB2312"/>
          <w:b/>
          <w:sz w:val="32"/>
          <w:szCs w:val="32"/>
        </w:rPr>
        <w:t>2.公务用车购置及运行维护费支出1.18万元,完</w:t>
      </w:r>
      <w:r>
        <w:rPr>
          <w:rStyle w:val="18"/>
          <w:rFonts w:hint="eastAsia" w:ascii="仿宋" w:hAnsi="仿宋" w:eastAsia="仿宋"/>
          <w:bCs/>
          <w:sz w:val="32"/>
          <w:szCs w:val="32"/>
        </w:rPr>
        <w:t>成预算100</w:t>
      </w:r>
      <w:r>
        <w:rPr>
          <w:rStyle w:val="18"/>
          <w:rFonts w:ascii="仿宋" w:hAnsi="仿宋" w:eastAsia="仿宋"/>
          <w:bCs/>
          <w:sz w:val="32"/>
          <w:szCs w:val="32"/>
        </w:rPr>
        <w:t>%</w:t>
      </w:r>
      <w:r>
        <w:rPr>
          <w:rStyle w:val="18"/>
          <w:rFonts w:hint="eastAsia" w:ascii="仿宋" w:hAnsi="仿宋" w:eastAsia="仿宋"/>
          <w:bCs/>
          <w:sz w:val="32"/>
          <w:szCs w:val="32"/>
        </w:rPr>
        <w:t>。</w:t>
      </w:r>
      <w:r>
        <w:rPr>
          <w:rFonts w:hint="eastAsia" w:ascii="仿宋_GB2312" w:eastAsia="仿宋_GB2312"/>
          <w:b/>
          <w:sz w:val="32"/>
          <w:szCs w:val="32"/>
        </w:rPr>
        <w:t>公务用车购置及运行维护费支出决算和</w:t>
      </w:r>
      <w:r>
        <w:rPr>
          <w:rFonts w:ascii="仿宋_GB2312" w:eastAsia="仿宋_GB2312"/>
          <w:b/>
          <w:sz w:val="32"/>
          <w:szCs w:val="32"/>
        </w:rPr>
        <w:t>20</w:t>
      </w:r>
      <w:r>
        <w:rPr>
          <w:rFonts w:hint="eastAsia" w:ascii="仿宋_GB2312" w:eastAsia="仿宋_GB2312"/>
          <w:b/>
          <w:sz w:val="32"/>
          <w:szCs w:val="32"/>
        </w:rPr>
        <w:t>21年持平。</w:t>
      </w:r>
    </w:p>
    <w:p>
      <w:pPr>
        <w:spacing w:line="576" w:lineRule="exact"/>
        <w:ind w:firstLine="640" w:firstLineChars="200"/>
        <w:rPr>
          <w:rFonts w:ascii="仿宋_GB2312" w:eastAsia="仿宋_GB2312"/>
          <w:b/>
          <w:sz w:val="32"/>
          <w:szCs w:val="32"/>
        </w:rPr>
      </w:pPr>
      <w:r>
        <w:rPr>
          <w:rFonts w:hint="eastAsia" w:ascii="仿宋_GB2312" w:eastAsia="仿宋_GB2312"/>
          <w:b/>
          <w:sz w:val="32"/>
          <w:szCs w:val="32"/>
        </w:rPr>
        <w:t>其中：公务用车购置支出0万元，未购置公务用车。截至</w:t>
      </w:r>
      <w:r>
        <w:rPr>
          <w:rFonts w:ascii="仿宋_GB2312" w:eastAsia="仿宋_GB2312"/>
          <w:b/>
          <w:sz w:val="32"/>
          <w:szCs w:val="32"/>
        </w:rPr>
        <w:t>20</w:t>
      </w:r>
      <w:r>
        <w:rPr>
          <w:rFonts w:hint="eastAsia" w:ascii="仿宋_GB2312" w:eastAsia="仿宋_GB2312"/>
          <w:b/>
          <w:sz w:val="32"/>
          <w:szCs w:val="32"/>
        </w:rPr>
        <w:t>22年</w:t>
      </w:r>
      <w:r>
        <w:rPr>
          <w:rFonts w:ascii="仿宋_GB2312" w:eastAsia="仿宋_GB2312"/>
          <w:b/>
          <w:sz w:val="32"/>
          <w:szCs w:val="32"/>
        </w:rPr>
        <w:t>12</w:t>
      </w:r>
      <w:r>
        <w:rPr>
          <w:rFonts w:hint="eastAsia" w:ascii="仿宋_GB2312" w:eastAsia="仿宋_GB2312"/>
          <w:b/>
          <w:sz w:val="32"/>
          <w:szCs w:val="32"/>
        </w:rPr>
        <w:t>月底，单位共有公务用车2辆，为特种专业技术用车。</w:t>
      </w:r>
    </w:p>
    <w:p>
      <w:pPr>
        <w:spacing w:line="576" w:lineRule="exact"/>
        <w:ind w:firstLine="640"/>
        <w:rPr>
          <w:rFonts w:ascii="仿宋_GB2312" w:eastAsia="仿宋_GB2312"/>
          <w:b/>
          <w:sz w:val="32"/>
          <w:szCs w:val="32"/>
        </w:rPr>
      </w:pPr>
      <w:r>
        <w:rPr>
          <w:rFonts w:hint="eastAsia" w:ascii="仿宋_GB2312" w:eastAsia="仿宋_GB2312"/>
          <w:b/>
          <w:sz w:val="32"/>
          <w:szCs w:val="32"/>
        </w:rPr>
        <w:t>公务用车运行维护费支出1.18万元。主要用于公务用车维修费、保险费、燃油费、过路费等支出。</w:t>
      </w:r>
    </w:p>
    <w:p>
      <w:pPr>
        <w:spacing w:line="576"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公务接待费支出0.8万元，</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w:t>
      </w:r>
      <w:r>
        <w:rPr>
          <w:rFonts w:hint="eastAsia" w:ascii="仿宋_GB2312" w:eastAsia="仿宋_GB2312"/>
          <w:b/>
          <w:sz w:val="32"/>
          <w:szCs w:val="32"/>
        </w:rPr>
        <w:t>公务接待费支出决算比</w:t>
      </w:r>
      <w:r>
        <w:rPr>
          <w:rFonts w:ascii="仿宋_GB2312" w:eastAsia="仿宋_GB2312"/>
          <w:b/>
          <w:sz w:val="32"/>
          <w:szCs w:val="32"/>
        </w:rPr>
        <w:t>20</w:t>
      </w:r>
      <w:r>
        <w:rPr>
          <w:rFonts w:hint="eastAsia" w:ascii="仿宋_GB2312" w:eastAsia="仿宋_GB2312"/>
          <w:b/>
          <w:sz w:val="32"/>
          <w:szCs w:val="32"/>
        </w:rPr>
        <w:t>22年减少0.2万元，下降20</w:t>
      </w:r>
      <w:r>
        <w:rPr>
          <w:rFonts w:ascii="仿宋_GB2312" w:eastAsia="仿宋_GB2312"/>
          <w:b/>
          <w:sz w:val="32"/>
          <w:szCs w:val="32"/>
        </w:rPr>
        <w:t>%</w:t>
      </w:r>
      <w:r>
        <w:rPr>
          <w:rFonts w:hint="eastAsia" w:ascii="仿宋_GB2312" w:eastAsia="仿宋_GB2312"/>
          <w:b/>
          <w:sz w:val="32"/>
          <w:szCs w:val="32"/>
        </w:rPr>
        <w:t>。主要原因是</w:t>
      </w:r>
      <w:r>
        <w:rPr>
          <w:rFonts w:hint="eastAsia" w:ascii="仿宋_GB2312" w:eastAsia="仿宋_GB2312"/>
          <w:b/>
          <w:sz w:val="32"/>
          <w:szCs w:val="32"/>
          <w:lang w:val="en-US" w:eastAsia="zh-CN"/>
        </w:rPr>
        <w:t>厉行节约</w:t>
      </w:r>
      <w:r>
        <w:rPr>
          <w:rFonts w:hint="eastAsia" w:ascii="仿宋_GB2312" w:eastAsia="仿宋_GB2312"/>
          <w:b/>
          <w:sz w:val="32"/>
          <w:szCs w:val="32"/>
        </w:rPr>
        <w:t>。其中：</w:t>
      </w:r>
    </w:p>
    <w:p>
      <w:pPr>
        <w:spacing w:line="576" w:lineRule="exact"/>
        <w:ind w:firstLine="640"/>
        <w:rPr>
          <w:rFonts w:ascii="仿宋_GB2312" w:eastAsia="仿宋_GB2312"/>
          <w:b/>
          <w:sz w:val="32"/>
          <w:szCs w:val="32"/>
        </w:rPr>
      </w:pPr>
      <w:r>
        <w:rPr>
          <w:rFonts w:hint="eastAsia" w:ascii="仿宋" w:hAnsi="仿宋" w:eastAsia="仿宋"/>
          <w:b/>
          <w:sz w:val="32"/>
          <w:szCs w:val="32"/>
        </w:rPr>
        <w:t>国内公务接待支出0.8</w:t>
      </w:r>
      <w:r>
        <w:rPr>
          <w:rFonts w:hint="eastAsia" w:ascii="仿宋_GB2312" w:eastAsia="仿宋_GB2312"/>
          <w:b/>
          <w:sz w:val="32"/>
          <w:szCs w:val="32"/>
        </w:rPr>
        <w:t>万元，主要用于执行公务、开展业务活动开支的用餐费。国内公务接待</w:t>
      </w:r>
      <w:r>
        <w:rPr>
          <w:rFonts w:ascii="仿宋_GB2312" w:eastAsia="仿宋_GB2312"/>
          <w:b/>
          <w:sz w:val="32"/>
          <w:szCs w:val="32"/>
        </w:rPr>
        <w:t>5</w:t>
      </w:r>
      <w:r>
        <w:rPr>
          <w:rFonts w:hint="eastAsia" w:ascii="仿宋_GB2312" w:eastAsia="仿宋_GB2312"/>
          <w:b/>
          <w:sz w:val="32"/>
          <w:szCs w:val="32"/>
        </w:rPr>
        <w:t>批次，</w:t>
      </w:r>
      <w:r>
        <w:rPr>
          <w:rFonts w:ascii="仿宋_GB2312" w:eastAsia="仿宋_GB2312"/>
          <w:b/>
          <w:sz w:val="32"/>
          <w:szCs w:val="32"/>
        </w:rPr>
        <w:t>45</w:t>
      </w:r>
      <w:r>
        <w:rPr>
          <w:rFonts w:hint="eastAsia" w:ascii="仿宋_GB2312" w:eastAsia="仿宋_GB2312"/>
          <w:b/>
          <w:sz w:val="32"/>
          <w:szCs w:val="32"/>
        </w:rPr>
        <w:t>人次，共计支出</w:t>
      </w:r>
      <w:r>
        <w:rPr>
          <w:rFonts w:ascii="仿宋_GB2312" w:eastAsia="仿宋_GB2312"/>
          <w:b/>
          <w:sz w:val="32"/>
          <w:szCs w:val="32"/>
        </w:rPr>
        <w:t>0.8</w:t>
      </w:r>
      <w:r>
        <w:rPr>
          <w:rFonts w:hint="eastAsia" w:ascii="仿宋_GB2312" w:eastAsia="仿宋_GB2312"/>
          <w:b/>
          <w:sz w:val="32"/>
          <w:szCs w:val="32"/>
        </w:rPr>
        <w:t>0万元。具体内容包括：省科协验收县区天府科技云接待费</w:t>
      </w:r>
      <w:r>
        <w:rPr>
          <w:rFonts w:hint="eastAsia" w:ascii="仿宋_GB2312" w:eastAsia="仿宋_GB2312"/>
          <w:b/>
          <w:sz w:val="32"/>
          <w:szCs w:val="32"/>
          <w:lang w:eastAsia="zh-CN"/>
        </w:rPr>
        <w:t>、</w:t>
      </w:r>
      <w:r>
        <w:rPr>
          <w:rFonts w:hint="eastAsia" w:ascii="仿宋_GB2312" w:eastAsia="仿宋_GB2312"/>
          <w:b/>
          <w:sz w:val="32"/>
          <w:szCs w:val="32"/>
        </w:rPr>
        <w:t>省科协科普部调研广元技术协工作</w:t>
      </w:r>
      <w:r>
        <w:rPr>
          <w:rFonts w:hint="eastAsia" w:ascii="仿宋_GB2312" w:eastAsia="仿宋_GB2312"/>
          <w:b/>
          <w:sz w:val="32"/>
          <w:szCs w:val="32"/>
          <w:lang w:eastAsia="zh-CN"/>
        </w:rPr>
        <w:t>、</w:t>
      </w:r>
      <w:r>
        <w:rPr>
          <w:rFonts w:hint="eastAsia" w:ascii="仿宋_GB2312" w:eastAsia="仿宋_GB2312"/>
          <w:b/>
          <w:sz w:val="32"/>
          <w:szCs w:val="32"/>
        </w:rPr>
        <w:t>亚讯公司来广考察投资</w:t>
      </w:r>
      <w:r>
        <w:rPr>
          <w:rFonts w:hint="eastAsia" w:ascii="仿宋_GB2312" w:eastAsia="仿宋_GB2312"/>
          <w:b/>
          <w:sz w:val="32"/>
          <w:szCs w:val="32"/>
          <w:lang w:eastAsia="zh-CN"/>
        </w:rPr>
        <w:t>、</w:t>
      </w:r>
      <w:r>
        <w:rPr>
          <w:rFonts w:hint="eastAsia" w:ascii="仿宋_GB2312" w:eastAsia="仿宋_GB2312"/>
          <w:b/>
          <w:sz w:val="32"/>
          <w:szCs w:val="32"/>
        </w:rPr>
        <w:t>遂宁科协来广调研反邪教协会工作等。</w:t>
      </w:r>
    </w:p>
    <w:p>
      <w:pPr>
        <w:spacing w:line="576" w:lineRule="exact"/>
        <w:ind w:firstLine="640" w:firstLineChars="200"/>
        <w:rPr>
          <w:rFonts w:ascii="黑体" w:eastAsia="黑体"/>
          <w:b/>
          <w:sz w:val="32"/>
          <w:szCs w:val="32"/>
        </w:rPr>
      </w:pPr>
      <w:r>
        <w:rPr>
          <w:rFonts w:hint="eastAsia" w:ascii="仿宋" w:hAnsi="仿宋" w:eastAsia="仿宋"/>
          <w:b/>
          <w:sz w:val="32"/>
          <w:szCs w:val="32"/>
        </w:rPr>
        <w:t>外事接待支出0</w:t>
      </w:r>
      <w:r>
        <w:rPr>
          <w:rFonts w:hint="eastAsia" w:ascii="仿宋_GB2312" w:eastAsia="仿宋_GB2312"/>
          <w:b/>
          <w:sz w:val="32"/>
          <w:szCs w:val="32"/>
        </w:rPr>
        <w:t>万元。</w:t>
      </w:r>
      <w:bookmarkStart w:id="44" w:name="_Toc15377218"/>
      <w:bookmarkStart w:id="45" w:name="_Toc15396610"/>
    </w:p>
    <w:p>
      <w:pPr>
        <w:spacing w:line="576" w:lineRule="exact"/>
        <w:ind w:firstLine="640"/>
        <w:outlineLvl w:val="1"/>
        <w:rPr>
          <w:rStyle w:val="31"/>
          <w:rFonts w:ascii="黑体" w:hAnsi="黑体" w:eastAsia="黑体"/>
        </w:rPr>
      </w:pPr>
      <w:r>
        <w:rPr>
          <w:rFonts w:hint="eastAsia" w:ascii="黑体" w:eastAsia="黑体"/>
          <w:b/>
          <w:sz w:val="32"/>
          <w:szCs w:val="32"/>
        </w:rPr>
        <w:t>八、</w:t>
      </w:r>
      <w:r>
        <w:rPr>
          <w:rStyle w:val="31"/>
          <w:rFonts w:hint="eastAsia" w:ascii="黑体" w:hAnsi="黑体" w:eastAsia="黑体"/>
        </w:rPr>
        <w:t>政府性基金预算支出决算情况说明</w:t>
      </w:r>
      <w:bookmarkEnd w:id="44"/>
      <w:bookmarkEnd w:id="45"/>
    </w:p>
    <w:p>
      <w:pPr>
        <w:spacing w:line="576" w:lineRule="exact"/>
        <w:ind w:firstLine="640"/>
        <w:rPr>
          <w:rFonts w:ascii="仿宋_GB2312" w:eastAsia="仿宋_GB2312"/>
          <w:b/>
          <w:sz w:val="32"/>
          <w:szCs w:val="32"/>
        </w:rPr>
      </w:pPr>
      <w:r>
        <w:rPr>
          <w:rFonts w:ascii="仿宋_GB2312" w:eastAsia="仿宋_GB2312"/>
          <w:b/>
          <w:sz w:val="32"/>
          <w:szCs w:val="32"/>
        </w:rPr>
        <w:t>20</w:t>
      </w:r>
      <w:r>
        <w:rPr>
          <w:rFonts w:hint="eastAsia" w:ascii="仿宋_GB2312" w:eastAsia="仿宋_GB2312"/>
          <w:b/>
          <w:sz w:val="32"/>
          <w:szCs w:val="32"/>
        </w:rPr>
        <w:t>22年政府性基金预算财政拨款支出0万元。</w:t>
      </w:r>
    </w:p>
    <w:p>
      <w:pPr>
        <w:numPr>
          <w:ilvl w:val="0"/>
          <w:numId w:val="1"/>
        </w:numPr>
        <w:spacing w:line="576" w:lineRule="exact"/>
        <w:ind w:firstLine="640"/>
        <w:outlineLvl w:val="1"/>
        <w:rPr>
          <w:rStyle w:val="31"/>
          <w:rFonts w:ascii="黑体" w:hAnsi="黑体" w:eastAsia="黑体"/>
        </w:rPr>
      </w:pPr>
      <w:bookmarkStart w:id="46" w:name="_Toc15396611"/>
      <w:bookmarkStart w:id="47" w:name="_Toc15377219"/>
      <w:r>
        <w:rPr>
          <w:rStyle w:val="31"/>
          <w:rFonts w:hint="eastAsia" w:ascii="黑体" w:hAnsi="黑体" w:eastAsia="黑体"/>
        </w:rPr>
        <w:t>国有资本经营预算支出决算情况说明</w:t>
      </w:r>
      <w:bookmarkEnd w:id="46"/>
      <w:bookmarkEnd w:id="47"/>
    </w:p>
    <w:p>
      <w:pPr>
        <w:spacing w:line="576" w:lineRule="exact"/>
        <w:ind w:firstLine="640"/>
        <w:rPr>
          <w:rFonts w:ascii="方正小标宋简体" w:hAnsi="方正小标宋简体" w:eastAsia="方正小标宋简体" w:cs="方正小标宋简体"/>
          <w:b/>
          <w:sz w:val="44"/>
          <w:szCs w:val="44"/>
        </w:rPr>
      </w:pPr>
      <w:r>
        <w:rPr>
          <w:rFonts w:ascii="仿宋_GB2312" w:eastAsia="仿宋_GB2312"/>
          <w:b/>
          <w:sz w:val="32"/>
          <w:szCs w:val="32"/>
        </w:rPr>
        <w:t>20</w:t>
      </w:r>
      <w:r>
        <w:rPr>
          <w:rFonts w:hint="eastAsia" w:ascii="仿宋_GB2312" w:eastAsia="仿宋_GB2312"/>
          <w:b/>
          <w:sz w:val="32"/>
          <w:szCs w:val="32"/>
        </w:rPr>
        <w:t>22年国有资本经营预算财政拨款支出0万元。</w:t>
      </w:r>
    </w:p>
    <w:p>
      <w:pPr>
        <w:numPr>
          <w:ilvl w:val="0"/>
          <w:numId w:val="1"/>
        </w:numPr>
        <w:spacing w:line="576" w:lineRule="exact"/>
        <w:ind w:firstLine="640"/>
        <w:outlineLvl w:val="1"/>
        <w:rPr>
          <w:rStyle w:val="31"/>
          <w:rFonts w:ascii="黑体" w:hAnsi="黑体" w:eastAsia="黑体"/>
        </w:rPr>
      </w:pPr>
      <w:bookmarkStart w:id="48" w:name="_Toc15396612"/>
      <w:bookmarkStart w:id="49" w:name="_Toc15377221"/>
      <w:r>
        <w:rPr>
          <w:rStyle w:val="31"/>
          <w:rFonts w:hint="eastAsia" w:ascii="黑体" w:hAnsi="黑体" w:eastAsia="黑体"/>
        </w:rPr>
        <w:t>其他重要事项的情况说明</w:t>
      </w:r>
      <w:bookmarkEnd w:id="48"/>
      <w:bookmarkEnd w:id="49"/>
    </w:p>
    <w:p>
      <w:pPr>
        <w:spacing w:line="576" w:lineRule="exact"/>
        <w:ind w:firstLine="640" w:firstLineChars="200"/>
        <w:outlineLvl w:val="2"/>
        <w:rPr>
          <w:rFonts w:hint="eastAsia" w:ascii="楷体_GB2312" w:hAnsi="仿宋" w:eastAsia="楷体_GB2312"/>
          <w:b/>
          <w:sz w:val="32"/>
          <w:szCs w:val="32"/>
        </w:rPr>
      </w:pPr>
      <w:bookmarkStart w:id="50" w:name="_Toc15377222"/>
      <w:r>
        <w:rPr>
          <w:rFonts w:hint="eastAsia" w:ascii="楷体_GB2312" w:hAnsi="仿宋" w:eastAsia="楷体_GB2312"/>
          <w:b/>
          <w:sz w:val="32"/>
          <w:szCs w:val="32"/>
        </w:rPr>
        <w:t>（一）机关运行经费支出情况</w:t>
      </w:r>
      <w:bookmarkEnd w:id="50"/>
    </w:p>
    <w:p>
      <w:pPr>
        <w:spacing w:line="576" w:lineRule="exact"/>
        <w:ind w:firstLine="640" w:firstLineChars="200"/>
        <w:rPr>
          <w:rFonts w:ascii="仿宋_GB2312" w:eastAsia="仿宋_GB2312"/>
          <w:b/>
          <w:sz w:val="32"/>
          <w:szCs w:val="32"/>
        </w:rPr>
      </w:pPr>
      <w:r>
        <w:rPr>
          <w:rFonts w:ascii="仿宋_GB2312" w:eastAsia="仿宋_GB2312"/>
          <w:b/>
          <w:sz w:val="32"/>
          <w:szCs w:val="32"/>
        </w:rPr>
        <w:t>20</w:t>
      </w:r>
      <w:r>
        <w:rPr>
          <w:rFonts w:hint="eastAsia" w:ascii="仿宋_GB2312" w:eastAsia="仿宋_GB2312"/>
          <w:b/>
          <w:sz w:val="32"/>
          <w:szCs w:val="32"/>
        </w:rPr>
        <w:t>22年，市科协机关运行经费支出53.76万元，比</w:t>
      </w:r>
      <w:r>
        <w:rPr>
          <w:rFonts w:ascii="仿宋_GB2312" w:eastAsia="仿宋_GB2312"/>
          <w:b/>
          <w:sz w:val="32"/>
          <w:szCs w:val="32"/>
        </w:rPr>
        <w:t>20</w:t>
      </w:r>
      <w:r>
        <w:rPr>
          <w:rFonts w:hint="eastAsia" w:ascii="仿宋_GB2312" w:eastAsia="仿宋_GB2312"/>
          <w:b/>
          <w:sz w:val="32"/>
          <w:szCs w:val="32"/>
        </w:rPr>
        <w:t>21年增加7.01万元，增长14.99</w:t>
      </w:r>
      <w:r>
        <w:rPr>
          <w:rFonts w:ascii="仿宋_GB2312" w:eastAsia="仿宋_GB2312"/>
          <w:b/>
          <w:sz w:val="32"/>
          <w:szCs w:val="32"/>
        </w:rPr>
        <w:t>%</w:t>
      </w:r>
      <w:r>
        <w:rPr>
          <w:rFonts w:hint="eastAsia" w:ascii="仿宋_GB2312" w:eastAsia="仿宋_GB2312"/>
          <w:b/>
          <w:sz w:val="32"/>
          <w:szCs w:val="32"/>
        </w:rPr>
        <w:t>。主要原因：一是新增物业管理费支出；二是科协换届选举、主要领导外出培训，新增会议费、培训费支出。</w:t>
      </w:r>
    </w:p>
    <w:p>
      <w:pPr>
        <w:autoSpaceDE w:val="0"/>
        <w:autoSpaceDN w:val="0"/>
        <w:adjustRightInd w:val="0"/>
        <w:spacing w:line="576" w:lineRule="exact"/>
        <w:ind w:firstLine="640" w:firstLineChars="200"/>
        <w:outlineLvl w:val="2"/>
        <w:rPr>
          <w:rFonts w:hint="eastAsia" w:ascii="楷体_GB2312" w:hAnsi="仿宋" w:eastAsia="楷体_GB2312"/>
          <w:b/>
          <w:sz w:val="32"/>
          <w:szCs w:val="32"/>
        </w:rPr>
      </w:pPr>
      <w:bookmarkStart w:id="51" w:name="_Toc15377223"/>
      <w:r>
        <w:rPr>
          <w:rFonts w:hint="eastAsia" w:ascii="楷体_GB2312" w:hAnsi="仿宋" w:eastAsia="楷体_GB2312"/>
          <w:b/>
          <w:sz w:val="32"/>
          <w:szCs w:val="32"/>
        </w:rPr>
        <w:t>（二）政府采购支出情况</w:t>
      </w:r>
      <w:bookmarkEnd w:id="51"/>
    </w:p>
    <w:p>
      <w:pPr>
        <w:spacing w:line="576" w:lineRule="exact"/>
        <w:ind w:firstLine="640" w:firstLineChars="200"/>
        <w:rPr>
          <w:rFonts w:ascii="仿宋_GB2312" w:eastAsia="仿宋_GB2312"/>
          <w:b/>
          <w:sz w:val="32"/>
          <w:szCs w:val="32"/>
        </w:rPr>
      </w:pPr>
      <w:r>
        <w:rPr>
          <w:rFonts w:ascii="仿宋_GB2312" w:eastAsia="仿宋_GB2312"/>
          <w:b/>
          <w:sz w:val="32"/>
          <w:szCs w:val="32"/>
        </w:rPr>
        <w:t>20</w:t>
      </w:r>
      <w:r>
        <w:rPr>
          <w:rFonts w:hint="eastAsia" w:ascii="仿宋_GB2312" w:eastAsia="仿宋_GB2312"/>
          <w:b/>
          <w:sz w:val="32"/>
          <w:szCs w:val="32"/>
        </w:rPr>
        <w:t>22年，市科协政府采购支出总额</w:t>
      </w:r>
      <w:r>
        <w:rPr>
          <w:rFonts w:ascii="仿宋_GB2312" w:eastAsia="仿宋_GB2312"/>
          <w:b/>
          <w:sz w:val="32"/>
          <w:szCs w:val="32"/>
        </w:rPr>
        <w:t>0</w:t>
      </w:r>
      <w:r>
        <w:rPr>
          <w:rFonts w:hint="eastAsia" w:ascii="仿宋_GB2312" w:eastAsia="仿宋_GB2312"/>
          <w:b/>
          <w:sz w:val="32"/>
          <w:szCs w:val="32"/>
        </w:rPr>
        <w:t>万元。</w:t>
      </w:r>
    </w:p>
    <w:p>
      <w:pPr>
        <w:autoSpaceDE w:val="0"/>
        <w:autoSpaceDN w:val="0"/>
        <w:adjustRightInd w:val="0"/>
        <w:spacing w:line="576" w:lineRule="exact"/>
        <w:ind w:firstLine="640" w:firstLineChars="200"/>
        <w:outlineLvl w:val="2"/>
        <w:rPr>
          <w:rFonts w:hint="eastAsia" w:ascii="楷体_GB2312" w:hAnsi="仿宋" w:eastAsia="楷体_GB2312"/>
          <w:b/>
          <w:sz w:val="32"/>
          <w:szCs w:val="32"/>
        </w:rPr>
      </w:pPr>
      <w:bookmarkStart w:id="52" w:name="_Toc15377224"/>
      <w:r>
        <w:rPr>
          <w:rFonts w:hint="eastAsia" w:ascii="楷体_GB2312" w:hAnsi="仿宋" w:eastAsia="楷体_GB2312"/>
          <w:b/>
          <w:sz w:val="32"/>
          <w:szCs w:val="32"/>
        </w:rPr>
        <w:t>（三）国有资产占有使用情况</w:t>
      </w:r>
      <w:bookmarkEnd w:id="52"/>
    </w:p>
    <w:p>
      <w:pPr>
        <w:autoSpaceDE w:val="0"/>
        <w:autoSpaceDN w:val="0"/>
        <w:adjustRightInd w:val="0"/>
        <w:spacing w:line="576" w:lineRule="exact"/>
        <w:ind w:firstLine="640" w:firstLineChars="200"/>
        <w:rPr>
          <w:rFonts w:ascii="仿宋_GB2312" w:eastAsia="仿宋_GB2312"/>
          <w:b/>
          <w:sz w:val="32"/>
          <w:szCs w:val="32"/>
        </w:rPr>
      </w:pPr>
      <w:r>
        <w:rPr>
          <w:rFonts w:hint="eastAsia" w:ascii="仿宋_GB2312" w:eastAsia="仿宋_GB2312"/>
          <w:b/>
          <w:sz w:val="32"/>
          <w:szCs w:val="32"/>
        </w:rPr>
        <w:t>截至</w:t>
      </w:r>
      <w:r>
        <w:rPr>
          <w:rFonts w:ascii="仿宋_GB2312" w:eastAsia="仿宋_GB2312"/>
          <w:b/>
          <w:sz w:val="32"/>
          <w:szCs w:val="32"/>
        </w:rPr>
        <w:t>2021</w:t>
      </w:r>
      <w:r>
        <w:rPr>
          <w:rFonts w:hint="eastAsia" w:ascii="仿宋_GB2312" w:eastAsia="仿宋_GB2312"/>
          <w:b/>
          <w:sz w:val="32"/>
          <w:szCs w:val="32"/>
        </w:rPr>
        <w:t>年</w:t>
      </w:r>
      <w:r>
        <w:rPr>
          <w:rFonts w:ascii="仿宋_GB2312" w:eastAsia="仿宋_GB2312"/>
          <w:b/>
          <w:sz w:val="32"/>
          <w:szCs w:val="32"/>
        </w:rPr>
        <w:t>12</w:t>
      </w:r>
      <w:r>
        <w:rPr>
          <w:rFonts w:hint="eastAsia" w:ascii="仿宋_GB2312" w:eastAsia="仿宋_GB2312"/>
          <w:b/>
          <w:sz w:val="32"/>
          <w:szCs w:val="32"/>
        </w:rPr>
        <w:t>月</w:t>
      </w:r>
      <w:r>
        <w:rPr>
          <w:rFonts w:ascii="仿宋_GB2312" w:eastAsia="仿宋_GB2312"/>
          <w:b/>
          <w:sz w:val="32"/>
          <w:szCs w:val="32"/>
        </w:rPr>
        <w:t>31</w:t>
      </w:r>
      <w:r>
        <w:rPr>
          <w:rFonts w:hint="eastAsia" w:ascii="仿宋_GB2312" w:eastAsia="仿宋_GB2312"/>
          <w:b/>
          <w:sz w:val="32"/>
          <w:szCs w:val="32"/>
        </w:rPr>
        <w:t>日，市科协共有车辆</w:t>
      </w:r>
      <w:r>
        <w:rPr>
          <w:rFonts w:ascii="仿宋_GB2312" w:eastAsia="仿宋_GB2312"/>
          <w:b/>
          <w:sz w:val="32"/>
          <w:szCs w:val="32"/>
        </w:rPr>
        <w:t>2</w:t>
      </w:r>
      <w:r>
        <w:rPr>
          <w:rFonts w:hint="eastAsia" w:ascii="仿宋_GB2312" w:eastAsia="仿宋_GB2312"/>
          <w:b/>
          <w:sz w:val="32"/>
          <w:szCs w:val="32"/>
        </w:rPr>
        <w:t>辆，其中：其他用车</w:t>
      </w:r>
      <w:r>
        <w:rPr>
          <w:rFonts w:ascii="仿宋_GB2312" w:eastAsia="仿宋_GB2312"/>
          <w:b/>
          <w:sz w:val="32"/>
          <w:szCs w:val="32"/>
        </w:rPr>
        <w:t>2</w:t>
      </w:r>
      <w:r>
        <w:rPr>
          <w:rFonts w:hint="eastAsia" w:ascii="仿宋_GB2312" w:eastAsia="仿宋_GB2312"/>
          <w:b/>
          <w:sz w:val="32"/>
          <w:szCs w:val="32"/>
        </w:rPr>
        <w:t>辆</w:t>
      </w:r>
      <w:r>
        <w:rPr>
          <w:rFonts w:ascii="仿宋_GB2312" w:eastAsia="仿宋_GB2312"/>
          <w:b/>
          <w:sz w:val="32"/>
          <w:szCs w:val="32"/>
        </w:rPr>
        <w:t>,</w:t>
      </w:r>
      <w:r>
        <w:rPr>
          <w:rFonts w:hint="eastAsia" w:ascii="仿宋_GB2312" w:eastAsia="仿宋_GB2312"/>
          <w:b/>
          <w:sz w:val="32"/>
          <w:szCs w:val="32"/>
        </w:rPr>
        <w:t>其他用车主要是用于保障科普活动宣传工作。</w:t>
      </w:r>
      <w:r>
        <w:rPr>
          <w:rFonts w:hint="eastAsia" w:ascii="仿宋_GB2312" w:hAnsi="仿宋_GB2312" w:eastAsia="仿宋_GB2312" w:cs="仿宋_GB2312"/>
          <w:b/>
          <w:sz w:val="32"/>
          <w:szCs w:val="32"/>
        </w:rPr>
        <w:t>单价50万元以上通用设备０台（套），单价100万元以上专用设备０台（套）。</w:t>
      </w:r>
    </w:p>
    <w:p>
      <w:pPr>
        <w:autoSpaceDE w:val="0"/>
        <w:autoSpaceDN w:val="0"/>
        <w:adjustRightInd w:val="0"/>
        <w:spacing w:line="576" w:lineRule="exact"/>
        <w:ind w:firstLine="640" w:firstLineChars="200"/>
        <w:outlineLvl w:val="2"/>
        <w:rPr>
          <w:rFonts w:hint="eastAsia" w:ascii="楷体_GB2312" w:hAnsi="仿宋" w:eastAsia="楷体_GB2312"/>
          <w:b/>
          <w:sz w:val="32"/>
          <w:szCs w:val="32"/>
        </w:rPr>
      </w:pPr>
      <w:r>
        <w:rPr>
          <w:rFonts w:hint="eastAsia" w:ascii="楷体_GB2312" w:hAnsi="仿宋" w:eastAsia="楷体_GB2312"/>
          <w:b/>
          <w:sz w:val="32"/>
          <w:szCs w:val="32"/>
        </w:rPr>
        <w:t>（四）预算绩效管理情况</w:t>
      </w:r>
    </w:p>
    <w:p>
      <w:pPr>
        <w:widowControl/>
        <w:adjustRightInd w:val="0"/>
        <w:snapToGrid w:val="0"/>
        <w:spacing w:line="576" w:lineRule="exact"/>
        <w:ind w:firstLine="640"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预算绩效管理要求，本部门在2022年度预算编制阶段，组织对天府科技云服务、科普活动、学术交流、院士专家工作站建设、乡村振兴工作、老科协工作等6个项目开展了预算事前绩效评估，对6个项目编制了绩效目标，预算执行过程中，对6个项目开展绩效监控。</w:t>
      </w:r>
    </w:p>
    <w:p>
      <w:pPr>
        <w:widowControl/>
        <w:adjustRightInd w:val="0"/>
        <w:snapToGrid w:val="0"/>
        <w:spacing w:line="576" w:lineRule="exact"/>
        <w:ind w:firstLine="640" w:firstLineChars="200"/>
        <w:contextualSpacing/>
        <w:rPr>
          <w:rFonts w:ascii="仿宋_GB2312" w:hAnsi="仿宋_GB2312" w:eastAsia="仿宋_GB2312" w:cs="仿宋_GB2312"/>
          <w:b/>
          <w:sz w:val="32"/>
          <w:szCs w:val="32"/>
        </w:rPr>
      </w:pPr>
      <w:r>
        <w:rPr>
          <w:rFonts w:hint="eastAsia" w:ascii="仿宋_GB2312" w:hAnsi="仿宋_GB2312" w:eastAsia="仿宋_GB2312" w:cs="仿宋_GB2312"/>
          <w:b/>
          <w:sz w:val="32"/>
          <w:szCs w:val="32"/>
        </w:rPr>
        <w:t>组织对2021年度一般公共预算全面开展绩效自评，形成市科协部门整体（含部门预算项目）绩效自评报告、其中，市科协部门整体（含部门预算项目）绩效自评得分为93.2分，部门预算项目绩效自评平均得分98.75分，绩效自评综述：部门整体支出自评严格按照市财政局支出绩效评价指标体系进行，特性指标及个性指标分项目分类别进行了修改完善，具体负责项目实施的部室、中心对照指标体系完成了项目自评，自评质量整体较好。绩效自评报告及附表详见附件。</w:t>
      </w:r>
    </w:p>
    <w:p>
      <w:pPr>
        <w:widowControl/>
        <w:jc w:val="left"/>
        <w:rPr>
          <w:rFonts w:ascii="仿宋_GB2312" w:hAnsi="仿宋_GB2312" w:eastAsia="仿宋_GB2312" w:cs="仿宋_GB2312"/>
          <w:b/>
          <w:sz w:val="32"/>
          <w:szCs w:val="32"/>
        </w:rPr>
      </w:pPr>
      <w:bookmarkStart w:id="53" w:name="_Toc15396613"/>
      <w:bookmarkStart w:id="54" w:name="_Toc15377225"/>
      <w:r>
        <w:rPr>
          <w:rFonts w:ascii="仿宋_GB2312" w:hAnsi="仿宋_GB2312" w:eastAsia="仿宋_GB2312" w:cs="仿宋_GB2312"/>
          <w:b/>
          <w:sz w:val="32"/>
          <w:szCs w:val="32"/>
        </w:rPr>
        <w:br w:type="page"/>
      </w:r>
    </w:p>
    <w:p>
      <w:pPr>
        <w:adjustRightInd w:val="0"/>
        <w:snapToGrid w:val="0"/>
        <w:spacing w:line="530" w:lineRule="exact"/>
        <w:jc w:val="center"/>
        <w:outlineLvl w:val="0"/>
        <w:rPr>
          <w:rFonts w:hint="eastAsia" w:ascii="黑体" w:hAnsi="黑体" w:eastAsia="黑体"/>
          <w:b/>
          <w:sz w:val="44"/>
          <w:szCs w:val="44"/>
        </w:rPr>
      </w:pPr>
    </w:p>
    <w:p>
      <w:pPr>
        <w:adjustRightInd w:val="0"/>
        <w:snapToGrid w:val="0"/>
        <w:spacing w:line="530" w:lineRule="exact"/>
        <w:jc w:val="center"/>
        <w:outlineLvl w:val="0"/>
        <w:rPr>
          <w:rStyle w:val="30"/>
          <w:rFonts w:ascii="黑体" w:hAnsi="黑体" w:eastAsia="黑体"/>
        </w:rPr>
      </w:pPr>
      <w:r>
        <w:rPr>
          <w:rFonts w:hint="eastAsia" w:ascii="黑体" w:hAnsi="黑体" w:eastAsia="黑体"/>
          <w:b/>
          <w:sz w:val="44"/>
          <w:szCs w:val="44"/>
        </w:rPr>
        <w:t>第三部分  名</w:t>
      </w:r>
      <w:r>
        <w:rPr>
          <w:rStyle w:val="30"/>
          <w:rFonts w:hint="eastAsia" w:ascii="黑体" w:hAnsi="黑体" w:eastAsia="黑体"/>
        </w:rPr>
        <w:t>词解释</w:t>
      </w:r>
      <w:bookmarkEnd w:id="53"/>
      <w:bookmarkEnd w:id="54"/>
    </w:p>
    <w:p>
      <w:pPr>
        <w:adjustRightInd w:val="0"/>
        <w:snapToGrid w:val="0"/>
        <w:spacing w:line="530" w:lineRule="exact"/>
        <w:jc w:val="left"/>
        <w:rPr>
          <w:rFonts w:ascii="宋体"/>
          <w:b/>
          <w:sz w:val="44"/>
          <w:szCs w:val="44"/>
        </w:rPr>
      </w:pPr>
    </w:p>
    <w:p>
      <w:pPr>
        <w:pStyle w:val="28"/>
        <w:snapToGrid w:val="0"/>
        <w:spacing w:line="530" w:lineRule="exact"/>
        <w:ind w:firstLine="640" w:firstLineChars="200"/>
        <w:jc w:val="both"/>
        <w:rPr>
          <w:rFonts w:ascii="仿宋_GB2312" w:hAnsi="仿宋_GB2312" w:eastAsia="仿宋_GB2312" w:cs="仿宋_GB2312"/>
          <w:b/>
          <w:color w:val="auto"/>
          <w:spacing w:val="-10"/>
          <w:kern w:val="2"/>
          <w:sz w:val="32"/>
          <w:szCs w:val="32"/>
        </w:rPr>
      </w:pPr>
      <w:r>
        <w:rPr>
          <w:rFonts w:ascii="仿宋_GB2312" w:hAnsi="仿宋_GB2312" w:eastAsia="仿宋_GB2312" w:cs="仿宋_GB2312"/>
          <w:b/>
          <w:color w:val="auto"/>
          <w:kern w:val="2"/>
          <w:sz w:val="32"/>
          <w:szCs w:val="32"/>
        </w:rPr>
        <w:t>1.</w:t>
      </w:r>
      <w:r>
        <w:rPr>
          <w:rFonts w:hint="eastAsia" w:ascii="仿宋_GB2312" w:hAnsi="仿宋_GB2312" w:eastAsia="仿宋_GB2312" w:cs="仿宋_GB2312"/>
          <w:b/>
          <w:color w:val="auto"/>
          <w:kern w:val="2"/>
          <w:sz w:val="32"/>
          <w:szCs w:val="32"/>
        </w:rPr>
        <w:t>财</w:t>
      </w:r>
      <w:r>
        <w:rPr>
          <w:rFonts w:hint="eastAsia" w:ascii="仿宋_GB2312" w:hAnsi="仿宋_GB2312" w:eastAsia="仿宋_GB2312" w:cs="仿宋_GB2312"/>
          <w:b/>
          <w:color w:val="auto"/>
          <w:spacing w:val="-10"/>
          <w:kern w:val="2"/>
          <w:sz w:val="32"/>
          <w:szCs w:val="32"/>
        </w:rPr>
        <w:t>政拨款收入：指单位从同级财政部门取得的财政预算资金。</w:t>
      </w:r>
    </w:p>
    <w:p>
      <w:pPr>
        <w:pStyle w:val="28"/>
        <w:snapToGrid w:val="0"/>
        <w:spacing w:line="530" w:lineRule="exact"/>
        <w:ind w:firstLine="640" w:firstLineChars="200"/>
        <w:jc w:val="both"/>
        <w:rPr>
          <w:rFonts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2.</w:t>
      </w:r>
      <w:r>
        <w:rPr>
          <w:rFonts w:hint="eastAsia" w:ascii="仿宋_GB2312" w:hAnsi="仿宋_GB2312" w:eastAsia="仿宋_GB2312" w:cs="仿宋_GB2312"/>
          <w:b/>
          <w:color w:val="auto"/>
          <w:kern w:val="2"/>
          <w:sz w:val="32"/>
          <w:szCs w:val="32"/>
        </w:rPr>
        <w:t>年初结转和结余：指以前年度尚未完成、结转到本年按有关规定继续使用的资金。</w:t>
      </w:r>
    </w:p>
    <w:p>
      <w:pPr>
        <w:pStyle w:val="28"/>
        <w:snapToGrid w:val="0"/>
        <w:spacing w:line="530" w:lineRule="exact"/>
        <w:ind w:firstLine="640" w:firstLineChars="200"/>
        <w:jc w:val="both"/>
        <w:rPr>
          <w:rFonts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3.</w:t>
      </w:r>
      <w:r>
        <w:rPr>
          <w:rFonts w:hint="eastAsia" w:ascii="仿宋_GB2312" w:hAnsi="仿宋_GB2312" w:eastAsia="仿宋_GB2312" w:cs="仿宋_GB2312"/>
          <w:b/>
          <w:color w:val="auto"/>
          <w:kern w:val="2"/>
          <w:sz w:val="32"/>
          <w:szCs w:val="32"/>
        </w:rPr>
        <w:t>年末结转和结余：指单位按有关规定结转到下年或以后年度继续使用的资金。</w:t>
      </w:r>
    </w:p>
    <w:p>
      <w:pPr>
        <w:pStyle w:val="14"/>
        <w:adjustRightInd w:val="0"/>
        <w:snapToGrid w:val="0"/>
        <w:spacing w:beforeAutospacing="0" w:afterAutospacing="0" w:line="530" w:lineRule="exact"/>
        <w:ind w:firstLine="640" w:firstLineChars="200"/>
        <w:jc w:val="both"/>
        <w:rPr>
          <w:rFonts w:hint="default" w:ascii="仿宋_GB2312" w:hAnsi="仿宋_GB2312" w:eastAsia="仿宋_GB2312" w:cs="仿宋_GB2312"/>
          <w:b/>
          <w:kern w:val="2"/>
          <w:sz w:val="32"/>
          <w:szCs w:val="32"/>
          <w:lang w:val="en-US" w:eastAsia="zh-CN"/>
        </w:rPr>
      </w:pPr>
      <w:r>
        <w:rPr>
          <w:rFonts w:hint="eastAsia" w:ascii="仿宋_GB2312" w:hAnsi="仿宋_GB2312" w:eastAsia="仿宋_GB2312" w:cs="仿宋_GB2312"/>
          <w:b/>
          <w:color w:val="auto"/>
          <w:kern w:val="2"/>
          <w:sz w:val="32"/>
          <w:szCs w:val="32"/>
          <w:shd w:val="clear" w:fill="FFFF00"/>
          <w:lang w:val="en-US" w:eastAsia="zh-CN"/>
        </w:rPr>
        <w:t>4.一般公共服务支出（类）群众团体事务（款）事业运行（项）：反映事业单位的基本支出，不包括行政单位（包括实行公务员管理的事业单位）后勤服务中心、医务室等附属事业单位。</w:t>
      </w:r>
    </w:p>
    <w:p>
      <w:pPr>
        <w:pStyle w:val="14"/>
        <w:adjustRightInd w:val="0"/>
        <w:snapToGrid w:val="0"/>
        <w:spacing w:beforeAutospacing="0" w:afterAutospacing="0" w:line="530" w:lineRule="exact"/>
        <w:ind w:firstLine="640" w:firstLineChars="200"/>
        <w:jc w:val="both"/>
        <w:rPr>
          <w:rFonts w:ascii="仿宋_GB2312" w:hAnsi="仿宋_GB2312" w:eastAsia="仿宋_GB2312" w:cs="仿宋_GB2312"/>
          <w:b/>
          <w:kern w:val="2"/>
          <w:sz w:val="32"/>
          <w:szCs w:val="32"/>
        </w:rPr>
      </w:pPr>
      <w:r>
        <w:rPr>
          <w:rFonts w:ascii="仿宋_GB2312" w:hAnsi="仿宋_GB2312" w:eastAsia="仿宋_GB2312" w:cs="仿宋_GB2312"/>
          <w:b/>
          <w:kern w:val="2"/>
          <w:sz w:val="32"/>
          <w:szCs w:val="32"/>
        </w:rPr>
        <w:t>4.</w:t>
      </w:r>
      <w:r>
        <w:rPr>
          <w:rFonts w:hint="eastAsia" w:ascii="仿宋_GB2312" w:hAnsi="仿宋_GB2312" w:eastAsia="仿宋_GB2312" w:cs="仿宋_GB2312"/>
          <w:b/>
          <w:kern w:val="2"/>
          <w:sz w:val="32"/>
          <w:szCs w:val="32"/>
        </w:rPr>
        <w:t>科学技术（类）科学技术管理事务（款）行政运行（项）：反映行政单位（包括实行公务员管理的事业单位）的基本支出。</w:t>
      </w:r>
    </w:p>
    <w:p>
      <w:pPr>
        <w:pStyle w:val="14"/>
        <w:adjustRightInd w:val="0"/>
        <w:snapToGrid w:val="0"/>
        <w:spacing w:beforeAutospacing="0" w:afterAutospacing="0" w:line="530" w:lineRule="exact"/>
        <w:ind w:firstLine="640" w:firstLineChars="200"/>
        <w:jc w:val="both"/>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5</w:t>
      </w:r>
      <w:r>
        <w:rPr>
          <w:rFonts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rPr>
        <w:t>科学技术（类）科学技术管理事务（款）一般行政管理事务（项）：反映行政单位（包括实行公务员管理的事业单位）未单独设置项级科目的其他项目支出。</w:t>
      </w:r>
    </w:p>
    <w:p>
      <w:pPr>
        <w:pStyle w:val="14"/>
        <w:adjustRightInd w:val="0"/>
        <w:snapToGrid w:val="0"/>
        <w:spacing w:beforeAutospacing="0" w:afterAutospacing="0" w:line="530" w:lineRule="exact"/>
        <w:ind w:firstLine="640" w:firstLineChars="200"/>
        <w:jc w:val="both"/>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6</w:t>
      </w:r>
      <w:r>
        <w:rPr>
          <w:rFonts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rPr>
        <w:t>科学技术（类）科学技术普及（款）科普活动（项）：反映开展科普活动的支出。</w:t>
      </w:r>
    </w:p>
    <w:p>
      <w:pPr>
        <w:pStyle w:val="14"/>
        <w:adjustRightInd w:val="0"/>
        <w:snapToGrid w:val="0"/>
        <w:spacing w:beforeAutospacing="0" w:afterAutospacing="0" w:line="530" w:lineRule="exact"/>
        <w:ind w:firstLine="640" w:firstLineChars="200"/>
        <w:jc w:val="both"/>
        <w:rPr>
          <w:rFonts w:ascii="仿宋_GB2312" w:hAnsi="仿宋_GB2312" w:eastAsia="仿宋_GB2312" w:cs="仿宋_GB2312"/>
          <w:b/>
          <w:spacing w:val="-10"/>
          <w:kern w:val="2"/>
          <w:sz w:val="32"/>
          <w:szCs w:val="32"/>
        </w:rPr>
      </w:pPr>
      <w:r>
        <w:rPr>
          <w:rFonts w:hint="eastAsia" w:ascii="仿宋_GB2312" w:hAnsi="仿宋_GB2312" w:eastAsia="仿宋_GB2312" w:cs="仿宋_GB2312"/>
          <w:b/>
          <w:kern w:val="2"/>
          <w:sz w:val="32"/>
          <w:szCs w:val="32"/>
        </w:rPr>
        <w:t>7</w:t>
      </w:r>
      <w:r>
        <w:rPr>
          <w:rFonts w:ascii="仿宋_GB2312" w:hAnsi="仿宋_GB2312" w:eastAsia="仿宋_GB2312" w:cs="仿宋_GB2312"/>
          <w:b/>
          <w:kern w:val="2"/>
          <w:sz w:val="32"/>
          <w:szCs w:val="32"/>
        </w:rPr>
        <w:t>.</w:t>
      </w:r>
      <w:r>
        <w:rPr>
          <w:rFonts w:hint="eastAsia" w:ascii="仿宋_GB2312" w:hAnsi="仿宋_GB2312" w:eastAsia="仿宋_GB2312" w:cs="仿宋_GB2312"/>
          <w:b/>
          <w:kern w:val="2"/>
          <w:sz w:val="32"/>
          <w:szCs w:val="32"/>
        </w:rPr>
        <w:t>科学技术（类）科学技术普及（款）学术交流活动（项）：反</w:t>
      </w:r>
      <w:r>
        <w:rPr>
          <w:rFonts w:hint="eastAsia" w:ascii="仿宋_GB2312" w:hAnsi="仿宋_GB2312" w:eastAsia="仿宋_GB2312" w:cs="仿宋_GB2312"/>
          <w:b/>
          <w:spacing w:val="-10"/>
          <w:kern w:val="2"/>
          <w:sz w:val="32"/>
          <w:szCs w:val="32"/>
        </w:rPr>
        <w:t>映开展学术交流活动、编制学术期刊和学会补助等方面的支出。</w:t>
      </w:r>
    </w:p>
    <w:p>
      <w:pPr>
        <w:adjustRightInd w:val="0"/>
        <w:snapToGrid w:val="0"/>
        <w:spacing w:line="53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8</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科学技术（类）科学技术普及（款）其他科学技术普及（项）：反映除上述项目外其他科学技术普及方面的支出。</w:t>
      </w:r>
    </w:p>
    <w:p>
      <w:pPr>
        <w:numPr>
          <w:ilvl w:val="0"/>
          <w:numId w:val="0"/>
        </w:numPr>
        <w:adjustRightInd w:val="0"/>
        <w:snapToGrid w:val="0"/>
        <w:spacing w:line="530" w:lineRule="exact"/>
        <w:ind w:firstLine="640" w:firstLineChars="200"/>
        <w:rPr>
          <w:rFonts w:hint="eastAsia" w:ascii="仿宋_GB2312" w:hAnsi="仿宋_GB2312" w:eastAsia="仿宋_GB2312" w:cs="仿宋_GB2312"/>
          <w:b/>
          <w:color w:val="auto"/>
          <w:sz w:val="32"/>
          <w:szCs w:val="32"/>
          <w:highlight w:val="yellow"/>
          <w:lang w:eastAsia="zh-CN"/>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社会保障和就业（类）行政事业单位养老支出（款）机关事业单位基本养老保险缴费支出（项）：反映机关事业单位实施养老保险制度由单位缴纳的基本养老保险费支出。社会保障和就业（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b/>
          <w:color w:val="auto"/>
          <w:sz w:val="32"/>
          <w:szCs w:val="32"/>
          <w:highlight w:val="yellow"/>
        </w:rPr>
        <w:t>社会保障和就业（类）行政事业单位养老支出（款）</w:t>
      </w:r>
      <w:r>
        <w:rPr>
          <w:rFonts w:hint="eastAsia" w:ascii="仿宋_GB2312" w:hAnsi="仿宋_GB2312" w:eastAsia="仿宋_GB2312" w:cs="仿宋_GB2312"/>
          <w:b/>
          <w:color w:val="auto"/>
          <w:sz w:val="32"/>
          <w:szCs w:val="32"/>
          <w:highlight w:val="yellow"/>
          <w:lang w:eastAsia="zh-CN"/>
        </w:rPr>
        <w:t>行政单位离退休</w:t>
      </w:r>
      <w:r>
        <w:rPr>
          <w:rFonts w:hint="eastAsia" w:ascii="仿宋_GB2312" w:hAnsi="仿宋_GB2312" w:eastAsia="仿宋_GB2312" w:cs="仿宋_GB2312"/>
          <w:b/>
          <w:color w:val="auto"/>
          <w:sz w:val="32"/>
          <w:szCs w:val="32"/>
          <w:highlight w:val="yellow"/>
        </w:rPr>
        <w:t>（项）</w:t>
      </w:r>
      <w:r>
        <w:rPr>
          <w:rFonts w:hint="eastAsia" w:ascii="仿宋_GB2312" w:hAnsi="仿宋_GB2312" w:eastAsia="仿宋_GB2312" w:cs="仿宋_GB2312"/>
          <w:b/>
          <w:color w:val="auto"/>
          <w:sz w:val="32"/>
          <w:szCs w:val="32"/>
          <w:highlight w:val="yellow"/>
          <w:lang w:eastAsia="zh-CN"/>
        </w:rPr>
        <w:t>反映行政单位（包括实行公务员管理的事业单位）开支的离退休经费。</w:t>
      </w:r>
      <w:r>
        <w:rPr>
          <w:rFonts w:hint="eastAsia" w:ascii="仿宋_GB2312" w:hAnsi="仿宋_GB2312" w:eastAsia="仿宋_GB2312" w:cs="仿宋_GB2312"/>
          <w:b/>
          <w:color w:val="auto"/>
          <w:sz w:val="32"/>
          <w:szCs w:val="32"/>
          <w:highlight w:val="yellow"/>
        </w:rPr>
        <w:t>社会保障和就业（类）</w:t>
      </w:r>
      <w:r>
        <w:rPr>
          <w:rFonts w:hint="eastAsia" w:ascii="仿宋_GB2312" w:hAnsi="仿宋_GB2312" w:eastAsia="仿宋_GB2312" w:cs="仿宋_GB2312"/>
          <w:b/>
          <w:color w:val="auto"/>
          <w:sz w:val="32"/>
          <w:szCs w:val="32"/>
          <w:highlight w:val="yellow"/>
          <w:lang w:eastAsia="zh-CN"/>
        </w:rPr>
        <w:t>其他社会保障和就业支出（款）其他社会保障和就业支出（项）反映除上述项目以外其他用于社会保障和就业方面的支出。</w:t>
      </w:r>
    </w:p>
    <w:p>
      <w:pPr>
        <w:adjustRightInd w:val="0"/>
        <w:snapToGrid w:val="0"/>
        <w:spacing w:line="55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10</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医疗卫生与计划生育（类）行政事业单位医疗（款）行政单位医疗（项）：反映行政单位（包括实行公务员管理的事业单位）的基本支出。</w:t>
      </w:r>
    </w:p>
    <w:p>
      <w:pPr>
        <w:adjustRightInd w:val="0"/>
        <w:snapToGrid w:val="0"/>
        <w:spacing w:line="550"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住房保障支出（类）住房改革支出（款）住房公积金（项）</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反映行政事业单位按人力资源和社会保障部、财政部规定的基本工资和津贴补贴以及规定比例为职工缴纳的住房公积金。</w:t>
      </w:r>
    </w:p>
    <w:p>
      <w:pPr>
        <w:adjustRightInd w:val="0"/>
        <w:snapToGrid w:val="0"/>
        <w:spacing w:line="550"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基本支出：指为保障机构正常运转、完成日常工作任务而发生的人员支出和公用支出。</w:t>
      </w:r>
    </w:p>
    <w:p>
      <w:pPr>
        <w:adjustRightInd w:val="0"/>
        <w:snapToGrid w:val="0"/>
        <w:spacing w:line="550" w:lineRule="exact"/>
        <w:ind w:firstLine="640" w:firstLineChars="200"/>
        <w:rPr>
          <w:b/>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项目支出：指在基本支出之外为完成特定行政任务和事业发展目标所发生的支出。</w:t>
      </w:r>
    </w:p>
    <w:p>
      <w:pPr>
        <w:adjustRightInd w:val="0"/>
        <w:snapToGrid w:val="0"/>
        <w:spacing w:line="550"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550" w:lineRule="exact"/>
        <w:ind w:firstLine="640" w:firstLineChars="200"/>
        <w:rPr>
          <w:rFonts w:ascii="黑体" w:hAnsi="黑体" w:eastAsia="黑体"/>
          <w:b/>
          <w:sz w:val="44"/>
          <w:szCs w:val="44"/>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5</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Start w:id="55" w:name="_Toc15396614"/>
      <w:bookmarkStart w:id="56" w:name="_Toc15377226"/>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center"/>
        <w:outlineLvl w:val="0"/>
        <w:rPr>
          <w:rFonts w:hint="eastAsia" w:ascii="黑体" w:hAnsi="黑体" w:eastAsia="黑体"/>
          <w:b/>
          <w:sz w:val="44"/>
          <w:szCs w:val="44"/>
        </w:rPr>
      </w:pPr>
    </w:p>
    <w:p>
      <w:pPr>
        <w:spacing w:line="576" w:lineRule="exact"/>
        <w:jc w:val="both"/>
        <w:outlineLvl w:val="0"/>
        <w:rPr>
          <w:rFonts w:hint="eastAsia" w:ascii="黑体" w:hAnsi="黑体" w:eastAsia="黑体"/>
          <w:b/>
          <w:sz w:val="44"/>
          <w:szCs w:val="44"/>
        </w:rPr>
      </w:pPr>
    </w:p>
    <w:p>
      <w:pPr>
        <w:spacing w:line="576" w:lineRule="exact"/>
        <w:jc w:val="center"/>
        <w:outlineLvl w:val="0"/>
        <w:rPr>
          <w:rStyle w:val="30"/>
          <w:rFonts w:ascii="黑体" w:hAnsi="黑体" w:eastAsia="黑体"/>
        </w:rPr>
      </w:pPr>
      <w:r>
        <w:rPr>
          <w:rFonts w:hint="eastAsia" w:ascii="黑体" w:hAnsi="黑体" w:eastAsia="黑体"/>
          <w:b/>
          <w:sz w:val="44"/>
          <w:szCs w:val="44"/>
        </w:rPr>
        <w:t>第</w:t>
      </w:r>
      <w:r>
        <w:rPr>
          <w:rStyle w:val="30"/>
          <w:rFonts w:hint="eastAsia" w:ascii="黑体" w:hAnsi="黑体" w:eastAsia="黑体"/>
        </w:rPr>
        <w:t>四部分 附件</w:t>
      </w:r>
      <w:bookmarkEnd w:id="55"/>
    </w:p>
    <w:p>
      <w:pPr>
        <w:overflowPunct w:val="0"/>
        <w:topLinePunct/>
        <w:spacing w:line="576" w:lineRule="exact"/>
        <w:rPr>
          <w:rFonts w:ascii="仿宋_GB2312" w:hAnsi="仿宋_GB2312" w:eastAsia="仿宋_GB2312" w:cs="仿宋_GB2312"/>
          <w:b/>
          <w:kern w:val="0"/>
          <w:sz w:val="32"/>
          <w:szCs w:val="32"/>
          <w:shd w:val="clear" w:color="auto" w:fill="FFFFFF"/>
          <w:lang w:val="zh-CN"/>
        </w:rPr>
      </w:pPr>
    </w:p>
    <w:p>
      <w:pPr>
        <w:overflowPunct w:val="0"/>
        <w:topLinePunct/>
        <w:spacing w:line="576" w:lineRule="exact"/>
        <w:rPr>
          <w:rFonts w:hint="eastAsia" w:ascii="黑体" w:hAnsi="黑体" w:eastAsia="黑体" w:cs="仿宋_GB2312"/>
          <w:b/>
          <w:kern w:val="0"/>
          <w:sz w:val="32"/>
          <w:szCs w:val="32"/>
          <w:shd w:val="clear" w:color="auto" w:fill="FFFFFF"/>
        </w:rPr>
      </w:pPr>
      <w:r>
        <w:rPr>
          <w:rFonts w:hint="eastAsia" w:ascii="黑体" w:hAnsi="黑体" w:eastAsia="黑体" w:cs="仿宋_GB2312"/>
          <w:b/>
          <w:kern w:val="0"/>
          <w:sz w:val="32"/>
          <w:szCs w:val="32"/>
          <w:shd w:val="clear" w:color="auto" w:fill="FFFFFF"/>
          <w:lang w:val="zh-CN"/>
        </w:rPr>
        <w:t>附件</w:t>
      </w:r>
      <w:r>
        <w:rPr>
          <w:rFonts w:hint="eastAsia" w:ascii="黑体" w:hAnsi="黑体" w:eastAsia="黑体" w:cs="仿宋_GB2312"/>
          <w:b/>
          <w:kern w:val="0"/>
          <w:sz w:val="32"/>
          <w:szCs w:val="32"/>
          <w:shd w:val="clear" w:color="auto" w:fill="FFFFFF"/>
        </w:rPr>
        <w:t>1：</w:t>
      </w:r>
    </w:p>
    <w:p>
      <w:pPr>
        <w:pStyle w:val="2"/>
        <w:spacing w:beforeLines="0" w:line="576" w:lineRule="exact"/>
        <w:rPr>
          <w:b/>
        </w:rPr>
      </w:pPr>
    </w:p>
    <w:p>
      <w:pPr>
        <w:overflowPunct w:val="0"/>
        <w:topLinePunct/>
        <w:spacing w:line="576" w:lineRule="exact"/>
        <w:contextualSpacing/>
        <w:jc w:val="center"/>
        <w:rPr>
          <w:rFonts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广元市科学技术协会</w:t>
      </w:r>
    </w:p>
    <w:p>
      <w:pPr>
        <w:overflowPunct w:val="0"/>
        <w:topLinePunct/>
        <w:spacing w:line="576" w:lineRule="exact"/>
        <w:contextualSpacing/>
        <w:jc w:val="center"/>
        <w:rPr>
          <w:rFonts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2023年部门整体支出绩效自评报告</w:t>
      </w:r>
    </w:p>
    <w:p>
      <w:pPr>
        <w:overflowPunct w:val="0"/>
        <w:topLinePunct/>
        <w:adjustRightInd w:val="0"/>
        <w:snapToGrid w:val="0"/>
        <w:spacing w:line="576" w:lineRule="exact"/>
        <w:contextualSpacing/>
        <w:jc w:val="left"/>
        <w:rPr>
          <w:rFonts w:ascii="黑体" w:hAnsi="宋体" w:eastAsia="黑体" w:cs="宋体"/>
          <w:b/>
          <w:kern w:val="0"/>
          <w:sz w:val="24"/>
          <w:szCs w:val="32"/>
          <w:shd w:val="clear" w:color="auto" w:fill="FFFFFF"/>
        </w:rPr>
      </w:pPr>
    </w:p>
    <w:p>
      <w:pPr>
        <w:overflowPunct w:val="0"/>
        <w:topLinePunct/>
        <w:adjustRightInd w:val="0"/>
        <w:snapToGrid w:val="0"/>
        <w:spacing w:line="576" w:lineRule="exact"/>
        <w:ind w:firstLine="640" w:firstLineChars="200"/>
        <w:contextualSpacing/>
        <w:jc w:val="left"/>
        <w:rPr>
          <w:rFonts w:ascii="黑体" w:hAnsi="黑体" w:eastAsia="黑体" w:cs="仿宋_GB2312"/>
          <w:b/>
          <w:kern w:val="0"/>
          <w:sz w:val="32"/>
          <w:szCs w:val="32"/>
          <w:shd w:val="clear" w:color="auto" w:fill="FFFFFF"/>
          <w:lang w:val="zh-CN"/>
        </w:rPr>
      </w:pPr>
      <w:r>
        <w:rPr>
          <w:rFonts w:hint="eastAsia" w:ascii="黑体" w:hAnsi="黑体" w:eastAsia="黑体" w:cs="仿宋_GB2312"/>
          <w:b/>
          <w:kern w:val="0"/>
          <w:sz w:val="32"/>
          <w:szCs w:val="32"/>
          <w:shd w:val="clear" w:color="auto" w:fill="FFFFFF"/>
          <w:lang w:val="zh-CN"/>
        </w:rPr>
        <w:t>一、部门（单位）基本情况</w:t>
      </w:r>
    </w:p>
    <w:p>
      <w:pPr>
        <w:overflowPunct w:val="0"/>
        <w:topLinePunct/>
        <w:adjustRightInd w:val="0"/>
        <w:snapToGrid w:val="0"/>
        <w:spacing w:line="576" w:lineRule="exact"/>
        <w:ind w:firstLine="640" w:firstLineChars="200"/>
        <w:contextualSpacing/>
        <w:jc w:val="left"/>
        <w:rPr>
          <w:rFonts w:ascii="仿宋_GB2312" w:hAnsi="仿宋_GB2312" w:eastAsia="仿宋_GB2312" w:cs="仿宋_GB2312"/>
          <w:b/>
          <w:kern w:val="0"/>
          <w:sz w:val="32"/>
          <w:szCs w:val="32"/>
          <w:shd w:val="clear" w:color="auto" w:fill="FFFFFF"/>
          <w:lang w:val="zh-CN"/>
        </w:rPr>
      </w:pPr>
      <w:r>
        <w:rPr>
          <w:rFonts w:hint="eastAsia" w:ascii="楷体_GB2312" w:hAnsi="仿宋_GB2312" w:eastAsia="楷体_GB2312" w:cs="仿宋_GB2312"/>
          <w:b/>
          <w:kern w:val="0"/>
          <w:sz w:val="32"/>
          <w:szCs w:val="32"/>
          <w:shd w:val="clear" w:color="auto" w:fill="FFFFFF"/>
          <w:lang w:val="zh-CN"/>
        </w:rPr>
        <w:t>（一）机构组成。</w:t>
      </w:r>
      <w:r>
        <w:rPr>
          <w:rFonts w:hint="eastAsia" w:ascii="仿宋_GB2312" w:hAnsi="仿宋_GB2312" w:eastAsia="仿宋_GB2312" w:cs="仿宋_GB2312"/>
          <w:b/>
          <w:sz w:val="32"/>
          <w:szCs w:val="32"/>
        </w:rPr>
        <w:t>广元市科学技术协会为市级直属单位，下属公益一类事业单位1个。</w:t>
      </w:r>
    </w:p>
    <w:p>
      <w:pPr>
        <w:overflowPunct w:val="0"/>
        <w:topLinePunct/>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kern w:val="0"/>
          <w:sz w:val="32"/>
          <w:szCs w:val="32"/>
          <w:shd w:val="clear" w:color="auto" w:fill="FFFFFF"/>
          <w:lang w:val="zh-CN"/>
        </w:rPr>
        <w:t>（二）机构职能和人员概况。</w:t>
      </w:r>
      <w:r>
        <w:rPr>
          <w:rFonts w:hint="eastAsia" w:ascii="仿宋_GB2312" w:hAnsi="仿宋_GB2312" w:eastAsia="仿宋_GB2312" w:cs="仿宋_GB2312"/>
          <w:b/>
          <w:sz w:val="32"/>
          <w:szCs w:val="32"/>
        </w:rPr>
        <w:t>广元市科学技术协会（简称广元市科协）是广元市科技工作者的群众组织，是中共广元市委领导下的人民团体，是市委、市政府联系科技工作者的桥梁和纽带，是推动我市科技事业发展的重要力量。</w:t>
      </w:r>
    </w:p>
    <w:p>
      <w:pPr>
        <w:overflowPunct w:val="0"/>
        <w:topLinePunct/>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主要任务：</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sz w:val="32"/>
          <w:szCs w:val="32"/>
        </w:rPr>
        <w:t>根据总体规划，制定科普计划，面向城市、农村、党员干部、群众、青少年普及科技知识，弘扬科学精神，传播科学思想，倡导科学方法，推广先进技术。开展科普场馆建设工作，夯实基层科普，服务社会大众。实施科普惠农兴村计划和社区科普益民计划，建立各级科普示范社区，开展崇尚科学反对邪教工作，提高公民科学素质。</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sz w:val="32"/>
          <w:szCs w:val="32"/>
        </w:rPr>
        <w:t>开展学术交流，活跃学术思想，推进学科发展，促进科技与经济紧密结合，加强国际、国内民间科技交流，推动决策的科学化和民主化。加强学会组织建设，提高学会能力。反映科技工作者的意见和要求，维护科技工作者的合法权益，为科技团体和科技工作者服务。推荐评选表扬优秀科技工作者。</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sz w:val="32"/>
          <w:szCs w:val="32"/>
        </w:rPr>
        <w:t>开展院士（专家）工作站建设工作，柔性引进院士（专家）高端智力人才，搭建科技服务平台，服务创新驱动发展。</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sz w:val="32"/>
          <w:szCs w:val="32"/>
        </w:rPr>
        <w:t>开展海智基地建设工作，积极引进海外智力人才，服务“一带一路”</w:t>
      </w:r>
      <w:r>
        <w:rPr>
          <w:rFonts w:hint="eastAsia" w:ascii="仿宋_GB2312" w:hAnsi="仿宋_GB2312" w:eastAsia="仿宋_GB2312" w:cs="仿宋_GB2312"/>
          <w:b/>
          <w:sz w:val="32"/>
          <w:szCs w:val="32"/>
          <w:lang w:eastAsia="zh-CN"/>
        </w:rPr>
        <w:t>倡议</w:t>
      </w:r>
      <w:r>
        <w:rPr>
          <w:rFonts w:hint="eastAsia" w:ascii="仿宋_GB2312" w:hAnsi="仿宋_GB2312" w:eastAsia="仿宋_GB2312" w:cs="仿宋_GB2312"/>
          <w:b/>
          <w:sz w:val="32"/>
          <w:szCs w:val="32"/>
        </w:rPr>
        <w:t>，促进特色优势产业发展，为推动科技成果转化和科技进步作出积极贡献。</w:t>
      </w:r>
      <w:r>
        <w:rPr>
          <w:rFonts w:hint="eastAsia" w:ascii="仿宋_GB2312" w:hAnsi="仿宋_GB2312" w:eastAsia="仿宋_GB2312" w:cs="仿宋_GB2312"/>
          <w:b/>
          <w:bCs/>
          <w:sz w:val="32"/>
          <w:szCs w:val="32"/>
        </w:rPr>
        <w:t>五是</w:t>
      </w:r>
      <w:r>
        <w:rPr>
          <w:rFonts w:hint="eastAsia" w:ascii="仿宋_GB2312" w:hAnsi="仿宋_GB2312" w:eastAsia="仿宋_GB2312" w:cs="仿宋_GB2312"/>
          <w:b/>
          <w:sz w:val="32"/>
          <w:szCs w:val="32"/>
        </w:rPr>
        <w:t>对直属市级学会、协会、研究会、企业科协进行管理，对县区科协、基层科协组织进行业务指导。</w:t>
      </w:r>
      <w:r>
        <w:rPr>
          <w:rFonts w:hint="eastAsia" w:ascii="仿宋_GB2312" w:hAnsi="仿宋_GB2312" w:eastAsia="仿宋_GB2312" w:cs="仿宋_GB2312"/>
          <w:b/>
          <w:bCs/>
          <w:sz w:val="32"/>
          <w:szCs w:val="32"/>
        </w:rPr>
        <w:t>六是</w:t>
      </w:r>
      <w:r>
        <w:rPr>
          <w:rFonts w:hint="eastAsia" w:ascii="仿宋_GB2312" w:hAnsi="仿宋_GB2312" w:eastAsia="仿宋_GB2312" w:cs="仿宋_GB2312"/>
          <w:b/>
          <w:sz w:val="32"/>
          <w:szCs w:val="32"/>
        </w:rPr>
        <w:t>承担市委、市政府和上级科协交办的其他工作。</w:t>
      </w:r>
    </w:p>
    <w:p>
      <w:pPr>
        <w:overflowPunct w:val="0"/>
        <w:topLinePunct/>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人员概况。市科协总编制21名，其中行政编制12名，其他事业编制8名，工勤编制1名。在职人员总数20人，其中行政</w:t>
      </w:r>
      <w:r>
        <w:rPr>
          <w:rFonts w:hint="eastAsia" w:ascii="仿宋_GB2312" w:hAnsi="仿宋_GB2312" w:eastAsia="仿宋_GB2312" w:cs="仿宋_GB2312"/>
          <w:b/>
          <w:spacing w:val="-6"/>
          <w:sz w:val="32"/>
          <w:szCs w:val="32"/>
        </w:rPr>
        <w:t>人员12人，其他事业人员7人，工勤人员1人；退休人员16人。</w:t>
      </w:r>
    </w:p>
    <w:p>
      <w:pPr>
        <w:overflowPunct w:val="0"/>
        <w:topLinePunct/>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kern w:val="0"/>
          <w:sz w:val="32"/>
          <w:szCs w:val="32"/>
          <w:shd w:val="clear" w:color="auto" w:fill="FFFFFF"/>
          <w:lang w:val="zh-CN"/>
        </w:rPr>
        <w:t>（三）年度主要工作任务。</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sz w:val="32"/>
          <w:szCs w:val="32"/>
        </w:rPr>
        <w:t>以落实《全民科学素质行动计划纲要（2021—2035）》为抓手，组织开展内容丰富、各具特色的主题科普和群众性科普活动，提高市民科学素质。</w:t>
      </w:r>
      <w:r>
        <w:rPr>
          <w:rFonts w:hint="eastAsia" w:ascii="仿宋_GB2312" w:hAnsi="仿宋_GB2312" w:eastAsia="仿宋_GB2312" w:cs="仿宋_GB2312"/>
          <w:b/>
          <w:kern w:val="0"/>
          <w:sz w:val="32"/>
          <w:szCs w:val="32"/>
        </w:rPr>
        <w:t>组织开展反邪防邪宣传教育活动，</w:t>
      </w:r>
      <w:r>
        <w:rPr>
          <w:rFonts w:hint="eastAsia" w:ascii="仿宋_GB2312" w:hAnsi="仿宋_GB2312" w:eastAsia="仿宋_GB2312" w:cs="仿宋_GB2312"/>
          <w:b/>
          <w:kern w:val="0"/>
          <w:sz w:val="32"/>
          <w:szCs w:val="32"/>
          <w:shd w:val="clear" w:color="auto" w:fill="FFFFFF"/>
        </w:rPr>
        <w:t>提升群众识邪、辩邪、防邪、拒邪的能力。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sz w:val="32"/>
          <w:szCs w:val="32"/>
        </w:rPr>
        <w:t>组织开展好广元市“全国科技工作者日”座谈会、“双创”学术沙龙、优秀科技论文评选等活动，提升创新服务能力，促进科技与经济的紧密结合。</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sz w:val="32"/>
          <w:szCs w:val="32"/>
        </w:rPr>
        <w:t>加强对已建院士（专家）工作站单位的日常管理和绩效考评，探索建立产业链示范院士（专家）工作站，提升企业自主研发能力，促进科技成果转化，推动企业转型发展。</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sz w:val="32"/>
          <w:szCs w:val="32"/>
        </w:rPr>
        <w:t>并指导全市“天府科技云”服务深入开展，激发全社会参与开展“天府科技云”服务的活力。</w:t>
      </w:r>
      <w:r>
        <w:rPr>
          <w:rFonts w:hint="eastAsia" w:ascii="仿宋_GB2312" w:hAnsi="仿宋_GB2312" w:eastAsia="仿宋_GB2312" w:cs="仿宋_GB2312"/>
          <w:b/>
          <w:bCs/>
          <w:sz w:val="32"/>
          <w:szCs w:val="32"/>
        </w:rPr>
        <w:t>五是</w:t>
      </w:r>
      <w:r>
        <w:rPr>
          <w:rFonts w:hint="eastAsia" w:ascii="仿宋_GB2312" w:hAnsi="仿宋_GB2312" w:eastAsia="仿宋_GB2312" w:cs="仿宋_GB2312"/>
          <w:b/>
          <w:sz w:val="32"/>
          <w:szCs w:val="32"/>
        </w:rPr>
        <w:t>完成省委下达市委的有关部门任务，市委安排的向上争取资金和引进项目等目标任务，服务全市经济社会高质量发展。</w:t>
      </w:r>
      <w:r>
        <w:rPr>
          <w:rFonts w:hint="eastAsia" w:ascii="仿宋_GB2312" w:hAnsi="仿宋_GB2312" w:eastAsia="仿宋_GB2312" w:cs="仿宋_GB2312"/>
          <w:b/>
          <w:bCs/>
          <w:sz w:val="32"/>
          <w:szCs w:val="32"/>
        </w:rPr>
        <w:t>六是</w:t>
      </w:r>
      <w:r>
        <w:rPr>
          <w:rFonts w:hint="eastAsia" w:ascii="仿宋_GB2312" w:hAnsi="仿宋_GB2312" w:eastAsia="仿宋_GB2312" w:cs="仿宋_GB2312"/>
          <w:b/>
          <w:sz w:val="32"/>
          <w:szCs w:val="32"/>
        </w:rPr>
        <w:t>筹备召开科协第五次代表大会。</w:t>
      </w:r>
    </w:p>
    <w:p>
      <w:pPr>
        <w:overflowPunct w:val="0"/>
        <w:topLinePunct/>
        <w:spacing w:line="576" w:lineRule="exact"/>
        <w:ind w:firstLine="640" w:firstLineChars="200"/>
        <w:rPr>
          <w:rFonts w:ascii="仿宋_GB2312" w:hAnsi="仿宋_GB2312" w:eastAsia="仿宋_GB2312" w:cs="仿宋_GB2312"/>
          <w:b/>
          <w:sz w:val="32"/>
          <w:szCs w:val="32"/>
          <w:shd w:val="clear" w:color="auto" w:fill="FFFFFF"/>
        </w:rPr>
      </w:pPr>
      <w:r>
        <w:rPr>
          <w:rFonts w:hint="eastAsia" w:ascii="楷体_GB2312" w:hAnsi="仿宋_GB2312" w:eastAsia="楷体_GB2312" w:cs="仿宋_GB2312"/>
          <w:b/>
          <w:kern w:val="0"/>
          <w:sz w:val="32"/>
          <w:szCs w:val="32"/>
          <w:shd w:val="clear" w:color="auto" w:fill="FFFFFF"/>
          <w:lang w:val="zh-CN"/>
        </w:rPr>
        <w:t>（四）部</w:t>
      </w:r>
      <w:r>
        <w:rPr>
          <w:rFonts w:hint="eastAsia" w:ascii="楷体_GB2312" w:hAnsi="仿宋_GB2312" w:eastAsia="楷体_GB2312" w:cs="仿宋_GB2312"/>
          <w:b/>
          <w:spacing w:val="2"/>
          <w:kern w:val="0"/>
          <w:sz w:val="32"/>
          <w:szCs w:val="32"/>
          <w:shd w:val="clear" w:color="auto" w:fill="FFFFFF"/>
          <w:lang w:val="zh-CN"/>
        </w:rPr>
        <w:t>门整体支出绩效目标。</w:t>
      </w:r>
      <w:r>
        <w:rPr>
          <w:rFonts w:hint="eastAsia" w:ascii="仿宋_GB2312" w:hAnsi="仿宋_GB2312" w:eastAsia="仿宋_GB2312" w:cs="仿宋_GB2312"/>
          <w:b/>
          <w:bCs/>
          <w:spacing w:val="2"/>
          <w:sz w:val="32"/>
          <w:szCs w:val="32"/>
        </w:rPr>
        <w:t>一是</w:t>
      </w:r>
      <w:r>
        <w:rPr>
          <w:rFonts w:hint="eastAsia" w:ascii="仿宋_GB2312" w:hAnsi="仿宋_GB2312" w:eastAsia="仿宋_GB2312" w:cs="仿宋_GB2312"/>
          <w:b/>
          <w:spacing w:val="2"/>
          <w:sz w:val="32"/>
          <w:szCs w:val="32"/>
          <w:shd w:val="clear" w:color="auto" w:fill="FFFFFF"/>
        </w:rPr>
        <w:t>保障工资及时足额发放，</w:t>
      </w:r>
      <w:r>
        <w:rPr>
          <w:rFonts w:hint="eastAsia" w:ascii="仿宋_GB2312" w:hAnsi="仿宋_GB2312" w:eastAsia="仿宋_GB2312" w:cs="仿宋_GB2312"/>
          <w:b/>
          <w:sz w:val="32"/>
          <w:szCs w:val="32"/>
          <w:shd w:val="clear" w:color="auto" w:fill="FFFFFF"/>
        </w:rPr>
        <w:t>减少结余资金。</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sz w:val="32"/>
          <w:szCs w:val="32"/>
          <w:shd w:val="clear" w:color="auto" w:fill="FFFFFF"/>
        </w:rPr>
        <w:t>保障日常工作运转，减少结余资金。</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sz w:val="32"/>
          <w:szCs w:val="32"/>
          <w:shd w:val="clear" w:color="auto" w:fill="FFFFFF"/>
        </w:rPr>
        <w:t>组织开展科普宣传与交流10次以上，防邪反邪宣传教育活动5次以上，开展青少年科技教育、高校科学营活动1次；通过加强科普宣传交流、反邪防邪宣传教育、青少年科技教育实践、科普信息化、科普阵地建设等工作，推动全民科学素质提高，公众反邪防邪意识和能力增强，基层科普治理能力提升。</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sz w:val="32"/>
          <w:szCs w:val="32"/>
          <w:shd w:val="clear" w:color="auto" w:fill="FFFFFF"/>
        </w:rPr>
        <w:t>召开科技工作者座谈会1次，举办双创学术沙龙1次,开展优秀学术论文评选1次，评选10家优秀学会组织，资金奖补1万元/家。通过开展学术交流、学会能力提升建设，提升学术交流水平，凝聚科技工作者力量，促进科技与经济发展。</w:t>
      </w:r>
      <w:r>
        <w:rPr>
          <w:rFonts w:hint="eastAsia" w:ascii="仿宋_GB2312" w:hAnsi="仿宋_GB2312" w:eastAsia="仿宋_GB2312" w:cs="仿宋_GB2312"/>
          <w:b/>
          <w:bCs/>
          <w:sz w:val="32"/>
          <w:szCs w:val="32"/>
        </w:rPr>
        <w:t>五是</w:t>
      </w:r>
      <w:r>
        <w:rPr>
          <w:rFonts w:hint="eastAsia" w:ascii="仿宋_GB2312" w:hAnsi="仿宋_GB2312" w:eastAsia="仿宋_GB2312" w:cs="仿宋_GB2312"/>
          <w:b/>
          <w:sz w:val="32"/>
          <w:szCs w:val="32"/>
          <w:shd w:val="clear" w:color="auto" w:fill="FFFFFF"/>
        </w:rPr>
        <w:t>新建市级院士（专家）工作站3家、海智工作站1家，院士（专家）广元行活动1次，院士（专家）工作站成果展示推广活动1次，开展工作站运行绩效考评1次，奖励优秀工作站5家。通过柔性引进高层次人才及海外人才，提升我市企事业单位科技创新能力。</w:t>
      </w:r>
      <w:r>
        <w:rPr>
          <w:rFonts w:hint="eastAsia" w:ascii="仿宋_GB2312" w:hAnsi="仿宋_GB2312" w:eastAsia="仿宋_GB2312" w:cs="仿宋_GB2312"/>
          <w:b/>
          <w:bCs/>
          <w:sz w:val="32"/>
          <w:szCs w:val="32"/>
        </w:rPr>
        <w:t>六是</w:t>
      </w:r>
      <w:r>
        <w:rPr>
          <w:rFonts w:hint="eastAsia" w:ascii="仿宋_GB2312" w:hAnsi="仿宋_GB2312" w:eastAsia="仿宋_GB2312" w:cs="仿宋_GB2312"/>
          <w:b/>
          <w:sz w:val="32"/>
          <w:szCs w:val="32"/>
          <w:shd w:val="clear" w:color="auto" w:fill="FFFFFF"/>
        </w:rPr>
        <w:t>保障天府科技云服务运维，提高天府科技云注册推广使用率。</w:t>
      </w:r>
      <w:r>
        <w:rPr>
          <w:rFonts w:hint="eastAsia" w:ascii="仿宋_GB2312" w:hAnsi="仿宋_GB2312" w:eastAsia="仿宋_GB2312" w:cs="仿宋_GB2312"/>
          <w:b/>
          <w:bCs/>
          <w:sz w:val="32"/>
          <w:szCs w:val="32"/>
          <w:shd w:val="clear" w:color="auto" w:fill="FFFFFF"/>
        </w:rPr>
        <w:t>七是</w:t>
      </w:r>
      <w:r>
        <w:rPr>
          <w:rFonts w:hint="eastAsia" w:ascii="仿宋_GB2312" w:hAnsi="仿宋_GB2312" w:eastAsia="仿宋_GB2312" w:cs="仿宋_GB2312"/>
          <w:b/>
          <w:sz w:val="32"/>
          <w:szCs w:val="32"/>
          <w:shd w:val="clear" w:color="auto" w:fill="FFFFFF"/>
        </w:rPr>
        <w:t>足额保障驻村队员驻村工作经费 。</w:t>
      </w:r>
      <w:r>
        <w:rPr>
          <w:rFonts w:hint="eastAsia" w:ascii="仿宋_GB2312" w:hAnsi="仿宋_GB2312" w:eastAsia="仿宋_GB2312" w:cs="仿宋_GB2312"/>
          <w:b/>
          <w:bCs/>
          <w:sz w:val="32"/>
          <w:szCs w:val="32"/>
          <w:shd w:val="clear" w:color="auto" w:fill="FFFFFF"/>
        </w:rPr>
        <w:t>八是</w:t>
      </w:r>
      <w:r>
        <w:rPr>
          <w:rFonts w:hint="eastAsia" w:ascii="仿宋_GB2312" w:hAnsi="仿宋_GB2312" w:eastAsia="仿宋_GB2312" w:cs="仿宋_GB2312"/>
          <w:b/>
          <w:sz w:val="32"/>
          <w:szCs w:val="32"/>
          <w:shd w:val="clear" w:color="auto" w:fill="FFFFFF"/>
        </w:rPr>
        <w:t>保障老科技工作者开展农村科普和实用技术培训、举办乡村振兴论坛等日常工作经费。</w:t>
      </w:r>
      <w:r>
        <w:rPr>
          <w:rFonts w:hint="eastAsia" w:ascii="仿宋_GB2312" w:hAnsi="仿宋_GB2312" w:eastAsia="仿宋_GB2312" w:cs="仿宋_GB2312"/>
          <w:b/>
          <w:bCs/>
          <w:sz w:val="32"/>
          <w:szCs w:val="32"/>
          <w:shd w:val="clear" w:color="auto" w:fill="FFFFFF"/>
        </w:rPr>
        <w:t>九是</w:t>
      </w:r>
      <w:r>
        <w:rPr>
          <w:rFonts w:hint="eastAsia" w:ascii="仿宋_GB2312" w:hAnsi="仿宋_GB2312" w:eastAsia="仿宋_GB2312" w:cs="仿宋_GB2312"/>
          <w:b/>
          <w:sz w:val="32"/>
          <w:szCs w:val="32"/>
        </w:rPr>
        <w:t>圆满完成换届选举工作任务</w:t>
      </w:r>
      <w:r>
        <w:rPr>
          <w:rFonts w:hint="eastAsia" w:ascii="仿宋_GB2312" w:hAnsi="仿宋_GB2312" w:eastAsia="仿宋_GB2312" w:cs="仿宋_GB2312"/>
          <w:b/>
          <w:sz w:val="32"/>
          <w:szCs w:val="32"/>
          <w:shd w:val="clear" w:color="auto" w:fill="FFFFFF"/>
        </w:rPr>
        <w:t xml:space="preserve">。       </w:t>
      </w:r>
    </w:p>
    <w:p>
      <w:pPr>
        <w:overflowPunct w:val="0"/>
        <w:topLinePunct/>
        <w:adjustRightInd w:val="0"/>
        <w:snapToGrid w:val="0"/>
        <w:spacing w:line="576" w:lineRule="exact"/>
        <w:ind w:firstLine="640" w:firstLineChars="200"/>
        <w:contextualSpacing/>
        <w:rPr>
          <w:rFonts w:ascii="黑体" w:hAnsi="黑体" w:eastAsia="黑体" w:cs="仿宋_GB2312"/>
          <w:b/>
          <w:kern w:val="0"/>
          <w:sz w:val="32"/>
          <w:szCs w:val="32"/>
          <w:shd w:val="clear" w:color="auto" w:fill="FFFFFF"/>
        </w:rPr>
      </w:pPr>
      <w:r>
        <w:rPr>
          <w:rFonts w:hint="eastAsia" w:ascii="黑体" w:hAnsi="黑体" w:eastAsia="黑体" w:cs="仿宋_GB2312"/>
          <w:b/>
          <w:kern w:val="0"/>
          <w:sz w:val="32"/>
          <w:szCs w:val="32"/>
          <w:shd w:val="clear" w:color="auto" w:fill="FFFFFF"/>
        </w:rPr>
        <w:t>二、部门资金收支情况</w:t>
      </w:r>
    </w:p>
    <w:p>
      <w:pPr>
        <w:overflowPunct w:val="0"/>
        <w:topLinePunct/>
        <w:adjustRightInd w:val="0"/>
        <w:snapToGrid w:val="0"/>
        <w:spacing w:line="576" w:lineRule="exact"/>
        <w:ind w:firstLine="640" w:firstLineChars="200"/>
        <w:contextualSpacing/>
        <w:rPr>
          <w:rFonts w:hint="eastAsia" w:ascii="楷体_GB2312" w:hAnsi="仿宋_GB2312" w:eastAsia="楷体_GB2312" w:cs="仿宋_GB2312"/>
          <w:b/>
          <w:kern w:val="0"/>
          <w:sz w:val="32"/>
          <w:szCs w:val="32"/>
          <w:shd w:val="clear" w:color="auto" w:fill="FFFFFF"/>
          <w:lang w:val="zh-CN"/>
        </w:rPr>
      </w:pPr>
      <w:r>
        <w:rPr>
          <w:rFonts w:hint="eastAsia" w:ascii="楷体_GB2312" w:hAnsi="仿宋_GB2312" w:eastAsia="楷体_GB2312" w:cs="仿宋_GB2312"/>
          <w:b/>
          <w:kern w:val="0"/>
          <w:sz w:val="32"/>
          <w:szCs w:val="32"/>
          <w:shd w:val="clear" w:color="auto" w:fill="FFFFFF"/>
          <w:lang w:val="zh-CN"/>
        </w:rPr>
        <w:t>（一）部门总体收支情况。</w:t>
      </w:r>
    </w:p>
    <w:p>
      <w:pPr>
        <w:overflowPunct w:val="0"/>
        <w:topLinePunct/>
        <w:snapToGri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1.部门总体收入情况。</w:t>
      </w:r>
      <w:r>
        <w:rPr>
          <w:rFonts w:hint="eastAsia" w:ascii="仿宋_GB2312" w:hAnsi="仿宋_GB2312" w:eastAsia="仿宋_GB2312" w:cs="仿宋_GB2312"/>
          <w:b/>
          <w:kern w:val="0"/>
          <w:sz w:val="32"/>
          <w:szCs w:val="32"/>
        </w:rPr>
        <w:t>2022年本部门本年收入合计593.05万元，年初结转结余52.25万元，总计645.30万元。</w:t>
      </w:r>
    </w:p>
    <w:p>
      <w:pPr>
        <w:overflowPunct w:val="0"/>
        <w:topLinePunct/>
        <w:snapToGri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shd w:val="clear" w:color="auto" w:fill="FFFFFF"/>
        </w:rPr>
        <w:t>2.部门总体支出情况。</w:t>
      </w:r>
      <w:r>
        <w:rPr>
          <w:rFonts w:hint="eastAsia" w:ascii="仿宋_GB2312" w:hAnsi="仿宋_GB2312" w:eastAsia="仿宋_GB2312" w:cs="仿宋_GB2312"/>
          <w:b/>
          <w:kern w:val="0"/>
          <w:sz w:val="32"/>
          <w:szCs w:val="32"/>
        </w:rPr>
        <w:t>2022年本部门支出合计645.30万元，</w:t>
      </w:r>
      <w:r>
        <w:rPr>
          <w:rFonts w:hint="eastAsia" w:ascii="仿宋_GB2312" w:hAnsi="仿宋_GB2312" w:eastAsia="仿宋_GB2312" w:cs="仿宋_GB2312"/>
          <w:b/>
          <w:kern w:val="0"/>
          <w:sz w:val="32"/>
          <w:szCs w:val="32"/>
          <w:shd w:val="clear" w:color="auto" w:fill="FFFFFF"/>
        </w:rPr>
        <w:t>无结转结余。</w:t>
      </w:r>
    </w:p>
    <w:p>
      <w:pPr>
        <w:overflowPunct w:val="0"/>
        <w:topLinePunct/>
        <w:adjustRightInd w:val="0"/>
        <w:snapToGrid w:val="0"/>
        <w:spacing w:line="576" w:lineRule="exact"/>
        <w:ind w:firstLine="640" w:firstLineChars="200"/>
        <w:contextualSpacing/>
        <w:rPr>
          <w:rFonts w:hint="eastAsia" w:ascii="楷体_GB2312" w:hAnsi="仿宋_GB2312" w:eastAsia="楷体_GB2312" w:cs="仿宋_GB2312"/>
          <w:b/>
          <w:kern w:val="0"/>
          <w:sz w:val="32"/>
          <w:szCs w:val="32"/>
          <w:shd w:val="clear" w:color="auto" w:fill="FFFFFF"/>
          <w:lang w:val="zh-CN"/>
        </w:rPr>
      </w:pPr>
      <w:r>
        <w:rPr>
          <w:rFonts w:hint="eastAsia" w:ascii="楷体_GB2312" w:hAnsi="仿宋_GB2312" w:eastAsia="楷体_GB2312" w:cs="仿宋_GB2312"/>
          <w:b/>
          <w:kern w:val="0"/>
          <w:sz w:val="32"/>
          <w:szCs w:val="32"/>
          <w:shd w:val="clear" w:color="auto" w:fill="FFFFFF"/>
          <w:lang w:val="zh-CN"/>
        </w:rPr>
        <w:t>（二）部门财政拨款收支情况。</w:t>
      </w:r>
    </w:p>
    <w:p>
      <w:pPr>
        <w:overflowPunct w:val="0"/>
        <w:topLinePunct/>
        <w:snapToGri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1.部门财政拨款收入情况。</w:t>
      </w:r>
      <w:r>
        <w:rPr>
          <w:rFonts w:hint="eastAsia" w:ascii="仿宋_GB2312" w:hAnsi="仿宋_GB2312" w:eastAsia="仿宋_GB2312" w:cs="仿宋_GB2312"/>
          <w:b/>
          <w:kern w:val="0"/>
          <w:sz w:val="32"/>
          <w:szCs w:val="32"/>
        </w:rPr>
        <w:t>2022年本部门本年财政拨款收</w:t>
      </w:r>
      <w:r>
        <w:rPr>
          <w:rFonts w:hint="eastAsia" w:ascii="仿宋_GB2312" w:hAnsi="仿宋_GB2312" w:eastAsia="仿宋_GB2312" w:cs="仿宋_GB2312"/>
          <w:b/>
          <w:spacing w:val="-10"/>
          <w:kern w:val="0"/>
          <w:sz w:val="32"/>
          <w:szCs w:val="32"/>
        </w:rPr>
        <w:t>入合计593.05万元，年初结转结余52.25万元，总计645.30万元。</w:t>
      </w:r>
    </w:p>
    <w:p>
      <w:pPr>
        <w:overflowPunct w:val="0"/>
        <w:topLinePunct/>
        <w:snapToGri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shd w:val="clear" w:color="auto" w:fill="FFFFFF"/>
        </w:rPr>
        <w:t>2.部门财政拨款支出情况。</w:t>
      </w:r>
      <w:r>
        <w:rPr>
          <w:rFonts w:hint="eastAsia" w:ascii="仿宋_GB2312" w:hAnsi="仿宋_GB2312" w:eastAsia="仿宋_GB2312" w:cs="仿宋_GB2312"/>
          <w:b/>
          <w:kern w:val="0"/>
          <w:sz w:val="32"/>
          <w:szCs w:val="32"/>
        </w:rPr>
        <w:t>2022年本部门财政拨款支出合计645.30万元，</w:t>
      </w:r>
      <w:r>
        <w:rPr>
          <w:rFonts w:hint="eastAsia" w:ascii="仿宋_GB2312" w:hAnsi="仿宋_GB2312" w:eastAsia="仿宋_GB2312" w:cs="仿宋_GB2312"/>
          <w:b/>
          <w:kern w:val="0"/>
          <w:sz w:val="32"/>
          <w:szCs w:val="32"/>
          <w:shd w:val="clear" w:color="auto" w:fill="FFFFFF"/>
        </w:rPr>
        <w:t>无结转结余。</w:t>
      </w:r>
    </w:p>
    <w:p>
      <w:pPr>
        <w:overflowPunct w:val="0"/>
        <w:topLinePunct/>
        <w:adjustRightInd w:val="0"/>
        <w:snapToGrid w:val="0"/>
        <w:spacing w:line="576" w:lineRule="exact"/>
        <w:ind w:firstLine="640" w:firstLineChars="200"/>
        <w:contextualSpacing/>
        <w:rPr>
          <w:rFonts w:ascii="黑体" w:hAnsi="黑体" w:eastAsia="黑体" w:cs="仿宋_GB2312"/>
          <w:b/>
          <w:kern w:val="0"/>
          <w:sz w:val="32"/>
          <w:szCs w:val="32"/>
          <w:shd w:val="clear" w:color="auto" w:fill="FFFFFF"/>
        </w:rPr>
      </w:pPr>
      <w:r>
        <w:rPr>
          <w:rFonts w:hint="eastAsia" w:ascii="黑体" w:hAnsi="黑体" w:eastAsia="黑体" w:cs="仿宋_GB2312"/>
          <w:b/>
          <w:kern w:val="0"/>
          <w:sz w:val="32"/>
          <w:szCs w:val="32"/>
          <w:shd w:val="clear" w:color="auto" w:fill="FFFFFF"/>
        </w:rPr>
        <w:t>三、部门整体绩效分析</w:t>
      </w:r>
    </w:p>
    <w:p>
      <w:pPr>
        <w:overflowPunct w:val="0"/>
        <w:topLinePunct/>
        <w:adjustRightInd w:val="0"/>
        <w:snapToGrid w:val="0"/>
        <w:spacing w:line="576" w:lineRule="exact"/>
        <w:ind w:firstLine="640" w:firstLineChars="200"/>
        <w:contextualSpacing/>
        <w:rPr>
          <w:rFonts w:hint="eastAsia" w:ascii="楷体_GB2312" w:hAnsi="仿宋_GB2312" w:eastAsia="楷体_GB2312" w:cs="仿宋_GB2312"/>
          <w:b/>
          <w:kern w:val="0"/>
          <w:sz w:val="32"/>
          <w:szCs w:val="32"/>
          <w:shd w:val="clear" w:color="auto" w:fill="FFFFFF"/>
          <w:lang w:val="zh-CN"/>
        </w:rPr>
      </w:pPr>
      <w:r>
        <w:rPr>
          <w:rFonts w:hint="eastAsia" w:ascii="楷体_GB2312" w:hAnsi="仿宋_GB2312" w:eastAsia="楷体_GB2312" w:cs="仿宋_GB2312"/>
          <w:b/>
          <w:kern w:val="0"/>
          <w:sz w:val="32"/>
          <w:szCs w:val="32"/>
          <w:shd w:val="clear" w:color="auto" w:fill="FFFFFF"/>
          <w:lang w:val="zh-CN"/>
        </w:rPr>
        <w:t>（一）部门预算项目绩效分析</w:t>
      </w:r>
    </w:p>
    <w:p>
      <w:pPr>
        <w:overflowPunct w:val="0"/>
        <w:topLinePunct/>
        <w:adjustRightInd w:val="0"/>
        <w:snapToGrid w:val="0"/>
        <w:spacing w:line="576" w:lineRule="exact"/>
        <w:ind w:firstLine="640" w:firstLineChars="200"/>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1.人员类项目绩效分析。</w:t>
      </w:r>
      <w:r>
        <w:rPr>
          <w:rFonts w:hint="eastAsia" w:ascii="仿宋_GB2312" w:hAnsi="仿宋_GB2312" w:eastAsia="仿宋_GB2312" w:cs="仿宋_GB2312"/>
          <w:b/>
          <w:sz w:val="32"/>
          <w:szCs w:val="32"/>
          <w:shd w:val="clear" w:color="auto" w:fill="FFFFFF"/>
        </w:rPr>
        <w:t>严格执行财经纪律，及时、足额保障人员工资、保险的发放（缴纳），发放（缴纳）覆盖率100%、保障率100%，年末无资金结转结余、违规记录</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napToGrid w:val="0"/>
        <w:spacing w:line="576" w:lineRule="exact"/>
        <w:ind w:firstLine="640" w:firstLineChars="200"/>
        <w:contextualSpacing/>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2.运转类项目绩效分析。预算编制精准度提高，年内未出现科目调整情况；</w:t>
      </w:r>
      <w:r>
        <w:rPr>
          <w:rFonts w:hint="eastAsia" w:ascii="仿宋_GB2312" w:hAnsi="仿宋_GB2312" w:eastAsia="仿宋_GB2312" w:cs="仿宋_GB2312"/>
          <w:b/>
          <w:sz w:val="32"/>
          <w:szCs w:val="32"/>
          <w:shd w:val="clear" w:color="auto" w:fill="FFFFFF"/>
        </w:rPr>
        <w:t>全面保障了单位日常运转，运转保障率100%；严格落实市委“过紧日子13条”措施，对“三公”经费和一般性支出进行压减，无资金结转结余、违规记录</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napToGrid w:val="0"/>
        <w:spacing w:line="576" w:lineRule="exact"/>
        <w:ind w:firstLine="640" w:firstLineChars="200"/>
        <w:contextualSpacing/>
        <w:rPr>
          <w:rFonts w:ascii="仿宋_GB2312" w:hAnsi="仿宋_GB2312" w:eastAsia="仿宋_GB2312" w:cs="仿宋_GB2312"/>
          <w:b/>
          <w:sz w:val="32"/>
          <w:szCs w:val="32"/>
          <w:shd w:val="clear" w:color="auto" w:fill="FFFFFF"/>
          <w:lang w:val="zh-CN"/>
        </w:rPr>
      </w:pPr>
      <w:r>
        <w:rPr>
          <w:rFonts w:hint="eastAsia" w:ascii="仿宋_GB2312" w:hAnsi="仿宋_GB2312" w:eastAsia="仿宋_GB2312" w:cs="仿宋_GB2312"/>
          <w:b/>
          <w:sz w:val="32"/>
          <w:szCs w:val="32"/>
          <w:shd w:val="clear" w:color="auto" w:fill="FFFFFF"/>
        </w:rPr>
        <w:t>3.特定目标类项目绩效分析。一是结合部门职能职责，科学合理申报</w:t>
      </w:r>
      <w:r>
        <w:rPr>
          <w:rFonts w:hint="eastAsia" w:ascii="仿宋_GB2312" w:hAnsi="仿宋_GB2312" w:eastAsia="仿宋_GB2312" w:cs="仿宋_GB2312"/>
          <w:b/>
          <w:sz w:val="32"/>
          <w:szCs w:val="32"/>
          <w:shd w:val="clear" w:color="auto" w:fill="FFFFFF"/>
          <w:lang w:val="zh-CN"/>
        </w:rPr>
        <w:t>特定目标类项目</w:t>
      </w:r>
      <w:r>
        <w:rPr>
          <w:rFonts w:hint="eastAsia" w:ascii="仿宋_GB2312" w:hAnsi="仿宋_GB2312" w:eastAsia="仿宋_GB2312" w:cs="仿宋_GB2312"/>
          <w:b/>
          <w:sz w:val="32"/>
          <w:szCs w:val="32"/>
          <w:shd w:val="clear" w:color="auto" w:fill="FFFFFF"/>
        </w:rPr>
        <w:t>6个（分别是：天府科技云服务中心运维、科学普及（含反邪教协会工作）、学术交流、院士专家海智工作站建设、乡村振兴、老科协工作），并</w:t>
      </w:r>
      <w:r>
        <w:rPr>
          <w:rFonts w:hint="eastAsia" w:ascii="仿宋_GB2312" w:hAnsi="仿宋_GB2312" w:eastAsia="仿宋_GB2312" w:cs="仿宋_GB2312"/>
          <w:b/>
          <w:sz w:val="32"/>
          <w:szCs w:val="32"/>
          <w:shd w:val="clear" w:color="auto" w:fill="FFFFFF"/>
          <w:lang w:val="zh-CN"/>
        </w:rPr>
        <w:t>从数量、质量、时效、成本、效益</w:t>
      </w:r>
      <w:r>
        <w:rPr>
          <w:rFonts w:hint="eastAsia" w:ascii="仿宋_GB2312" w:hAnsi="仿宋_GB2312" w:eastAsia="仿宋_GB2312" w:cs="仿宋_GB2312"/>
          <w:b/>
          <w:sz w:val="32"/>
          <w:szCs w:val="32"/>
          <w:shd w:val="clear" w:color="auto" w:fill="FFFFFF"/>
        </w:rPr>
        <w:t>5个方面编制了项目</w:t>
      </w:r>
      <w:r>
        <w:rPr>
          <w:rFonts w:hint="eastAsia" w:ascii="仿宋_GB2312" w:hAnsi="仿宋_GB2312" w:eastAsia="仿宋_GB2312" w:cs="仿宋_GB2312"/>
          <w:b/>
          <w:sz w:val="32"/>
          <w:szCs w:val="32"/>
          <w:shd w:val="clear" w:color="auto" w:fill="FFFFFF"/>
          <w:lang w:val="zh-CN"/>
        </w:rPr>
        <w:t>绩效目标</w:t>
      </w:r>
      <w:r>
        <w:rPr>
          <w:rFonts w:hint="eastAsia" w:ascii="仿宋_GB2312" w:hAnsi="仿宋_GB2312" w:eastAsia="仿宋_GB2312" w:cs="仿宋_GB2312"/>
          <w:b/>
          <w:sz w:val="32"/>
          <w:szCs w:val="32"/>
          <w:shd w:val="clear" w:color="auto" w:fill="FFFFFF"/>
        </w:rPr>
        <w:t>。二是</w:t>
      </w:r>
      <w:r>
        <w:rPr>
          <w:rFonts w:hint="eastAsia" w:ascii="仿宋_GB2312" w:hAnsi="仿宋_GB2312" w:eastAsia="仿宋_GB2312" w:cs="仿宋_GB2312"/>
          <w:b/>
          <w:sz w:val="32"/>
          <w:szCs w:val="32"/>
          <w:shd w:val="clear" w:color="auto" w:fill="FFFFFF"/>
          <w:lang w:val="zh-CN"/>
        </w:rPr>
        <w:t>较好的完成了项目预期目标，</w:t>
      </w:r>
      <w:r>
        <w:rPr>
          <w:rFonts w:hint="eastAsia" w:ascii="仿宋_GB2312" w:hAnsi="仿宋_GB2312" w:eastAsia="仿宋_GB2312" w:cs="仿宋_GB2312"/>
          <w:b/>
          <w:sz w:val="32"/>
          <w:szCs w:val="32"/>
          <w:shd w:val="clear" w:color="auto" w:fill="FFFFFF"/>
        </w:rPr>
        <w:t>无资金结转结余、违规记录等，但因项目资金</w:t>
      </w:r>
      <w:r>
        <w:rPr>
          <w:rFonts w:hint="eastAsia" w:ascii="仿宋_GB2312" w:hAnsi="仿宋_GB2312" w:eastAsia="仿宋_GB2312" w:cs="仿宋_GB2312"/>
          <w:b/>
          <w:sz w:val="32"/>
          <w:szCs w:val="32"/>
          <w:shd w:val="clear" w:color="auto" w:fill="FFFFFF"/>
          <w:lang w:val="zh-CN"/>
        </w:rPr>
        <w:t>大部分都集中在下半年结算，导致资金执行的序时进度缓慢。</w:t>
      </w:r>
    </w:p>
    <w:p>
      <w:pPr>
        <w:pStyle w:val="14"/>
        <w:shd w:val="clear" w:color="auto" w:fill="FFFFFF"/>
        <w:overflowPunct w:val="0"/>
        <w:topLinePunct/>
        <w:spacing w:beforeAutospacing="0" w:afterAutospacing="0" w:line="576" w:lineRule="exact"/>
        <w:ind w:firstLine="640"/>
        <w:jc w:val="both"/>
        <w:rPr>
          <w:rFonts w:ascii="仿宋_GB2312" w:hAnsi="仿宋_GB2312" w:eastAsia="仿宋_GB2312" w:cs="仿宋_GB2312"/>
          <w:b/>
          <w:sz w:val="32"/>
          <w:szCs w:val="32"/>
        </w:rPr>
      </w:pPr>
      <w:r>
        <w:rPr>
          <w:rFonts w:hint="eastAsia" w:ascii="楷体_GB2312" w:hAnsi="仿宋_GB2312" w:eastAsia="楷体_GB2312" w:cs="仿宋_GB2312"/>
          <w:b/>
          <w:sz w:val="32"/>
          <w:szCs w:val="32"/>
          <w:shd w:val="clear" w:color="auto" w:fill="FFFFFF"/>
          <w:lang w:val="zh-CN"/>
        </w:rPr>
        <w:t>（二）部门整体履职绩效分析。</w:t>
      </w:r>
      <w:r>
        <w:rPr>
          <w:rFonts w:hint="eastAsia" w:ascii="仿宋_GB2312" w:hAnsi="仿宋_GB2312" w:eastAsia="仿宋_GB2312" w:cs="仿宋_GB2312"/>
          <w:b/>
          <w:sz w:val="32"/>
          <w:szCs w:val="32"/>
          <w:shd w:val="clear" w:color="auto" w:fill="FFFFFF"/>
          <w:lang w:val="zh-CN"/>
        </w:rPr>
        <w:t>一是</w:t>
      </w:r>
      <w:r>
        <w:rPr>
          <w:rFonts w:hint="eastAsia" w:ascii="仿宋_GB2312" w:hAnsi="仿宋_GB2312" w:eastAsia="仿宋_GB2312" w:cs="仿宋_GB2312"/>
          <w:b/>
          <w:sz w:val="32"/>
          <w:szCs w:val="32"/>
        </w:rPr>
        <w:t>建立完善了单位内控制度（含绩效管理制度）</w:t>
      </w:r>
      <w:r>
        <w:rPr>
          <w:rFonts w:hint="eastAsia" w:ascii="仿宋_GB2312" w:hAnsi="仿宋_GB2312" w:eastAsia="仿宋_GB2312" w:cs="仿宋_GB2312"/>
          <w:b/>
          <w:kern w:val="2"/>
          <w:sz w:val="32"/>
          <w:szCs w:val="32"/>
          <w:shd w:val="clear" w:color="auto" w:fill="FFFFFF"/>
          <w:lang w:val="zh-CN"/>
        </w:rPr>
        <w:t>。</w:t>
      </w:r>
      <w:r>
        <w:rPr>
          <w:rFonts w:hint="eastAsia" w:ascii="仿宋_GB2312" w:hAnsi="仿宋_GB2312" w:eastAsia="仿宋_GB2312" w:cs="仿宋_GB2312"/>
          <w:b/>
          <w:sz w:val="32"/>
          <w:szCs w:val="32"/>
        </w:rPr>
        <w:t>于2019年6月印发了《广元市科协机关管理制度》（广科协党组〔2019〕11号），并自印发之日起执行。二是</w:t>
      </w:r>
      <w:r>
        <w:rPr>
          <w:rFonts w:hint="eastAsia" w:ascii="仿宋_GB2312" w:hAnsi="仿宋_GB2312" w:eastAsia="仿宋_GB2312" w:cs="仿宋_GB2312"/>
          <w:b/>
          <w:sz w:val="32"/>
          <w:szCs w:val="32"/>
          <w:lang w:val="zh-CN"/>
        </w:rPr>
        <w:t>理顺了绩效管理工作机制。明确了牵头领导、责任部室，</w:t>
      </w:r>
      <w:r>
        <w:rPr>
          <w:rFonts w:hint="eastAsia" w:ascii="仿宋_GB2312" w:hAnsi="仿宋_GB2312" w:eastAsia="仿宋_GB2312" w:cs="仿宋_GB2312"/>
          <w:b/>
          <w:sz w:val="32"/>
          <w:szCs w:val="32"/>
          <w:shd w:val="clear" w:color="auto" w:fill="FFFFFF"/>
        </w:rPr>
        <w:t>落实了专人对绩效项目进行跟踪监督，动态了解和掌握资金的使用情况、项目实施情况。三是认真组织实施绩效自评</w:t>
      </w:r>
      <w:r>
        <w:rPr>
          <w:rFonts w:hint="eastAsia" w:ascii="仿宋_GB2312" w:hAnsi="仿宋_GB2312" w:eastAsia="仿宋_GB2312" w:cs="仿宋_GB2312"/>
          <w:b/>
          <w:sz w:val="32"/>
          <w:szCs w:val="32"/>
        </w:rPr>
        <w:t>。由办公室（财务）牵头，组织有关业务部室、中心研究制定了符合本部门实际的评价指标体系，各部室、中心对照体系展开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napToGrid w:val="0"/>
        <w:spacing w:line="576" w:lineRule="exact"/>
        <w:ind w:firstLine="640" w:firstLineChars="200"/>
        <w:contextualSpacing/>
        <w:rPr>
          <w:rFonts w:ascii="仿宋_GB2312" w:hAnsi="仿宋_GB2312" w:eastAsia="仿宋_GB2312" w:cs="仿宋_GB2312"/>
          <w:b/>
          <w:kern w:val="0"/>
          <w:sz w:val="32"/>
          <w:szCs w:val="32"/>
          <w:shd w:val="clear" w:color="auto" w:fill="FFFFFF"/>
          <w:lang w:val="zh-CN"/>
        </w:rPr>
      </w:pPr>
      <w:r>
        <w:rPr>
          <w:rFonts w:hint="eastAsia" w:ascii="楷体_GB2312" w:hAnsi="仿宋_GB2312" w:eastAsia="楷体_GB2312" w:cs="仿宋_GB2312"/>
          <w:b/>
          <w:kern w:val="0"/>
          <w:sz w:val="32"/>
          <w:szCs w:val="32"/>
          <w:shd w:val="clear" w:color="auto" w:fill="FFFFFF"/>
          <w:lang w:val="zh-CN"/>
        </w:rPr>
        <w:t>（三）结果应用情况。</w:t>
      </w:r>
      <w:r>
        <w:rPr>
          <w:rFonts w:hint="eastAsia" w:ascii="仿宋_GB2312" w:hAnsi="仿宋_GB2312" w:eastAsia="仿宋_GB2312" w:cs="仿宋_GB2312"/>
          <w:b/>
          <w:kern w:val="0"/>
          <w:sz w:val="32"/>
          <w:szCs w:val="32"/>
          <w:shd w:val="clear" w:color="auto" w:fill="FFFFFF"/>
          <w:lang w:val="zh-CN"/>
        </w:rPr>
        <w:t>办公室（财务）定期向党组汇报预算资金执行情况，为党组决策提供参考，将绩效评价结果作为安排以后年度预算的重要依据。</w:t>
      </w:r>
    </w:p>
    <w:p>
      <w:pPr>
        <w:overflowPunct w:val="0"/>
        <w:topLinePunct/>
        <w:adjustRightInd w:val="0"/>
        <w:snapToGrid w:val="0"/>
        <w:spacing w:line="576" w:lineRule="exact"/>
        <w:ind w:firstLine="640" w:firstLineChars="200"/>
        <w:contextualSpacing/>
        <w:rPr>
          <w:rFonts w:ascii="仿宋_GB2312" w:hAnsi="仿宋_GB2312" w:eastAsia="仿宋_GB2312" w:cs="仿宋_GB2312"/>
          <w:b/>
          <w:sz w:val="32"/>
          <w:szCs w:val="32"/>
        </w:rPr>
      </w:pPr>
      <w:r>
        <w:rPr>
          <w:rFonts w:hint="eastAsia" w:ascii="楷体_GB2312" w:hAnsi="仿宋_GB2312" w:eastAsia="楷体_GB2312" w:cs="仿宋_GB2312"/>
          <w:b/>
          <w:kern w:val="0"/>
          <w:sz w:val="32"/>
          <w:szCs w:val="32"/>
          <w:shd w:val="clear" w:color="auto" w:fill="FFFFFF"/>
          <w:lang w:val="zh-CN"/>
        </w:rPr>
        <w:t>（四）自评质量。</w:t>
      </w:r>
      <w:r>
        <w:rPr>
          <w:rFonts w:hint="eastAsia" w:ascii="仿宋_GB2312" w:hAnsi="仿宋_GB2312" w:eastAsia="仿宋_GB2312" w:cs="仿宋_GB2312"/>
          <w:b/>
          <w:kern w:val="0"/>
          <w:sz w:val="32"/>
          <w:szCs w:val="32"/>
          <w:shd w:val="clear" w:color="auto" w:fill="FFFFFF"/>
        </w:rPr>
        <w:t>部门整体支出自评严格按照整体支出绩效评价指标体系进行，特性指标及个性指标结合部门职能职责进行了修改完善，修改后的指标体系体现了本部门特性，更具可行性。由办公室（财务）牵头，具体负责部门预算整体支出绩效自评，项目各实施部室、中心对照指标体系完成了项目支出自评。</w:t>
      </w:r>
    </w:p>
    <w:p>
      <w:pPr>
        <w:overflowPunct w:val="0"/>
        <w:topLinePunct/>
        <w:adjustRightInd w:val="0"/>
        <w:snapToGrid w:val="0"/>
        <w:spacing w:line="576" w:lineRule="exact"/>
        <w:ind w:firstLine="640" w:firstLineChars="200"/>
        <w:contextualSpacing/>
        <w:rPr>
          <w:rFonts w:ascii="黑体" w:hAnsi="黑体" w:eastAsia="黑体" w:cs="仿宋_GB2312"/>
          <w:b/>
          <w:kern w:val="0"/>
          <w:sz w:val="32"/>
          <w:szCs w:val="32"/>
          <w:shd w:val="clear" w:color="auto" w:fill="FFFFFF"/>
        </w:rPr>
      </w:pPr>
      <w:r>
        <w:rPr>
          <w:rFonts w:hint="eastAsia" w:ascii="黑体" w:hAnsi="黑体" w:eastAsia="黑体" w:cs="仿宋_GB2312"/>
          <w:b/>
          <w:kern w:val="0"/>
          <w:sz w:val="32"/>
          <w:szCs w:val="32"/>
          <w:shd w:val="clear" w:color="auto" w:fill="FFFFFF"/>
        </w:rPr>
        <w:t>四、评价结论及建议</w:t>
      </w:r>
    </w:p>
    <w:p>
      <w:pPr>
        <w:pStyle w:val="14"/>
        <w:shd w:val="clear" w:color="auto" w:fill="FFFFFF"/>
        <w:overflowPunct w:val="0"/>
        <w:topLinePunct/>
        <w:spacing w:beforeAutospacing="0" w:afterAutospacing="0" w:line="576" w:lineRule="exact"/>
        <w:ind w:firstLine="640"/>
        <w:jc w:val="both"/>
        <w:rPr>
          <w:rFonts w:ascii="仿宋_GB2312" w:hAnsi="仿宋_GB2312" w:eastAsia="仿宋_GB2312" w:cs="仿宋_GB2312"/>
          <w:b/>
          <w:sz w:val="32"/>
          <w:szCs w:val="32"/>
          <w:shd w:val="clear" w:color="auto" w:fill="FFFFFF"/>
        </w:rPr>
      </w:pPr>
      <w:r>
        <w:rPr>
          <w:rFonts w:hint="eastAsia" w:ascii="楷体_GB2312" w:hAnsi="黑体" w:eastAsia="楷体_GB2312" w:cs="仿宋_GB2312"/>
          <w:b/>
          <w:sz w:val="32"/>
          <w:szCs w:val="32"/>
          <w:shd w:val="clear" w:color="auto" w:fill="FFFFFF"/>
          <w:lang w:val="zh-CN"/>
        </w:rPr>
        <w:t>（一）评价结论（</w:t>
      </w:r>
      <w:r>
        <w:rPr>
          <w:rFonts w:hint="eastAsia" w:ascii="楷体_GB2312" w:hAnsi="黑体" w:eastAsia="楷体_GB2312" w:cs="仿宋_GB2312"/>
          <w:b/>
          <w:sz w:val="32"/>
          <w:szCs w:val="32"/>
          <w:shd w:val="clear" w:color="auto" w:fill="FFFFFF"/>
        </w:rPr>
        <w:t>96.8分</w:t>
      </w:r>
      <w:r>
        <w:rPr>
          <w:rFonts w:hint="eastAsia" w:ascii="楷体_GB2312" w:hAnsi="黑体" w:eastAsia="楷体_GB2312" w:cs="仿宋_GB2312"/>
          <w:b/>
          <w:sz w:val="32"/>
          <w:szCs w:val="32"/>
          <w:shd w:val="clear" w:color="auto" w:fill="FFFFFF"/>
          <w:lang w:val="zh-CN"/>
        </w:rPr>
        <w:t>）。</w:t>
      </w:r>
      <w:r>
        <w:rPr>
          <w:rFonts w:hint="eastAsia" w:ascii="仿宋_GB2312" w:hAnsi="仿宋_GB2312" w:eastAsia="仿宋_GB2312" w:cs="仿宋_GB2312"/>
          <w:b/>
          <w:sz w:val="32"/>
          <w:szCs w:val="32"/>
          <w:shd w:val="clear" w:color="auto" w:fill="FFFFFF"/>
        </w:rPr>
        <w:t>根据对2022年度部门整体支出状况分析。在预算控制方面。财政供养人员控制在预算编制以内，足额保障编制内人员及公用经费，控制率100%</w:t>
      </w:r>
      <w:r>
        <w:rPr>
          <w:rFonts w:hint="eastAsia" w:ascii="仿宋_GB2312" w:hAnsi="仿宋_GB2312" w:eastAsia="仿宋_GB2312" w:cs="仿宋_GB2312"/>
          <w:b/>
          <w:sz w:val="32"/>
          <w:szCs w:val="32"/>
          <w:shd w:val="clear" w:color="auto" w:fill="FFFFFF"/>
          <w:lang w:val="zh-CN"/>
        </w:rPr>
        <w:t>。在预算执行方面。</w:t>
      </w:r>
      <w:r>
        <w:rPr>
          <w:rFonts w:hint="eastAsia" w:ascii="仿宋_GB2312" w:hAnsi="仿宋_GB2312" w:eastAsia="仿宋_GB2312" w:cs="仿宋_GB2312"/>
          <w:b/>
          <w:sz w:val="32"/>
          <w:szCs w:val="32"/>
          <w:shd w:val="clear" w:color="auto" w:fill="FFFFFF"/>
        </w:rPr>
        <w:t>支出总额控制在预算总额以内，除政策性工资绩效预算的追加外，本年部门预算未进行预算相关事项的调整；“三公”经费未超年初预算，总体支出程逐年下降趋势。</w:t>
      </w:r>
    </w:p>
    <w:p>
      <w:pPr>
        <w:pStyle w:val="14"/>
        <w:shd w:val="clear" w:color="auto" w:fill="FFFFFF"/>
        <w:overflowPunct w:val="0"/>
        <w:topLinePunct/>
        <w:spacing w:beforeAutospacing="0" w:afterAutospacing="0" w:line="576" w:lineRule="exact"/>
        <w:ind w:firstLine="640"/>
        <w:jc w:val="both"/>
        <w:rPr>
          <w:rFonts w:ascii="仿宋_GB2312" w:hAnsi="仿宋_GB2312" w:eastAsia="仿宋_GB2312" w:cs="仿宋_GB2312"/>
          <w:b/>
          <w:sz w:val="32"/>
          <w:szCs w:val="32"/>
          <w:shd w:val="clear" w:color="auto" w:fill="FFFFFF"/>
          <w:lang w:val="zh-CN"/>
        </w:rPr>
      </w:pPr>
      <w:r>
        <w:rPr>
          <w:rFonts w:hint="eastAsia" w:ascii="楷体_GB2312" w:hAnsi="黑体" w:eastAsia="楷体_GB2312" w:cs="仿宋_GB2312"/>
          <w:b/>
          <w:sz w:val="32"/>
          <w:szCs w:val="32"/>
          <w:shd w:val="clear" w:color="auto" w:fill="FFFFFF"/>
          <w:lang w:val="zh-CN"/>
        </w:rPr>
        <w:t>（二）存在问题。</w:t>
      </w:r>
      <w:r>
        <w:rPr>
          <w:rFonts w:hint="eastAsia" w:ascii="仿宋_GB2312" w:hAnsi="仿宋_GB2312" w:eastAsia="仿宋_GB2312" w:cs="仿宋_GB2312"/>
          <w:b/>
          <w:sz w:val="32"/>
          <w:szCs w:val="32"/>
          <w:shd w:val="clear" w:color="auto" w:fill="FFFFFF"/>
          <w:lang w:val="zh-CN"/>
        </w:rPr>
        <w:t>通过实施预算执行情况监控，发现在项目经费列支中，存在项目资金使用进度偏低情况，大部分都集中在下半年结算，在盘活存量资金、发挥资金使用效率上与财政要求有差距。</w:t>
      </w:r>
    </w:p>
    <w:p>
      <w:pPr>
        <w:pStyle w:val="14"/>
        <w:shd w:val="clear" w:color="auto" w:fill="FFFFFF"/>
        <w:overflowPunct w:val="0"/>
        <w:topLinePunct/>
        <w:spacing w:beforeAutospacing="0" w:afterAutospacing="0" w:line="576" w:lineRule="exact"/>
        <w:ind w:firstLine="640"/>
        <w:jc w:val="both"/>
        <w:rPr>
          <w:b/>
        </w:rPr>
      </w:pPr>
      <w:r>
        <w:rPr>
          <w:rFonts w:hint="eastAsia" w:ascii="楷体_GB2312" w:hAnsi="黑体" w:eastAsia="楷体_GB2312" w:cs="仿宋_GB2312"/>
          <w:b/>
          <w:sz w:val="32"/>
          <w:szCs w:val="32"/>
          <w:shd w:val="clear" w:color="auto" w:fill="FFFFFF"/>
        </w:rPr>
        <w:t>（三）</w:t>
      </w:r>
      <w:r>
        <w:rPr>
          <w:rFonts w:hint="eastAsia" w:ascii="楷体_GB2312" w:hAnsi="黑体" w:eastAsia="楷体_GB2312" w:cs="仿宋_GB2312"/>
          <w:b/>
          <w:sz w:val="32"/>
          <w:szCs w:val="32"/>
          <w:shd w:val="clear" w:color="auto" w:fill="FFFFFF"/>
          <w:lang w:val="zh-CN"/>
        </w:rPr>
        <w:t>改进建议。</w:t>
      </w:r>
      <w:r>
        <w:rPr>
          <w:rFonts w:hint="eastAsia" w:ascii="仿宋_GB2312" w:hAnsi="仿宋_GB2312" w:eastAsia="仿宋_GB2312" w:cs="仿宋_GB2312"/>
          <w:b/>
          <w:sz w:val="32"/>
          <w:szCs w:val="32"/>
          <w:shd w:val="clear" w:color="auto" w:fill="FFFFFF"/>
          <w:lang w:val="zh-CN"/>
        </w:rPr>
        <w:t>进一步强</w:t>
      </w:r>
      <w:r>
        <w:rPr>
          <w:rFonts w:hint="eastAsia" w:ascii="仿宋_GB2312" w:hAnsi="仿宋_GB2312" w:eastAsia="仿宋_GB2312" w:cs="仿宋_GB2312"/>
          <w:b/>
          <w:sz w:val="32"/>
          <w:szCs w:val="32"/>
          <w:shd w:val="clear" w:color="auto" w:fill="FFFFFF"/>
        </w:rPr>
        <w:t>化预算执行全过程监管，建立完善绩效监控结果反馈和应用机制，将绩效监控结果及时反馈给预算执行相关业务部室、中心，要求其根据绩效监控结果，适时掌握预算执行情况，做到心中有数，尽可能避免年末集中支付情况，提高预算执行的可控性。</w:t>
      </w:r>
    </w:p>
    <w:p>
      <w:pPr>
        <w:pStyle w:val="36"/>
        <w:overflowPunct w:val="0"/>
        <w:topLinePunct/>
        <w:adjustRightInd w:val="0"/>
        <w:spacing w:line="576" w:lineRule="exact"/>
        <w:rPr>
          <w:rFonts w:hint="eastAsia" w:ascii="黑体" w:hAnsi="黑体" w:eastAsia="黑体" w:cs="仿宋_GB2312"/>
          <w:b/>
          <w:color w:val="auto"/>
          <w:kern w:val="2"/>
          <w:sz w:val="32"/>
          <w:szCs w:val="32"/>
          <w:lang w:val="en-US"/>
        </w:rPr>
      </w:pPr>
      <w:r>
        <w:rPr>
          <w:rFonts w:hint="eastAsia" w:ascii="黑体" w:hAnsi="黑体" w:eastAsia="黑体" w:cs="仿宋_GB2312"/>
          <w:b/>
          <w:color w:val="auto"/>
          <w:kern w:val="2"/>
          <w:sz w:val="32"/>
          <w:szCs w:val="32"/>
          <w:lang w:val="en-US"/>
        </w:rPr>
        <w:t>附件2</w:t>
      </w:r>
    </w:p>
    <w:p>
      <w:pPr>
        <w:pStyle w:val="36"/>
        <w:overflowPunct w:val="0"/>
        <w:topLinePunct/>
        <w:adjustRightInd w:val="0"/>
        <w:spacing w:line="576" w:lineRule="exact"/>
        <w:rPr>
          <w:rFonts w:ascii="仿宋_GB2312" w:hAnsi="仿宋_GB2312" w:eastAsia="仿宋_GB2312" w:cs="仿宋_GB2312"/>
          <w:b/>
          <w:color w:val="auto"/>
          <w:kern w:val="2"/>
          <w:sz w:val="32"/>
          <w:szCs w:val="32"/>
          <w:lang w:val="en-US"/>
        </w:rPr>
      </w:pPr>
    </w:p>
    <w:p>
      <w:pPr>
        <w:pStyle w:val="36"/>
        <w:overflowPunct w:val="0"/>
        <w:topLinePunct/>
        <w:adjustRightInd w:val="0"/>
        <w:spacing w:line="576" w:lineRule="exact"/>
        <w:jc w:val="center"/>
        <w:rPr>
          <w:rFonts w:hint="eastAsia"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（天府科技云服务中心运维）</w:t>
      </w:r>
    </w:p>
    <w:p>
      <w:pPr>
        <w:pStyle w:val="36"/>
        <w:overflowPunct w:val="0"/>
        <w:topLinePunct/>
        <w:adjustRightInd w:val="0"/>
        <w:spacing w:line="576" w:lineRule="exact"/>
        <w:ind w:firstLine="640" w:firstLineChars="200"/>
        <w:rPr>
          <w:rFonts w:ascii="宋体" w:hAnsi="宋体"/>
          <w:b/>
          <w:color w:val="auto"/>
          <w:kern w:val="2"/>
          <w:sz w:val="32"/>
          <w:szCs w:val="32"/>
        </w:rPr>
      </w:pP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w:t>
      </w:r>
      <w:r>
        <w:rPr>
          <w:rFonts w:hint="eastAsia" w:ascii="仿宋_GB2312" w:hAnsi="仿宋_GB2312" w:eastAsia="仿宋_GB2312" w:cs="仿宋_GB2312"/>
          <w:b/>
          <w:sz w:val="32"/>
          <w:szCs w:val="32"/>
          <w:shd w:val="clear" w:color="auto" w:fill="FFFFFF"/>
          <w:lang w:val="zh-CN"/>
        </w:rPr>
        <w:t>项目实施部室为市科技服务中心，具体负责</w:t>
      </w:r>
      <w:r>
        <w:rPr>
          <w:rFonts w:hint="eastAsia" w:ascii="仿宋_GB2312" w:hAnsi="仿宋_GB2312" w:eastAsia="仿宋_GB2312" w:cs="仿宋_GB2312"/>
          <w:b/>
          <w:sz w:val="32"/>
          <w:szCs w:val="32"/>
          <w:shd w:val="clear" w:color="auto" w:fill="FFFFFF"/>
        </w:rPr>
        <w:t>实施项目、开展和项目相关的业务工作。</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项目立项、资金申报的依据</w:t>
      </w:r>
      <w:r>
        <w:rPr>
          <w:rFonts w:hint="eastAsia" w:ascii="仿宋_GB2312" w:hAnsi="仿宋_GB2312" w:eastAsia="仿宋_GB2312" w:cs="仿宋_GB2312"/>
          <w:b/>
          <w:kern w:val="0"/>
          <w:sz w:val="32"/>
          <w:szCs w:val="32"/>
          <w:shd w:val="clear" w:color="auto" w:fill="FFFFFF"/>
        </w:rPr>
        <w:t>。根据</w:t>
      </w:r>
      <w:r>
        <w:rPr>
          <w:rFonts w:hint="eastAsia" w:ascii="仿宋_GB2312" w:hAnsi="仿宋_GB2312" w:eastAsia="仿宋_GB2312" w:cs="仿宋_GB2312"/>
          <w:b/>
          <w:color w:val="000000"/>
          <w:kern w:val="0"/>
          <w:sz w:val="32"/>
          <w:szCs w:val="32"/>
          <w:lang w:val="zh-CN"/>
        </w:rPr>
        <w:t>四川省科协等</w:t>
      </w:r>
      <w:r>
        <w:rPr>
          <w:rFonts w:hint="eastAsia" w:ascii="仿宋_GB2312" w:hAnsi="仿宋_GB2312" w:eastAsia="仿宋_GB2312" w:cs="仿宋_GB2312"/>
          <w:b/>
          <w:color w:val="000000"/>
          <w:kern w:val="0"/>
          <w:sz w:val="32"/>
          <w:szCs w:val="32"/>
        </w:rPr>
        <w:t>39家部门印发《关于协同推动“天府科技云服务”的意见》的通知（川科协发〔2020〕17号）要求，</w:t>
      </w:r>
      <w:r>
        <w:rPr>
          <w:rFonts w:hint="eastAsia" w:ascii="仿宋_GB2312" w:hAnsi="仿宋_GB2312" w:eastAsia="仿宋_GB2312" w:cs="仿宋_GB2312"/>
          <w:b/>
          <w:kern w:val="0"/>
          <w:sz w:val="32"/>
          <w:szCs w:val="32"/>
          <w:shd w:val="clear" w:color="auto" w:fill="FFFFFF"/>
          <w:lang w:val="zh-CN"/>
        </w:rPr>
        <w:t>市科技服务中心根据年度重点工作安排申报项目资金，经党组会议集体研究决定该项目立项并安排实施</w:t>
      </w:r>
      <w:r>
        <w:rPr>
          <w:rFonts w:hint="eastAsia" w:ascii="仿宋_GB2312" w:hAnsi="仿宋_GB2312" w:eastAsia="仿宋_GB2312" w:cs="仿宋_GB2312"/>
          <w:b/>
          <w:color w:val="666666"/>
          <w:kern w:val="0"/>
          <w:sz w:val="32"/>
          <w:szCs w:val="32"/>
          <w:shd w:val="clear" w:color="auto" w:fill="FFFFFF"/>
        </w:rPr>
        <w:t>。</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3.资金</w:t>
      </w:r>
      <w:r>
        <w:rPr>
          <w:rFonts w:hint="eastAsia" w:ascii="仿宋_GB2312" w:hAnsi="仿宋_GB2312" w:eastAsia="仿宋_GB2312" w:cs="仿宋_GB2312"/>
          <w:b/>
          <w:sz w:val="32"/>
          <w:szCs w:val="32"/>
          <w:shd w:val="clear" w:color="auto" w:fill="FFFFFF"/>
        </w:rPr>
        <w:t>或项目</w:t>
      </w:r>
      <w:r>
        <w:rPr>
          <w:rFonts w:hint="eastAsia" w:ascii="仿宋_GB2312" w:hAnsi="仿宋_GB2312" w:eastAsia="仿宋_GB2312" w:cs="仿宋_GB2312"/>
          <w:b/>
          <w:sz w:val="32"/>
          <w:szCs w:val="32"/>
          <w:shd w:val="clear" w:color="auto" w:fill="FFFFFF"/>
          <w:lang w:val="zh-CN"/>
        </w:rPr>
        <w:t>管理办法制定情况</w:t>
      </w:r>
      <w:r>
        <w:rPr>
          <w:rFonts w:hint="eastAsia" w:ascii="仿宋_GB2312" w:hAnsi="仿宋_GB2312" w:eastAsia="仿宋_GB2312" w:cs="仿宋_GB2312"/>
          <w:b/>
          <w:sz w:val="32"/>
          <w:szCs w:val="32"/>
          <w:shd w:val="clear" w:color="auto" w:fill="FFFFFF"/>
        </w:rPr>
        <w:t>。出台了市科协《专项资金管理使用制度》。</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4.资金分配的原则及考虑因素资金分配主要参考往年预算安排，结合年度重点工作确定。</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（二）项目绩效目标。</w:t>
      </w:r>
    </w:p>
    <w:p>
      <w:pPr>
        <w:overflowPunct w:val="0"/>
        <w:topLinePunct/>
        <w:adjustRightInd w:val="0"/>
        <w:spacing w:line="576" w:lineRule="exact"/>
        <w:ind w:firstLine="640" w:firstLineChars="200"/>
        <w:rPr>
          <w:rFonts w:ascii="仿宋_GB2312" w:hAnsi="仿宋_GB2312" w:eastAsia="仿宋_GB2312" w:cs="仿宋_GB2312"/>
          <w:b/>
          <w:sz w:val="32"/>
          <w:szCs w:val="32"/>
        </w:rPr>
        <w:sectPr>
          <w:footerReference r:id="rId6" w:type="default"/>
          <w:pgSz w:w="11906" w:h="16838"/>
          <w:pgMar w:top="2098" w:right="1474" w:bottom="1985" w:left="1588" w:header="851" w:footer="1531" w:gutter="0"/>
          <w:pgNumType w:start="1"/>
          <w:cols w:space="425" w:num="1"/>
          <w:docGrid w:type="linesAndChars" w:linePitch="312" w:charSpace="0"/>
        </w:sectPr>
      </w:pPr>
      <w:r>
        <w:rPr>
          <w:rFonts w:hint="eastAsia" w:ascii="仿宋_GB2312" w:hAnsi="仿宋_GB2312" w:eastAsia="仿宋_GB2312" w:cs="仿宋_GB2312"/>
          <w:b/>
          <w:kern w:val="0"/>
          <w:sz w:val="32"/>
          <w:szCs w:val="32"/>
          <w:shd w:val="clear" w:color="auto" w:fill="FFFFFF"/>
          <w:lang w:val="zh-CN"/>
        </w:rPr>
        <w:t>1.项目主要内容。</w:t>
      </w:r>
      <w:r>
        <w:rPr>
          <w:rFonts w:hint="eastAsia" w:ascii="仿宋_GB2312" w:hAnsi="仿宋_GB2312" w:eastAsia="仿宋_GB2312" w:cs="仿宋_GB2312"/>
          <w:b/>
          <w:sz w:val="32"/>
          <w:szCs w:val="32"/>
        </w:rPr>
        <w:t>确保广元市天府科技云服务中心服务大厅和指挥中心正常运转，并指导全市“天府科技云”服务深入开展。</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2.项目应实现具体绩效目标。购买第三方服务1年，费用</w:t>
      </w:r>
      <w:r>
        <w:rPr>
          <w:rFonts w:hint="eastAsia" w:ascii="仿宋_GB2312" w:hAnsi="仿宋_GB2312" w:eastAsia="仿宋_GB2312" w:cs="仿宋_GB2312"/>
          <w:b/>
          <w:kern w:val="0"/>
          <w:sz w:val="32"/>
          <w:szCs w:val="32"/>
          <w:shd w:val="clear" w:color="auto" w:fill="FFFFFF"/>
        </w:rPr>
        <w:t>5万元；服务大厅租赁、水电、网络服务费用5万元；天府科技云注册推广1.85万元，确保广元市天府科技云服务中心服务大厅和指挥中心正常运转，并指导全市“天府科技云”服务深入开展，争取绩效考核进入全省市州前十名。</w:t>
      </w:r>
      <w:r>
        <w:rPr>
          <w:rFonts w:hint="eastAsia" w:ascii="仿宋_GB2312" w:hAnsi="仿宋_GB2312" w:eastAsia="仿宋_GB2312" w:cs="仿宋_GB2312"/>
          <w:b/>
          <w:kern w:val="0"/>
          <w:sz w:val="32"/>
          <w:szCs w:val="32"/>
          <w:shd w:val="clear" w:color="auto" w:fill="FFFFFF"/>
          <w:lang w:val="zh-CN"/>
        </w:rPr>
        <w:t>3.申报内容结合部门职能职责，与实际工作相符，申报目标合理可行。</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（三）项目自评步骤及方法。</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（一）项目资金申报及批复情况。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11.85万元，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11.85万元，</w:t>
      </w:r>
      <w:r>
        <w:rPr>
          <w:rFonts w:hint="eastAsia" w:ascii="仿宋_GB2312" w:hAnsi="仿宋_GB2312" w:eastAsia="仿宋_GB2312" w:cs="仿宋_GB2312"/>
          <w:b/>
          <w:sz w:val="32"/>
          <w:szCs w:val="32"/>
          <w:lang w:val="zh-CN"/>
        </w:rPr>
        <w:t>申报条件、申报程序等符合本部门专项资金使用管理制度。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（二）资金计划、到位及使用情况（可用表格形式反映）。</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bCs/>
          <w:sz w:val="32"/>
          <w:szCs w:val="32"/>
          <w:lang w:val="zh-CN"/>
        </w:rPr>
        <w:t>1.资金计划。计划资金</w:t>
      </w:r>
      <w:r>
        <w:rPr>
          <w:rFonts w:hint="eastAsia" w:ascii="仿宋_GB2312" w:hAnsi="仿宋_GB2312" w:eastAsia="仿宋_GB2312" w:cs="仿宋_GB2312"/>
          <w:b/>
          <w:bCs/>
          <w:sz w:val="32"/>
          <w:szCs w:val="32"/>
        </w:rPr>
        <w:t>11.85万元，来源为</w:t>
      </w:r>
      <w:r>
        <w:rPr>
          <w:rFonts w:hint="eastAsia" w:ascii="仿宋_GB2312" w:hAnsi="仿宋_GB2312" w:eastAsia="仿宋_GB2312" w:cs="仿宋_GB2312"/>
          <w:b/>
          <w:sz w:val="32"/>
          <w:szCs w:val="32"/>
          <w:lang w:val="zh-CN"/>
        </w:rPr>
        <w:t>市本级财政预算资金。</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2022年该项目共支出11.85万元，</w:t>
      </w:r>
      <w:r>
        <w:rPr>
          <w:rFonts w:hint="eastAsia" w:ascii="仿宋_GB2312" w:hAnsi="仿宋_GB2312" w:eastAsia="仿宋_GB2312" w:cs="仿宋_GB2312"/>
          <w:b/>
          <w:sz w:val="32"/>
          <w:szCs w:val="32"/>
          <w:lang w:val="zh-CN"/>
        </w:rPr>
        <w:t>主要用于购买第三方服务1年费用、开展活动产生的场地费、水电费（包括服务大厅和指挥中心）、资料印刷费、交通费、天府科技云注册推广等，资金开支范围、标准及支付进度、支付依据合规合法，资金支付与预算相符。</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专项资金使用严格按照年初确定的预算及其规定的用途和范围专款专用，由兼职财务人员负责项目资金的统一管理，实行单独核算。市科技服务中心对项目实施情况进行全过程监督，对资金的使用绩效负责。</w:t>
      </w:r>
    </w:p>
    <w:p>
      <w:pPr>
        <w:overflowPunct w:val="0"/>
        <w:topLinePunct/>
        <w:adjustRightInd w:val="0"/>
        <w:spacing w:line="576" w:lineRule="exact"/>
        <w:ind w:firstLine="640" w:firstLineChars="200"/>
        <w:rPr>
          <w:rFonts w:ascii="黑体" w:hAnsi="黑体" w:eastAsia="黑体" w:cs="仿宋_GB2312"/>
          <w:b/>
          <w:kern w:val="0"/>
          <w:sz w:val="32"/>
          <w:szCs w:val="32"/>
          <w:shd w:val="clear" w:color="auto" w:fill="FFFFFF"/>
          <w:lang w:val="zh-CN"/>
        </w:rPr>
      </w:pPr>
      <w:r>
        <w:rPr>
          <w:rFonts w:hint="eastAsia" w:ascii="黑体" w:hAnsi="黑体" w:eastAsia="黑体" w:cs="仿宋_GB2312"/>
          <w:b/>
          <w:sz w:val="32"/>
          <w:szCs w:val="32"/>
        </w:rPr>
        <w:t>三、项目实施及管理情况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（一）项目组织架构及实施流程。</w:t>
      </w:r>
      <w:r>
        <w:rPr>
          <w:rFonts w:hint="eastAsia" w:ascii="仿宋_GB2312" w:hAnsi="仿宋_GB2312" w:eastAsia="仿宋_GB2312" w:cs="仿宋_GB2312"/>
          <w:b/>
          <w:sz w:val="32"/>
          <w:szCs w:val="32"/>
          <w:lang w:val="zh-CN"/>
        </w:rPr>
        <w:t>按照单位内控制度，由市科协党组决定预算管理政策、年度预算追加及调整，年度财务决算等重大事项，办公室负责日常预算管理工作，业务部室提出本部室年度预算，组织实施经批复的年度预算。</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（二）项目管理情况。</w:t>
      </w:r>
      <w:r>
        <w:rPr>
          <w:rFonts w:hint="eastAsia" w:ascii="仿宋_GB2312" w:hAnsi="仿宋_GB2312" w:eastAsia="仿宋_GB2312" w:cs="仿宋_GB2312"/>
          <w:b/>
          <w:sz w:val="32"/>
          <w:szCs w:val="32"/>
          <w:lang w:val="zh-CN"/>
        </w:rPr>
        <w:t>由分管领导牵头，市科技服务中心具体负责日常工作的开展，对项目实施结果负责。</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（三）项目监管情况。</w:t>
      </w:r>
      <w:r>
        <w:rPr>
          <w:rFonts w:hint="eastAsia" w:ascii="仿宋_GB2312" w:hAnsi="仿宋_GB2312" w:eastAsia="仿宋_GB2312" w:cs="仿宋_GB2312"/>
          <w:b/>
          <w:sz w:val="32"/>
          <w:szCs w:val="32"/>
          <w:lang w:val="zh-CN"/>
        </w:rPr>
        <w:t>办公室（财务）对项目完成实施情况进行全过程</w:t>
      </w:r>
      <w:r>
        <w:rPr>
          <w:rFonts w:hint="eastAsia" w:ascii="仿宋_GB2312" w:hAnsi="仿宋_GB2312" w:eastAsia="仿宋_GB2312" w:cs="仿宋_GB2312"/>
          <w:b/>
          <w:sz w:val="32"/>
          <w:szCs w:val="32"/>
        </w:rPr>
        <w:t>监督检查，牵头开展项目的绩效考评和总结，保障资金使用安全及效益。</w:t>
      </w: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四、项目绩效情况</w:t>
      </w:r>
      <w:r>
        <w:rPr>
          <w:rFonts w:hint="eastAsia" w:ascii="黑体" w:hAnsi="黑体" w:eastAsia="黑体" w:cs="仿宋_GB2312"/>
          <w:b/>
          <w:sz w:val="32"/>
          <w:szCs w:val="32"/>
          <w:lang w:val="zh-CN"/>
        </w:rPr>
        <w:tab/>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（一）项目完成情况。</w:t>
      </w:r>
      <w:r>
        <w:rPr>
          <w:rFonts w:hint="eastAsia" w:ascii="仿宋_GB2312" w:hAnsi="仿宋_GB2312" w:eastAsia="仿宋_GB2312" w:cs="仿宋_GB2312"/>
          <w:b/>
          <w:sz w:val="32"/>
          <w:szCs w:val="32"/>
          <w:lang w:val="zh-CN"/>
        </w:rPr>
        <w:t>项目完成情况符合预期，绩效目标完成率</w:t>
      </w:r>
      <w:r>
        <w:rPr>
          <w:rFonts w:hint="eastAsia" w:ascii="仿宋_GB2312" w:hAnsi="仿宋_GB2312" w:eastAsia="仿宋_GB2312" w:cs="仿宋_GB2312"/>
          <w:b/>
          <w:sz w:val="32"/>
          <w:szCs w:val="32"/>
        </w:rPr>
        <w:t>100%。</w:t>
      </w:r>
      <w:r>
        <w:rPr>
          <w:rFonts w:hint="eastAsia" w:ascii="仿宋_GB2312" w:hAnsi="仿宋_GB2312" w:eastAsia="仿宋_GB2312" w:cs="仿宋_GB2312"/>
          <w:b/>
          <w:sz w:val="32"/>
          <w:szCs w:val="32"/>
          <w:lang w:val="zh-CN"/>
        </w:rPr>
        <w:t>保障了广元市天府科技云服务中心服务大厅和指挥中心正常运转，指导全市“天府科技云”服务深入开展，绩效考核进入全省市州前茅。</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sz w:val="32"/>
          <w:szCs w:val="32"/>
          <w:lang w:val="zh-CN"/>
        </w:rPr>
        <w:t>一是开展</w:t>
      </w:r>
      <w:r>
        <w:rPr>
          <w:rFonts w:hint="eastAsia" w:ascii="仿宋_GB2312" w:hAnsi="仿宋_GB2312" w:eastAsia="仿宋_GB2312" w:cs="仿宋_GB2312"/>
          <w:b/>
          <w:sz w:val="32"/>
          <w:szCs w:val="32"/>
        </w:rPr>
        <w:t>“保姆式”服务。购买</w:t>
      </w:r>
      <w:r>
        <w:rPr>
          <w:rFonts w:hint="eastAsia" w:ascii="仿宋_GB2312" w:hAnsi="仿宋_GB2312" w:eastAsia="仿宋_GB2312" w:cs="仿宋_GB2312"/>
          <w:b/>
          <w:bCs/>
          <w:sz w:val="32"/>
          <w:szCs w:val="32"/>
        </w:rPr>
        <w:t>5名专职保姆服务展开科技服务，共计接单2220单，完成612单，人均完成122.4单，完成率达127%。二是平台用户注册。2022年新增注册用户32124个，新增组织机构用户402个。</w:t>
      </w:r>
      <w:r>
        <w:rPr>
          <w:rFonts w:hint="eastAsia" w:ascii="仿宋_GB2312" w:hAnsi="仿宋_GB2312" w:eastAsia="仿宋_GB2312" w:cs="仿宋_GB2312"/>
          <w:b/>
          <w:sz w:val="32"/>
          <w:szCs w:val="32"/>
        </w:rPr>
        <w:t>三是打造科创工作室。2022年新增科创工作室1216个。四是培育精品案例。入选科创会项目570个。其中入选开幕式项目1个;重大专场项目1个；重点专区项目432个；展示区项目135个（其中云展厅项目70个）；科创沙龙展示项目1个。五是精准服务推动创新驱动发展。广元市科协荣获“2022年度精准服务创新驱动发展成效突出单位”称号，全省排名第二；荣获“2022年度精准服务科技工作者成效突出单位”称号，全省排名第六。</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项目</w:t>
      </w:r>
      <w:r>
        <w:rPr>
          <w:rFonts w:hint="eastAsia" w:ascii="仿宋_GB2312" w:hAnsi="仿宋_GB2312" w:eastAsia="仿宋_GB2312" w:cs="仿宋_GB2312"/>
          <w:b/>
          <w:kern w:val="0"/>
          <w:sz w:val="32"/>
          <w:szCs w:val="32"/>
          <w:shd w:val="clear" w:color="auto" w:fill="FFFFFF"/>
        </w:rPr>
        <w:t>设置务实合理，管理办法有效，项目成效符合项目绩效目标预期。评估总得分98分。</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（二）存在的问题。</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天府科技云平台的知晓率、使用率离省上要求还有差距。</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（三）相关建议。</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进一步加大天府科技云平台的推广应用力度。</w:t>
      </w:r>
    </w:p>
    <w:p>
      <w:pPr>
        <w:widowControl/>
        <w:jc w:val="left"/>
        <w:rPr>
          <w:rFonts w:ascii="仿宋_GB2312" w:hAnsi="仿宋_GB2312" w:eastAsia="仿宋_GB2312" w:cs="仿宋_GB2312"/>
          <w:b/>
          <w:bCs/>
          <w:color w:val="000000"/>
          <w:kern w:val="0"/>
          <w:sz w:val="32"/>
          <w:szCs w:val="32"/>
        </w:rPr>
      </w:pPr>
      <w:r>
        <w:rPr>
          <w:rFonts w:ascii="仿宋_GB2312" w:hAnsi="仿宋_GB2312" w:eastAsia="仿宋_GB2312" w:cs="仿宋_GB2312"/>
          <w:b/>
          <w:bCs/>
          <w:sz w:val="32"/>
          <w:szCs w:val="32"/>
        </w:rPr>
        <w:br w:type="page"/>
      </w:r>
    </w:p>
    <w:p>
      <w:pPr>
        <w:pStyle w:val="36"/>
        <w:overflowPunct w:val="0"/>
        <w:topLinePunct/>
        <w:adjustRightInd w:val="0"/>
        <w:snapToGrid w:val="0"/>
        <w:spacing w:line="576" w:lineRule="exact"/>
        <w:rPr>
          <w:rFonts w:hint="eastAsia" w:ascii="方正小标宋简体" w:hAnsi="方正小标宋简体" w:eastAsia="方正小标宋简体" w:cs="方正小标宋简体"/>
          <w:b/>
          <w:color w:val="auto"/>
          <w:kern w:val="2"/>
          <w:sz w:val="44"/>
          <w:szCs w:val="44"/>
          <w:lang w:val="en-US"/>
        </w:rPr>
      </w:pPr>
    </w:p>
    <w:p>
      <w:pPr>
        <w:pStyle w:val="36"/>
        <w:overflowPunct w:val="0"/>
        <w:topLinePunct/>
        <w:adjustRightInd w:val="0"/>
        <w:snapToGri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napToGri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napToGri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（科学普及、反邪教协会工作）</w:t>
      </w:r>
    </w:p>
    <w:p>
      <w:pPr>
        <w:pStyle w:val="36"/>
        <w:overflowPunct w:val="0"/>
        <w:topLinePunct/>
        <w:adjustRightInd w:val="0"/>
        <w:snapToGrid w:val="0"/>
        <w:spacing w:line="576" w:lineRule="exact"/>
        <w:ind w:firstLine="640"/>
        <w:jc w:val="center"/>
        <w:rPr>
          <w:rFonts w:ascii="宋体" w:hAnsi="宋体"/>
          <w:b/>
          <w:color w:val="auto"/>
          <w:kern w:val="2"/>
          <w:sz w:val="32"/>
          <w:szCs w:val="32"/>
        </w:rPr>
      </w:pPr>
    </w:p>
    <w:p>
      <w:pPr>
        <w:overflowPunct w:val="0"/>
        <w:topLinePunct/>
        <w:adjustRightInd w:val="0"/>
        <w:snapToGri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napToGri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overflowPunct w:val="0"/>
        <w:topLinePunct/>
        <w:adjustRightInd w:val="0"/>
        <w:snapToGrid w:val="0"/>
        <w:spacing w:line="576" w:lineRule="exact"/>
        <w:ind w:firstLine="640" w:firstLineChars="20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w:t>
      </w:r>
      <w:r>
        <w:rPr>
          <w:rFonts w:hint="eastAsia" w:ascii="仿宋_GB2312" w:hAnsi="仿宋_GB2312" w:eastAsia="仿宋_GB2312" w:cs="仿宋_GB2312"/>
          <w:b/>
          <w:sz w:val="32"/>
          <w:szCs w:val="32"/>
          <w:shd w:val="clear" w:color="auto" w:fill="FFFFFF"/>
          <w:lang w:val="zh-CN"/>
        </w:rPr>
        <w:t>项目实施部室为普及部、反邪教协会办公室，具体负责</w:t>
      </w:r>
      <w:r>
        <w:rPr>
          <w:rFonts w:hint="eastAsia" w:ascii="仿宋_GB2312" w:hAnsi="仿宋_GB2312" w:eastAsia="仿宋_GB2312" w:cs="仿宋_GB2312"/>
          <w:b/>
          <w:sz w:val="32"/>
          <w:szCs w:val="32"/>
          <w:shd w:val="clear" w:color="auto" w:fill="FFFFFF"/>
        </w:rPr>
        <w:t>实施项目、开展和项目相关的业务工作。</w:t>
      </w:r>
    </w:p>
    <w:p>
      <w:pPr>
        <w:overflowPunct w:val="0"/>
        <w:topLinePunct/>
        <w:adjustRightInd w:val="0"/>
        <w:snapToGrid w:val="0"/>
        <w:spacing w:line="576" w:lineRule="exact"/>
        <w:ind w:firstLine="640" w:firstLineChars="20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2.项目立项、资金申报的依据。项目实施部室根据年度重点工作安排申报项目资金，经党组会议集体研究决定该项目立项并安排实施。</w:t>
      </w:r>
    </w:p>
    <w:p>
      <w:pPr>
        <w:overflowPunct w:val="0"/>
        <w:topLinePunct/>
        <w:adjustRightInd w:val="0"/>
        <w:snapToGrid w:val="0"/>
        <w:spacing w:line="576" w:lineRule="exact"/>
        <w:ind w:firstLine="640" w:firstLineChars="20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3.资金</w:t>
      </w:r>
      <w:r>
        <w:rPr>
          <w:rFonts w:hint="eastAsia" w:ascii="仿宋_GB2312" w:hAnsi="仿宋_GB2312" w:eastAsia="仿宋_GB2312" w:cs="仿宋_GB2312"/>
          <w:b/>
          <w:sz w:val="32"/>
          <w:szCs w:val="32"/>
          <w:shd w:val="clear" w:color="auto" w:fill="FFFFFF"/>
        </w:rPr>
        <w:t>或项目</w:t>
      </w:r>
      <w:r>
        <w:rPr>
          <w:rFonts w:hint="eastAsia" w:ascii="仿宋_GB2312" w:hAnsi="仿宋_GB2312" w:eastAsia="仿宋_GB2312" w:cs="仿宋_GB2312"/>
          <w:b/>
          <w:sz w:val="32"/>
          <w:szCs w:val="32"/>
          <w:shd w:val="clear" w:color="auto" w:fill="FFFFFF"/>
          <w:lang w:val="zh-CN"/>
        </w:rPr>
        <w:t>管理办法制定情况</w:t>
      </w:r>
      <w:r>
        <w:rPr>
          <w:rFonts w:hint="eastAsia" w:ascii="仿宋_GB2312" w:hAnsi="仿宋_GB2312" w:eastAsia="仿宋_GB2312" w:cs="仿宋_GB2312"/>
          <w:b/>
          <w:sz w:val="32"/>
          <w:szCs w:val="32"/>
          <w:shd w:val="clear" w:color="auto" w:fill="FFFFFF"/>
        </w:rPr>
        <w:t>。出台了市科协《科普专项资金管理暂行办法》</w:t>
      </w:r>
    </w:p>
    <w:p>
      <w:pPr>
        <w:overflowPunct w:val="0"/>
        <w:topLinePunct/>
        <w:adjustRightInd w:val="0"/>
        <w:snapToGri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4.资金分配的原则及考虑因素资金分配主要参考往年预算安排，结合年度重点工作确定。</w:t>
      </w:r>
    </w:p>
    <w:p>
      <w:pPr>
        <w:overflowPunct w:val="0"/>
        <w:topLinePunct/>
        <w:adjustRightInd w:val="0"/>
        <w:snapToGri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（二）项目绩效目标。</w:t>
      </w:r>
    </w:p>
    <w:p>
      <w:pPr>
        <w:overflowPunct w:val="0"/>
        <w:topLinePunct/>
        <w:adjustRightInd w:val="0"/>
        <w:snapToGri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rPr>
        <w:t>1.</w:t>
      </w:r>
      <w:r>
        <w:rPr>
          <w:rFonts w:hint="eastAsia" w:ascii="仿宋_GB2312" w:hAnsi="仿宋_GB2312" w:eastAsia="仿宋_GB2312" w:cs="仿宋_GB2312"/>
          <w:b/>
          <w:kern w:val="0"/>
          <w:sz w:val="32"/>
          <w:szCs w:val="32"/>
          <w:shd w:val="clear" w:color="auto" w:fill="FFFFFF"/>
          <w:lang w:val="zh-CN"/>
        </w:rPr>
        <w:t>项目主要内容。巩固和加强科普阵地建设，认真落实青少年、农民、产业工人、老年人、领导干部和公务员五大群体科学素质提升行动，强化科普信息化建设，加强科普队伍专业化建设，提升全民科学素质。</w:t>
      </w:r>
      <w:r>
        <w:rPr>
          <w:rFonts w:hint="eastAsia" w:ascii="仿宋_GB2312" w:hAnsi="仿宋_GB2312" w:eastAsia="仿宋_GB2312" w:cs="仿宋_GB2312"/>
          <w:b/>
          <w:color w:val="000000"/>
          <w:kern w:val="0"/>
          <w:sz w:val="32"/>
          <w:szCs w:val="32"/>
        </w:rPr>
        <w:t>深入开展反邪教组织建设、常态化开展反邪教警示宣传教育和反邪教理论研究等工作，参与做好教育转化巩固工作。</w:t>
      </w:r>
    </w:p>
    <w:p>
      <w:pPr>
        <w:overflowPunct w:val="0"/>
        <w:topLinePunct/>
        <w:adjustRightInd w:val="0"/>
        <w:snapToGri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项目应实现具体绩效目标。</w:t>
      </w:r>
      <w:r>
        <w:rPr>
          <w:rFonts w:hint="eastAsia" w:ascii="仿宋_GB2312" w:hAnsi="仿宋_GB2312" w:eastAsia="仿宋_GB2312" w:cs="仿宋_GB2312"/>
          <w:b/>
          <w:sz w:val="32"/>
          <w:szCs w:val="32"/>
        </w:rPr>
        <w:t>开展科普交流与宣传活动十次，</w:t>
      </w:r>
      <w:r>
        <w:rPr>
          <w:rFonts w:hint="eastAsia" w:ascii="仿宋_GB2312" w:hAnsi="仿宋_GB2312" w:eastAsia="仿宋_GB2312" w:cs="仿宋_GB2312"/>
          <w:b/>
          <w:kern w:val="0"/>
          <w:sz w:val="32"/>
          <w:szCs w:val="32"/>
          <w:shd w:val="clear" w:color="auto" w:fill="FFFFFF"/>
          <w:lang w:val="zh-CN"/>
        </w:rPr>
        <w:t>科普大篷车经常性进校园、进社区、进乡村等开展车载展品展示、科普宣传视频播放</w:t>
      </w:r>
      <w:r>
        <w:rPr>
          <w:rFonts w:hint="eastAsia" w:ascii="仿宋_GB2312" w:hAnsi="仿宋_GB2312" w:eastAsia="仿宋_GB2312" w:cs="仿宋_GB2312"/>
          <w:b/>
          <w:sz w:val="32"/>
          <w:szCs w:val="32"/>
        </w:rPr>
        <w:t>；广泛开展青少年科技实践活动，开展青少年科技创新大赛1次，开展高校科学营活动1次。</w:t>
      </w:r>
      <w:r>
        <w:rPr>
          <w:rFonts w:hint="eastAsia" w:ascii="仿宋_GB2312" w:hAnsi="仿宋_GB2312" w:eastAsia="仿宋_GB2312" w:cs="仿宋_GB2312"/>
          <w:b/>
          <w:kern w:val="0"/>
          <w:sz w:val="32"/>
          <w:szCs w:val="32"/>
          <w:shd w:val="clear" w:color="auto" w:fill="FFFFFF"/>
          <w:lang w:val="zh-CN"/>
        </w:rPr>
        <w:t>通过各项工作的开展，全面提升全民科学素质，促进科技与经济的发展，取得良好社会效益，</w:t>
      </w:r>
      <w:r>
        <w:rPr>
          <w:rFonts w:hint="eastAsia" w:ascii="仿宋_GB2312" w:hAnsi="仿宋_GB2312" w:eastAsia="仿宋_GB2312" w:cs="仿宋_GB2312"/>
          <w:b/>
          <w:kern w:val="0"/>
          <w:sz w:val="32"/>
          <w:szCs w:val="32"/>
          <w:shd w:val="clear" w:color="auto" w:fill="FFFFFF"/>
        </w:rPr>
        <w:t>推进组织建设，构建完善上下联动反邪教工作体系。</w:t>
      </w:r>
      <w:r>
        <w:rPr>
          <w:rFonts w:hint="eastAsia" w:ascii="仿宋_GB2312" w:hAnsi="仿宋_GB2312" w:eastAsia="仿宋_GB2312" w:cs="仿宋_GB2312"/>
          <w:b/>
          <w:kern w:val="0"/>
          <w:sz w:val="32"/>
          <w:szCs w:val="32"/>
          <w:shd w:val="clear" w:color="auto" w:fill="FFFFFF"/>
          <w:lang w:val="zh-CN"/>
        </w:rPr>
        <w:t>加强反邪宣传，开展反邪防邪宣传活动</w:t>
      </w:r>
      <w:r>
        <w:rPr>
          <w:rFonts w:hint="eastAsia" w:ascii="仿宋_GB2312" w:hAnsi="仿宋_GB2312" w:eastAsia="仿宋_GB2312" w:cs="仿宋_GB2312"/>
          <w:b/>
          <w:kern w:val="0"/>
          <w:sz w:val="32"/>
          <w:szCs w:val="32"/>
          <w:shd w:val="clear" w:color="auto" w:fill="FFFFFF"/>
        </w:rPr>
        <w:t>5次以上，提升群众识邪、辩邪、防邪、拒邪的能力</w:t>
      </w:r>
      <w:r>
        <w:rPr>
          <w:rFonts w:hint="eastAsia" w:ascii="仿宋_GB2312" w:hAnsi="仿宋_GB2312" w:eastAsia="仿宋_GB2312" w:cs="仿宋_GB2312"/>
          <w:b/>
          <w:kern w:val="0"/>
          <w:sz w:val="32"/>
          <w:szCs w:val="32"/>
          <w:shd w:val="clear" w:color="auto" w:fill="FFFFFF"/>
          <w:lang w:val="zh-CN"/>
        </w:rPr>
        <w:t>，社会满意度</w:t>
      </w:r>
      <w:r>
        <w:rPr>
          <w:rFonts w:hint="eastAsia" w:ascii="仿宋_GB2312" w:hAnsi="仿宋_GB2312" w:eastAsia="仿宋_GB2312" w:cs="仿宋_GB2312"/>
          <w:b/>
          <w:kern w:val="0"/>
          <w:sz w:val="32"/>
          <w:szCs w:val="32"/>
          <w:shd w:val="clear" w:color="auto" w:fill="FFFFFF"/>
        </w:rPr>
        <w:t>90%以上。</w:t>
      </w:r>
    </w:p>
    <w:p>
      <w:pPr>
        <w:overflowPunct w:val="0"/>
        <w:topLinePunct/>
        <w:adjustRightInd w:val="0"/>
        <w:snapToGri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rPr>
        <w:t>3.</w:t>
      </w:r>
      <w:r>
        <w:rPr>
          <w:rFonts w:hint="eastAsia" w:ascii="仿宋_GB2312" w:hAnsi="仿宋_GB2312" w:eastAsia="仿宋_GB2312" w:cs="仿宋_GB2312"/>
          <w:b/>
          <w:kern w:val="0"/>
          <w:sz w:val="32"/>
          <w:szCs w:val="32"/>
          <w:shd w:val="clear" w:color="auto" w:fill="FFFFFF"/>
          <w:lang w:val="zh-CN"/>
        </w:rPr>
        <w:t>申报内容结合部门职能职责，与实际工作相符，申报目标合理可行。</w:t>
      </w:r>
    </w:p>
    <w:p>
      <w:pPr>
        <w:overflowPunct w:val="0"/>
        <w:topLinePunct/>
        <w:adjustRightInd w:val="0"/>
        <w:snapToGri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（三）项目自评步骤及方法。</w:t>
      </w:r>
    </w:p>
    <w:p>
      <w:pPr>
        <w:pStyle w:val="14"/>
        <w:shd w:val="clear" w:color="auto" w:fill="FFFFFF"/>
        <w:overflowPunct w:val="0"/>
        <w:topLinePunct/>
        <w:adjustRightInd w:val="0"/>
        <w:snapToGrid w:val="0"/>
        <w:spacing w:beforeAutospacing="0" w:afterAutospacing="0" w:line="576" w:lineRule="exact"/>
        <w:ind w:firstLine="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napToGri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napToGri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（一）项目资金申报及批复情况。</w:t>
      </w:r>
    </w:p>
    <w:p>
      <w:pPr>
        <w:overflowPunct w:val="0"/>
        <w:topLinePunct/>
        <w:adjustRightInd w:val="0"/>
        <w:snapToGri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40万元，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40万元，</w:t>
      </w:r>
      <w:r>
        <w:rPr>
          <w:rFonts w:hint="eastAsia" w:ascii="仿宋_GB2312" w:hAnsi="仿宋_GB2312" w:eastAsia="仿宋_GB2312" w:cs="仿宋_GB2312"/>
          <w:b/>
          <w:sz w:val="32"/>
          <w:szCs w:val="32"/>
          <w:lang w:val="zh-CN"/>
        </w:rPr>
        <w:t>申报条件、申报程序等符合本部门专项资金使用管理制度。</w:t>
      </w:r>
    </w:p>
    <w:p>
      <w:pPr>
        <w:overflowPunct w:val="0"/>
        <w:topLinePunct/>
        <w:adjustRightInd w:val="0"/>
        <w:snapToGri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（二）资金计划、到位及使用情况。</w:t>
      </w:r>
    </w:p>
    <w:p>
      <w:pPr>
        <w:overflowPunct w:val="0"/>
        <w:topLinePunct/>
        <w:adjustRightInd w:val="0"/>
        <w:snapToGrid w:val="0"/>
        <w:spacing w:line="576" w:lineRule="exact"/>
        <w:ind w:firstLine="640" w:firstLineChars="200"/>
        <w:rPr>
          <w:rFonts w:ascii="仿宋_GB2312" w:hAnsi="仿宋_GB2312" w:eastAsia="仿宋_GB2312" w:cs="仿宋_GB2312"/>
          <w:b/>
          <w:spacing w:val="-10"/>
          <w:sz w:val="32"/>
          <w:szCs w:val="32"/>
          <w:lang w:val="zh-CN"/>
        </w:rPr>
      </w:pPr>
      <w:r>
        <w:rPr>
          <w:rFonts w:hint="eastAsia" w:ascii="仿宋_GB2312" w:hAnsi="仿宋_GB2312" w:eastAsia="仿宋_GB2312" w:cs="仿宋_GB2312"/>
          <w:b/>
          <w:bCs/>
          <w:sz w:val="32"/>
          <w:szCs w:val="32"/>
          <w:lang w:val="zh-CN"/>
        </w:rPr>
        <w:t>1.资金计划。计</w:t>
      </w:r>
      <w:r>
        <w:rPr>
          <w:rFonts w:hint="eastAsia" w:ascii="仿宋_GB2312" w:hAnsi="仿宋_GB2312" w:eastAsia="仿宋_GB2312" w:cs="仿宋_GB2312"/>
          <w:b/>
          <w:bCs/>
          <w:spacing w:val="-10"/>
          <w:sz w:val="32"/>
          <w:szCs w:val="32"/>
          <w:lang w:val="zh-CN"/>
        </w:rPr>
        <w:t>划资金</w:t>
      </w:r>
      <w:r>
        <w:rPr>
          <w:rFonts w:hint="eastAsia" w:ascii="仿宋_GB2312" w:hAnsi="仿宋_GB2312" w:eastAsia="仿宋_GB2312" w:cs="仿宋_GB2312"/>
          <w:b/>
          <w:bCs/>
          <w:spacing w:val="-10"/>
          <w:sz w:val="32"/>
          <w:szCs w:val="32"/>
        </w:rPr>
        <w:t>40万元，来源为</w:t>
      </w:r>
      <w:r>
        <w:rPr>
          <w:rFonts w:hint="eastAsia" w:ascii="仿宋_GB2312" w:hAnsi="仿宋_GB2312" w:eastAsia="仿宋_GB2312" w:cs="仿宋_GB2312"/>
          <w:b/>
          <w:spacing w:val="-10"/>
          <w:sz w:val="32"/>
          <w:szCs w:val="32"/>
          <w:lang w:val="zh-CN"/>
        </w:rPr>
        <w:t>市本级财政预算资金。</w:t>
      </w:r>
    </w:p>
    <w:p>
      <w:pPr>
        <w:overflowPunct w:val="0"/>
        <w:topLinePunct/>
        <w:adjustRightInd w:val="0"/>
        <w:snapToGri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2022年该项目共支出40万元，</w:t>
      </w:r>
      <w:r>
        <w:rPr>
          <w:rFonts w:hint="eastAsia" w:ascii="仿宋_GB2312" w:hAnsi="仿宋_GB2312" w:eastAsia="仿宋_GB2312" w:cs="仿宋_GB2312"/>
          <w:b/>
          <w:sz w:val="32"/>
          <w:szCs w:val="32"/>
          <w:lang w:val="zh-CN"/>
        </w:rPr>
        <w:t>主要用于资料印刷、宣传推广、交通、业务等费用和对优秀科普基地进行奖补等，资金开支范围、标准及支付进度、支付依据合规合法，资金支付与预算相符。</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（三）项目财务管理情况。</w:t>
      </w:r>
      <w:r>
        <w:rPr>
          <w:rFonts w:hint="eastAsia" w:ascii="仿宋_GB2312" w:hAnsi="仿宋_GB2312" w:eastAsia="仿宋_GB2312" w:cs="仿宋_GB2312"/>
          <w:b/>
          <w:sz w:val="32"/>
          <w:szCs w:val="32"/>
          <w:lang w:val="zh-CN"/>
        </w:rPr>
        <w:t>专项资金使用严格按照年初确定的预算及其规定的用途和范围专款专用，由兼职财务人员负责项目资金的统一管理，实行单独核算。项目实施部室对项目实施情况进行全过程监督，对资金的使用绩效负责。</w:t>
      </w:r>
    </w:p>
    <w:p>
      <w:pPr>
        <w:overflowPunct w:val="0"/>
        <w:topLinePunct/>
        <w:adjustRightInd w:val="0"/>
        <w:spacing w:line="576" w:lineRule="exact"/>
        <w:ind w:firstLine="640" w:firstLineChars="200"/>
        <w:rPr>
          <w:rFonts w:ascii="黑体" w:hAnsi="黑体" w:eastAsia="黑体" w:cs="仿宋_GB2312"/>
          <w:b/>
          <w:kern w:val="0"/>
          <w:sz w:val="32"/>
          <w:szCs w:val="32"/>
          <w:shd w:val="clear" w:color="auto" w:fill="FFFFFF"/>
          <w:lang w:val="zh-CN"/>
        </w:rPr>
      </w:pPr>
      <w:r>
        <w:rPr>
          <w:rFonts w:hint="eastAsia" w:ascii="黑体" w:hAnsi="黑体" w:eastAsia="黑体" w:cs="仿宋_GB2312"/>
          <w:b/>
          <w:sz w:val="32"/>
          <w:szCs w:val="32"/>
        </w:rPr>
        <w:t>三、项目实施及管理情况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（一）项目组织架构及实施流程。</w:t>
      </w:r>
      <w:r>
        <w:rPr>
          <w:rFonts w:hint="eastAsia" w:ascii="仿宋_GB2312" w:hAnsi="仿宋_GB2312" w:eastAsia="仿宋_GB2312" w:cs="仿宋_GB2312"/>
          <w:b/>
          <w:sz w:val="32"/>
          <w:szCs w:val="32"/>
          <w:lang w:val="zh-CN"/>
        </w:rPr>
        <w:t>按照单位内部控制制度体系，由市科协党组决定预算管理政策、年度预算追加及调整，年度财务决算等重大事项，办公室负责日常预算管理工作，业务部室提出本部室年度预算，组织实施经批复的年度预算。</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楷体_GB2312" w:hAnsi="仿宋_GB2312" w:eastAsia="楷体_GB2312" w:cs="仿宋_GB2312"/>
          <w:b/>
          <w:sz w:val="32"/>
          <w:szCs w:val="32"/>
          <w:lang w:val="zh-CN"/>
        </w:rPr>
        <w:t>（二）项目管理情况。</w:t>
      </w:r>
      <w:r>
        <w:rPr>
          <w:rFonts w:hint="eastAsia" w:ascii="仿宋_GB2312" w:hAnsi="仿宋_GB2312" w:eastAsia="仿宋_GB2312" w:cs="仿宋_GB2312"/>
          <w:b/>
          <w:kern w:val="0"/>
          <w:sz w:val="32"/>
          <w:szCs w:val="32"/>
          <w:shd w:val="clear" w:color="auto" w:fill="FFFFFF"/>
          <w:lang w:val="zh-CN"/>
        </w:rPr>
        <w:t>由分管领导牵头，普及部、反邪教协会办公室具体负责日常工作的开展，对项目实施结果负责。</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（三）项目监管情况。</w:t>
      </w:r>
      <w:r>
        <w:rPr>
          <w:rFonts w:hint="eastAsia" w:ascii="仿宋_GB2312" w:hAnsi="仿宋_GB2312" w:eastAsia="仿宋_GB2312" w:cs="仿宋_GB2312"/>
          <w:b/>
          <w:sz w:val="32"/>
          <w:szCs w:val="32"/>
          <w:lang w:val="zh-CN"/>
        </w:rPr>
        <w:t>办公室对项目完成实施情况进行全过程</w:t>
      </w:r>
      <w:r>
        <w:rPr>
          <w:rFonts w:hint="eastAsia" w:ascii="仿宋_GB2312" w:hAnsi="仿宋_GB2312" w:eastAsia="仿宋_GB2312" w:cs="仿宋_GB2312"/>
          <w:b/>
          <w:sz w:val="32"/>
          <w:szCs w:val="32"/>
        </w:rPr>
        <w:t>监督检查，牵头开展项目的绩效考评和总结，保障资金使用安全及效益。</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四、项目绩效情况</w:t>
      </w:r>
      <w:r>
        <w:rPr>
          <w:rFonts w:hint="eastAsia" w:ascii="黑体" w:hAnsi="黑体" w:eastAsia="黑体" w:cs="仿宋_GB2312"/>
          <w:b/>
          <w:sz w:val="32"/>
          <w:szCs w:val="32"/>
        </w:rPr>
        <w:tab/>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（一）项目完成情况。</w:t>
      </w:r>
      <w:r>
        <w:rPr>
          <w:rFonts w:hint="eastAsia" w:ascii="仿宋_GB2312" w:hAnsi="仿宋_GB2312" w:eastAsia="仿宋_GB2312" w:cs="仿宋_GB2312"/>
          <w:b/>
          <w:sz w:val="32"/>
          <w:szCs w:val="32"/>
          <w:lang w:val="zh-CN"/>
        </w:rPr>
        <w:t>项目完成情况符合预期，绩效目标完成率</w:t>
      </w:r>
      <w:r>
        <w:rPr>
          <w:rFonts w:hint="eastAsia" w:ascii="仿宋_GB2312" w:hAnsi="仿宋_GB2312" w:eastAsia="仿宋_GB2312" w:cs="仿宋_GB2312"/>
          <w:b/>
          <w:sz w:val="32"/>
          <w:szCs w:val="32"/>
        </w:rPr>
        <w:t>100%。</w:t>
      </w:r>
    </w:p>
    <w:p>
      <w:pPr>
        <w:overflowPunct w:val="0"/>
        <w:topLinePunct/>
        <w:adjustRightInd w:val="0"/>
        <w:spacing w:line="550"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rPr>
        <w:t>科普活动方面：</w:t>
      </w:r>
      <w:r>
        <w:rPr>
          <w:rFonts w:hint="eastAsia" w:ascii="仿宋_GB2312" w:hAnsi="仿宋_GB2312" w:eastAsia="仿宋_GB2312" w:cs="仿宋_GB2312"/>
          <w:b/>
          <w:sz w:val="32"/>
          <w:szCs w:val="32"/>
          <w:lang w:val="zh-CN"/>
        </w:rPr>
        <w:t>一是组织开展蜀道科普大讲堂走进县区、广元市科技活动周、</w:t>
      </w:r>
      <w:r>
        <w:rPr>
          <w:rFonts w:hint="eastAsia" w:ascii="仿宋_GB2312" w:hAnsi="仿宋_GB2312" w:eastAsia="仿宋_GB2312" w:cs="仿宋_GB2312"/>
          <w:b/>
          <w:sz w:val="32"/>
          <w:szCs w:val="32"/>
        </w:rPr>
        <w:t>科普活动月、</w:t>
      </w:r>
      <w:r>
        <w:rPr>
          <w:rFonts w:hint="eastAsia" w:ascii="仿宋_GB2312" w:hAnsi="仿宋_GB2312" w:eastAsia="仿宋_GB2312" w:cs="仿宋_GB2312"/>
          <w:b/>
          <w:sz w:val="32"/>
          <w:szCs w:val="32"/>
          <w:lang w:val="zh-CN"/>
        </w:rPr>
        <w:t>防灾减灾</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食品安全周、食品安全科普作品有奖征集、</w:t>
      </w:r>
      <w:r>
        <w:rPr>
          <w:rFonts w:hint="eastAsia" w:ascii="仿宋_GB2312" w:hAnsi="仿宋_GB2312" w:eastAsia="仿宋_GB2312" w:cs="仿宋_GB2312"/>
          <w:b/>
          <w:sz w:val="32"/>
          <w:szCs w:val="32"/>
        </w:rPr>
        <w:t>新冠疫情防控网络知识竞赛</w:t>
      </w:r>
      <w:r>
        <w:rPr>
          <w:rFonts w:hint="eastAsia" w:ascii="仿宋_GB2312" w:hAnsi="仿宋_GB2312" w:eastAsia="仿宋_GB2312" w:cs="仿宋_GB2312"/>
          <w:b/>
          <w:sz w:val="32"/>
          <w:szCs w:val="32"/>
          <w:lang w:val="zh-CN"/>
        </w:rPr>
        <w:t>、全民科学素质知识网络竞赛、全民科学素质知识云竞赛、广元市</w:t>
      </w:r>
      <w:r>
        <w:rPr>
          <w:rFonts w:hint="eastAsia" w:ascii="仿宋_GB2312" w:hAnsi="仿宋_GB2312" w:eastAsia="仿宋_GB2312" w:cs="仿宋_GB2312"/>
          <w:b/>
          <w:sz w:val="32"/>
          <w:szCs w:val="32"/>
        </w:rPr>
        <w:t>“全国科普日”活动</w:t>
      </w:r>
      <w:r>
        <w:rPr>
          <w:rFonts w:hint="eastAsia" w:ascii="仿宋_GB2312" w:hAnsi="仿宋_GB2312" w:eastAsia="仿宋_GB2312" w:cs="仿宋_GB2312"/>
          <w:b/>
          <w:sz w:val="32"/>
          <w:szCs w:val="32"/>
          <w:lang w:val="zh-CN"/>
        </w:rPr>
        <w:t>、科普大篷车进校园活动等科普宣传与交流活动</w:t>
      </w:r>
      <w:r>
        <w:rPr>
          <w:rFonts w:hint="eastAsia" w:ascii="仿宋_GB2312" w:hAnsi="仿宋_GB2312" w:eastAsia="仿宋_GB2312" w:cs="仿宋_GB2312"/>
          <w:b/>
          <w:sz w:val="32"/>
          <w:szCs w:val="32"/>
        </w:rPr>
        <w:t>10余次</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被中</w:t>
      </w:r>
      <w:r>
        <w:rPr>
          <w:rFonts w:hint="eastAsia" w:ascii="仿宋_GB2312" w:hAnsi="仿宋_GB2312" w:eastAsia="仿宋_GB2312" w:cs="仿宋_GB2312"/>
          <w:b/>
          <w:sz w:val="32"/>
          <w:szCs w:val="32"/>
          <w:lang w:eastAsia="zh-CN"/>
        </w:rPr>
        <w:t>国</w:t>
      </w:r>
      <w:r>
        <w:rPr>
          <w:rFonts w:hint="eastAsia" w:ascii="仿宋_GB2312" w:hAnsi="仿宋_GB2312" w:eastAsia="仿宋_GB2312" w:cs="仿宋_GB2312"/>
          <w:b/>
          <w:sz w:val="32"/>
          <w:szCs w:val="32"/>
        </w:rPr>
        <w:t>科协评为2022年全国科普日活动优秀组织单位。</w:t>
      </w:r>
      <w:r>
        <w:rPr>
          <w:rFonts w:hint="eastAsia" w:ascii="仿宋_GB2312" w:hAnsi="仿宋_GB2312" w:eastAsia="仿宋_GB2312" w:cs="仿宋_GB2312"/>
          <w:b/>
          <w:sz w:val="32"/>
          <w:szCs w:val="32"/>
          <w:lang w:val="zh-CN"/>
        </w:rPr>
        <w:t>二是组织开展青少年科技实践活动。组织举办广元市第二十一届中小学师生科技</w:t>
      </w:r>
      <w:r>
        <w:rPr>
          <w:rFonts w:hint="eastAsia" w:ascii="仿宋_GB2312" w:hAnsi="仿宋_GB2312" w:eastAsia="仿宋_GB2312" w:cs="仿宋_GB2312"/>
          <w:b/>
          <w:sz w:val="32"/>
          <w:szCs w:val="32"/>
        </w:rPr>
        <w:t>节暨第三十七届青少年科技创新大赛，评定获奖作品391项；</w:t>
      </w:r>
      <w:r>
        <w:rPr>
          <w:rFonts w:hint="eastAsia" w:ascii="仿宋_GB2312" w:hAnsi="仿宋_GB2312" w:eastAsia="仿宋_GB2312" w:cs="仿宋_GB2312"/>
          <w:b/>
          <w:sz w:val="32"/>
          <w:szCs w:val="32"/>
          <w:lang w:val="zh-CN"/>
        </w:rPr>
        <w:t>组织学校师生收听收看青少年线上科普讲座</w:t>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val="zh-CN"/>
        </w:rPr>
        <w:t>场，协调组织学校师生300名到四川科技馆开展青少年科普研学活动；指导基层开展“我和妈妈学科学”活动。组织朝天中学11名师生参加2022年高校科学营活动。三是加强科普阵地建设。指导申报16个第三批科普惠民共享基地入驻天府科技云平台，组织实施2022年度“天府科技云服务”科普惠民共享基地能力提升项目，对排名靠前的</w:t>
      </w:r>
      <w:r>
        <w:rPr>
          <w:rFonts w:hint="eastAsia" w:ascii="仿宋_GB2312" w:hAnsi="仿宋_GB2312" w:eastAsia="仿宋_GB2312" w:cs="仿宋_GB2312"/>
          <w:b/>
          <w:sz w:val="32"/>
          <w:szCs w:val="32"/>
        </w:rPr>
        <w:t>12个</w:t>
      </w:r>
      <w:r>
        <w:rPr>
          <w:rFonts w:hint="eastAsia" w:ascii="仿宋_GB2312" w:hAnsi="仿宋_GB2312" w:eastAsia="仿宋_GB2312" w:cs="仿宋_GB2312"/>
          <w:b/>
          <w:sz w:val="32"/>
          <w:szCs w:val="32"/>
          <w:lang w:val="zh-CN"/>
        </w:rPr>
        <w:t>基地给予支持，与市委宣传部、市科技局联合命名13家2022年广元市科普基地。四是“天府科技云”，全年推送科普短信150万条，精准科普服务量达800余万次，精准科普覆盖率100%。</w:t>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反邪防邪宣传方面。一是</w:t>
      </w:r>
      <w:r>
        <w:rPr>
          <w:rFonts w:hint="eastAsia" w:ascii="仿宋_GB2312" w:hAnsi="仿宋_GB2312" w:eastAsia="仿宋_GB2312" w:cs="仿宋_GB2312"/>
          <w:b/>
          <w:color w:val="000000"/>
          <w:kern w:val="0"/>
          <w:sz w:val="32"/>
          <w:szCs w:val="32"/>
        </w:rPr>
        <w:t>组织开展春节反邪教警示教育宣传慰问活动，发放“崇尚科学 反对邪教”环保袋、围裙、反邪科普读物等反邪教警示教育宣传资料2000余份，反邪教宣讲和政策咨询群众2000多人次</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sz w:val="32"/>
          <w:szCs w:val="32"/>
        </w:rPr>
        <w:t>二是</w:t>
      </w:r>
      <w:r>
        <w:rPr>
          <w:rFonts w:hint="eastAsia" w:ascii="仿宋_GB2312" w:hAnsi="仿宋_GB2312" w:eastAsia="仿宋_GB2312" w:cs="仿宋_GB2312"/>
          <w:b/>
          <w:color w:val="000000"/>
          <w:kern w:val="0"/>
          <w:sz w:val="32"/>
          <w:szCs w:val="32"/>
        </w:rPr>
        <w:t>组织全市高校参与川渝高校反邪教警示宣传教育暨反邪教科普知识网络有奖竞答活动，防止邪教向高校渗透，营造和谐稳定的校园环境。</w:t>
      </w:r>
      <w:r>
        <w:rPr>
          <w:rFonts w:hint="eastAsia" w:ascii="仿宋_GB2312" w:hAnsi="仿宋_GB2312" w:eastAsia="仿宋_GB2312" w:cs="仿宋_GB2312"/>
          <w:b/>
          <w:sz w:val="32"/>
          <w:szCs w:val="32"/>
        </w:rPr>
        <w:t>三是开展“2022年反邪教理论文章征集活动”，向省反邪教协会推荐优秀论文5篇。四是向省反邪教协会推荐第三次会员代表大会会员代表2名和三届理事会理事候选人2名。五是开展“携手同心反邪教 法治护航筑平安”2022年四川省反邪教优秀原创作品征集评选系列活动，征集反邪教主题原创文字及创意设计、音频及短视频作品10篇，获奖作品1篇。六是开展集中防范邪教宣传月活动，活动期间，</w:t>
      </w:r>
      <w:r>
        <w:rPr>
          <w:rFonts w:hint="eastAsia" w:ascii="仿宋_GB2312" w:hAnsi="仿宋_GB2312" w:eastAsia="仿宋_GB2312" w:cs="仿宋_GB2312"/>
          <w:b/>
          <w:kern w:val="0"/>
          <w:sz w:val="32"/>
          <w:szCs w:val="32"/>
        </w:rPr>
        <w:t>开展反邪宣传100余场次，推送标语20余条，发放反邪宣传资料50000余份，反邪宣传环保袋5000余份，反邪宣传围裙3000余条。</w:t>
      </w:r>
    </w:p>
    <w:p>
      <w:pPr>
        <w:overflowPunct w:val="0"/>
        <w:topLinePunct/>
        <w:adjustRightInd w:val="0"/>
        <w:spacing w:line="550"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kern w:val="0"/>
          <w:sz w:val="32"/>
          <w:szCs w:val="32"/>
          <w:shd w:val="clear" w:color="auto" w:fill="FFFFFF"/>
          <w:lang w:val="zh-CN"/>
        </w:rPr>
        <w:t>全面提升全民科学素质，</w:t>
      </w:r>
      <w:r>
        <w:rPr>
          <w:rFonts w:hint="eastAsia" w:ascii="仿宋_GB2312" w:hAnsi="仿宋_GB2312" w:eastAsia="仿宋_GB2312" w:cs="仿宋_GB2312"/>
          <w:b/>
          <w:sz w:val="32"/>
          <w:szCs w:val="32"/>
        </w:rPr>
        <w:t>推动科技与经济紧密结合，</w:t>
      </w:r>
      <w:r>
        <w:rPr>
          <w:rFonts w:hint="eastAsia" w:ascii="仿宋_GB2312" w:hAnsi="仿宋_GB2312" w:eastAsia="仿宋_GB2312" w:cs="仿宋_GB2312"/>
          <w:b/>
          <w:kern w:val="0"/>
          <w:sz w:val="32"/>
          <w:szCs w:val="32"/>
          <w:shd w:val="clear" w:color="auto" w:fill="FFFFFF"/>
          <w:lang w:val="zh-CN"/>
        </w:rPr>
        <w:t>取得良好社会效益。通过各类活动的开展，</w:t>
      </w:r>
      <w:r>
        <w:rPr>
          <w:rFonts w:hint="eastAsia" w:ascii="仿宋_GB2312" w:hAnsi="仿宋_GB2312" w:eastAsia="仿宋_GB2312" w:cs="仿宋_GB2312"/>
          <w:b/>
          <w:kern w:val="0"/>
          <w:sz w:val="32"/>
          <w:szCs w:val="32"/>
          <w:shd w:val="clear" w:color="auto" w:fill="FFFFFF"/>
        </w:rPr>
        <w:t>全面提升了广大群众识邪、辩邪、防邪、拒邪的能力，打赢与邪教组织的意识形态主动战，凝聚强大正能量，</w:t>
      </w:r>
      <w:r>
        <w:rPr>
          <w:rFonts w:hint="eastAsia" w:ascii="仿宋_GB2312" w:hAnsi="仿宋_GB2312" w:eastAsia="仿宋_GB2312" w:cs="仿宋_GB2312"/>
          <w:b/>
          <w:kern w:val="0"/>
          <w:sz w:val="32"/>
          <w:szCs w:val="32"/>
          <w:shd w:val="clear" w:color="auto" w:fill="FFFFFF"/>
          <w:lang w:val="zh-CN"/>
        </w:rPr>
        <w:t>满意度</w:t>
      </w:r>
      <w:r>
        <w:rPr>
          <w:rFonts w:hint="eastAsia" w:ascii="仿宋_GB2312" w:hAnsi="仿宋_GB2312" w:eastAsia="仿宋_GB2312" w:cs="仿宋_GB2312"/>
          <w:b/>
          <w:kern w:val="0"/>
          <w:sz w:val="32"/>
          <w:szCs w:val="32"/>
          <w:shd w:val="clear" w:color="auto" w:fill="FFFFFF"/>
        </w:rPr>
        <w:t>90%以上</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50"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50"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r>
        <w:rPr>
          <w:rFonts w:hint="eastAsia" w:ascii="楷体_GB2312" w:hAnsi="仿宋_GB2312" w:eastAsia="楷体_GB2312" w:cs="仿宋_GB2312"/>
          <w:b/>
          <w:sz w:val="32"/>
          <w:szCs w:val="32"/>
        </w:rPr>
        <w:t>100分</w:t>
      </w:r>
      <w:r>
        <w:rPr>
          <w:rFonts w:hint="eastAsia" w:ascii="楷体_GB2312" w:hAnsi="仿宋_GB2312" w:eastAsia="楷体_GB2312" w:cs="仿宋_GB2312"/>
          <w:b/>
          <w:sz w:val="32"/>
          <w:szCs w:val="32"/>
          <w:lang w:val="zh-CN"/>
        </w:rPr>
        <w:t>）</w:t>
      </w:r>
    </w:p>
    <w:p>
      <w:pPr>
        <w:overflowPunct w:val="0"/>
        <w:topLinePunct/>
        <w:adjustRightInd w:val="0"/>
        <w:spacing w:line="550"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项目</w:t>
      </w:r>
      <w:r>
        <w:rPr>
          <w:rFonts w:hint="eastAsia" w:ascii="仿宋_GB2312" w:hAnsi="仿宋_GB2312" w:eastAsia="仿宋_GB2312" w:cs="仿宋_GB2312"/>
          <w:b/>
          <w:kern w:val="0"/>
          <w:sz w:val="32"/>
          <w:szCs w:val="32"/>
          <w:shd w:val="clear" w:color="auto" w:fill="FFFFFF"/>
        </w:rPr>
        <w:t>设置务实合理，管理办法有效，项目成效符合项目绩效目标预期。</w:t>
      </w:r>
    </w:p>
    <w:p>
      <w:pPr>
        <w:overflowPunct w:val="0"/>
        <w:topLinePunct/>
        <w:adjustRightInd w:val="0"/>
        <w:spacing w:line="550"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（二）存在的问题。</w:t>
      </w:r>
      <w:r>
        <w:rPr>
          <w:rFonts w:hint="eastAsia" w:ascii="仿宋_GB2312" w:hAnsi="仿宋_GB2312" w:eastAsia="仿宋_GB2312" w:cs="仿宋_GB2312"/>
          <w:b/>
          <w:sz w:val="32"/>
          <w:szCs w:val="32"/>
        </w:rPr>
        <w:t>项目资金与实际需求差口较大。</w:t>
      </w:r>
    </w:p>
    <w:p>
      <w:pPr>
        <w:overflowPunct w:val="0"/>
        <w:topLinePunct/>
        <w:adjustRightInd w:val="0"/>
        <w:spacing w:line="550" w:lineRule="exact"/>
        <w:ind w:firstLine="640" w:firstLineChars="200"/>
        <w:rPr>
          <w:rFonts w:hint="eastAsia" w:ascii="楷体_GB2312" w:hAnsi="黑体" w:eastAsia="楷体_GB2312" w:cs="仿宋_GB2312"/>
          <w:b/>
          <w:sz w:val="32"/>
          <w:szCs w:val="32"/>
          <w:lang w:val="zh-CN"/>
        </w:rPr>
      </w:pPr>
      <w:r>
        <w:rPr>
          <w:rFonts w:hint="eastAsia" w:ascii="楷体_GB2312" w:hAnsi="黑体" w:eastAsia="楷体_GB2312" w:cs="仿宋_GB2312"/>
          <w:b/>
          <w:sz w:val="32"/>
          <w:szCs w:val="32"/>
          <w:lang w:val="zh-CN"/>
        </w:rPr>
        <w:t>（三）相关建议。</w:t>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项</w:t>
      </w:r>
      <w:r>
        <w:rPr>
          <w:rFonts w:hint="eastAsia" w:ascii="仿宋_GB2312" w:hAnsi="仿宋_GB2312" w:eastAsia="仿宋_GB2312" w:cs="仿宋_GB2312"/>
          <w:b/>
          <w:spacing w:val="-8"/>
          <w:sz w:val="32"/>
          <w:szCs w:val="32"/>
        </w:rPr>
        <w:t>目资金与实际需求差口较大，建议财政加大科普资金投入。</w:t>
      </w:r>
    </w:p>
    <w:p>
      <w:pPr>
        <w:pStyle w:val="36"/>
        <w:overflowPunct w:val="0"/>
        <w:topLinePunct/>
        <w:adjustRightInd w:val="0"/>
        <w:spacing w:line="576" w:lineRule="exact"/>
        <w:rPr>
          <w:rFonts w:ascii="方正小标宋简体" w:hAnsi="方正小标宋简体" w:eastAsia="方正小标宋简体" w:cs="方正小标宋简体"/>
          <w:b/>
          <w:color w:val="auto"/>
          <w:kern w:val="2"/>
          <w:sz w:val="44"/>
          <w:szCs w:val="44"/>
          <w:lang w:val="en-US"/>
        </w:rPr>
      </w:pP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（学术交流）</w:t>
      </w:r>
    </w:p>
    <w:p>
      <w:pPr>
        <w:pStyle w:val="36"/>
        <w:overflowPunct w:val="0"/>
        <w:topLinePunct/>
        <w:adjustRightInd w:val="0"/>
        <w:spacing w:line="576" w:lineRule="exact"/>
        <w:ind w:firstLine="640"/>
        <w:jc w:val="center"/>
        <w:rPr>
          <w:rFonts w:ascii="宋体" w:hAnsi="宋体"/>
          <w:b/>
          <w:color w:val="auto"/>
          <w:kern w:val="2"/>
          <w:sz w:val="32"/>
          <w:szCs w:val="32"/>
        </w:rPr>
      </w:pP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w:t>
      </w:r>
      <w:r>
        <w:rPr>
          <w:rFonts w:hint="eastAsia" w:ascii="仿宋_GB2312" w:hAnsi="仿宋_GB2312" w:eastAsia="仿宋_GB2312" w:cs="仿宋_GB2312"/>
          <w:b/>
          <w:sz w:val="32"/>
          <w:szCs w:val="32"/>
          <w:shd w:val="clear" w:color="auto" w:fill="FFFFFF"/>
          <w:lang w:val="zh-CN"/>
        </w:rPr>
        <w:t>项目实施部室为学会部，具体负责</w:t>
      </w:r>
      <w:r>
        <w:rPr>
          <w:rFonts w:hint="eastAsia" w:ascii="仿宋_GB2312" w:hAnsi="仿宋_GB2312" w:eastAsia="仿宋_GB2312" w:cs="仿宋_GB2312"/>
          <w:b/>
          <w:sz w:val="32"/>
          <w:szCs w:val="32"/>
          <w:shd w:val="clear" w:color="auto" w:fill="FFFFFF"/>
        </w:rPr>
        <w:t>实施项目、开展和项目相关的业务工作。</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项目立项、资金申报的依据</w:t>
      </w:r>
      <w:r>
        <w:rPr>
          <w:rFonts w:hint="eastAsia" w:ascii="仿宋_GB2312" w:hAnsi="仿宋_GB2312" w:eastAsia="仿宋_GB2312" w:cs="仿宋_GB2312"/>
          <w:b/>
          <w:kern w:val="0"/>
          <w:sz w:val="32"/>
          <w:szCs w:val="32"/>
          <w:shd w:val="clear" w:color="auto" w:fill="FFFFFF"/>
        </w:rPr>
        <w:t>。</w:t>
      </w:r>
      <w:r>
        <w:rPr>
          <w:rFonts w:hint="eastAsia" w:ascii="仿宋_GB2312" w:hAnsi="仿宋_GB2312" w:eastAsia="仿宋_GB2312" w:cs="仿宋_GB2312"/>
          <w:b/>
          <w:kern w:val="0"/>
          <w:sz w:val="32"/>
          <w:szCs w:val="32"/>
          <w:shd w:val="clear" w:color="auto" w:fill="FFFFFF"/>
          <w:lang w:val="zh-CN"/>
        </w:rPr>
        <w:t>项目实施部室根据年度重点工作安排申报项目资金，经党组会议集体研究决定该项目立项并安排实施</w:t>
      </w:r>
      <w:r>
        <w:rPr>
          <w:rFonts w:hint="eastAsia" w:ascii="仿宋_GB2312" w:hAnsi="仿宋_GB2312" w:eastAsia="仿宋_GB2312" w:cs="仿宋_GB2312"/>
          <w:b/>
          <w:color w:val="666666"/>
          <w:kern w:val="0"/>
          <w:sz w:val="32"/>
          <w:szCs w:val="32"/>
          <w:shd w:val="clear" w:color="auto" w:fill="FFFFFF"/>
        </w:rPr>
        <w:t>。</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3.资金</w:t>
      </w:r>
      <w:r>
        <w:rPr>
          <w:rFonts w:hint="eastAsia" w:ascii="仿宋_GB2312" w:hAnsi="仿宋_GB2312" w:eastAsia="仿宋_GB2312" w:cs="仿宋_GB2312"/>
          <w:b/>
          <w:sz w:val="32"/>
          <w:szCs w:val="32"/>
          <w:shd w:val="clear" w:color="auto" w:fill="FFFFFF"/>
        </w:rPr>
        <w:t>或项目</w:t>
      </w:r>
      <w:r>
        <w:rPr>
          <w:rFonts w:hint="eastAsia" w:ascii="仿宋_GB2312" w:hAnsi="仿宋_GB2312" w:eastAsia="仿宋_GB2312" w:cs="仿宋_GB2312"/>
          <w:b/>
          <w:sz w:val="32"/>
          <w:szCs w:val="32"/>
          <w:shd w:val="clear" w:color="auto" w:fill="FFFFFF"/>
          <w:lang w:val="zh-CN"/>
        </w:rPr>
        <w:t>管理办法制定情况</w:t>
      </w:r>
      <w:r>
        <w:rPr>
          <w:rFonts w:hint="eastAsia" w:ascii="仿宋_GB2312" w:hAnsi="仿宋_GB2312" w:eastAsia="仿宋_GB2312" w:cs="仿宋_GB2312"/>
          <w:b/>
          <w:sz w:val="32"/>
          <w:szCs w:val="32"/>
          <w:shd w:val="clear" w:color="auto" w:fill="FFFFFF"/>
        </w:rPr>
        <w:t>。出台了市科协《专项资金管理使用制度》。</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4.资金分配的原则及考虑因素资金分配主要参考往年预算安排，结合年度重点工作确定。</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（二）项目绩效目标。</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1.项目主要内容。</w:t>
      </w:r>
      <w:r>
        <w:rPr>
          <w:rFonts w:hint="eastAsia" w:ascii="仿宋_GB2312" w:hAnsi="仿宋_GB2312" w:eastAsia="仿宋_GB2312" w:cs="仿宋_GB2312"/>
          <w:b/>
          <w:sz w:val="32"/>
          <w:szCs w:val="32"/>
        </w:rPr>
        <w:t>开展学术交流，活跃学术思想。反映科技工作者的意见和要求，维护科技工作者的合法权益。表彰奖励优秀科技工作者，举荐人才等。</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2.项目应实现具体绩效目标。召开科技工作者座谈会</w:t>
      </w:r>
      <w:r>
        <w:rPr>
          <w:rFonts w:hint="eastAsia" w:ascii="仿宋_GB2312" w:hAnsi="仿宋_GB2312" w:eastAsia="仿宋_GB2312" w:cs="仿宋_GB2312"/>
          <w:b/>
          <w:kern w:val="0"/>
          <w:sz w:val="32"/>
          <w:szCs w:val="32"/>
          <w:shd w:val="clear" w:color="auto" w:fill="FFFFFF"/>
        </w:rPr>
        <w:t>1次</w:t>
      </w:r>
      <w:r>
        <w:rPr>
          <w:rFonts w:hint="eastAsia" w:ascii="仿宋_GB2312" w:hAnsi="仿宋_GB2312" w:eastAsia="仿宋_GB2312" w:cs="仿宋_GB2312"/>
          <w:b/>
          <w:kern w:val="0"/>
          <w:sz w:val="32"/>
          <w:szCs w:val="32"/>
          <w:shd w:val="clear" w:color="auto" w:fill="FFFFFF"/>
          <w:lang w:val="zh-CN"/>
        </w:rPr>
        <w:t>、举办双创学术沙龙</w:t>
      </w:r>
      <w:r>
        <w:rPr>
          <w:rFonts w:hint="eastAsia" w:ascii="仿宋_GB2312" w:hAnsi="仿宋_GB2312" w:eastAsia="仿宋_GB2312" w:cs="仿宋_GB2312"/>
          <w:b/>
          <w:kern w:val="0"/>
          <w:sz w:val="32"/>
          <w:szCs w:val="32"/>
          <w:shd w:val="clear" w:color="auto" w:fill="FFFFFF"/>
        </w:rPr>
        <w:t>1次，组织开展了2022年广元市优秀科技论文征集评选活动，</w:t>
      </w:r>
      <w:r>
        <w:rPr>
          <w:rFonts w:hint="eastAsia" w:ascii="仿宋_GB2312" w:hAnsi="仿宋_GB2312" w:eastAsia="仿宋_GB2312" w:cs="仿宋_GB2312"/>
          <w:b/>
          <w:kern w:val="0"/>
          <w:sz w:val="32"/>
          <w:szCs w:val="32"/>
          <w:shd w:val="clear" w:color="auto" w:fill="FFFFFF"/>
          <w:lang w:val="zh-CN"/>
        </w:rPr>
        <w:t>实施学会能力提升建设</w:t>
      </w:r>
      <w:r>
        <w:rPr>
          <w:rFonts w:hint="eastAsia" w:ascii="仿宋_GB2312" w:hAnsi="仿宋_GB2312" w:eastAsia="仿宋_GB2312" w:cs="仿宋_GB2312"/>
          <w:b/>
          <w:kern w:val="0"/>
          <w:sz w:val="32"/>
          <w:szCs w:val="32"/>
          <w:shd w:val="clear" w:color="auto" w:fill="FFFFFF"/>
        </w:rPr>
        <w:t>5</w:t>
      </w:r>
      <w:r>
        <w:rPr>
          <w:rFonts w:hint="eastAsia" w:ascii="仿宋_GB2312" w:hAnsi="仿宋_GB2312" w:eastAsia="仿宋_GB2312" w:cs="仿宋_GB2312"/>
          <w:b/>
          <w:kern w:val="0"/>
          <w:sz w:val="32"/>
          <w:szCs w:val="32"/>
          <w:shd w:val="clear" w:color="auto" w:fill="FFFFFF"/>
          <w:lang w:val="zh-CN"/>
        </w:rPr>
        <w:t>家。通过各类活动的开展，达到凝聚科技工作者力量、促进科技与经济发展的社会效益，科技工作者对学会工作满意度</w:t>
      </w:r>
      <w:r>
        <w:rPr>
          <w:rFonts w:hint="eastAsia" w:ascii="仿宋_GB2312" w:hAnsi="仿宋_GB2312" w:eastAsia="仿宋_GB2312" w:cs="仿宋_GB2312"/>
          <w:b/>
          <w:kern w:val="0"/>
          <w:sz w:val="32"/>
          <w:szCs w:val="32"/>
          <w:shd w:val="clear" w:color="auto" w:fill="FFFFFF"/>
        </w:rPr>
        <w:t>90%以上</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3.申报内容结合部门职能职责，与实际工作相符，申报目标合理可行。</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（三）项目自评步骤及方法。</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（一）项目资金申报及批复情况。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15万元，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15万元，</w:t>
      </w:r>
      <w:r>
        <w:rPr>
          <w:rFonts w:hint="eastAsia" w:ascii="仿宋_GB2312" w:hAnsi="仿宋_GB2312" w:eastAsia="仿宋_GB2312" w:cs="仿宋_GB2312"/>
          <w:b/>
          <w:sz w:val="32"/>
          <w:szCs w:val="32"/>
          <w:lang w:val="zh-CN"/>
        </w:rPr>
        <w:t>申报条件、申报程序等符合本部门专项资金使用管理制度。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（二）资金计划、到位及使用情况（可用表格形式反映）。</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bCs/>
          <w:sz w:val="32"/>
          <w:szCs w:val="32"/>
          <w:lang w:val="zh-CN"/>
        </w:rPr>
        <w:t>1.资金计划。计</w:t>
      </w:r>
      <w:r>
        <w:rPr>
          <w:rFonts w:hint="eastAsia" w:ascii="仿宋_GB2312" w:hAnsi="仿宋_GB2312" w:eastAsia="仿宋_GB2312" w:cs="仿宋_GB2312"/>
          <w:b/>
          <w:bCs/>
          <w:spacing w:val="-10"/>
          <w:sz w:val="32"/>
          <w:szCs w:val="32"/>
          <w:lang w:val="zh-CN"/>
        </w:rPr>
        <w:t>划资金</w:t>
      </w:r>
      <w:r>
        <w:rPr>
          <w:rFonts w:hint="eastAsia" w:ascii="仿宋_GB2312" w:hAnsi="仿宋_GB2312" w:eastAsia="仿宋_GB2312" w:cs="仿宋_GB2312"/>
          <w:b/>
          <w:bCs/>
          <w:spacing w:val="-10"/>
          <w:sz w:val="32"/>
          <w:szCs w:val="32"/>
        </w:rPr>
        <w:t>15万元，来源为</w:t>
      </w:r>
      <w:r>
        <w:rPr>
          <w:rFonts w:hint="eastAsia" w:ascii="仿宋_GB2312" w:hAnsi="仿宋_GB2312" w:eastAsia="仿宋_GB2312" w:cs="仿宋_GB2312"/>
          <w:b/>
          <w:spacing w:val="-10"/>
          <w:sz w:val="32"/>
          <w:szCs w:val="32"/>
          <w:lang w:val="zh-CN"/>
        </w:rPr>
        <w:t>市本级财政预算资金。</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2022年该项目共支出15万元，</w:t>
      </w:r>
      <w:r>
        <w:rPr>
          <w:rFonts w:hint="eastAsia" w:ascii="仿宋_GB2312" w:hAnsi="仿宋_GB2312" w:eastAsia="仿宋_GB2312" w:cs="仿宋_GB2312"/>
          <w:b/>
          <w:sz w:val="32"/>
          <w:szCs w:val="32"/>
          <w:lang w:val="zh-CN"/>
        </w:rPr>
        <w:t>主要用于开展活动产生的场地费、资料印刷费、交通费、咨询费、最美科技工作者宣传推广、对优秀学会组织进行奖补等，资金开支范围、标准及支付进度、支付依据合规合法，资金支付与预算相符。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（三）项目财务管理情况。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专项资金使用严格按照年初确定的预算及其规定的用途和范围专款专用，由兼职财务人员负责项目资金的统一管理，实行单独核算。项目实施部室对项目实施情况进行全过程监督，对资金的使用绩效负责。</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sz w:val="32"/>
          <w:szCs w:val="32"/>
        </w:rPr>
        <w:t>三、项目实施及管理情况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（一）项目组织架构及实施流程。</w:t>
      </w:r>
      <w:r>
        <w:rPr>
          <w:rFonts w:hint="eastAsia" w:ascii="仿宋_GB2312" w:hAnsi="仿宋_GB2312" w:eastAsia="仿宋_GB2312" w:cs="仿宋_GB2312"/>
          <w:b/>
          <w:sz w:val="32"/>
          <w:szCs w:val="32"/>
          <w:lang w:val="zh-CN"/>
        </w:rPr>
        <w:t>按照单位内部控制制度体系，由市科协党组决定预算管理政策、年度预算追加及调整，年度财务决算等重大事项，办公室负责日常预算管理工作，业务部室提出本部室年度预算，组织实施经批复的年度预算。</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（二）项目管理情况。</w:t>
      </w:r>
      <w:r>
        <w:rPr>
          <w:rFonts w:hint="eastAsia" w:ascii="仿宋_GB2312" w:hAnsi="仿宋_GB2312" w:eastAsia="仿宋_GB2312" w:cs="仿宋_GB2312"/>
          <w:b/>
          <w:sz w:val="32"/>
          <w:szCs w:val="32"/>
          <w:lang w:val="zh-CN"/>
        </w:rPr>
        <w:t>由分管学会工作的领导牵头，学会部具体负责日常工作的开展，对项目实施结果负责。</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（三）项目监管情况。</w:t>
      </w:r>
      <w:r>
        <w:rPr>
          <w:rFonts w:hint="eastAsia" w:ascii="仿宋_GB2312" w:hAnsi="仿宋_GB2312" w:eastAsia="仿宋_GB2312" w:cs="仿宋_GB2312"/>
          <w:b/>
          <w:sz w:val="32"/>
          <w:szCs w:val="32"/>
          <w:lang w:val="zh-CN"/>
        </w:rPr>
        <w:t>办公室（财务）对项目完成实施情况进行全过程</w:t>
      </w:r>
      <w:r>
        <w:rPr>
          <w:rFonts w:hint="eastAsia" w:ascii="仿宋_GB2312" w:hAnsi="仿宋_GB2312" w:eastAsia="仿宋_GB2312" w:cs="仿宋_GB2312"/>
          <w:b/>
          <w:sz w:val="32"/>
          <w:szCs w:val="32"/>
        </w:rPr>
        <w:t>监督检查，牵头开展项目的绩效考评和总结，保障资金使用安全及效益。</w:t>
      </w: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四、项目绩效情况</w:t>
      </w:r>
      <w:r>
        <w:rPr>
          <w:rFonts w:hint="eastAsia" w:ascii="黑体" w:hAnsi="黑体" w:eastAsia="黑体" w:cs="仿宋_GB2312"/>
          <w:b/>
          <w:sz w:val="32"/>
          <w:szCs w:val="32"/>
          <w:lang w:val="zh-CN"/>
        </w:rPr>
        <w:tab/>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楷体_GB2312" w:hAnsi="仿宋_GB2312" w:eastAsia="楷体_GB2312" w:cs="仿宋_GB2312"/>
          <w:b/>
          <w:sz w:val="32"/>
          <w:szCs w:val="32"/>
          <w:lang w:val="zh-CN"/>
        </w:rPr>
        <w:t>（一）项目完成情况。</w:t>
      </w:r>
      <w:r>
        <w:rPr>
          <w:rFonts w:hint="eastAsia" w:ascii="仿宋_GB2312" w:hAnsi="仿宋_GB2312" w:eastAsia="仿宋_GB2312" w:cs="仿宋_GB2312"/>
          <w:b/>
          <w:sz w:val="32"/>
          <w:szCs w:val="32"/>
          <w:lang w:val="zh-CN"/>
        </w:rPr>
        <w:t>项目完成情况符合预期，绩效目标完成率</w:t>
      </w:r>
      <w:r>
        <w:rPr>
          <w:rFonts w:hint="eastAsia" w:ascii="仿宋_GB2312" w:hAnsi="仿宋_GB2312" w:eastAsia="仿宋_GB2312" w:cs="仿宋_GB2312"/>
          <w:b/>
          <w:sz w:val="32"/>
          <w:szCs w:val="32"/>
        </w:rPr>
        <w:t>100%。</w:t>
      </w:r>
      <w:r>
        <w:rPr>
          <w:rFonts w:hint="eastAsia" w:ascii="仿宋_GB2312" w:hAnsi="仿宋_GB2312" w:eastAsia="仿宋_GB2312" w:cs="仿宋_GB2312"/>
          <w:b/>
          <w:sz w:val="32"/>
          <w:szCs w:val="32"/>
          <w:lang w:val="zh-CN"/>
        </w:rPr>
        <w:t>一是</w:t>
      </w:r>
      <w:r>
        <w:rPr>
          <w:rFonts w:hint="eastAsia" w:ascii="仿宋_GB2312" w:hAnsi="仿宋_GB2312" w:eastAsia="仿宋_GB2312" w:cs="仿宋_GB2312"/>
          <w:b/>
          <w:bCs/>
          <w:sz w:val="32"/>
          <w:szCs w:val="32"/>
        </w:rPr>
        <w:t>举办广元市第七届“双创”学术沙龙1次，</w:t>
      </w:r>
      <w:r>
        <w:rPr>
          <w:rStyle w:val="38"/>
          <w:rFonts w:hint="eastAsia" w:ascii="仿宋_GB2312" w:hAnsi="仿宋_GB2312" w:eastAsia="仿宋_GB2312" w:cs="仿宋_GB2312"/>
          <w:b/>
          <w:sz w:val="32"/>
          <w:szCs w:val="32"/>
        </w:rPr>
        <w:t>来自不同领域的6名</w:t>
      </w:r>
      <w:r>
        <w:rPr>
          <w:rFonts w:hint="eastAsia" w:ascii="仿宋_GB2312" w:hAnsi="仿宋_GB2312" w:eastAsia="仿宋_GB2312" w:cs="仿宋_GB2312"/>
          <w:b/>
          <w:sz w:val="32"/>
          <w:szCs w:val="32"/>
        </w:rPr>
        <w:t>“双创”代表进行了现场交流发言</w:t>
      </w:r>
      <w:r>
        <w:rPr>
          <w:rFonts w:hint="eastAsia" w:ascii="仿宋_GB2312" w:hAnsi="仿宋_GB2312" w:eastAsia="仿宋_GB2312" w:cs="仿宋_GB2312"/>
          <w:b/>
          <w:bCs/>
          <w:sz w:val="32"/>
          <w:szCs w:val="32"/>
        </w:rPr>
        <w:t>，</w:t>
      </w:r>
      <w:r>
        <w:rPr>
          <w:rStyle w:val="38"/>
          <w:rFonts w:hint="eastAsia" w:ascii="仿宋_GB2312" w:hAnsi="仿宋_GB2312" w:eastAsia="仿宋_GB2312" w:cs="仿宋_GB2312"/>
          <w:b/>
          <w:sz w:val="32"/>
          <w:szCs w:val="32"/>
        </w:rPr>
        <w:t>向荣获2022年“双创”学术沙龙活动先进集体的广元市预防医学会等4个单位，艾力.赛丁等10个先进个人颁发了荣誉证书。</w:t>
      </w:r>
      <w:r>
        <w:rPr>
          <w:rFonts w:hint="eastAsia" w:ascii="仿宋_GB2312" w:hAnsi="仿宋_GB2312" w:eastAsia="仿宋_GB2312" w:cs="仿宋_GB2312"/>
          <w:b/>
          <w:bCs/>
          <w:sz w:val="32"/>
          <w:szCs w:val="32"/>
        </w:rPr>
        <w:t>二是开展2022年度学会能力提升项目建设，择优评选市老科协、魔芋协会、市科普作家协会、市中医学会、市医学会5家，其中市魔芋协会会长黄军周成功入选“中国农技协百强乡土人才”。</w:t>
      </w:r>
      <w:r>
        <w:rPr>
          <w:rFonts w:hint="eastAsia" w:ascii="仿宋_GB2312" w:hAnsi="仿宋_GB2312" w:eastAsia="仿宋_GB2312" w:cs="仿宋_GB2312"/>
          <w:b/>
          <w:sz w:val="32"/>
          <w:szCs w:val="32"/>
        </w:rPr>
        <w:t>三是召开2022年广元市“5.30全国科技工作者日”座谈会1次，向全市科技工作者发出了《关于开展“创新争先、自立自强”主题实践活动的倡议书》，发布了广元市第二届“十大最美科技工作者”，科技工作者代表进行了交流发言。四是组织开展了2022年优秀科技论文征集评选活动1次，征集科技论文68篇，评选52篇优秀优秀科技论文。</w:t>
      </w:r>
    </w:p>
    <w:p>
      <w:pPr>
        <w:overflowPunct w:val="0"/>
        <w:topLinePunct/>
        <w:adjustRightInd w:val="0"/>
        <w:spacing w:line="576" w:lineRule="exact"/>
        <w:ind w:firstLine="640" w:firstLineChars="200"/>
        <w:rPr>
          <w:rFonts w:ascii="仿宋_GB2312" w:hAnsi="仿宋_GB2312" w:eastAsia="仿宋_GB2312" w:cs="仿宋_GB2312"/>
          <w:b/>
          <w:color w:val="000000"/>
          <w:sz w:val="32"/>
          <w:szCs w:val="32"/>
          <w:shd w:val="clear" w:color="auto" w:fill="FFFFFF"/>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sz w:val="32"/>
          <w:szCs w:val="32"/>
        </w:rPr>
        <w:t>通过搭建科技创新平台，举办和组织参加学术会议，开展项目支持，为各类人才发挥作用创造条件，推动科技与经济紧密结合，为科技进步和经济社会事业发展作出更大的贡献。</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r>
        <w:rPr>
          <w:rFonts w:hint="eastAsia" w:ascii="楷体_GB2312" w:hAnsi="仿宋_GB2312" w:eastAsia="楷体_GB2312" w:cs="仿宋_GB2312"/>
          <w:b/>
          <w:sz w:val="32"/>
          <w:szCs w:val="32"/>
        </w:rPr>
        <w:t>99.5分</w:t>
      </w:r>
      <w:r>
        <w:rPr>
          <w:rFonts w:hint="eastAsia" w:ascii="楷体_GB2312" w:hAnsi="仿宋_GB2312" w:eastAsia="楷体_GB2312" w:cs="仿宋_GB2312"/>
          <w:b/>
          <w:sz w:val="32"/>
          <w:szCs w:val="32"/>
          <w:lang w:val="zh-CN"/>
        </w:rPr>
        <w:t>）</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项目</w:t>
      </w:r>
      <w:r>
        <w:rPr>
          <w:rFonts w:hint="eastAsia" w:ascii="仿宋_GB2312" w:hAnsi="仿宋_GB2312" w:eastAsia="仿宋_GB2312" w:cs="仿宋_GB2312"/>
          <w:b/>
          <w:kern w:val="0"/>
          <w:sz w:val="32"/>
          <w:szCs w:val="32"/>
          <w:shd w:val="clear" w:color="auto" w:fill="FFFFFF"/>
        </w:rPr>
        <w:t>设置务实合理，管理办法有效，项目成效符合项目绩效目标预期。</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（二）存在的问题。</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因疫情影响，项目预算执行进度没有达到预期。</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（三）相关建议。</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财政绩效评价中应考虑不可抗拒因素（如新冠疫情等）导致的执行时间精度延迟情况，建议不纳入单位扣分项。</w:t>
      </w:r>
    </w:p>
    <w:p>
      <w:pPr>
        <w:pStyle w:val="36"/>
        <w:overflowPunct w:val="0"/>
        <w:topLinePunct/>
        <w:adjustRightInd w:val="0"/>
        <w:spacing w:line="576" w:lineRule="exact"/>
        <w:rPr>
          <w:rFonts w:ascii="方正小标宋简体" w:hAnsi="方正小标宋简体" w:eastAsia="方正小标宋简体" w:cs="方正小标宋简体"/>
          <w:b/>
          <w:color w:val="auto"/>
          <w:kern w:val="2"/>
          <w:sz w:val="44"/>
          <w:szCs w:val="44"/>
          <w:lang w:val="en-US"/>
        </w:rPr>
      </w:pP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（院士、专家、海智工作站建设）</w:t>
      </w:r>
    </w:p>
    <w:p>
      <w:pPr>
        <w:pStyle w:val="36"/>
        <w:overflowPunct w:val="0"/>
        <w:topLinePunct/>
        <w:adjustRightInd w:val="0"/>
        <w:spacing w:line="576" w:lineRule="exact"/>
        <w:ind w:firstLine="640"/>
        <w:rPr>
          <w:rFonts w:ascii="宋体" w:hAnsi="宋体"/>
          <w:b/>
          <w:color w:val="auto"/>
          <w:kern w:val="2"/>
          <w:sz w:val="32"/>
          <w:szCs w:val="32"/>
        </w:rPr>
      </w:pP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1.项目主管部门为广元市科学技术协会，下属事业单位市科技服务中心</w:t>
      </w:r>
      <w:r>
        <w:rPr>
          <w:rFonts w:hint="eastAsia" w:ascii="仿宋_GB2312" w:hAnsi="仿宋_GB2312" w:eastAsia="仿宋_GB2312" w:cs="仿宋_GB2312"/>
          <w:b/>
          <w:sz w:val="32"/>
          <w:szCs w:val="32"/>
          <w:shd w:val="clear" w:color="auto" w:fill="FFFFFF"/>
          <w:lang w:val="zh-CN"/>
        </w:rPr>
        <w:t>具体负责</w:t>
      </w:r>
      <w:r>
        <w:rPr>
          <w:rFonts w:hint="eastAsia" w:ascii="仿宋_GB2312" w:hAnsi="仿宋_GB2312" w:eastAsia="仿宋_GB2312" w:cs="仿宋_GB2312"/>
          <w:b/>
          <w:sz w:val="32"/>
          <w:szCs w:val="32"/>
          <w:shd w:val="clear" w:color="auto" w:fill="FFFFFF"/>
        </w:rPr>
        <w:t>项目实施，开展和项目相关的业务工作。</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项目立项、资金申报的依据</w:t>
      </w:r>
      <w:r>
        <w:rPr>
          <w:rFonts w:hint="eastAsia" w:ascii="仿宋_GB2312" w:hAnsi="仿宋_GB2312" w:eastAsia="仿宋_GB2312" w:cs="仿宋_GB2312"/>
          <w:b/>
          <w:kern w:val="0"/>
          <w:sz w:val="32"/>
          <w:szCs w:val="32"/>
          <w:shd w:val="clear" w:color="auto" w:fill="FFFFFF"/>
        </w:rPr>
        <w:t>。</w:t>
      </w:r>
      <w:r>
        <w:rPr>
          <w:rFonts w:hint="eastAsia" w:ascii="仿宋_GB2312" w:hAnsi="仿宋_GB2312" w:eastAsia="仿宋_GB2312" w:cs="仿宋_GB2312"/>
          <w:b/>
          <w:kern w:val="0"/>
          <w:sz w:val="32"/>
          <w:szCs w:val="32"/>
          <w:shd w:val="clear" w:color="auto" w:fill="FFFFFF"/>
          <w:lang w:val="zh-CN"/>
        </w:rPr>
        <w:t>根据年度重点工作安排申报项目资金，经党组会议集体研究决定该项目立项并安排实施</w:t>
      </w:r>
      <w:r>
        <w:rPr>
          <w:rFonts w:hint="eastAsia" w:ascii="仿宋_GB2312" w:hAnsi="仿宋_GB2312" w:eastAsia="仿宋_GB2312" w:cs="仿宋_GB2312"/>
          <w:b/>
          <w:color w:val="666666"/>
          <w:kern w:val="0"/>
          <w:sz w:val="32"/>
          <w:szCs w:val="32"/>
          <w:shd w:val="clear" w:color="auto" w:fill="FFFFFF"/>
        </w:rPr>
        <w:t>。</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3.资金</w:t>
      </w:r>
      <w:r>
        <w:rPr>
          <w:rFonts w:hint="eastAsia" w:ascii="仿宋_GB2312" w:hAnsi="仿宋_GB2312" w:eastAsia="仿宋_GB2312" w:cs="仿宋_GB2312"/>
          <w:b/>
          <w:sz w:val="32"/>
          <w:szCs w:val="32"/>
          <w:shd w:val="clear" w:color="auto" w:fill="FFFFFF"/>
        </w:rPr>
        <w:t>或项目</w:t>
      </w:r>
      <w:r>
        <w:rPr>
          <w:rFonts w:hint="eastAsia" w:ascii="仿宋_GB2312" w:hAnsi="仿宋_GB2312" w:eastAsia="仿宋_GB2312" w:cs="仿宋_GB2312"/>
          <w:b/>
          <w:sz w:val="32"/>
          <w:szCs w:val="32"/>
          <w:shd w:val="clear" w:color="auto" w:fill="FFFFFF"/>
          <w:lang w:val="zh-CN"/>
        </w:rPr>
        <w:t>管理办法制定情况</w:t>
      </w:r>
      <w:r>
        <w:rPr>
          <w:rFonts w:hint="eastAsia" w:ascii="仿宋_GB2312" w:hAnsi="仿宋_GB2312" w:eastAsia="仿宋_GB2312" w:cs="仿宋_GB2312"/>
          <w:b/>
          <w:sz w:val="32"/>
          <w:szCs w:val="32"/>
          <w:shd w:val="clear" w:color="auto" w:fill="FFFFFF"/>
        </w:rPr>
        <w:t>。出台了市科协《专项资金管理使用制度》。</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4.资金分配的原则及考虑因素资金分配主要参考往年预算安排，结合年度重点工作确定。</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（二）项目绩效目标。</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1.项目主要内容。对已建第七批市级专家工作站运行情况进行绩效考评。</w:t>
      </w:r>
      <w:r>
        <w:rPr>
          <w:rFonts w:hint="eastAsia" w:ascii="仿宋_GB2312" w:hAnsi="仿宋_GB2312" w:eastAsia="仿宋_GB2312" w:cs="仿宋_GB2312"/>
          <w:b/>
          <w:kern w:val="0"/>
          <w:sz w:val="32"/>
          <w:szCs w:val="32"/>
          <w:shd w:val="clear" w:color="auto" w:fill="FFFFFF"/>
        </w:rPr>
        <w:t>新建</w:t>
      </w:r>
      <w:r>
        <w:rPr>
          <w:rFonts w:hint="eastAsia" w:ascii="仿宋_GB2312" w:hAnsi="仿宋_GB2312" w:eastAsia="仿宋_GB2312" w:cs="仿宋_GB2312"/>
          <w:b/>
          <w:kern w:val="0"/>
          <w:sz w:val="32"/>
          <w:szCs w:val="32"/>
          <w:shd w:val="clear" w:color="auto" w:fill="FFFFFF"/>
          <w:lang w:val="zh-CN"/>
        </w:rPr>
        <w:t>第九批市级专家工作站、第五批海智工作站</w:t>
      </w:r>
      <w:r>
        <w:rPr>
          <w:rFonts w:hint="eastAsia" w:ascii="仿宋_GB2312" w:hAnsi="仿宋_GB2312" w:eastAsia="仿宋_GB2312" w:cs="仿宋_GB2312"/>
          <w:b/>
          <w:kern w:val="0"/>
          <w:sz w:val="32"/>
          <w:szCs w:val="32"/>
          <w:shd w:val="clear" w:color="auto" w:fill="FFFFFF"/>
        </w:rPr>
        <w:t>。做好省级院士（专家）工作站申报推荐等。</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lang w:val="zh-CN"/>
        </w:rPr>
        <w:t>2.项目应实现具体绩效目标。新建市级</w:t>
      </w:r>
      <w:r>
        <w:rPr>
          <w:rFonts w:hint="eastAsia" w:ascii="仿宋_GB2312" w:hAnsi="仿宋_GB2312" w:eastAsia="仿宋_GB2312" w:cs="仿宋_GB2312"/>
          <w:b/>
          <w:kern w:val="0"/>
          <w:sz w:val="32"/>
          <w:szCs w:val="32"/>
          <w:shd w:val="clear" w:color="auto" w:fill="FFFFFF"/>
        </w:rPr>
        <w:t>市级院士（专家）工作站3家、</w:t>
      </w:r>
      <w:r>
        <w:rPr>
          <w:rFonts w:hint="eastAsia" w:ascii="仿宋_GB2312" w:hAnsi="仿宋_GB2312" w:eastAsia="仿宋_GB2312" w:cs="仿宋_GB2312"/>
          <w:b/>
          <w:kern w:val="0"/>
          <w:sz w:val="32"/>
          <w:szCs w:val="32"/>
          <w:shd w:val="clear" w:color="auto" w:fill="FFFFFF"/>
          <w:lang w:val="zh-CN"/>
        </w:rPr>
        <w:t>海智工作站</w:t>
      </w:r>
      <w:r>
        <w:rPr>
          <w:rFonts w:hint="eastAsia" w:ascii="仿宋_GB2312" w:hAnsi="仿宋_GB2312" w:eastAsia="仿宋_GB2312" w:cs="仿宋_GB2312"/>
          <w:b/>
          <w:kern w:val="0"/>
          <w:sz w:val="32"/>
          <w:szCs w:val="32"/>
          <w:shd w:val="clear" w:color="auto" w:fill="FFFFFF"/>
        </w:rPr>
        <w:t>1个，开展院士（专家）广元行活动1次、院士（专家）工作站成果展示推广活动1次，外出考察学习活动1次，开展工作站绩效考评，奖励示范工作站5个，通过工作的开展，达到提升科技企业创新能力、降低运行成本，加快广元科技服务事业发展的效益，服务对象满意度90%以上。</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3.申报内容结合部门职能职责，与实际工作相符，申报目标合理可行。</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（三）项目自评步骤及方法。</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（一）项目资金申报及批复情况。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20万元，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20万元，</w:t>
      </w:r>
      <w:r>
        <w:rPr>
          <w:rFonts w:hint="eastAsia" w:ascii="仿宋_GB2312" w:hAnsi="仿宋_GB2312" w:eastAsia="仿宋_GB2312" w:cs="仿宋_GB2312"/>
          <w:b/>
          <w:sz w:val="32"/>
          <w:szCs w:val="32"/>
          <w:lang w:val="zh-CN"/>
        </w:rPr>
        <w:t>申报条件、申报程序等符合本部门专项资金使用管理制度。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（二）资金计划、到位及使用情况。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bCs/>
          <w:sz w:val="32"/>
          <w:szCs w:val="32"/>
          <w:lang w:val="zh-CN"/>
        </w:rPr>
        <w:t>1.资金计划。计</w:t>
      </w:r>
      <w:r>
        <w:rPr>
          <w:rFonts w:hint="eastAsia" w:ascii="仿宋_GB2312" w:hAnsi="仿宋_GB2312" w:eastAsia="仿宋_GB2312" w:cs="仿宋_GB2312"/>
          <w:b/>
          <w:bCs/>
          <w:spacing w:val="-10"/>
          <w:sz w:val="32"/>
          <w:szCs w:val="32"/>
          <w:lang w:val="zh-CN"/>
        </w:rPr>
        <w:t>划资金</w:t>
      </w:r>
      <w:r>
        <w:rPr>
          <w:rFonts w:hint="eastAsia" w:ascii="仿宋_GB2312" w:hAnsi="仿宋_GB2312" w:eastAsia="仿宋_GB2312" w:cs="仿宋_GB2312"/>
          <w:b/>
          <w:bCs/>
          <w:spacing w:val="-10"/>
          <w:sz w:val="32"/>
          <w:szCs w:val="32"/>
        </w:rPr>
        <w:t>20万元，来源为</w:t>
      </w:r>
      <w:r>
        <w:rPr>
          <w:rFonts w:hint="eastAsia" w:ascii="仿宋_GB2312" w:hAnsi="仿宋_GB2312" w:eastAsia="仿宋_GB2312" w:cs="仿宋_GB2312"/>
          <w:b/>
          <w:spacing w:val="-10"/>
          <w:sz w:val="32"/>
          <w:szCs w:val="32"/>
          <w:lang w:val="zh-CN"/>
        </w:rPr>
        <w:t>市本级财政预算资金。</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2022年该项目共支出20万元，</w:t>
      </w:r>
      <w:r>
        <w:rPr>
          <w:rFonts w:hint="eastAsia" w:ascii="仿宋_GB2312" w:hAnsi="仿宋_GB2312" w:eastAsia="仿宋_GB2312" w:cs="仿宋_GB2312"/>
          <w:b/>
          <w:sz w:val="32"/>
          <w:szCs w:val="32"/>
          <w:lang w:val="zh-CN"/>
        </w:rPr>
        <w:t>主要用于</w:t>
      </w:r>
      <w:r>
        <w:rPr>
          <w:rFonts w:hint="eastAsia" w:ascii="仿宋_GB2312" w:hAnsi="仿宋_GB2312" w:eastAsia="仿宋_GB2312" w:cs="仿宋_GB2312"/>
          <w:b/>
          <w:sz w:val="32"/>
          <w:szCs w:val="32"/>
        </w:rPr>
        <w:t>院士专家海智工作站建设工作经费、绩效考评奖补</w:t>
      </w:r>
      <w:r>
        <w:rPr>
          <w:rFonts w:hint="eastAsia" w:ascii="仿宋_GB2312" w:hAnsi="仿宋_GB2312" w:eastAsia="仿宋_GB2312" w:cs="仿宋_GB2312"/>
          <w:b/>
          <w:sz w:val="32"/>
          <w:szCs w:val="32"/>
          <w:lang w:val="zh-CN"/>
        </w:rPr>
        <w:t>等，资金开支范围、标准及支付进度、支付依据合规合法，资金支付与预算相符。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（三）项目财务管理情况。</w:t>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专项资金使用严格按照年初确定的预算及其规定的用途和范围专款专用，由兼职财务人员负责项目资金的统一管理，实行单独核算。项目实施部室对项目实施情况进行全过程监督，对资金的使用绩效负责。</w:t>
      </w:r>
    </w:p>
    <w:p>
      <w:pPr>
        <w:overflowPunct w:val="0"/>
        <w:topLinePunct/>
        <w:adjustRightInd w:val="0"/>
        <w:spacing w:line="550" w:lineRule="exact"/>
        <w:ind w:firstLine="640" w:firstLineChars="200"/>
        <w:rPr>
          <w:rFonts w:hint="eastAsia" w:ascii="黑体" w:hAnsi="黑体" w:eastAsia="黑体" w:cs="仿宋_GB2312"/>
          <w:b/>
          <w:kern w:val="0"/>
          <w:sz w:val="32"/>
          <w:szCs w:val="32"/>
          <w:shd w:val="clear" w:color="auto" w:fill="FFFFFF"/>
          <w:lang w:val="zh-CN"/>
        </w:rPr>
      </w:pPr>
      <w:r>
        <w:rPr>
          <w:rFonts w:hint="eastAsia" w:ascii="黑体" w:hAnsi="黑体" w:eastAsia="黑体" w:cs="仿宋_GB2312"/>
          <w:b/>
          <w:sz w:val="32"/>
          <w:szCs w:val="32"/>
        </w:rPr>
        <w:t>三、项目实施及管理情况</w:t>
      </w:r>
    </w:p>
    <w:p>
      <w:pPr>
        <w:overflowPunct w:val="0"/>
        <w:topLinePunct/>
        <w:adjustRightInd w:val="0"/>
        <w:spacing w:line="550"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（一）项目组织架构及实施流程。</w:t>
      </w:r>
      <w:r>
        <w:rPr>
          <w:rFonts w:hint="eastAsia" w:ascii="仿宋_GB2312" w:hAnsi="仿宋_GB2312" w:eastAsia="仿宋_GB2312" w:cs="仿宋_GB2312"/>
          <w:b/>
          <w:sz w:val="32"/>
          <w:szCs w:val="32"/>
          <w:lang w:val="zh-CN"/>
        </w:rPr>
        <w:t>按照单位内部控制制度体系，由市科协党组决定预算管理政策、年度预算追加及调整，年度财务决算等重大事项，办公室（财务）负责日常预算管理工作，</w:t>
      </w:r>
      <w:r>
        <w:rPr>
          <w:rFonts w:hint="eastAsia" w:ascii="仿宋_GB2312" w:hAnsi="仿宋_GB2312" w:eastAsia="仿宋_GB2312" w:cs="仿宋_GB2312"/>
          <w:b/>
          <w:spacing w:val="-10"/>
          <w:sz w:val="32"/>
          <w:szCs w:val="32"/>
          <w:lang w:val="zh-CN"/>
        </w:rPr>
        <w:t>市科技服务中心提出本单位年度预算，组织实施经批复的年度预算。</w:t>
      </w:r>
    </w:p>
    <w:p>
      <w:pPr>
        <w:overflowPunct w:val="0"/>
        <w:topLinePunct/>
        <w:adjustRightInd w:val="0"/>
        <w:spacing w:line="550"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（二）项目管理情况。</w:t>
      </w:r>
      <w:r>
        <w:rPr>
          <w:rFonts w:hint="eastAsia" w:ascii="仿宋_GB2312" w:hAnsi="仿宋_GB2312" w:eastAsia="仿宋_GB2312" w:cs="仿宋_GB2312"/>
          <w:b/>
          <w:sz w:val="32"/>
          <w:szCs w:val="32"/>
          <w:lang w:val="zh-CN"/>
        </w:rPr>
        <w:t>由分管领导牵头，市科技服务中心具体负责日常工作的开展，对项目实施结果负责。</w:t>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（三）项目监管情况。</w:t>
      </w:r>
      <w:r>
        <w:rPr>
          <w:rFonts w:hint="eastAsia" w:ascii="仿宋_GB2312" w:hAnsi="仿宋_GB2312" w:eastAsia="仿宋_GB2312" w:cs="仿宋_GB2312"/>
          <w:b/>
          <w:sz w:val="32"/>
          <w:szCs w:val="32"/>
          <w:lang w:val="zh-CN"/>
        </w:rPr>
        <w:t>办公室（财务）对项目完成实施情况进行全过程</w:t>
      </w:r>
      <w:r>
        <w:rPr>
          <w:rFonts w:hint="eastAsia" w:ascii="仿宋_GB2312" w:hAnsi="仿宋_GB2312" w:eastAsia="仿宋_GB2312" w:cs="仿宋_GB2312"/>
          <w:b/>
          <w:sz w:val="32"/>
          <w:szCs w:val="32"/>
        </w:rPr>
        <w:t>监督检查，牵头开展项目的绩效考评和总结，保障资金使用安全及效益。</w:t>
      </w:r>
    </w:p>
    <w:p>
      <w:pPr>
        <w:overflowPunct w:val="0"/>
        <w:topLinePunct/>
        <w:adjustRightInd w:val="0"/>
        <w:spacing w:line="550" w:lineRule="exact"/>
        <w:ind w:firstLine="640" w:firstLineChars="200"/>
        <w:rPr>
          <w:rFonts w:hint="eastAsia" w:ascii="黑体" w:hAnsi="黑体" w:eastAsia="黑体" w:cs="仿宋_GB2312"/>
          <w:b/>
          <w:sz w:val="32"/>
          <w:szCs w:val="32"/>
          <w:lang w:val="zh-CN"/>
        </w:rPr>
      </w:pPr>
      <w:r>
        <w:rPr>
          <w:rFonts w:hint="eastAsia" w:ascii="黑体" w:hAnsi="黑体" w:eastAsia="黑体" w:cs="仿宋_GB2312"/>
          <w:b/>
          <w:sz w:val="32"/>
          <w:szCs w:val="32"/>
        </w:rPr>
        <w:t>四、项目绩效情况</w:t>
      </w:r>
      <w:r>
        <w:rPr>
          <w:rFonts w:hint="eastAsia" w:ascii="黑体" w:hAnsi="黑体" w:eastAsia="黑体" w:cs="仿宋_GB2312"/>
          <w:b/>
          <w:sz w:val="32"/>
          <w:szCs w:val="32"/>
          <w:lang w:val="zh-CN"/>
        </w:rPr>
        <w:tab/>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（一）项目完成情况。</w:t>
      </w:r>
      <w:r>
        <w:rPr>
          <w:rFonts w:hint="eastAsia" w:ascii="仿宋_GB2312" w:hAnsi="仿宋_GB2312" w:eastAsia="仿宋_GB2312" w:cs="仿宋_GB2312"/>
          <w:b/>
          <w:sz w:val="32"/>
          <w:szCs w:val="32"/>
        </w:rPr>
        <w:t>牵头修订完善了《广元市院士（专家）工作站实施办法》《广元市院士（专家）工作站管理办法（试行）》，进一步规范院士（专家）工作站管理。对已建第七批市级专家工作站运行情况进行绩效考评。认定四川木门茶叶有限公司等5家工作站为优秀等次，并按照有关文件落实了1万元/家的一次性奖励补助。完成了第九批市级专家工作站、海智工作站的申报评审工作，审核批准广元中孚高精铝材有限公司等3个单位设立广元市专家工作站，广元三禾农业开发有限公司设立广元市海智工作站。做好省级院士（专家）工作站申报推荐。指导广元市第一人民医院成功申报四川省第十一批省级院士（专家）工作站。因疫情原因取消了院士专家广元行活动。</w:t>
      </w:r>
      <w:r>
        <w:rPr>
          <w:rFonts w:hint="eastAsia" w:ascii="仿宋_GB2312" w:hAnsi="仿宋_GB2312" w:eastAsia="仿宋_GB2312" w:cs="仿宋_GB2312"/>
          <w:b/>
          <w:sz w:val="32"/>
          <w:szCs w:val="32"/>
          <w:lang w:val="zh-CN"/>
        </w:rPr>
        <w:t>深入广元中孚高精铝材有限公司等重点产业，梳理重大科技需求，指导建立市级专家工作站，开展《低温高纯铝生产研究》《耐磨打壳锤头研发应用》《铝电解槽（窑炉）PM2.5控制技术与装备的研究》《阳极自动测高技术试验推广》课题研发，《铝电解槽（窑炉）PM2.5控制技术与装备的研究》通过技改后设备上槽试验，实现电效增加0.1%以上，吨铝电耗降低20千瓦时以上，预计寿命可达到5年左右。技改设备全部投产后，相当于每年为企业增加产值500万以上。</w:t>
      </w:r>
    </w:p>
    <w:p>
      <w:pPr>
        <w:overflowPunct w:val="0"/>
        <w:topLinePunct/>
        <w:adjustRightInd w:val="0"/>
        <w:spacing w:line="550"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sz w:val="32"/>
          <w:szCs w:val="32"/>
          <w:lang w:val="zh-CN"/>
        </w:rPr>
        <w:t>通过组织开展院士专家工作站、海智工作站建设，柔性引进高层次人才及海外人才，提升我市企事业单位科技创新能力，加快企事业单位转型升级发展。</w:t>
      </w:r>
    </w:p>
    <w:p>
      <w:pPr>
        <w:overflowPunct w:val="0"/>
        <w:topLinePunct/>
        <w:adjustRightInd w:val="0"/>
        <w:spacing w:line="550" w:lineRule="exact"/>
        <w:ind w:firstLine="640" w:firstLineChars="200"/>
        <w:rPr>
          <w:rFonts w:hint="eastAsia"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50"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r>
        <w:rPr>
          <w:rFonts w:hint="eastAsia" w:ascii="楷体_GB2312" w:hAnsi="仿宋_GB2312" w:eastAsia="楷体_GB2312" w:cs="仿宋_GB2312"/>
          <w:b/>
          <w:sz w:val="32"/>
          <w:szCs w:val="32"/>
        </w:rPr>
        <w:t>99.2分</w:t>
      </w:r>
      <w:r>
        <w:rPr>
          <w:rFonts w:hint="eastAsia" w:ascii="楷体_GB2312" w:hAnsi="仿宋_GB2312" w:eastAsia="楷体_GB2312" w:cs="仿宋_GB2312"/>
          <w:b/>
          <w:sz w:val="32"/>
          <w:szCs w:val="32"/>
          <w:lang w:val="zh-CN"/>
        </w:rPr>
        <w:t>）</w:t>
      </w:r>
    </w:p>
    <w:p>
      <w:pPr>
        <w:overflowPunct w:val="0"/>
        <w:topLinePunct/>
        <w:adjustRightInd w:val="0"/>
        <w:spacing w:line="550"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项目</w:t>
      </w:r>
      <w:r>
        <w:rPr>
          <w:rFonts w:hint="eastAsia" w:ascii="仿宋_GB2312" w:hAnsi="仿宋_GB2312" w:eastAsia="仿宋_GB2312" w:cs="仿宋_GB2312"/>
          <w:b/>
          <w:kern w:val="0"/>
          <w:sz w:val="32"/>
          <w:szCs w:val="32"/>
          <w:shd w:val="clear" w:color="auto" w:fill="FFFFFF"/>
        </w:rPr>
        <w:t>设置务实合理，管理办法有效，项目成效整体符合项目绩效目标预期。</w:t>
      </w:r>
    </w:p>
    <w:p>
      <w:pPr>
        <w:overflowPunct w:val="0"/>
        <w:topLinePunct/>
        <w:adjustRightInd w:val="0"/>
        <w:spacing w:line="550"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（二）存在的问题。</w:t>
      </w:r>
    </w:p>
    <w:p>
      <w:pPr>
        <w:overflowPunct w:val="0"/>
        <w:topLinePunct/>
        <w:adjustRightInd w:val="0"/>
        <w:spacing w:line="550"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因疫情影响，取消了院士专家广元行活动，执行进度存在年底集中支付情况。</w:t>
      </w:r>
    </w:p>
    <w:p>
      <w:pPr>
        <w:overflowPunct w:val="0"/>
        <w:topLinePunct/>
        <w:adjustRightInd w:val="0"/>
        <w:spacing w:line="550"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（三）相关建议。</w:t>
      </w:r>
    </w:p>
    <w:p>
      <w:pPr>
        <w:overflowPunct w:val="0"/>
        <w:topLinePunct/>
        <w:adjustRightInd w:val="0"/>
        <w:spacing w:line="550"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财政绩效评价中应考虑不可抗拒因素（如新冠疫情等）导致的执行时间精度延迟情况，建议不纳入单位扣分项。</w:t>
      </w:r>
    </w:p>
    <w:p>
      <w:pPr>
        <w:overflowPunct w:val="0"/>
        <w:topLinePunct/>
        <w:adjustRightInd w:val="0"/>
        <w:spacing w:line="576" w:lineRule="exact"/>
        <w:ind w:firstLine="640" w:firstLineChars="200"/>
        <w:jc w:val="center"/>
        <w:rPr>
          <w:rFonts w:ascii="仿宋_GB2312" w:hAnsi="仿宋_GB2312" w:eastAsia="仿宋_GB2312" w:cs="仿宋_GB2312"/>
          <w:b/>
          <w:kern w:val="0"/>
          <w:sz w:val="32"/>
          <w:szCs w:val="32"/>
          <w:shd w:val="clear" w:color="auto" w:fill="FFFFFF"/>
          <w:lang w:val="zh-CN"/>
        </w:rPr>
      </w:pP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（乡村振兴工作）</w:t>
      </w:r>
    </w:p>
    <w:p>
      <w:pPr>
        <w:pStyle w:val="36"/>
        <w:overflowPunct w:val="0"/>
        <w:topLinePunct/>
        <w:adjustRightInd w:val="0"/>
        <w:spacing w:line="576" w:lineRule="exact"/>
        <w:ind w:firstLine="640"/>
        <w:rPr>
          <w:rFonts w:ascii="宋体" w:hAnsi="宋体"/>
          <w:b/>
          <w:color w:val="auto"/>
          <w:kern w:val="2"/>
          <w:sz w:val="32"/>
          <w:szCs w:val="32"/>
        </w:rPr>
      </w:pP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1.项目主管部门为广元市科学技术协会，驻村工作队</w:t>
      </w:r>
      <w:r>
        <w:rPr>
          <w:rFonts w:hint="eastAsia" w:ascii="仿宋_GB2312" w:hAnsi="仿宋_GB2312" w:eastAsia="仿宋_GB2312" w:cs="仿宋_GB2312"/>
          <w:b/>
          <w:sz w:val="32"/>
          <w:szCs w:val="32"/>
          <w:shd w:val="clear" w:color="auto" w:fill="FFFFFF"/>
          <w:lang w:val="zh-CN"/>
        </w:rPr>
        <w:t>具体负责</w:t>
      </w:r>
      <w:r>
        <w:rPr>
          <w:rFonts w:hint="eastAsia" w:ascii="仿宋_GB2312" w:hAnsi="仿宋_GB2312" w:eastAsia="仿宋_GB2312" w:cs="仿宋_GB2312"/>
          <w:b/>
          <w:sz w:val="32"/>
          <w:szCs w:val="32"/>
          <w:shd w:val="clear" w:color="auto" w:fill="FFFFFF"/>
        </w:rPr>
        <w:t>项目实施，开展和项目相关的业务工作。</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项目立项、资金申报的依据</w:t>
      </w:r>
      <w:r>
        <w:rPr>
          <w:rFonts w:hint="eastAsia" w:ascii="仿宋_GB2312" w:hAnsi="仿宋_GB2312" w:eastAsia="仿宋_GB2312" w:cs="仿宋_GB2312"/>
          <w:b/>
          <w:kern w:val="0"/>
          <w:sz w:val="32"/>
          <w:szCs w:val="32"/>
          <w:shd w:val="clear" w:color="auto" w:fill="FFFFFF"/>
        </w:rPr>
        <w:t>。按照</w:t>
      </w:r>
      <w:r>
        <w:rPr>
          <w:rFonts w:hint="eastAsia" w:ascii="仿宋_GB2312" w:hAnsi="仿宋_GB2312" w:eastAsia="仿宋_GB2312" w:cs="仿宋_GB2312"/>
          <w:b/>
          <w:kern w:val="0"/>
          <w:sz w:val="32"/>
          <w:szCs w:val="32"/>
          <w:shd w:val="clear" w:color="auto" w:fill="FFFFFF"/>
          <w:lang w:val="zh-CN"/>
        </w:rPr>
        <w:t>市委要求立项并实施</w:t>
      </w:r>
      <w:r>
        <w:rPr>
          <w:rFonts w:hint="eastAsia" w:ascii="仿宋_GB2312" w:hAnsi="仿宋_GB2312" w:eastAsia="仿宋_GB2312" w:cs="仿宋_GB2312"/>
          <w:b/>
          <w:color w:val="666666"/>
          <w:kern w:val="0"/>
          <w:sz w:val="32"/>
          <w:szCs w:val="32"/>
          <w:shd w:val="clear" w:color="auto" w:fill="FFFFFF"/>
        </w:rPr>
        <w:t>。</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3.资金</w:t>
      </w:r>
      <w:r>
        <w:rPr>
          <w:rFonts w:hint="eastAsia" w:ascii="仿宋_GB2312" w:hAnsi="仿宋_GB2312" w:eastAsia="仿宋_GB2312" w:cs="仿宋_GB2312"/>
          <w:b/>
          <w:sz w:val="32"/>
          <w:szCs w:val="32"/>
          <w:shd w:val="clear" w:color="auto" w:fill="FFFFFF"/>
        </w:rPr>
        <w:t>或项目</w:t>
      </w:r>
      <w:r>
        <w:rPr>
          <w:rFonts w:hint="eastAsia" w:ascii="仿宋_GB2312" w:hAnsi="仿宋_GB2312" w:eastAsia="仿宋_GB2312" w:cs="仿宋_GB2312"/>
          <w:b/>
          <w:sz w:val="32"/>
          <w:szCs w:val="32"/>
          <w:shd w:val="clear" w:color="auto" w:fill="FFFFFF"/>
          <w:lang w:val="zh-CN"/>
        </w:rPr>
        <w:t>管理办法制定情况</w:t>
      </w:r>
      <w:r>
        <w:rPr>
          <w:rFonts w:hint="eastAsia" w:ascii="仿宋_GB2312" w:hAnsi="仿宋_GB2312" w:eastAsia="仿宋_GB2312" w:cs="仿宋_GB2312"/>
          <w:b/>
          <w:sz w:val="32"/>
          <w:szCs w:val="32"/>
          <w:shd w:val="clear" w:color="auto" w:fill="FFFFFF"/>
        </w:rPr>
        <w:t>。出台了市科协《专项资金管理使用制度》。</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4.资金分配由市财政局根据市委要求统一核定。</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lang w:val="zh-CN"/>
        </w:rPr>
        <w:t>（二）项目绩效目标</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1.项目主要内容。按照中央、省、市经济工作和农村工作会议精神和省、市关于乡村振兴驻村帮扶工作要求，有序开展各项驻村帮扶工作，助力乡村振兴。</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2.项目应实现具体绩效目标。协助市委老干局派出的第一书记做好如下工作：一是宣传宣讲党的方针政策。二是组织开展农村实用技术培训。三是实施产业发展帮扶，助力乡村振兴。四是抓好村阵地文化建设，推动乡风文明、村容村貌巩固提升。五是看望慰问脱贫户和特殊困难户等。</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3.申报内容与实际工作相符，申报目标合理可行。</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（三）项目自评步骤及方法</w:t>
      </w:r>
      <w:r>
        <w:rPr>
          <w:rFonts w:hint="eastAsia" w:ascii="楷体_GB2312" w:hAnsi="仿宋_GB2312" w:eastAsia="楷体_GB2312" w:cs="仿宋_GB2312"/>
          <w:b/>
          <w:sz w:val="32"/>
          <w:szCs w:val="32"/>
        </w:rPr>
        <w:t>。</w:t>
      </w: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（一）项目资金申报及批复情况</w:t>
      </w:r>
      <w:r>
        <w:rPr>
          <w:rFonts w:hint="eastAsia" w:ascii="楷体_GB2312" w:hAnsi="仿宋_GB2312" w:eastAsia="楷体_GB2312" w:cs="仿宋_GB2312"/>
          <w:b/>
          <w:sz w:val="32"/>
          <w:szCs w:val="32"/>
        </w:rPr>
        <w:t>。</w:t>
      </w: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1.82万元，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1.82万元，</w:t>
      </w:r>
      <w:r>
        <w:rPr>
          <w:rFonts w:hint="eastAsia" w:ascii="仿宋_GB2312" w:hAnsi="仿宋_GB2312" w:eastAsia="仿宋_GB2312" w:cs="仿宋_GB2312"/>
          <w:b/>
          <w:sz w:val="32"/>
          <w:szCs w:val="32"/>
          <w:lang w:val="zh-CN"/>
        </w:rPr>
        <w:t>申报条件、申报程序等符合本部门专项资金使用管理制度。</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en-US" w:eastAsia="zh-CN"/>
        </w:rPr>
      </w:pPr>
      <w:r>
        <w:rPr>
          <w:rFonts w:hint="eastAsia" w:ascii="楷体_GB2312" w:hAnsi="仿宋_GB2312" w:eastAsia="楷体_GB2312" w:cs="仿宋_GB2312"/>
          <w:b/>
          <w:sz w:val="32"/>
          <w:szCs w:val="32"/>
          <w:lang w:val="zh-CN"/>
        </w:rPr>
        <w:t>（二）资金计划、到位及使用情况。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bCs/>
          <w:sz w:val="32"/>
          <w:szCs w:val="32"/>
          <w:lang w:val="zh-CN"/>
        </w:rPr>
        <w:t>1.资金计划。计划资金</w:t>
      </w:r>
      <w:r>
        <w:rPr>
          <w:rFonts w:hint="eastAsia" w:ascii="仿宋_GB2312" w:hAnsi="仿宋_GB2312" w:eastAsia="仿宋_GB2312" w:cs="仿宋_GB2312"/>
          <w:b/>
          <w:bCs/>
          <w:sz w:val="32"/>
          <w:szCs w:val="32"/>
        </w:rPr>
        <w:t>1.82万元，来源为</w:t>
      </w:r>
      <w:r>
        <w:rPr>
          <w:rFonts w:hint="eastAsia" w:ascii="仿宋_GB2312" w:hAnsi="仿宋_GB2312" w:eastAsia="仿宋_GB2312" w:cs="仿宋_GB2312"/>
          <w:b/>
          <w:sz w:val="32"/>
          <w:szCs w:val="32"/>
          <w:lang w:val="zh-CN"/>
        </w:rPr>
        <w:t>市本级财政预算资金。</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2022年该项目共支出1.82万元，</w:t>
      </w:r>
      <w:r>
        <w:rPr>
          <w:rFonts w:hint="eastAsia" w:ascii="仿宋_GB2312" w:hAnsi="仿宋_GB2312" w:eastAsia="仿宋_GB2312" w:cs="仿宋_GB2312"/>
          <w:b/>
          <w:sz w:val="32"/>
          <w:szCs w:val="32"/>
          <w:lang w:val="zh-CN"/>
        </w:rPr>
        <w:t>主要用于</w:t>
      </w:r>
      <w:r>
        <w:rPr>
          <w:rFonts w:hint="eastAsia" w:ascii="仿宋_GB2312" w:hAnsi="仿宋_GB2312" w:eastAsia="仿宋_GB2312" w:cs="仿宋_GB2312"/>
          <w:b/>
          <w:sz w:val="32"/>
          <w:szCs w:val="32"/>
        </w:rPr>
        <w:t>保障驻村队员工作经费和生活补助</w:t>
      </w:r>
      <w:r>
        <w:rPr>
          <w:rFonts w:hint="eastAsia" w:ascii="仿宋_GB2312" w:hAnsi="仿宋_GB2312" w:eastAsia="仿宋_GB2312" w:cs="仿宋_GB2312"/>
          <w:b/>
          <w:sz w:val="32"/>
          <w:szCs w:val="32"/>
          <w:lang w:val="zh-CN"/>
        </w:rPr>
        <w:t>等，资金开支范围、标准及支付进度、支付依据合规合法，资金支付与预算相符。</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（三）项目财务管理情况</w:t>
      </w:r>
      <w:r>
        <w:rPr>
          <w:rFonts w:hint="eastAsia" w:ascii="楷体_GB2312" w:hAnsi="仿宋_GB2312" w:eastAsia="楷体_GB2312" w:cs="仿宋_GB2312"/>
          <w:b/>
          <w:sz w:val="32"/>
          <w:szCs w:val="32"/>
        </w:rPr>
        <w:t>。</w:t>
      </w:r>
      <w:r>
        <w:rPr>
          <w:rFonts w:hint="eastAsia" w:ascii="仿宋_GB2312" w:hAnsi="仿宋_GB2312" w:eastAsia="仿宋_GB2312" w:cs="仿宋_GB2312"/>
          <w:b/>
          <w:sz w:val="32"/>
          <w:szCs w:val="32"/>
          <w:lang w:val="zh-CN"/>
        </w:rPr>
        <w:t>专项资金使用严格按照年初确定的预算及其规定的用途和范围专款专用，由兼职财务人员负责项目资金的统一管理，实行单独核算。项目实施部室对项目实施情况进行全过程监督，对资金的使用绩效负责。</w:t>
      </w:r>
    </w:p>
    <w:p>
      <w:pPr>
        <w:overflowPunct w:val="0"/>
        <w:topLinePunct/>
        <w:adjustRightInd w:val="0"/>
        <w:spacing w:line="576" w:lineRule="exact"/>
        <w:ind w:firstLine="640" w:firstLineChars="200"/>
        <w:rPr>
          <w:rFonts w:ascii="黑体" w:hAnsi="黑体" w:eastAsia="黑体" w:cs="仿宋_GB2312"/>
          <w:b/>
          <w:kern w:val="0"/>
          <w:sz w:val="32"/>
          <w:szCs w:val="32"/>
          <w:shd w:val="clear" w:color="auto" w:fill="FFFFFF"/>
          <w:lang w:val="zh-CN"/>
        </w:rPr>
      </w:pPr>
      <w:r>
        <w:rPr>
          <w:rFonts w:hint="eastAsia" w:ascii="黑体" w:hAnsi="黑体" w:eastAsia="黑体" w:cs="仿宋_GB2312"/>
          <w:b/>
          <w:sz w:val="32"/>
          <w:szCs w:val="32"/>
        </w:rPr>
        <w:t>三、项目实施及管理情况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（一）项目组织架构及实施流程。</w:t>
      </w:r>
      <w:r>
        <w:rPr>
          <w:rFonts w:hint="eastAsia" w:ascii="仿宋_GB2312" w:hAnsi="仿宋_GB2312" w:eastAsia="仿宋_GB2312" w:cs="仿宋_GB2312"/>
          <w:b/>
          <w:sz w:val="32"/>
          <w:szCs w:val="32"/>
          <w:lang w:val="zh-CN"/>
        </w:rPr>
        <w:t>按照单位内控制度，由市科协党组决定预算管理政策、年度预算追加及调整，年度财务决算等重大事项，办公室（财务）负责日常预算管理工作，项目负责人提出年度项目预算，组织实施经批复的年度预算。</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楷体_GB2312" w:hAnsi="仿宋_GB2312" w:eastAsia="楷体_GB2312" w:cs="仿宋_GB2312"/>
          <w:b/>
          <w:sz w:val="32"/>
          <w:szCs w:val="32"/>
          <w:lang w:val="zh-CN"/>
        </w:rPr>
        <w:t>（二）项目管理情况。</w:t>
      </w:r>
      <w:r>
        <w:rPr>
          <w:rFonts w:hint="eastAsia" w:ascii="仿宋_GB2312" w:hAnsi="仿宋_GB2312" w:eastAsia="仿宋_GB2312" w:cs="仿宋_GB2312"/>
          <w:b/>
          <w:sz w:val="32"/>
          <w:szCs w:val="32"/>
          <w:lang w:val="zh-CN"/>
        </w:rPr>
        <w:t>由分管领导牵头，本部门派出的驻村工作队员具体负责日常工作的开展，对项目实施结果负责。</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（三）项目监管情况。</w:t>
      </w:r>
      <w:r>
        <w:rPr>
          <w:rFonts w:hint="eastAsia" w:ascii="仿宋_GB2312" w:hAnsi="仿宋_GB2312" w:eastAsia="仿宋_GB2312" w:cs="仿宋_GB2312"/>
          <w:b/>
          <w:sz w:val="32"/>
          <w:szCs w:val="32"/>
          <w:lang w:val="zh-CN"/>
        </w:rPr>
        <w:t>办公室（财务）对项目完成实施情况进行全过程</w:t>
      </w:r>
      <w:r>
        <w:rPr>
          <w:rFonts w:hint="eastAsia" w:ascii="仿宋_GB2312" w:hAnsi="仿宋_GB2312" w:eastAsia="仿宋_GB2312" w:cs="仿宋_GB2312"/>
          <w:b/>
          <w:sz w:val="32"/>
          <w:szCs w:val="32"/>
        </w:rPr>
        <w:t>监督检查，牵头开展项目的绩效考评和总结，保障资金使用安全及效益。</w:t>
      </w: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四、项目绩效情况</w:t>
      </w:r>
      <w:r>
        <w:rPr>
          <w:rFonts w:hint="eastAsia" w:ascii="黑体" w:hAnsi="黑体" w:eastAsia="黑体" w:cs="仿宋_GB2312"/>
          <w:b/>
          <w:sz w:val="32"/>
          <w:szCs w:val="32"/>
          <w:lang w:val="zh-CN"/>
        </w:rPr>
        <w:tab/>
      </w:r>
    </w:p>
    <w:p>
      <w:pPr>
        <w:pStyle w:val="2"/>
        <w:overflowPunct w:val="0"/>
        <w:topLinePunct/>
        <w:adjustRightInd w:val="0"/>
        <w:spacing w:beforeLines="0" w:line="576" w:lineRule="exact"/>
        <w:ind w:firstLine="640" w:firstLineChars="200"/>
        <w:rPr>
          <w:rFonts w:hAnsi="仿宋_GB2312" w:cs="仿宋_GB2312"/>
          <w:b/>
          <w:sz w:val="32"/>
          <w:szCs w:val="32"/>
        </w:rPr>
      </w:pPr>
      <w:r>
        <w:rPr>
          <w:rFonts w:hint="eastAsia" w:ascii="楷体_GB2312" w:hAnsi="仿宋_GB2312" w:eastAsia="楷体_GB2312" w:cs="仿宋_GB2312"/>
          <w:b/>
          <w:sz w:val="32"/>
          <w:szCs w:val="32"/>
          <w:lang w:val="zh-CN"/>
        </w:rPr>
        <w:t>（一）项目完成情况。</w:t>
      </w:r>
      <w:r>
        <w:rPr>
          <w:rFonts w:hint="eastAsia" w:hAnsi="仿宋_GB2312" w:cs="仿宋_GB2312"/>
          <w:b/>
          <w:sz w:val="32"/>
          <w:szCs w:val="32"/>
          <w:lang w:val="zh-CN"/>
        </w:rPr>
        <w:t>一是开展现场核桃春季病虫害防治、冬季管护等技术培训10余场次。二是化解新村建设、道路硬化等遗留问题2个，新建卫生厕所、垃圾池、村道公路损毁堡坎等民生基础设施8处，完成村委会阵地功能化升级改造。三是对全村核桃树进行病虫害统防统治，新建核桃丰产管护示范基地1个，预计2022年村集体经济增收2万元以上，人均增收达30元以上。</w:t>
      </w:r>
    </w:p>
    <w:p>
      <w:pPr>
        <w:overflowPunct w:val="0"/>
        <w:topLinePunct/>
        <w:adjustRightInd w:val="0"/>
        <w:spacing w:line="576" w:lineRule="exact"/>
        <w:ind w:firstLine="640" w:firstLineChars="200"/>
        <w:textAlignment w:val="baseline"/>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sz w:val="32"/>
          <w:szCs w:val="32"/>
        </w:rPr>
        <w:t>通过实施驻村帮扶工作，</w:t>
      </w:r>
      <w:r>
        <w:rPr>
          <w:rFonts w:hint="eastAsia" w:ascii="仿宋_GB2312" w:hAnsi="仿宋_GB2312" w:eastAsia="仿宋_GB2312" w:cs="仿宋_GB2312"/>
          <w:b/>
          <w:sz w:val="32"/>
          <w:szCs w:val="32"/>
          <w:lang w:val="zh-CN"/>
        </w:rPr>
        <w:t>巩固脱贫成果，助力产业发展、群众增收致富，乡风文明、村容村貌提升。</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r>
        <w:rPr>
          <w:rFonts w:hint="eastAsia" w:ascii="楷体_GB2312" w:hAnsi="仿宋_GB2312" w:eastAsia="楷体_GB2312" w:cs="仿宋_GB2312"/>
          <w:b/>
          <w:sz w:val="32"/>
          <w:szCs w:val="32"/>
        </w:rPr>
        <w:t>99.2分</w:t>
      </w:r>
      <w:r>
        <w:rPr>
          <w:rFonts w:hint="eastAsia" w:ascii="楷体_GB2312" w:hAnsi="仿宋_GB2312" w:eastAsia="楷体_GB2312" w:cs="仿宋_GB2312"/>
          <w:b/>
          <w:sz w:val="32"/>
          <w:szCs w:val="32"/>
          <w:lang w:val="zh-CN"/>
        </w:rPr>
        <w:t>）</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rPr>
        <w:t>项目成效符合项目绩效目标预期。</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楷体_GB2312" w:hAnsi="仿宋_GB2312" w:eastAsia="楷体_GB2312" w:cs="仿宋_GB2312"/>
          <w:b/>
          <w:sz w:val="32"/>
          <w:szCs w:val="32"/>
          <w:lang w:val="zh-CN"/>
        </w:rPr>
        <w:t>（二）存在的问题。</w:t>
      </w:r>
      <w:r>
        <w:rPr>
          <w:rFonts w:hint="eastAsia" w:ascii="仿宋_GB2312" w:hAnsi="仿宋_GB2312" w:eastAsia="仿宋_GB2312" w:cs="仿宋_GB2312"/>
          <w:b/>
          <w:kern w:val="0"/>
          <w:sz w:val="32"/>
          <w:szCs w:val="32"/>
          <w:shd w:val="clear" w:color="auto" w:fill="FFFFFF"/>
        </w:rPr>
        <w:t>一是经费不足；二是科普力量在乡村振兴中的示范引领发挥不够。</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楷体_GB2312" w:hAnsi="仿宋_GB2312" w:eastAsia="楷体_GB2312" w:cs="仿宋_GB2312"/>
          <w:b/>
          <w:sz w:val="32"/>
          <w:szCs w:val="32"/>
          <w:lang w:val="zh-CN"/>
        </w:rPr>
        <w:t>（三）相关建议。</w:t>
      </w:r>
      <w:r>
        <w:rPr>
          <w:rFonts w:hint="eastAsia" w:ascii="仿宋_GB2312" w:hAnsi="仿宋_GB2312" w:eastAsia="仿宋_GB2312" w:cs="仿宋_GB2312"/>
          <w:b/>
          <w:kern w:val="0"/>
          <w:sz w:val="32"/>
          <w:szCs w:val="32"/>
          <w:shd w:val="clear" w:color="auto" w:fill="FFFFFF"/>
        </w:rPr>
        <w:t>一</w:t>
      </w:r>
      <w:r>
        <w:rPr>
          <w:rFonts w:hint="eastAsia" w:ascii="仿宋_GB2312" w:hAnsi="仿宋_GB2312" w:eastAsia="仿宋_GB2312" w:cs="仿宋_GB2312"/>
          <w:b/>
          <w:spacing w:val="-8"/>
          <w:kern w:val="0"/>
          <w:sz w:val="32"/>
          <w:szCs w:val="32"/>
          <w:shd w:val="clear" w:color="auto" w:fill="FFFFFF"/>
        </w:rPr>
        <w:t>是增加工作经费；二是丰富农村科普资源。</w:t>
      </w:r>
    </w:p>
    <w:p>
      <w:pPr>
        <w:widowControl/>
        <w:jc w:val="left"/>
        <w:rPr>
          <w:rFonts w:ascii="仿宋_GB2312" w:hAnsi="仿宋_GB2312" w:cs="仿宋_GB2312"/>
          <w:b/>
          <w:kern w:val="0"/>
          <w:shd w:val="clear" w:color="auto" w:fill="FFFFFF"/>
          <w:lang w:val="zh-CN"/>
        </w:rPr>
      </w:pPr>
      <w:r>
        <w:rPr>
          <w:rFonts w:ascii="仿宋_GB2312" w:hAnsi="仿宋_GB2312" w:cs="仿宋_GB2312"/>
          <w:b/>
          <w:shd w:val="clear" w:color="auto" w:fill="FFFFFF"/>
        </w:rPr>
        <w:br w:type="page"/>
      </w:r>
    </w:p>
    <w:p>
      <w:pPr>
        <w:pStyle w:val="36"/>
        <w:overflowPunct w:val="0"/>
        <w:topLinePunct/>
        <w:adjustRightInd w:val="0"/>
        <w:spacing w:line="576" w:lineRule="exact"/>
        <w:jc w:val="center"/>
        <w:rPr>
          <w:rFonts w:hint="eastAsia" w:ascii="方正小标宋简体" w:hAnsi="方正小标宋简体" w:eastAsia="方正小标宋简体" w:cs="方正小标宋简体"/>
          <w:b/>
          <w:color w:val="auto"/>
          <w:kern w:val="2"/>
          <w:sz w:val="44"/>
          <w:szCs w:val="44"/>
          <w:lang w:val="en-US"/>
        </w:rPr>
      </w:pP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2023年市级专项资金预算项目支出绩效</w:t>
      </w:r>
    </w:p>
    <w:p>
      <w:pPr>
        <w:pStyle w:val="36"/>
        <w:overflowPunct w:val="0"/>
        <w:topLinePunct/>
        <w:adjustRightInd w:val="0"/>
        <w:spacing w:line="576" w:lineRule="exact"/>
        <w:jc w:val="center"/>
        <w:rPr>
          <w:rFonts w:ascii="方正小标宋简体" w:hAnsi="方正小标宋简体" w:eastAsia="方正小标宋简体" w:cs="方正小标宋简体"/>
          <w:b/>
          <w:color w:val="auto"/>
          <w:kern w:val="2"/>
          <w:sz w:val="44"/>
          <w:szCs w:val="44"/>
          <w:lang w:val="en-US"/>
        </w:rPr>
      </w:pPr>
      <w:r>
        <w:rPr>
          <w:rFonts w:hint="eastAsia" w:ascii="方正小标宋简体" w:hAnsi="方正小标宋简体" w:eastAsia="方正小标宋简体" w:cs="方正小标宋简体"/>
          <w:b/>
          <w:color w:val="auto"/>
          <w:kern w:val="2"/>
          <w:sz w:val="44"/>
          <w:szCs w:val="44"/>
          <w:lang w:val="en-US"/>
        </w:rPr>
        <w:t>自评报告</w:t>
      </w:r>
    </w:p>
    <w:p>
      <w:pPr>
        <w:pStyle w:val="36"/>
        <w:overflowPunct w:val="0"/>
        <w:topLinePunct/>
        <w:adjustRightInd w:val="0"/>
        <w:spacing w:line="576" w:lineRule="exact"/>
        <w:jc w:val="center"/>
        <w:rPr>
          <w:rFonts w:ascii="楷体_GB2312" w:hAnsi="宋体" w:eastAsia="楷体_GB2312"/>
          <w:b/>
          <w:color w:val="auto"/>
          <w:kern w:val="2"/>
          <w:sz w:val="32"/>
          <w:szCs w:val="32"/>
          <w:lang w:val="en-US"/>
        </w:rPr>
      </w:pPr>
      <w:r>
        <w:rPr>
          <w:rFonts w:hint="eastAsia" w:ascii="楷体_GB2312" w:hAnsi="宋体" w:eastAsia="楷体_GB2312"/>
          <w:b/>
          <w:color w:val="auto"/>
          <w:kern w:val="2"/>
          <w:sz w:val="32"/>
          <w:szCs w:val="32"/>
          <w:lang w:val="en-US"/>
        </w:rPr>
        <w:t>（老科协工作）</w:t>
      </w:r>
    </w:p>
    <w:p>
      <w:pPr>
        <w:pStyle w:val="36"/>
        <w:overflowPunct w:val="0"/>
        <w:topLinePunct/>
        <w:adjustRightInd w:val="0"/>
        <w:spacing w:line="576" w:lineRule="exact"/>
        <w:rPr>
          <w:rFonts w:ascii="宋体" w:hAnsi="宋体"/>
          <w:b/>
          <w:color w:val="auto"/>
          <w:kern w:val="2"/>
          <w:sz w:val="32"/>
          <w:szCs w:val="32"/>
        </w:rPr>
      </w:pP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一、</w:t>
      </w:r>
      <w:r>
        <w:rPr>
          <w:rFonts w:hint="eastAsia" w:ascii="黑体" w:hAnsi="黑体" w:eastAsia="黑体" w:cs="仿宋_GB2312"/>
          <w:b/>
          <w:sz w:val="32"/>
          <w:szCs w:val="32"/>
          <w:lang w:val="zh-CN"/>
        </w:rPr>
        <w:t>项目概况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（一）项目基本情况。</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1.项目主管部门为广元市科学技术协会，</w:t>
      </w:r>
      <w:r>
        <w:rPr>
          <w:rFonts w:hint="eastAsia" w:ascii="仿宋_GB2312" w:hAnsi="仿宋_GB2312" w:eastAsia="仿宋_GB2312" w:cs="仿宋_GB2312"/>
          <w:b/>
          <w:sz w:val="32"/>
          <w:szCs w:val="32"/>
          <w:shd w:val="clear" w:color="auto" w:fill="FFFFFF"/>
          <w:lang w:val="zh-CN"/>
        </w:rPr>
        <w:t>老科协具体负责</w:t>
      </w:r>
      <w:r>
        <w:rPr>
          <w:rFonts w:hint="eastAsia" w:ascii="仿宋_GB2312" w:hAnsi="仿宋_GB2312" w:eastAsia="仿宋_GB2312" w:cs="仿宋_GB2312"/>
          <w:b/>
          <w:sz w:val="32"/>
          <w:szCs w:val="32"/>
          <w:shd w:val="clear" w:color="auto" w:fill="FFFFFF"/>
        </w:rPr>
        <w:t>实施项目，开展和项目相关的业务工作。</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2.</w:t>
      </w:r>
      <w:r>
        <w:rPr>
          <w:rFonts w:hint="eastAsia" w:ascii="仿宋_GB2312" w:hAnsi="仿宋_GB2312" w:eastAsia="仿宋_GB2312" w:cs="仿宋_GB2312"/>
          <w:b/>
          <w:kern w:val="0"/>
          <w:sz w:val="32"/>
          <w:szCs w:val="32"/>
          <w:shd w:val="clear" w:color="auto" w:fill="FFFFFF"/>
          <w:lang w:val="zh-CN"/>
        </w:rPr>
        <w:t>项目立项、资金申报的依据</w:t>
      </w:r>
      <w:r>
        <w:rPr>
          <w:rFonts w:hint="eastAsia" w:ascii="仿宋_GB2312" w:hAnsi="仿宋_GB2312" w:eastAsia="仿宋_GB2312" w:cs="仿宋_GB2312"/>
          <w:b/>
          <w:kern w:val="0"/>
          <w:sz w:val="32"/>
          <w:szCs w:val="32"/>
          <w:shd w:val="clear" w:color="auto" w:fill="FFFFFF"/>
        </w:rPr>
        <w:t>。</w:t>
      </w:r>
      <w:r>
        <w:rPr>
          <w:rFonts w:hint="eastAsia" w:ascii="仿宋_GB2312" w:hAnsi="仿宋_GB2312" w:eastAsia="仿宋_GB2312" w:cs="仿宋_GB2312"/>
          <w:b/>
          <w:kern w:val="0"/>
          <w:sz w:val="32"/>
          <w:szCs w:val="32"/>
          <w:shd w:val="clear" w:color="auto" w:fill="FFFFFF"/>
          <w:lang w:val="zh-CN"/>
        </w:rPr>
        <w:t>老科协根据年度重点工作安排向市财政局申报项目资金，市科协按照要求拨付工作经费</w:t>
      </w:r>
      <w:r>
        <w:rPr>
          <w:rFonts w:hint="eastAsia" w:ascii="仿宋_GB2312" w:hAnsi="仿宋_GB2312" w:eastAsia="仿宋_GB2312" w:cs="仿宋_GB2312"/>
          <w:b/>
          <w:color w:val="666666"/>
          <w:kern w:val="0"/>
          <w:sz w:val="32"/>
          <w:szCs w:val="32"/>
          <w:shd w:val="clear" w:color="auto" w:fill="FFFFFF"/>
        </w:rPr>
        <w:t>。</w:t>
      </w:r>
    </w:p>
    <w:p>
      <w:pPr>
        <w:pStyle w:val="14"/>
        <w:shd w:val="clear" w:color="auto" w:fill="FFFFFF"/>
        <w:overflowPunct w:val="0"/>
        <w:topLinePunct/>
        <w:adjustRightInd w:val="0"/>
        <w:spacing w:beforeAutospacing="0" w:afterAutospacing="0" w:line="576" w:lineRule="exact"/>
        <w:ind w:firstLine="640" w:firstLineChars="200"/>
        <w:jc w:val="both"/>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zh-CN"/>
        </w:rPr>
        <w:t>3.资</w:t>
      </w:r>
      <w:r>
        <w:rPr>
          <w:rFonts w:hint="eastAsia" w:ascii="仿宋_GB2312" w:hAnsi="仿宋_GB2312" w:eastAsia="仿宋_GB2312" w:cs="仿宋_GB2312"/>
          <w:b/>
          <w:spacing w:val="-12"/>
          <w:sz w:val="32"/>
          <w:szCs w:val="32"/>
          <w:shd w:val="clear" w:color="auto" w:fill="FFFFFF"/>
          <w:lang w:val="zh-CN"/>
        </w:rPr>
        <w:t>金</w:t>
      </w:r>
      <w:r>
        <w:rPr>
          <w:rFonts w:hint="eastAsia" w:ascii="仿宋_GB2312" w:hAnsi="仿宋_GB2312" w:eastAsia="仿宋_GB2312" w:cs="仿宋_GB2312"/>
          <w:b/>
          <w:spacing w:val="-12"/>
          <w:sz w:val="32"/>
          <w:szCs w:val="32"/>
          <w:shd w:val="clear" w:color="auto" w:fill="FFFFFF"/>
        </w:rPr>
        <w:t>或项目</w:t>
      </w:r>
      <w:r>
        <w:rPr>
          <w:rFonts w:hint="eastAsia" w:ascii="仿宋_GB2312" w:hAnsi="仿宋_GB2312" w:eastAsia="仿宋_GB2312" w:cs="仿宋_GB2312"/>
          <w:b/>
          <w:spacing w:val="-12"/>
          <w:sz w:val="32"/>
          <w:szCs w:val="32"/>
          <w:shd w:val="clear" w:color="auto" w:fill="FFFFFF"/>
          <w:lang w:val="zh-CN"/>
        </w:rPr>
        <w:t>管理办法制定情况</w:t>
      </w:r>
      <w:r>
        <w:rPr>
          <w:rFonts w:hint="eastAsia" w:ascii="仿宋_GB2312" w:hAnsi="仿宋_GB2312" w:eastAsia="仿宋_GB2312" w:cs="仿宋_GB2312"/>
          <w:b/>
          <w:spacing w:val="-12"/>
          <w:sz w:val="32"/>
          <w:szCs w:val="32"/>
          <w:shd w:val="clear" w:color="auto" w:fill="FFFFFF"/>
        </w:rPr>
        <w:t>。广元市老科协财务管理制度。</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4.资金分配的原则及考虑因素。参考往年预算安排。</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（二）项目绩效目标。</w:t>
      </w:r>
    </w:p>
    <w:p>
      <w:pPr>
        <w:overflowPunct w:val="0"/>
        <w:topLinePunct/>
        <w:adjustRightInd w:val="0"/>
        <w:spacing w:line="576" w:lineRule="exact"/>
        <w:ind w:firstLine="640" w:firstLineChars="200"/>
        <w:rPr>
          <w:rFonts w:hint="eastAsia"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lang w:val="zh-CN"/>
        </w:rPr>
        <w:t>1</w:t>
      </w:r>
      <w:r>
        <w:rPr>
          <w:rFonts w:hint="eastAsia" w:ascii="仿宋_GB2312" w:hAnsi="仿宋_GB2312" w:eastAsia="仿宋_GB2312" w:cs="仿宋_GB2312"/>
          <w:b/>
          <w:kern w:val="0"/>
          <w:sz w:val="32"/>
          <w:szCs w:val="32"/>
          <w:shd w:val="clear" w:color="auto" w:fill="FFFFFF"/>
        </w:rPr>
        <w:t>.</w:t>
      </w:r>
      <w:r>
        <w:rPr>
          <w:rFonts w:hint="eastAsia" w:ascii="仿宋_GB2312" w:hAnsi="仿宋_GB2312" w:eastAsia="仿宋_GB2312" w:cs="仿宋_GB2312"/>
          <w:b/>
          <w:kern w:val="0"/>
          <w:sz w:val="32"/>
          <w:szCs w:val="32"/>
          <w:shd w:val="clear" w:color="auto" w:fill="FFFFFF"/>
          <w:lang w:val="zh-CN"/>
        </w:rPr>
        <w:t>项目主要内容。</w:t>
      </w:r>
      <w:r>
        <w:rPr>
          <w:rFonts w:hint="eastAsia" w:ascii="仿宋_GB2312" w:hAnsi="仿宋_GB2312" w:eastAsia="仿宋_GB2312" w:cs="仿宋_GB2312"/>
          <w:b/>
          <w:kern w:val="0"/>
          <w:sz w:val="32"/>
          <w:szCs w:val="32"/>
          <w:shd w:val="clear" w:color="auto" w:fill="FFFFFF"/>
        </w:rPr>
        <w:t>组织老科协智库团、宣讲团老专家建言献策；开展科普宣讲，助力乡村振兴；抓好农村科普工作，提高农业科技水平；支持创办川北幼儿师范本科学院，发展壮大广元教育品牌龙头；实施三年万人培训计划，组织老专家开展茶叶、水果、中药材、畜牧、水稻等农村实用技术培训；举办好全省乡村振兴论坛会；做好老科协组织建设和党建工作等。</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shd w:val="clear" w:color="auto" w:fill="FFFFFF"/>
          <w:lang w:val="zh-CN"/>
        </w:rPr>
        <w:t>2.项目应实现具体绩效目标。</w:t>
      </w:r>
      <w:r>
        <w:rPr>
          <w:rFonts w:hint="eastAsia" w:ascii="仿宋_GB2312" w:hAnsi="仿宋_GB2312" w:eastAsia="仿宋_GB2312" w:cs="仿宋_GB2312"/>
          <w:b/>
          <w:sz w:val="32"/>
          <w:szCs w:val="32"/>
        </w:rPr>
        <w:t>开展科普宣传，每季度开展3次以上。聘请老专家对核桃、猕猴桃管护等实用技术指导，全年开展5次以上。开展脱贫攻坚成果与乡村振兴有效衔接考察调研，推动农村文化宣传和乡风文明、村容村貌建设。实施三年万人培训计划，为农村培养科技人才。老科协日常工作保障等。</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3.申报内容结合部门职能职责，</w:t>
      </w:r>
      <w:r>
        <w:rPr>
          <w:rFonts w:hint="eastAsia" w:ascii="仿宋_GB2312" w:hAnsi="仿宋_GB2312" w:eastAsia="仿宋_GB2312" w:cs="仿宋_GB2312"/>
          <w:b/>
          <w:sz w:val="32"/>
          <w:szCs w:val="32"/>
        </w:rPr>
        <w:t>项目内容符合全市巩固拓展脱贫攻坚成果同乡村振兴有效衔接工作要求，符合专项资金支持的方向、重点和范围</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（三）项目自评步骤及方法。</w:t>
      </w:r>
    </w:p>
    <w:p>
      <w:pPr>
        <w:pStyle w:val="14"/>
        <w:shd w:val="clear" w:color="auto" w:fill="FFFFFF"/>
        <w:overflowPunct w:val="0"/>
        <w:topLinePunct/>
        <w:adjustRightInd w:val="0"/>
        <w:spacing w:beforeAutospacing="0" w:afterAutospacing="0" w:line="576" w:lineRule="exact"/>
        <w:ind w:firstLine="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根据《市科协2023年专项资金预算项目支出绩效评价指标体系》，对照年度目标完成情况自行开展自评，并将评价结果报办公室（财务），办公室（财务）在部室、中心自评的基础上，通过查阅相关文件资料和财务凭证，对收集资料进行定量定性分析，综合评议后形成评价结论。</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二、项目资金申报及使用情况</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（一）项目资金申报及批复情况。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该项目申报市本级财政预算资金</w:t>
      </w:r>
      <w:r>
        <w:rPr>
          <w:rFonts w:hint="eastAsia" w:ascii="仿宋_GB2312" w:hAnsi="仿宋_GB2312" w:eastAsia="仿宋_GB2312" w:cs="仿宋_GB2312"/>
          <w:b/>
          <w:sz w:val="32"/>
          <w:szCs w:val="32"/>
        </w:rPr>
        <w:t>18万元，</w:t>
      </w:r>
      <w:r>
        <w:rPr>
          <w:rFonts w:hint="eastAsia" w:ascii="仿宋_GB2312" w:hAnsi="仿宋_GB2312" w:eastAsia="仿宋_GB2312" w:cs="仿宋_GB2312"/>
          <w:b/>
          <w:sz w:val="32"/>
          <w:szCs w:val="32"/>
          <w:lang w:val="zh-CN"/>
        </w:rPr>
        <w:t>批复</w:t>
      </w:r>
      <w:r>
        <w:rPr>
          <w:rFonts w:hint="eastAsia" w:ascii="仿宋_GB2312" w:hAnsi="仿宋_GB2312" w:eastAsia="仿宋_GB2312" w:cs="仿宋_GB2312"/>
          <w:b/>
          <w:sz w:val="32"/>
          <w:szCs w:val="32"/>
        </w:rPr>
        <w:t>18万元，</w:t>
      </w:r>
      <w:r>
        <w:rPr>
          <w:rFonts w:hint="eastAsia" w:ascii="仿宋_GB2312" w:hAnsi="仿宋_GB2312" w:eastAsia="仿宋_GB2312" w:cs="仿宋_GB2312"/>
          <w:b/>
          <w:sz w:val="32"/>
          <w:szCs w:val="32"/>
          <w:lang w:val="zh-CN"/>
        </w:rPr>
        <w:t>申报条件、申报程序规范。</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（二）资金计划、到位及使用情况。</w:t>
      </w:r>
    </w:p>
    <w:p>
      <w:pPr>
        <w:overflowPunct w:val="0"/>
        <w:topLinePunct/>
        <w:adjustRightInd w:val="0"/>
        <w:spacing w:line="576"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b/>
          <w:bCs/>
          <w:sz w:val="32"/>
          <w:szCs w:val="32"/>
          <w:lang w:val="zh-CN"/>
        </w:rPr>
        <w:t>1.资金计划。计划资金</w:t>
      </w:r>
      <w:r>
        <w:rPr>
          <w:rFonts w:hint="eastAsia" w:ascii="仿宋_GB2312" w:hAnsi="仿宋_GB2312" w:eastAsia="仿宋_GB2312" w:cs="仿宋_GB2312"/>
          <w:b/>
          <w:bCs/>
          <w:sz w:val="32"/>
          <w:szCs w:val="32"/>
        </w:rPr>
        <w:t>18万元，来源为</w:t>
      </w:r>
      <w:r>
        <w:rPr>
          <w:rFonts w:hint="eastAsia" w:ascii="仿宋_GB2312" w:hAnsi="仿宋_GB2312" w:eastAsia="仿宋_GB2312" w:cs="仿宋_GB2312"/>
          <w:b/>
          <w:sz w:val="32"/>
          <w:szCs w:val="32"/>
          <w:lang w:val="zh-CN"/>
        </w:rPr>
        <w:t>市本级财政预算。</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kern w:val="0"/>
          <w:sz w:val="32"/>
          <w:szCs w:val="32"/>
          <w:shd w:val="clear" w:color="auto" w:fill="FFFFFF"/>
          <w:lang w:val="zh-CN"/>
        </w:rPr>
        <w:t>资金到位。截止评价时点，资金到位率、及时性</w:t>
      </w:r>
      <w:r>
        <w:rPr>
          <w:rFonts w:hint="eastAsia" w:ascii="仿宋_GB2312" w:hAnsi="仿宋_GB2312" w:eastAsia="仿宋_GB2312" w:cs="仿宋_GB2312"/>
          <w:b/>
          <w:kern w:val="0"/>
          <w:sz w:val="32"/>
          <w:szCs w:val="32"/>
          <w:shd w:val="clear" w:color="auto" w:fill="FFFFFF"/>
        </w:rPr>
        <w:t>100%</w:t>
      </w:r>
      <w:r>
        <w:rPr>
          <w:rFonts w:hint="eastAsia" w:ascii="仿宋_GB2312" w:hAnsi="仿宋_GB2312" w:eastAsia="仿宋_GB2312" w:cs="仿宋_GB2312"/>
          <w:b/>
          <w:kern w:val="0"/>
          <w:sz w:val="32"/>
          <w:szCs w:val="32"/>
          <w:shd w:val="clear" w:color="auto" w:fill="FFFFFF"/>
          <w:lang w:val="zh-CN"/>
        </w:rPr>
        <w:t>。</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3.资金使用。</w:t>
      </w:r>
      <w:r>
        <w:rPr>
          <w:rFonts w:hint="eastAsia" w:ascii="仿宋_GB2312" w:hAnsi="仿宋_GB2312" w:eastAsia="仿宋_GB2312" w:cs="仿宋_GB2312"/>
          <w:b/>
          <w:bCs/>
          <w:sz w:val="32"/>
          <w:szCs w:val="32"/>
        </w:rPr>
        <w:t>2022年该项目共支出18万元，</w:t>
      </w:r>
      <w:r>
        <w:rPr>
          <w:rFonts w:hint="eastAsia" w:ascii="仿宋_GB2312" w:hAnsi="仿宋_GB2312" w:eastAsia="仿宋_GB2312" w:cs="仿宋_GB2312"/>
          <w:b/>
          <w:sz w:val="32"/>
          <w:szCs w:val="32"/>
        </w:rPr>
        <w:t>主要用于支付老专家培训费、科普宣传费、会议费、专家下乡差旅费、报刊印刷费等，在运行中提前预算计划，注意管控成本，切实提高工作效率，支付合规合法，资金支付没有超出预算。</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（三）项目财务管理情况。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广元市老科协财务管理制度健全，专项资金严格按照年初预算项目安排，有计划分步骤组织实施，专款专用，会计核算规范，并实行分管领导一支笔签批，没有发生无预算和超预算的情况。</w:t>
      </w:r>
    </w:p>
    <w:p>
      <w:pPr>
        <w:overflowPunct w:val="0"/>
        <w:topLinePunct/>
        <w:adjustRightInd w:val="0"/>
        <w:spacing w:line="576" w:lineRule="exact"/>
        <w:ind w:firstLine="640" w:firstLineChars="200"/>
        <w:rPr>
          <w:rFonts w:ascii="黑体" w:hAnsi="黑体" w:eastAsia="黑体" w:cs="仿宋_GB2312"/>
          <w:b/>
          <w:kern w:val="0"/>
          <w:sz w:val="32"/>
          <w:szCs w:val="32"/>
          <w:shd w:val="clear" w:color="auto" w:fill="FFFFFF"/>
          <w:lang w:val="zh-CN"/>
        </w:rPr>
      </w:pPr>
      <w:r>
        <w:rPr>
          <w:rFonts w:hint="eastAsia" w:ascii="黑体" w:hAnsi="黑体" w:eastAsia="黑体" w:cs="仿宋_GB2312"/>
          <w:b/>
          <w:sz w:val="32"/>
          <w:szCs w:val="32"/>
        </w:rPr>
        <w:t>三、项目实施及管理情况</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广元市老科协是特殊的社团组织，成员基本是退休了的高级知识分子，老科协就是把他们组织起来，发挥余热，为社会做贡献。让他们老有所为、老有所学、老有所乐。</w:t>
      </w:r>
    </w:p>
    <w:p>
      <w:pPr>
        <w:overflowPunct w:val="0"/>
        <w:topLinePunct/>
        <w:adjustRightInd w:val="0"/>
        <w:spacing w:line="576" w:lineRule="exact"/>
        <w:ind w:firstLine="640" w:firstLineChars="200"/>
        <w:rPr>
          <w:rFonts w:ascii="黑体" w:hAnsi="黑体" w:eastAsia="黑体" w:cs="仿宋_GB2312"/>
          <w:b/>
          <w:sz w:val="32"/>
          <w:szCs w:val="32"/>
          <w:lang w:val="zh-CN"/>
        </w:rPr>
      </w:pPr>
      <w:r>
        <w:rPr>
          <w:rFonts w:hint="eastAsia" w:ascii="黑体" w:hAnsi="黑体" w:eastAsia="黑体" w:cs="仿宋_GB2312"/>
          <w:b/>
          <w:sz w:val="32"/>
          <w:szCs w:val="32"/>
        </w:rPr>
        <w:t>四、项目绩效情况</w:t>
      </w:r>
      <w:r>
        <w:rPr>
          <w:rFonts w:hint="eastAsia" w:ascii="黑体" w:hAnsi="黑体" w:eastAsia="黑体" w:cs="仿宋_GB2312"/>
          <w:b/>
          <w:sz w:val="32"/>
          <w:szCs w:val="32"/>
          <w:lang w:val="zh-CN"/>
        </w:rPr>
        <w:tab/>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（一）项目完成情况。</w:t>
      </w:r>
      <w:r>
        <w:rPr>
          <w:rFonts w:hint="eastAsia" w:ascii="仿宋_GB2312" w:hAnsi="仿宋_GB2312" w:eastAsia="仿宋_GB2312" w:cs="仿宋_GB2312"/>
          <w:b/>
          <w:sz w:val="32"/>
          <w:szCs w:val="32"/>
        </w:rPr>
        <w:t>到剑阁、旺苍等县区，开展现场培训1260次，技术指导810次，平常电话答疑4208次，受益群众7000多人。剑阁县老科协特派团进村入户科技咨询、指导1200次，电话答疑1558次。完成二〇二〇年安排的“三年万人科技培训计划”，至二〇二二年底，完成了对农村10000名科技人员培训，1000名科技带头人培训，100名农业开发企业负责人的培训任务。二〇二二年全市组织老科协农业专家开展种养殖技术培训218场次，受训人数15800人，培养种养殖大户520户，培训种养殖技术能手40人，发放技术资料20000余份。组织全市老专家深入农村、工厂、学校调研，形成有针对性的调研报告、论文46篇。调研新食用油产业发展，形成了《广元市毛叶山桐子综合开发的建议》，上报市委市政府。组织力量对《四川乡村振兴》论文集进行收集、修改、编印，共收集稿件76篇，45万多字。</w:t>
      </w:r>
    </w:p>
    <w:p>
      <w:pPr>
        <w:overflowPunct w:val="0"/>
        <w:topLinePunct/>
        <w:adjustRightInd w:val="0"/>
        <w:spacing w:line="576" w:lineRule="exac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rPr>
        <w:t>支持农耕年华专业合作社，争取国家扶持资金72.5万元，修建了防旱池两口1000立方米，堡坎80米，增加了围栏，改造了办公用房，扩建50亩用地。被市委老干部局评为“先进党支部”。</w:t>
      </w:r>
    </w:p>
    <w:p>
      <w:pPr>
        <w:overflowPunct w:val="0"/>
        <w:topLinePunct/>
        <w:adjustRightInd w:val="0"/>
        <w:spacing w:line="576" w:lineRule="exact"/>
        <w:ind w:firstLine="640" w:firstLineChars="200"/>
        <w:rPr>
          <w:rFonts w:ascii="仿宋_GB2312" w:hAnsi="仿宋_GB2312" w:eastAsia="仿宋_GB2312" w:cs="仿宋_GB2312"/>
          <w:b/>
          <w:sz w:val="32"/>
          <w:szCs w:val="32"/>
        </w:rPr>
      </w:pPr>
      <w:r>
        <w:rPr>
          <w:rFonts w:hint="eastAsia" w:ascii="楷体_GB2312" w:hAnsi="仿宋_GB2312" w:eastAsia="楷体_GB2312" w:cs="仿宋_GB2312"/>
          <w:b/>
          <w:sz w:val="32"/>
          <w:szCs w:val="32"/>
          <w:lang w:val="zh-CN"/>
        </w:rPr>
        <w:t>（二）项目效益情况。</w:t>
      </w:r>
      <w:r>
        <w:rPr>
          <w:rFonts w:hint="eastAsia" w:ascii="仿宋_GB2312" w:hAnsi="仿宋_GB2312" w:eastAsia="仿宋_GB2312" w:cs="仿宋_GB2312"/>
          <w:b/>
          <w:sz w:val="32"/>
          <w:szCs w:val="32"/>
        </w:rPr>
        <w:t>把全市范围内离退休科技工作者组织起来，发挥群体优势，为广元经济社会发展再做贡献。</w:t>
      </w:r>
    </w:p>
    <w:p>
      <w:pPr>
        <w:overflowPunct w:val="0"/>
        <w:topLinePunct/>
        <w:adjustRightInd w:val="0"/>
        <w:spacing w:line="576" w:lineRule="exact"/>
        <w:ind w:firstLine="640" w:firstLineChars="200"/>
        <w:rPr>
          <w:rFonts w:ascii="黑体" w:hAnsi="黑体" w:eastAsia="黑体" w:cs="仿宋_GB2312"/>
          <w:b/>
          <w:sz w:val="32"/>
          <w:szCs w:val="32"/>
        </w:rPr>
      </w:pPr>
      <w:r>
        <w:rPr>
          <w:rFonts w:hint="eastAsia" w:ascii="黑体" w:hAnsi="黑体" w:eastAsia="黑体" w:cs="仿宋_GB2312"/>
          <w:b/>
          <w:sz w:val="32"/>
          <w:szCs w:val="32"/>
        </w:rPr>
        <w:t>五、评价结论及建议</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（一）评价结论。（</w:t>
      </w:r>
      <w:r>
        <w:rPr>
          <w:rFonts w:hint="eastAsia" w:ascii="楷体_GB2312" w:hAnsi="仿宋_GB2312" w:eastAsia="楷体_GB2312" w:cs="仿宋_GB2312"/>
          <w:b/>
          <w:sz w:val="32"/>
          <w:szCs w:val="32"/>
        </w:rPr>
        <w:t>99分</w:t>
      </w:r>
      <w:r>
        <w:rPr>
          <w:rFonts w:hint="eastAsia" w:ascii="楷体_GB2312" w:hAnsi="仿宋_GB2312" w:eastAsia="楷体_GB2312" w:cs="仿宋_GB2312"/>
          <w:b/>
          <w:sz w:val="32"/>
          <w:szCs w:val="32"/>
          <w:lang w:val="zh-CN"/>
        </w:rPr>
        <w:t>）</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lang w:val="zh-CN"/>
        </w:rPr>
      </w:pPr>
      <w:r>
        <w:rPr>
          <w:rFonts w:hint="eastAsia" w:ascii="仿宋_GB2312" w:hAnsi="仿宋_GB2312" w:eastAsia="仿宋_GB2312" w:cs="仿宋_GB2312"/>
          <w:b/>
          <w:kern w:val="0"/>
          <w:sz w:val="32"/>
          <w:szCs w:val="32"/>
          <w:shd w:val="clear" w:color="auto" w:fill="FFFFFF"/>
          <w:lang w:val="zh-CN"/>
        </w:rPr>
        <w:t>项目</w:t>
      </w:r>
      <w:r>
        <w:rPr>
          <w:rFonts w:hint="eastAsia" w:ascii="仿宋_GB2312" w:hAnsi="仿宋_GB2312" w:eastAsia="仿宋_GB2312" w:cs="仿宋_GB2312"/>
          <w:b/>
          <w:kern w:val="0"/>
          <w:sz w:val="32"/>
          <w:szCs w:val="32"/>
          <w:shd w:val="clear" w:color="auto" w:fill="FFFFFF"/>
        </w:rPr>
        <w:t>设置务实合理，管理办法有效，项目成效符合项目绩效目标预期。项目实施结果整体符合预期，较好的完成了年度各项目标任务。</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（二）存在的问题。</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因疫情原因，乡村振兴论坛会延期到2023年举办。</w:t>
      </w:r>
    </w:p>
    <w:p>
      <w:pPr>
        <w:overflowPunct w:val="0"/>
        <w:topLinePunct/>
        <w:adjustRightInd w:val="0"/>
        <w:spacing w:line="576" w:lineRule="exact"/>
        <w:ind w:firstLine="640" w:firstLineChars="200"/>
        <w:rPr>
          <w:rFonts w:hint="eastAsia" w:ascii="楷体_GB2312" w:hAnsi="仿宋_GB2312" w:eastAsia="楷体_GB2312" w:cs="仿宋_GB2312"/>
          <w:b/>
          <w:sz w:val="32"/>
          <w:szCs w:val="32"/>
          <w:lang w:val="zh-CN"/>
        </w:rPr>
      </w:pPr>
      <w:r>
        <w:rPr>
          <w:rFonts w:hint="eastAsia" w:ascii="楷体_GB2312" w:hAnsi="仿宋_GB2312" w:eastAsia="楷体_GB2312" w:cs="仿宋_GB2312"/>
          <w:b/>
          <w:sz w:val="32"/>
          <w:szCs w:val="32"/>
          <w:lang w:val="zh-CN"/>
        </w:rPr>
        <w:t>（三）相关建议。</w:t>
      </w:r>
    </w:p>
    <w:p>
      <w:pPr>
        <w:overflowPunct w:val="0"/>
        <w:topLinePunct/>
        <w:adjustRightInd w:val="0"/>
        <w:spacing w:line="576" w:lineRule="exact"/>
        <w:ind w:firstLine="640" w:firstLineChars="200"/>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无。</w:t>
      </w:r>
    </w:p>
    <w:p>
      <w:pPr>
        <w:overflowPunct w:val="0"/>
        <w:topLinePunct/>
        <w:adjustRightInd w:val="0"/>
        <w:spacing w:line="576" w:lineRule="exact"/>
        <w:rPr>
          <w:rStyle w:val="30"/>
          <w:rFonts w:ascii="仿宋_GB2312" w:hAnsi="仿宋_GB2312" w:eastAsia="仿宋_GB2312" w:cs="仿宋_GB2312"/>
          <w:sz w:val="32"/>
          <w:szCs w:val="32"/>
        </w:rPr>
        <w:sectPr>
          <w:headerReference r:id="rId7" w:type="default"/>
          <w:footerReference r:id="rId8" w:type="default"/>
          <w:pgSz w:w="11906" w:h="16838"/>
          <w:pgMar w:top="2098" w:right="1474" w:bottom="1985" w:left="1588" w:header="851" w:footer="1531" w:gutter="0"/>
          <w:cols w:space="425" w:num="1"/>
          <w:titlePg/>
          <w:docGrid w:type="linesAndChars" w:linePitch="312" w:charSpace="0"/>
        </w:sectPr>
      </w:pPr>
    </w:p>
    <w:p>
      <w:pPr>
        <w:overflowPunct w:val="0"/>
        <w:topLinePunct/>
        <w:adjustRightInd w:val="0"/>
        <w:spacing w:line="576" w:lineRule="exact"/>
        <w:rPr>
          <w:rFonts w:hint="eastAsia" w:ascii="黑体" w:hAnsi="黑体" w:eastAsia="黑体" w:cs="宋体"/>
          <w:b/>
          <w:kern w:val="0"/>
          <w:sz w:val="32"/>
          <w:szCs w:val="32"/>
        </w:rPr>
      </w:pPr>
    </w:p>
    <w:p>
      <w:pPr>
        <w:pStyle w:val="2"/>
        <w:spacing w:before="93"/>
        <w:rPr>
          <w:rFonts w:hint="eastAsia"/>
          <w:b/>
        </w:rPr>
      </w:pPr>
    </w:p>
    <w:p>
      <w:pPr>
        <w:pStyle w:val="2"/>
        <w:spacing w:beforeLines="0" w:line="576" w:lineRule="exact"/>
        <w:jc w:val="center"/>
        <w:rPr>
          <w:rFonts w:hint="eastAsia" w:ascii="方正小标宋简体" w:hAnsi="宋体" w:eastAsia="方正小标宋简体" w:cs="宋体"/>
          <w:b/>
          <w:sz w:val="44"/>
          <w:szCs w:val="44"/>
        </w:rPr>
      </w:pPr>
      <w:r>
        <w:rPr>
          <w:rFonts w:hint="eastAsia" w:ascii="方正小标宋简体" w:hAnsi="宋体" w:eastAsia="方正小标宋简体" w:cs="宋体"/>
          <w:b/>
          <w:sz w:val="44"/>
          <w:szCs w:val="44"/>
        </w:rPr>
        <w:t>部门整体支出绩效目标自评表（2022年度）</w:t>
      </w:r>
    </w:p>
    <w:p>
      <w:pPr>
        <w:spacing w:line="240" w:lineRule="exact"/>
        <w:rPr>
          <w:rFonts w:hint="eastAsia"/>
          <w:b/>
        </w:rPr>
      </w:pPr>
    </w:p>
    <w:tbl>
      <w:tblPr>
        <w:tblStyle w:val="16"/>
        <w:tblW w:w="15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150"/>
        <w:gridCol w:w="3354"/>
        <w:gridCol w:w="897"/>
        <w:gridCol w:w="931"/>
        <w:gridCol w:w="1833"/>
        <w:gridCol w:w="1077"/>
        <w:gridCol w:w="877"/>
        <w:gridCol w:w="680"/>
        <w:gridCol w:w="1180"/>
        <w:gridCol w:w="678"/>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部门名称</w:t>
            </w:r>
          </w:p>
        </w:tc>
        <w:tc>
          <w:tcPr>
            <w:tcW w:w="13091" w:type="dxa"/>
            <w:gridSpan w:val="10"/>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广元市科学技术协会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年度</w:t>
            </w:r>
            <w:r>
              <w:rPr>
                <w:rFonts w:hint="eastAsia" w:cs="宋体" w:asciiTheme="minorEastAsia" w:hAnsiTheme="minorEastAsia" w:eastAsiaTheme="minorEastAsia"/>
                <w:b/>
                <w:bCs/>
                <w:kern w:val="0"/>
                <w:szCs w:val="21"/>
              </w:rPr>
              <w:br w:type="textWrapping"/>
            </w:r>
            <w:r>
              <w:rPr>
                <w:rFonts w:hint="eastAsia" w:cs="宋体" w:asciiTheme="minorEastAsia" w:hAnsiTheme="minorEastAsia" w:eastAsiaTheme="minorEastAsia"/>
                <w:b/>
                <w:bCs/>
                <w:kern w:val="0"/>
                <w:szCs w:val="21"/>
              </w:rPr>
              <w:t>主要</w:t>
            </w:r>
            <w:r>
              <w:rPr>
                <w:rFonts w:hint="eastAsia" w:cs="宋体" w:asciiTheme="minorEastAsia" w:hAnsiTheme="minorEastAsia" w:eastAsiaTheme="minorEastAsia"/>
                <w:b/>
                <w:bCs/>
                <w:kern w:val="0"/>
                <w:szCs w:val="21"/>
              </w:rPr>
              <w:br w:type="textWrapping"/>
            </w:r>
            <w:r>
              <w:rPr>
                <w:rFonts w:hint="eastAsia" w:cs="宋体" w:asciiTheme="minorEastAsia" w:hAnsiTheme="minorEastAsia" w:eastAsiaTheme="minorEastAsia"/>
                <w:b/>
                <w:bCs/>
                <w:kern w:val="0"/>
                <w:szCs w:val="21"/>
              </w:rPr>
              <w:t>任务</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任务名称</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主要内容</w:t>
            </w:r>
          </w:p>
        </w:tc>
        <w:tc>
          <w:tcPr>
            <w:tcW w:w="4738" w:type="dxa"/>
            <w:gridSpan w:val="4"/>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预算金额（万元）</w:t>
            </w:r>
          </w:p>
        </w:tc>
        <w:tc>
          <w:tcPr>
            <w:tcW w:w="4999" w:type="dxa"/>
            <w:gridSpan w:val="5"/>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实际执行（万元）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897"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总额</w:t>
            </w:r>
          </w:p>
        </w:tc>
        <w:tc>
          <w:tcPr>
            <w:tcW w:w="2764" w:type="dxa"/>
            <w:gridSpan w:val="2"/>
            <w:shd w:val="clear" w:color="auto" w:fill="auto"/>
            <w:noWrap/>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财政拨款</w:t>
            </w:r>
          </w:p>
        </w:tc>
        <w:tc>
          <w:tcPr>
            <w:tcW w:w="1077"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其他资金</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总额</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财政拨款</w:t>
            </w:r>
          </w:p>
        </w:tc>
        <w:tc>
          <w:tcPr>
            <w:tcW w:w="1584"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任务1</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人员经费</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289.67</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289.67</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289.67</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289.67</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任务2</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公用经费</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53.58</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53.58</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53.58</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53.58</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任务3</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科学普及</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40</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40</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40</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40</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任务4</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学术交流</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任务5</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院士、专家、海智工作站建设</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任务6</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天府科技云服务中心运行维护</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11.85</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11.85</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11.85</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11.85</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任务7</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乡村振兴工作</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1.82</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1.82</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1.82</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1.82</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任务8</w:t>
            </w:r>
          </w:p>
        </w:tc>
        <w:tc>
          <w:tcPr>
            <w:tcW w:w="335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老科协工作</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w:t>
            </w:r>
          </w:p>
        </w:tc>
        <w:tc>
          <w:tcPr>
            <w:tcW w:w="1584"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450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金额合计</w:t>
            </w:r>
          </w:p>
        </w:tc>
        <w:tc>
          <w:tcPr>
            <w:tcW w:w="897" w:type="dxa"/>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449.92</w:t>
            </w:r>
          </w:p>
        </w:tc>
        <w:tc>
          <w:tcPr>
            <w:tcW w:w="276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449.92</w:t>
            </w:r>
          </w:p>
        </w:tc>
        <w:tc>
          <w:tcPr>
            <w:tcW w:w="1077"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1557" w:type="dxa"/>
            <w:gridSpan w:val="2"/>
            <w:shd w:val="clear" w:color="auto" w:fill="auto"/>
            <w:vAlign w:val="center"/>
          </w:tcPr>
          <w:p>
            <w:pPr>
              <w:widowControl/>
              <w:jc w:val="righ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449.92</w:t>
            </w:r>
          </w:p>
        </w:tc>
        <w:tc>
          <w:tcPr>
            <w:tcW w:w="185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449.92</w:t>
            </w:r>
          </w:p>
        </w:tc>
        <w:tc>
          <w:tcPr>
            <w:tcW w:w="1584" w:type="dxa"/>
            <w:shd w:val="clear" w:color="auto" w:fill="auto"/>
            <w:noWrap/>
            <w:vAlign w:val="center"/>
          </w:tcPr>
          <w:p>
            <w:pPr>
              <w:widowControl/>
              <w:jc w:val="lef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年度</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总体</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目标</w:t>
            </w:r>
          </w:p>
        </w:tc>
        <w:tc>
          <w:tcPr>
            <w:tcW w:w="5401" w:type="dxa"/>
            <w:gridSpan w:val="3"/>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预期目标</w:t>
            </w:r>
          </w:p>
        </w:tc>
        <w:tc>
          <w:tcPr>
            <w:tcW w:w="8840" w:type="dxa"/>
            <w:gridSpan w:val="8"/>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7"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5401" w:type="dxa"/>
            <w:gridSpan w:val="3"/>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目标1（人员经费）：保障工资及时发放，足额发放，减少结余资金。目标2（公用经费）：保障日常运转，减少结余资金。目标3（科学普及）：组织科普宣传与交流10次以上，开展防邪反邪宣传教育活动5次以上，开展青少年科技教育、高校科学营活动1次；通过加强科普宣传交流、科普阵地建设，开展青少年科技教育实践、反邪防邪宣传教育，科普信息化建设等，推动全民科学素质提高，基层科普治理能力提升，公众反邪防邪意识和能力增强，科普受众满意度90%以上。目标4（学术交流）：召开科技工作者座谈会1次，举办双创学术沙龙1次,开展优秀学术论文评选1次，开展学会能力提升建设，评选5家优秀学会组织。通过开展学术交流、学会能力提升建设，提升学术交流水平，凝聚科技工作者力量，促进科技与经济发展；服务对象满意度90%。目标5（院士专家海智工作站建设）：新建市级海智工作站1家，院士（专家）广元行活动1次，院士（专家）工作站成果展示推广活动1次，新建市级院士（专家）工作站3家，开展院士（专家）工作站绩效考评1次，奖励示范工作站，奖补1万元/家；通过组织开展院士专家海智工作站建设，柔性引进高层次人才及海外人才，提升我市企事业单位科技创新能力，加快企事业单位转型升级发展。目标6（天府科技云服务中心运维）：保障天府科技云服务运维，继续提高天府科技云注册推广使用率。目标7（乡村振兴工作）：开展科普宣传、政策宣讲4次以上，开展农村实用技术培训3次以上，足额保障驻村队员驻村工作经费 , 通过科普宣传、政策宣讲、农村实用技术培训，节日慰问，巩固提升扶贫成效，促进乡风文明、村容村貌提升，助力乡村振兴。目标8（老科协工作）：组织老科技工作者开展农村科普和实用技术培训5次以上，举办乡村振兴论坛1次，保障日常工作经费，对口帮扶村群众满意度90%。</w:t>
            </w:r>
          </w:p>
        </w:tc>
        <w:tc>
          <w:tcPr>
            <w:tcW w:w="8840" w:type="dxa"/>
            <w:gridSpan w:val="8"/>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xml:space="preserve">目标1（人员经费）：保障工资及时发放，足额发放，无结余资金。目标2（公用经费）：保障日常运转，无结余资金。目标3（科学普及）：组织科普宣传与交流10次以上，开展防邪反邪宣传教育活动5次以上，开展青少年科技教育、高校科学营活动1次；通过加强科普宣传交流、科普阵地建设，开展青少年科技教育实践、反邪防邪宣传教育，科普信息化建设等，推动全民科学素质提高，基层科普治理能力提升，公众反邪防邪意识和能力增强，科普受众满意度90%以上。目标4（学术交流）：召开科技工作者座谈会1次，举办双创学术沙龙1次,开展优秀学术论文评选1次，开展学会能力提升建设，评选5家优秀学会组织。通过开展学术交流、学会能力提升建设，提升学术交流水平，凝聚科技工作者力量，促进科技与经济发展；服务对象满意度90%。目标5（院士专家海智工作站建设）：新建市级海智工作站1家，因疫情原因取消了院士（专家）广元行活动，院士（专家）工作站成果展示推广活动1次，新建市级院士（专家）工作站3家，开展院士（专家）工作站绩效考评1次，奖励示范工作站，奖补1万元/家；通过组织开展院士专家海智工作站建设，柔性引进高层次人才及海外人才，提升我市企事业单位科技创新能力，加快企事业单位转型升级发展。目标6（天府科技云服务中心运维）：保障天府科技云服务运维，提高天府科技云注册推广使用率。目标7（乡村振兴工作）：开展科普宣传、政策宣讲4次以上，开展农村实用技术培训3次以上，足额保障驻村队员驻村工作经费 , 通过科普宣传、政策宣讲、农村实用技术培训，节日慰问，巩固提升扶贫成效，促进乡风文明、村容村貌提升，助力乡村振兴。目标8（老科协工作）：组织老科技工作者开展农村科普和实用技术培训5次以上，举办乡村振兴论坛1次，保障日常工作经费，对口帮扶村群众满意度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预算执行情况（10分）</w:t>
            </w: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年度预算数（万元）</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年初预算</w:t>
            </w: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调整后预算数</w:t>
            </w: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预算执行数</w:t>
            </w: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预算执行率</w:t>
            </w: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权重%</w:t>
            </w: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部门自评得分</w:t>
            </w: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财政部门科室复评得分</w:t>
            </w:r>
          </w:p>
        </w:tc>
        <w:tc>
          <w:tcPr>
            <w:tcW w:w="158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jc w:val="center"/>
        </w:trPr>
        <w:tc>
          <w:tcPr>
            <w:tcW w:w="1492" w:type="dxa"/>
            <w:vMerge w:val="continue"/>
            <w:vAlign w:val="center"/>
          </w:tcPr>
          <w:p>
            <w:pPr>
              <w:widowControl/>
              <w:jc w:val="left"/>
              <w:rPr>
                <w:rFonts w:cs="宋体" w:asciiTheme="minorEastAsia" w:hAnsiTheme="minorEastAsia" w:eastAsiaTheme="minorEastAsia"/>
                <w:b/>
                <w:bCs/>
                <w:color w:val="000000"/>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总额</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100%.</w:t>
            </w: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584" w:type="dxa"/>
            <w:vMerge w:val="restart"/>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92" w:type="dxa"/>
            <w:vMerge w:val="continue"/>
            <w:vAlign w:val="center"/>
          </w:tcPr>
          <w:p>
            <w:pPr>
              <w:widowControl/>
              <w:jc w:val="left"/>
              <w:rPr>
                <w:rFonts w:cs="宋体" w:asciiTheme="minorEastAsia" w:hAnsiTheme="minorEastAsia" w:eastAsiaTheme="minorEastAsia"/>
                <w:b/>
                <w:bCs/>
                <w:color w:val="000000"/>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其中：财政资金</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449.92</w:t>
            </w: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100%.</w:t>
            </w: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584" w:type="dxa"/>
            <w:vMerge w:val="continue"/>
            <w:vAlign w:val="center"/>
          </w:tcPr>
          <w:p>
            <w:pPr>
              <w:widowControl/>
              <w:jc w:val="lef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92" w:type="dxa"/>
            <w:vMerge w:val="continue"/>
            <w:vAlign w:val="center"/>
          </w:tcPr>
          <w:p>
            <w:pPr>
              <w:widowControl/>
              <w:jc w:val="left"/>
              <w:rPr>
                <w:rFonts w:cs="宋体" w:asciiTheme="minorEastAsia" w:hAnsiTheme="minorEastAsia" w:eastAsiaTheme="minorEastAsia"/>
                <w:b/>
                <w:bCs/>
                <w:color w:val="000000"/>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财政专户管理资金</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584" w:type="dxa"/>
            <w:vMerge w:val="continue"/>
            <w:vAlign w:val="center"/>
          </w:tcPr>
          <w:p>
            <w:pPr>
              <w:widowControl/>
              <w:jc w:val="lef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92" w:type="dxa"/>
            <w:vMerge w:val="continue"/>
            <w:vAlign w:val="center"/>
          </w:tcPr>
          <w:p>
            <w:pPr>
              <w:widowControl/>
              <w:jc w:val="left"/>
              <w:rPr>
                <w:rFonts w:cs="宋体" w:asciiTheme="minorEastAsia" w:hAnsiTheme="minorEastAsia" w:eastAsiaTheme="minorEastAsia"/>
                <w:b/>
                <w:bCs/>
                <w:color w:val="000000"/>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单位资金</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584" w:type="dxa"/>
            <w:vMerge w:val="continue"/>
            <w:vAlign w:val="center"/>
          </w:tcPr>
          <w:p>
            <w:pPr>
              <w:widowControl/>
              <w:jc w:val="lef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jc w:val="center"/>
        </w:trPr>
        <w:tc>
          <w:tcPr>
            <w:tcW w:w="1492" w:type="dxa"/>
            <w:vMerge w:val="continue"/>
            <w:vAlign w:val="center"/>
          </w:tcPr>
          <w:p>
            <w:pPr>
              <w:widowControl/>
              <w:jc w:val="left"/>
              <w:rPr>
                <w:rFonts w:cs="宋体" w:asciiTheme="minorEastAsia" w:hAnsiTheme="minorEastAsia" w:eastAsiaTheme="minorEastAsia"/>
                <w:b/>
                <w:bCs/>
                <w:color w:val="000000"/>
                <w:kern w:val="0"/>
                <w:szCs w:val="21"/>
              </w:rPr>
            </w:pPr>
          </w:p>
        </w:tc>
        <w:tc>
          <w:tcPr>
            <w:tcW w:w="115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其他资金</w:t>
            </w:r>
          </w:p>
        </w:tc>
        <w:tc>
          <w:tcPr>
            <w:tcW w:w="3354"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9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3841"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877"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180"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678" w:type="dxa"/>
            <w:shd w:val="clear" w:color="auto" w:fill="auto"/>
            <w:vAlign w:val="center"/>
          </w:tcPr>
          <w:p>
            <w:pPr>
              <w:widowControl/>
              <w:jc w:val="center"/>
              <w:rPr>
                <w:rFonts w:cs="宋体" w:asciiTheme="minorEastAsia" w:hAnsiTheme="minorEastAsia" w:eastAsiaTheme="minorEastAsia"/>
                <w:b/>
                <w:bCs/>
                <w:color w:val="000000"/>
                <w:kern w:val="0"/>
                <w:szCs w:val="21"/>
              </w:rPr>
            </w:pPr>
          </w:p>
        </w:tc>
        <w:tc>
          <w:tcPr>
            <w:tcW w:w="1584" w:type="dxa"/>
            <w:vMerge w:val="continue"/>
            <w:vAlign w:val="center"/>
          </w:tcPr>
          <w:p>
            <w:pPr>
              <w:widowControl/>
              <w:jc w:val="lef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r>
              <w:rPr>
                <w:rFonts w:hint="eastAsia" w:cs="宋体" w:asciiTheme="minorEastAsia" w:hAnsiTheme="minorEastAsia" w:eastAsiaTheme="minorEastAsia"/>
                <w:b/>
                <w:bCs/>
                <w:kern w:val="0"/>
                <w:szCs w:val="21"/>
              </w:rPr>
              <w:br w:type="page"/>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（90分）</w:t>
            </w:r>
          </w:p>
        </w:tc>
        <w:tc>
          <w:tcPr>
            <w:tcW w:w="115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一级指标</w:t>
            </w:r>
          </w:p>
        </w:tc>
        <w:tc>
          <w:tcPr>
            <w:tcW w:w="3354"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二级指标</w:t>
            </w:r>
          </w:p>
        </w:tc>
        <w:tc>
          <w:tcPr>
            <w:tcW w:w="1828"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三级指标</w:t>
            </w:r>
          </w:p>
        </w:tc>
        <w:tc>
          <w:tcPr>
            <w:tcW w:w="1833"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指标值（包含数字及文字描述）</w:t>
            </w:r>
          </w:p>
        </w:tc>
        <w:tc>
          <w:tcPr>
            <w:tcW w:w="195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实际完成指标值（包含数字及文字描述）</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部门自评得分</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财政部门科室复评得分</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xml:space="preserve"> 未完成原因及改进措施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产出指标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数量指标</w:t>
            </w: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指标1（人员经费）：足额保障单位职工每月工资人数，科目调整次数*次以内，足额保障率*%</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足额保障单位职工每月工资人数21人，科目调整次数10次以内，足额保障率100%</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足额保障单位职工每月工资人数21人，科目调整次数10次以内，足额保障率100%</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指标2（公用经费）：保障日常运转，减少结余资金，科目调整次数*次以内</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保障日常运转，减少结余资金，科目调整次数*次以内</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保障日常运转，减少结余资金，无科目调整。</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指标3（科学普及）：组织科普宣传与交流*次以上，开展防邪反邪宣传教育活动*次以上，开展青少年科技教育、高校科学营活动*次</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组织科普宣传与交流10次以上，开展防邪反邪宣传教育活动5次以上，开展青少年科技教育、高校科学营活动1次</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组织科普宣传与交流10次以上，开展防邪反邪宣传教育活动5次以上，开展青少年科技教育、高校科学营活动1次</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指标4（学术交流）：召开科技工作者座谈会*次，举办双创学术沙龙*次,开展优秀学术论文评选*次，开展学会能力提升建设，评选*家优秀学会组织。</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指标2（学术交流）：召开科技工作者座谈会1次，举办双创学术沙龙1次,开展优秀学术论文评选1次，开展学会能力提升建设，评选5家优秀学会组织。</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指标2（学术交流）：召开科技工作者座谈会1次，举办双创学术沙龙1次,开展优秀学术论文评选1次，开展学会能力提升建设，评选5家优秀学会组织。</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产出指标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数量指标</w:t>
            </w: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5（院士专家海智工作站建设）：新建市级海智工作站*家，院士（专家）广元行活动*次，院士（专家）工作站成果展示推广活动*次，开展工作站绩效考评*次，新建市级院士（专家）工作站*家，绩效考评奖励示范工作站*家。</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3（院士专家海智工作站建设）：新建市级海智工作站1家，院士（专家）广元行活动1次，院士（专家）工作站成果展示推广活动1次，开展工作站绩效考评1次，新建市级院士（专家）工作站3家，绩效考评奖励示范工作站5家。</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新建市级海智工作站1家，院士（专家）工作站成果展示推广活动1次，开展工作站绩效考评1次，新建市级院士（专家）工作站3家，绩效考评奖励示范工作站5家。</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因疫情原因，取消了院士（专家）广元行活动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指标6（天府科技云服务中心运维）：购买第三方服务*年</w:t>
            </w:r>
          </w:p>
        </w:tc>
        <w:tc>
          <w:tcPr>
            <w:tcW w:w="1833" w:type="dxa"/>
            <w:shd w:val="clear" w:color="auto" w:fill="auto"/>
            <w:vAlign w:val="center"/>
          </w:tcPr>
          <w:p>
            <w:pPr>
              <w:widowControl/>
              <w:spacing w:line="260" w:lineRule="exact"/>
              <w:rPr>
                <w:rFonts w:cs="宋体" w:asciiTheme="minorEastAsia" w:hAnsiTheme="minorEastAsia" w:eastAsiaTheme="minorEastAsia"/>
                <w:b/>
                <w:bCs/>
                <w:spacing w:val="-16"/>
                <w:kern w:val="0"/>
                <w:szCs w:val="21"/>
              </w:rPr>
            </w:pPr>
            <w:r>
              <w:rPr>
                <w:rFonts w:hint="eastAsia" w:cs="宋体" w:asciiTheme="minorEastAsia" w:hAnsiTheme="minorEastAsia" w:eastAsiaTheme="minorEastAsia"/>
                <w:b/>
                <w:bCs/>
                <w:spacing w:val="-16"/>
                <w:kern w:val="0"/>
                <w:szCs w:val="21"/>
              </w:rPr>
              <w:t>购买第三方服务1年</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spacing w:val="-16"/>
                <w:kern w:val="0"/>
                <w:szCs w:val="21"/>
              </w:rPr>
            </w:pPr>
            <w:r>
              <w:rPr>
                <w:rFonts w:hint="eastAsia" w:cs="宋体" w:asciiTheme="minorEastAsia" w:hAnsiTheme="minorEastAsia" w:eastAsiaTheme="minorEastAsia"/>
                <w:b/>
                <w:bCs/>
                <w:spacing w:val="-16"/>
                <w:kern w:val="0"/>
                <w:szCs w:val="21"/>
              </w:rPr>
              <w:t>购买第三方服务1年</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7"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指标7（乡村振兴工作）：开展科普宣传、政策宣讲*次以上，开展农村实用技术培训*次以上</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开展科普宣传、政策宣讲4次以上，开展农村实用技术培训3次以上</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开展科普宣传、核桃春季病虫害防治、冬季管护等技术培训10余场次。</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指标8（老科协工作）：组织老科技工作者开展农村科普和实用技术培训*次以上,举</w:t>
            </w:r>
            <w:r>
              <w:rPr>
                <w:rFonts w:hint="eastAsia" w:cs="宋体" w:asciiTheme="minorEastAsia" w:hAnsiTheme="minorEastAsia" w:eastAsiaTheme="minorEastAsia"/>
                <w:b/>
                <w:bCs/>
                <w:spacing w:val="-16"/>
                <w:kern w:val="0"/>
                <w:szCs w:val="21"/>
              </w:rPr>
              <w:t>办乡村振兴论坛*次</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组织老科技工作者开展农村科普和实用技术培训5次以上，举办乡村振兴论坛1次</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组织老科技工作者开展农村科普和实用技术培训5次以上，举办乡村振兴论坛1次</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r>
              <w:rPr>
                <w:rFonts w:hint="eastAsia" w:cs="宋体" w:asciiTheme="minorEastAsia" w:hAnsiTheme="minorEastAsia" w:eastAsiaTheme="minorEastAsia"/>
                <w:b/>
                <w:bCs/>
                <w:kern w:val="0"/>
                <w:szCs w:val="21"/>
              </w:rPr>
              <w:br w:type="page"/>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产出指标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质量指标</w:t>
            </w:r>
          </w:p>
        </w:tc>
        <w:tc>
          <w:tcPr>
            <w:tcW w:w="1828"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指标1（公用经费）：预算编制准确率*%</w:t>
            </w:r>
          </w:p>
        </w:tc>
        <w:tc>
          <w:tcPr>
            <w:tcW w:w="1833"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预算编制准确率小于等于5%</w:t>
            </w:r>
          </w:p>
        </w:tc>
        <w:tc>
          <w:tcPr>
            <w:tcW w:w="1954"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预算编制准确率小于等于5%</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指标2（科学普及）：精准科普覆盖率100%。反邪邪教工作取得新成效。</w:t>
            </w:r>
          </w:p>
        </w:tc>
        <w:tc>
          <w:tcPr>
            <w:tcW w:w="1833"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精准科普覆盖率100%。反邪邪教工作取得新成效。</w:t>
            </w:r>
          </w:p>
        </w:tc>
        <w:tc>
          <w:tcPr>
            <w:tcW w:w="1954"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被中</w:t>
            </w:r>
            <w:r>
              <w:rPr>
                <w:rFonts w:hint="eastAsia" w:cs="宋体" w:asciiTheme="minorEastAsia" w:hAnsiTheme="minorEastAsia" w:eastAsiaTheme="minorEastAsia"/>
                <w:b/>
                <w:bCs/>
                <w:kern w:val="0"/>
                <w:szCs w:val="21"/>
                <w:lang w:eastAsia="zh-CN"/>
              </w:rPr>
              <w:t>国</w:t>
            </w:r>
            <w:r>
              <w:rPr>
                <w:rFonts w:hint="eastAsia" w:cs="宋体" w:asciiTheme="minorEastAsia" w:hAnsiTheme="minorEastAsia" w:eastAsiaTheme="minorEastAsia"/>
                <w:b/>
                <w:bCs/>
                <w:kern w:val="0"/>
                <w:szCs w:val="21"/>
              </w:rPr>
              <w:t>科协评为2022年全国科普日活动优秀组织单位。全年推送科普短信150万条，精准科普服务量达800余万次，精准科普覆盖率100%。开展“2022年反邪教理论文章征集活动”，向省反邪教协会推荐优秀论文5篇。征集反邪教主题原创文字及创意设计、音频及短视频作品10篇，获奖作品1篇。</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指标3（学术交流）：开展学会能力提升建设，评选优秀学会组织。</w:t>
            </w:r>
          </w:p>
        </w:tc>
        <w:tc>
          <w:tcPr>
            <w:tcW w:w="1833"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开展学会能力提升建设，评选5家优秀学会组织。学会组织服务能力进一步提高</w:t>
            </w:r>
          </w:p>
        </w:tc>
        <w:tc>
          <w:tcPr>
            <w:tcW w:w="1954" w:type="dxa"/>
            <w:gridSpan w:val="2"/>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择优评选市老科协、魔芋协会、市科普作家协会、市中医学会、市医学会5家，其中市魔芋协会会长黄军周成功入选“中国农技协百强乡土人才”。组织开展了2022年优秀科技论文征集评选活动1次，征集科技论文68篇，评选52篇</w:t>
            </w:r>
            <w:r>
              <w:rPr>
                <w:rFonts w:hint="eastAsia" w:cs="宋体" w:asciiTheme="minorEastAsia" w:hAnsiTheme="minorEastAsia" w:eastAsiaTheme="minorEastAsia"/>
                <w:b/>
                <w:bCs/>
                <w:spacing w:val="-6"/>
                <w:kern w:val="0"/>
                <w:szCs w:val="21"/>
              </w:rPr>
              <w:t>优秀优秀科技论文。</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r>
              <w:rPr>
                <w:rFonts w:hint="eastAsia" w:cs="宋体" w:asciiTheme="minorEastAsia" w:hAnsiTheme="minorEastAsia" w:eastAsiaTheme="minorEastAsia"/>
                <w:b/>
                <w:bCs/>
                <w:kern w:val="0"/>
                <w:szCs w:val="21"/>
              </w:rPr>
              <w:br w:type="page"/>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产出指标</w:t>
            </w:r>
          </w:p>
        </w:tc>
        <w:tc>
          <w:tcPr>
            <w:tcW w:w="3354"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质量指标</w:t>
            </w:r>
          </w:p>
        </w:tc>
        <w:tc>
          <w:tcPr>
            <w:tcW w:w="1828"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指标4（院士专家海智工作站建设）：对已建第七批市级专家工作站运行情况进行绩效考评，确定优秀等次。</w:t>
            </w:r>
          </w:p>
        </w:tc>
        <w:tc>
          <w:tcPr>
            <w:tcW w:w="1833" w:type="dxa"/>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对已建第七批市级专家工作站运行情况进行绩效考评，确定优秀等次。</w:t>
            </w:r>
          </w:p>
        </w:tc>
        <w:tc>
          <w:tcPr>
            <w:tcW w:w="1954"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对已建第七批市级专家工作站运行情况进行绩效考评。认定四川木门茶叶有限公司等5家工作站为优秀等次。</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时效指标</w:t>
            </w:r>
          </w:p>
        </w:tc>
        <w:tc>
          <w:tcPr>
            <w:tcW w:w="1828" w:type="dxa"/>
            <w:gridSpan w:val="2"/>
            <w:shd w:val="clear" w:color="auto" w:fill="auto"/>
            <w:vAlign w:val="center"/>
          </w:tcPr>
          <w:p>
            <w:pPr>
              <w:widowControl/>
              <w:rPr>
                <w:rFonts w:cs="宋体" w:asciiTheme="minorEastAsia" w:hAnsiTheme="minorEastAsia" w:eastAsiaTheme="minorEastAsia"/>
                <w:b/>
                <w:bCs/>
                <w:spacing w:val="-10"/>
                <w:kern w:val="0"/>
                <w:szCs w:val="21"/>
              </w:rPr>
            </w:pPr>
            <w:r>
              <w:rPr>
                <w:rFonts w:hint="eastAsia" w:cs="宋体" w:asciiTheme="minorEastAsia" w:hAnsiTheme="minorEastAsia" w:eastAsiaTheme="minorEastAsia"/>
                <w:b/>
                <w:bCs/>
                <w:spacing w:val="-10"/>
                <w:kern w:val="0"/>
                <w:szCs w:val="21"/>
              </w:rPr>
              <w:t>指标1：按时完成率</w:t>
            </w:r>
          </w:p>
        </w:tc>
        <w:tc>
          <w:tcPr>
            <w:tcW w:w="1833" w:type="dxa"/>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100%</w:t>
            </w:r>
          </w:p>
        </w:tc>
        <w:tc>
          <w:tcPr>
            <w:tcW w:w="1954"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100%</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成本指标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成本指标</w:t>
            </w:r>
          </w:p>
        </w:tc>
        <w:tc>
          <w:tcPr>
            <w:tcW w:w="1828"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指标1（科学普及）：科普宣传与交流*万元，全民科学素质行动规划纲要实施*万元，组织开展示范基地创建工作*万元，反邪防邪宣传*万元</w:t>
            </w:r>
          </w:p>
        </w:tc>
        <w:tc>
          <w:tcPr>
            <w:tcW w:w="1833" w:type="dxa"/>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科普宣传与交流10万元，全民科学素质行动规划纲要实施10万元，组织开展示范基地创建工作15万元，反邪防邪宣传5万元，合计40万元。</w:t>
            </w:r>
          </w:p>
        </w:tc>
        <w:tc>
          <w:tcPr>
            <w:tcW w:w="1954"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科普宣传与交流10万元，全民科学素质行动规划纲要实施10万元，组织开展示范基地创建工作15万元，反邪防邪宣传5万元，合计40万元。</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指标2（学术交流）：开展学术交流活动产生的宣传费、印刷费、会员费等*万元；组织开展学会能力提升建设，评选优秀学会组织，并给</w:t>
            </w:r>
            <w:r>
              <w:rPr>
                <w:rFonts w:hint="eastAsia" w:cs="宋体" w:asciiTheme="minorEastAsia" w:hAnsiTheme="minorEastAsia" w:eastAsiaTheme="minorEastAsia"/>
                <w:b/>
                <w:bCs/>
                <w:spacing w:val="-8"/>
                <w:kern w:val="0"/>
                <w:szCs w:val="21"/>
              </w:rPr>
              <w:t>予资金奖补*万元。</w:t>
            </w:r>
          </w:p>
        </w:tc>
        <w:tc>
          <w:tcPr>
            <w:tcW w:w="1833" w:type="dxa"/>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开展学术交流活动产生的宣传费、印刷费、会议费、评审费等5万元；组织开展学会能力提升建设，评选优秀学会组织5家，并给予资金奖补2万元/家。合计10万元</w:t>
            </w:r>
          </w:p>
        </w:tc>
        <w:tc>
          <w:tcPr>
            <w:tcW w:w="1954"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开展学术交流活动产生的宣传费、印刷费、会议费、评审费等5万元；组织开展学会能力提升建设，评选优秀学会组织5家，并给予资金奖补2万</w:t>
            </w:r>
            <w:r>
              <w:rPr>
                <w:rFonts w:hint="eastAsia" w:cs="宋体" w:asciiTheme="minorEastAsia" w:hAnsiTheme="minorEastAsia" w:eastAsiaTheme="minorEastAsia"/>
                <w:b/>
                <w:bCs/>
                <w:spacing w:val="-8"/>
                <w:kern w:val="0"/>
                <w:szCs w:val="21"/>
              </w:rPr>
              <w:t>元/家。合计10万元</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成本指标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成本指标</w:t>
            </w:r>
          </w:p>
        </w:tc>
        <w:tc>
          <w:tcPr>
            <w:tcW w:w="1828"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指标3（院士专家海智工作站建设）：开展2022年度院士专家海智工作建设申报评审工作，对已建站单位进行绩效考评，考核优秀的建站单位给予资</w:t>
            </w:r>
            <w:r>
              <w:rPr>
                <w:rFonts w:hint="eastAsia" w:cs="宋体" w:asciiTheme="minorEastAsia" w:hAnsiTheme="minorEastAsia" w:eastAsiaTheme="minorEastAsia"/>
                <w:b/>
                <w:bCs/>
                <w:spacing w:val="-8"/>
                <w:kern w:val="0"/>
                <w:szCs w:val="21"/>
              </w:rPr>
              <w:t>金奖补1万元/家。</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新建院士专家工作站、绩效考评各10万</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开展已建站单位绩效考评工作，落实工作经费5万元，主要用于资料印刷、评审、考察调研等，对绩效考评优秀的5家工作站给予奖补，各1万元。对往年建站单位进行奖补10万。</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指标4（天府科技云运行维护）：购买第三方服务*万元/年,服务大厅租赁、水电网络服务*万元/年，天府科技云注册推广*万元/年。</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购买第三方服务5万元/年,服务大厅租赁、水电网络服务2万元/年，天府科技云注册</w:t>
            </w:r>
            <w:r>
              <w:rPr>
                <w:rFonts w:hint="eastAsia" w:cs="宋体" w:asciiTheme="minorEastAsia" w:hAnsiTheme="minorEastAsia" w:eastAsiaTheme="minorEastAsia"/>
                <w:b/>
                <w:bCs/>
                <w:spacing w:val="-8"/>
                <w:kern w:val="0"/>
                <w:szCs w:val="21"/>
              </w:rPr>
              <w:t>推广1.85万元/年。</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购买第三方服务5万元/年,服务大厅租赁、水电网络服务2万元/年，天府科技云注册推广1.85万元/年。</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指标5（乡村振兴工作）：驻村队员开展驻村工作期间产生的工作经费*万元</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驻村队员开展驻村工作期间产生的工作经费1.82万元</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1.82万元</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指标6（老科协工作）：日常工作经费*万元，实施万人培训计划、举办乡村振兴论坛*万元,开展对口帮扶工作*万元</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日常工作经费6.7万元，实施万人培训计划、举办乡村振兴论坛1.8万元，开展对口帮扶4.5万元</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日常工作经费6.7万元，实施万人培训计划、举办乡村振兴论坛1.8万元，开展对口帮扶4.5万元</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492"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    （90分）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效益指标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社会效益</w:t>
            </w:r>
          </w:p>
        </w:tc>
        <w:tc>
          <w:tcPr>
            <w:tcW w:w="1828" w:type="dxa"/>
            <w:gridSpan w:val="2"/>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指标1（天府科技</w:t>
            </w:r>
            <w:r>
              <w:rPr>
                <w:rFonts w:hint="eastAsia" w:cs="宋体" w:asciiTheme="minorEastAsia" w:hAnsiTheme="minorEastAsia" w:eastAsiaTheme="minorEastAsia"/>
                <w:b/>
                <w:bCs/>
                <w:spacing w:val="-8"/>
                <w:kern w:val="0"/>
                <w:szCs w:val="21"/>
              </w:rPr>
              <w:t>云服务中心运维）：</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保障了广元市天府科技云服务中心服务大厅和指挥中心正常运转，指导全市“天府科技云”服务深入开展，绩效考核进入全省市州前茅。</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2022年新增注册用户32124个，新增组织机构用户402个。新增科创工作室1216个。培育精品案例570个。科创沙龙展示项目1个。广元市科协荣获“2022年度精准服务创新驱动发展成效突出单位”称号，全省排名第二；荣获“2022年度精准服务科技工作者成效突出单位”称号，全省排名第六。</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rPr>
                <w:rFonts w:cs="宋体" w:asciiTheme="minorEastAsia" w:hAnsiTheme="minorEastAsia" w:eastAsiaTheme="minorEastAsia"/>
                <w:b/>
                <w:bCs/>
                <w:spacing w:val="-8"/>
                <w:kern w:val="0"/>
                <w:szCs w:val="21"/>
              </w:rPr>
            </w:pPr>
            <w:r>
              <w:rPr>
                <w:rFonts w:hint="eastAsia" w:cs="宋体" w:asciiTheme="minorEastAsia" w:hAnsiTheme="minorEastAsia" w:eastAsiaTheme="minorEastAsia"/>
                <w:b/>
                <w:bCs/>
                <w:spacing w:val="-8"/>
                <w:kern w:val="0"/>
                <w:szCs w:val="21"/>
              </w:rPr>
              <w:t>指标2（科学普及）：</w:t>
            </w:r>
          </w:p>
        </w:tc>
        <w:tc>
          <w:tcPr>
            <w:tcW w:w="1833" w:type="dxa"/>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1（科学普及）：通过加强科普宣传交流、科普阵地建设，开展青少年科技教育实践、反邪防邪宣传教育，科普信息化建设等工作，持续推动全民科学素质提高，基层科普治理能力提升，公众反邪防邪意识和能力增强。</w:t>
            </w:r>
          </w:p>
        </w:tc>
        <w:tc>
          <w:tcPr>
            <w:tcW w:w="1954" w:type="dxa"/>
            <w:gridSpan w:val="2"/>
            <w:shd w:val="clear" w:color="auto" w:fill="auto"/>
            <w:vAlign w:val="center"/>
          </w:tcPr>
          <w:p>
            <w:pPr>
              <w:widowControl/>
              <w:spacing w:line="28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xml:space="preserve"> 通过加强科普宣传交流、科普阵地建设，开展青少年科技教育实践、反邪防邪宣传教育，科普信息化建设等工作，持续推动全民科学素质提高，基层科普治理能力提升，公众反邪防</w:t>
            </w:r>
            <w:r>
              <w:rPr>
                <w:rFonts w:hint="eastAsia" w:cs="宋体" w:asciiTheme="minorEastAsia" w:hAnsiTheme="minorEastAsia" w:eastAsiaTheme="minorEastAsia"/>
                <w:b/>
                <w:bCs/>
                <w:spacing w:val="-8"/>
                <w:kern w:val="0"/>
                <w:szCs w:val="21"/>
              </w:rPr>
              <w:t>邪意识和能力增强。</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492" w:type="dxa"/>
            <w:vMerge w:val="restart"/>
            <w:shd w:val="clear" w:color="auto" w:fill="auto"/>
            <w:vAlign w:val="center"/>
          </w:tcPr>
          <w:p>
            <w:pPr>
              <w:widowControl/>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绩</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效</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指</w:t>
            </w: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标</w:t>
            </w:r>
          </w:p>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br w:type="page"/>
            </w:r>
            <w:r>
              <w:rPr>
                <w:rFonts w:hint="eastAsia" w:cs="宋体" w:asciiTheme="minorEastAsia" w:hAnsiTheme="minorEastAsia" w:eastAsiaTheme="minorEastAsia"/>
                <w:b/>
                <w:bCs/>
                <w:kern w:val="0"/>
                <w:szCs w:val="21"/>
              </w:rPr>
              <w:t>（90分）</w:t>
            </w:r>
          </w:p>
        </w:tc>
        <w:tc>
          <w:tcPr>
            <w:tcW w:w="1150"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效益指标</w:t>
            </w:r>
          </w:p>
        </w:tc>
        <w:tc>
          <w:tcPr>
            <w:tcW w:w="3354" w:type="dxa"/>
            <w:vMerge w:val="restart"/>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社会效益</w:t>
            </w: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spacing w:val="-12"/>
                <w:kern w:val="0"/>
                <w:szCs w:val="21"/>
              </w:rPr>
            </w:pPr>
            <w:r>
              <w:rPr>
                <w:rFonts w:hint="eastAsia" w:cs="宋体" w:asciiTheme="minorEastAsia" w:hAnsiTheme="minorEastAsia" w:eastAsiaTheme="minorEastAsia"/>
                <w:b/>
                <w:bCs/>
                <w:spacing w:val="-12"/>
                <w:kern w:val="0"/>
                <w:szCs w:val="21"/>
              </w:rPr>
              <w:t>指标3（学术交流）：</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指标2：（学术交流）通过开展学术交流、学会能力提升建设，提升学术交流水平，凝聚科技工作者力量，促</w:t>
            </w:r>
            <w:r>
              <w:rPr>
                <w:rFonts w:hint="eastAsia" w:cs="宋体" w:asciiTheme="minorEastAsia" w:hAnsiTheme="minorEastAsia" w:eastAsiaTheme="minorEastAsia"/>
                <w:b/>
                <w:bCs/>
                <w:spacing w:val="-14"/>
                <w:kern w:val="0"/>
                <w:szCs w:val="21"/>
              </w:rPr>
              <w:t>进科技与经济发展。</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通过搭建科技创新平台，举办和组织参加学术会议，开展项目支持，为各类人才发挥作用创造条件，推动科技与经济紧密结合，为科技进步和经济社会事业发展作出更大的贡献。</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指标4（院士专家</w:t>
            </w:r>
            <w:r>
              <w:rPr>
                <w:rFonts w:hint="eastAsia" w:cs="宋体" w:asciiTheme="minorEastAsia" w:hAnsiTheme="minorEastAsia" w:eastAsiaTheme="minorEastAsia"/>
                <w:b/>
                <w:bCs/>
                <w:spacing w:val="-6"/>
                <w:kern w:val="0"/>
                <w:szCs w:val="21"/>
              </w:rPr>
              <w:t>海智工作站建设）：</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提升我市企事业单位科技创新能力，加快企事业单位转型升级发展。</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提升我市企事业单位科技创新能力，加快企事业单位转型升级发展。</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指标5（乡村振兴工作）：</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通过科普宣传、政策宣讲活动，农村实用技术培训，节日慰问，巩固提升扶贫成效，促进乡</w:t>
            </w:r>
            <w:r>
              <w:rPr>
                <w:rFonts w:hint="eastAsia" w:cs="宋体" w:asciiTheme="minorEastAsia" w:hAnsiTheme="minorEastAsia" w:eastAsiaTheme="minorEastAsia"/>
                <w:b/>
                <w:bCs/>
                <w:spacing w:val="-12"/>
                <w:kern w:val="0"/>
                <w:szCs w:val="21"/>
              </w:rPr>
              <w:t>风文明、村容村貌提升，助力乡村振兴。</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通过科普宣传、政策宣讲活动，农村实用技术培训，节日慰问，巩固提升扶贫成效，促进乡风文明、村容村貌</w:t>
            </w:r>
            <w:r>
              <w:rPr>
                <w:rFonts w:hint="eastAsia" w:cs="宋体" w:asciiTheme="minorEastAsia" w:hAnsiTheme="minorEastAsia" w:eastAsiaTheme="minorEastAsia"/>
                <w:b/>
                <w:bCs/>
                <w:spacing w:val="-10"/>
                <w:kern w:val="0"/>
                <w:szCs w:val="21"/>
              </w:rPr>
              <w:t>提升，助力乡村振兴。</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vMerge w:val="continue"/>
            <w:vAlign w:val="center"/>
          </w:tcPr>
          <w:p>
            <w:pPr>
              <w:widowControl/>
              <w:jc w:val="left"/>
              <w:rPr>
                <w:rFonts w:cs="宋体" w:asciiTheme="minorEastAsia" w:hAnsiTheme="minorEastAsia" w:eastAsiaTheme="minorEastAsia"/>
                <w:b/>
                <w:bCs/>
                <w:kern w:val="0"/>
                <w:szCs w:val="21"/>
              </w:rPr>
            </w:pPr>
          </w:p>
        </w:tc>
        <w:tc>
          <w:tcPr>
            <w:tcW w:w="3354" w:type="dxa"/>
            <w:vMerge w:val="continue"/>
            <w:vAlign w:val="center"/>
          </w:tcPr>
          <w:p>
            <w:pPr>
              <w:widowControl/>
              <w:jc w:val="left"/>
              <w:rPr>
                <w:rFonts w:cs="宋体" w:asciiTheme="minorEastAsia" w:hAnsiTheme="minorEastAsia" w:eastAsiaTheme="minorEastAsia"/>
                <w:b/>
                <w:bCs/>
                <w:kern w:val="0"/>
                <w:szCs w:val="21"/>
              </w:rPr>
            </w:pPr>
          </w:p>
        </w:tc>
        <w:tc>
          <w:tcPr>
            <w:tcW w:w="1828" w:type="dxa"/>
            <w:gridSpan w:val="2"/>
            <w:shd w:val="clear" w:color="auto" w:fill="auto"/>
            <w:vAlign w:val="center"/>
          </w:tcPr>
          <w:p>
            <w:pPr>
              <w:widowControl/>
              <w:spacing w:line="260" w:lineRule="exact"/>
              <w:rPr>
                <w:rFonts w:cs="宋体" w:asciiTheme="minorEastAsia" w:hAnsiTheme="minorEastAsia" w:eastAsiaTheme="minorEastAsia"/>
                <w:b/>
                <w:bCs/>
                <w:spacing w:val="-18"/>
                <w:kern w:val="0"/>
                <w:szCs w:val="21"/>
              </w:rPr>
            </w:pPr>
            <w:r>
              <w:rPr>
                <w:rFonts w:hint="eastAsia" w:cs="宋体" w:asciiTheme="minorEastAsia" w:hAnsiTheme="minorEastAsia" w:eastAsiaTheme="minorEastAsia"/>
                <w:b/>
                <w:bCs/>
                <w:spacing w:val="-18"/>
                <w:kern w:val="0"/>
                <w:szCs w:val="21"/>
              </w:rPr>
              <w:t>指标6（老科协工作）：</w:t>
            </w:r>
          </w:p>
        </w:tc>
        <w:tc>
          <w:tcPr>
            <w:tcW w:w="1833" w:type="dxa"/>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老科协把退休的高级知识分子组织起来，发挥余热，为社会做贡献。让他们老有所为、老有所学、老有所乐。</w:t>
            </w:r>
          </w:p>
        </w:tc>
        <w:tc>
          <w:tcPr>
            <w:tcW w:w="1954" w:type="dxa"/>
            <w:gridSpan w:val="2"/>
            <w:shd w:val="clear" w:color="auto" w:fill="auto"/>
            <w:vAlign w:val="center"/>
          </w:tcPr>
          <w:p>
            <w:pPr>
              <w:widowControl/>
              <w:spacing w:line="26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通过项目实施，让退休的高级知识分子们老有所为、老有所学、老有所乐。</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92" w:type="dxa"/>
            <w:vMerge w:val="continue"/>
            <w:vAlign w:val="center"/>
          </w:tcPr>
          <w:p>
            <w:pPr>
              <w:widowControl/>
              <w:jc w:val="left"/>
              <w:rPr>
                <w:rFonts w:cs="宋体" w:asciiTheme="minorEastAsia" w:hAnsiTheme="minorEastAsia" w:eastAsiaTheme="minorEastAsia"/>
                <w:b/>
                <w:bCs/>
                <w:kern w:val="0"/>
                <w:szCs w:val="21"/>
              </w:rPr>
            </w:pPr>
          </w:p>
        </w:tc>
        <w:tc>
          <w:tcPr>
            <w:tcW w:w="1150" w:type="dxa"/>
            <w:shd w:val="clear" w:color="auto" w:fill="auto"/>
            <w:vAlign w:val="center"/>
          </w:tcPr>
          <w:p>
            <w:pPr>
              <w:widowControl/>
              <w:spacing w:line="260" w:lineRule="exact"/>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满意度</w:t>
            </w:r>
          </w:p>
          <w:p>
            <w:pPr>
              <w:widowControl/>
              <w:spacing w:line="26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指标</w:t>
            </w:r>
          </w:p>
        </w:tc>
        <w:tc>
          <w:tcPr>
            <w:tcW w:w="3354" w:type="dxa"/>
            <w:shd w:val="clear" w:color="auto" w:fill="auto"/>
            <w:vAlign w:val="center"/>
          </w:tcPr>
          <w:p>
            <w:pPr>
              <w:widowControl/>
              <w:spacing w:line="26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满意度指标</w:t>
            </w:r>
          </w:p>
        </w:tc>
        <w:tc>
          <w:tcPr>
            <w:tcW w:w="1828" w:type="dxa"/>
            <w:gridSpan w:val="2"/>
            <w:shd w:val="clear" w:color="auto" w:fill="auto"/>
            <w:vAlign w:val="center"/>
          </w:tcPr>
          <w:p>
            <w:pPr>
              <w:widowControl/>
              <w:spacing w:line="260" w:lineRule="exact"/>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服务对象对工作的满意度</w:t>
            </w:r>
          </w:p>
        </w:tc>
        <w:tc>
          <w:tcPr>
            <w:tcW w:w="1833" w:type="dxa"/>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90%以上</w:t>
            </w:r>
          </w:p>
        </w:tc>
        <w:tc>
          <w:tcPr>
            <w:tcW w:w="1954"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90%以上</w:t>
            </w:r>
          </w:p>
        </w:tc>
        <w:tc>
          <w:tcPr>
            <w:tcW w:w="6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10</w:t>
            </w:r>
          </w:p>
        </w:tc>
        <w:tc>
          <w:tcPr>
            <w:tcW w:w="1180"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c>
          <w:tcPr>
            <w:tcW w:w="2262" w:type="dxa"/>
            <w:gridSpan w:val="2"/>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92"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部门（单位）自评结论</w:t>
            </w:r>
          </w:p>
        </w:tc>
        <w:tc>
          <w:tcPr>
            <w:tcW w:w="14241" w:type="dxa"/>
            <w:gridSpan w:val="11"/>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整体自评总分99分，严格执行财经纪律，及时、足额保障人员工资、保险的发放（缴纳），发放（缴纳）覆盖率100%、保障率100%，年末无资金结转结余、违规记录。预算编制精准度提高，年内未出现科目调整情况；全面保障了单位日常运转，运转保障率100%；严格落实市委“过紧日子13条”措施，对“三公”经费和一般性支出进行压减，无资金结转结余、违规记录。结合部门职能职责，科学合理申报特定目标类项目6个，并从数量、质量、时效、成本、效益5个方面编制了项目绩效目标，较好的完成了项目预期目标，无资金结转结余、违规记录等，但因项目资金大部分都集中在下半年结算，导致资金执行的序时进度缓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部门（单位）自评存在问题</w:t>
            </w:r>
          </w:p>
        </w:tc>
        <w:tc>
          <w:tcPr>
            <w:tcW w:w="14241" w:type="dxa"/>
            <w:gridSpan w:val="11"/>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通过实施预算执行情况监控，发现在项目经费列支中，存在项目资金使用进度偏低情况，大部分都集中在下半年结算，在盘活存量资金、发挥资金使用效率上</w:t>
            </w:r>
            <w:r>
              <w:rPr>
                <w:rFonts w:hint="eastAsia" w:cs="宋体" w:asciiTheme="minorEastAsia" w:hAnsiTheme="minorEastAsia" w:eastAsiaTheme="minorEastAsia"/>
                <w:b/>
                <w:bCs/>
                <w:kern w:val="0"/>
                <w:szCs w:val="21"/>
                <w:lang w:eastAsia="zh-CN"/>
              </w:rPr>
              <w:t>与</w:t>
            </w:r>
            <w:r>
              <w:rPr>
                <w:rFonts w:hint="eastAsia" w:cs="宋体" w:asciiTheme="minorEastAsia" w:hAnsiTheme="minorEastAsia" w:eastAsiaTheme="minorEastAsia"/>
                <w:b/>
                <w:bCs/>
                <w:kern w:val="0"/>
                <w:szCs w:val="21"/>
              </w:rPr>
              <w:t>财政要求有差距。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部门（单位）自评改进措施</w:t>
            </w:r>
          </w:p>
        </w:tc>
        <w:tc>
          <w:tcPr>
            <w:tcW w:w="14241" w:type="dxa"/>
            <w:gridSpan w:val="11"/>
            <w:shd w:val="clear" w:color="auto" w:fill="auto"/>
            <w:vAlign w:val="center"/>
          </w:tcPr>
          <w:p>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进一步强化预算执行全过程监管，建立完善绩效监控结果反馈和应用机制，将绩效监控结果及时反馈给预算执行相关业务部室、中心，要求其根据绩效监控结果，适时掌握预算执行情况，做到心中有数，尽可能避免年末集中支付情况，提高预算执行的可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财政部门对口科室复评结论及整改要求</w:t>
            </w:r>
          </w:p>
        </w:tc>
        <w:tc>
          <w:tcPr>
            <w:tcW w:w="14241" w:type="dxa"/>
            <w:gridSpan w:val="11"/>
            <w:shd w:val="clear" w:color="auto" w:fill="auto"/>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24" w:type="dxa"/>
            <w:gridSpan w:val="5"/>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单位项目负责人：</w:t>
            </w:r>
          </w:p>
        </w:tc>
        <w:tc>
          <w:tcPr>
            <w:tcW w:w="7909" w:type="dxa"/>
            <w:gridSpan w:val="7"/>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4" w:type="dxa"/>
            <w:gridSpan w:val="5"/>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部门项目负责人：李佳</w:t>
            </w:r>
          </w:p>
        </w:tc>
        <w:tc>
          <w:tcPr>
            <w:tcW w:w="7909" w:type="dxa"/>
            <w:gridSpan w:val="7"/>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3" w:type="dxa"/>
            <w:gridSpan w:val="12"/>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财政部门科室负责人：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33" w:type="dxa"/>
            <w:gridSpan w:val="12"/>
            <w:shd w:val="clear" w:color="auto" w:fill="auto"/>
            <w:vAlign w:val="center"/>
          </w:tcPr>
          <w:p>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注：部门整体支出绩效目标自评表在年度预算执行完毕后填报。</w:t>
            </w:r>
          </w:p>
        </w:tc>
      </w:tr>
    </w:tbl>
    <w:p>
      <w:pPr>
        <w:pStyle w:val="2"/>
        <w:spacing w:before="93"/>
        <w:rPr>
          <w:rFonts w:hint="eastAsia"/>
          <w:b/>
        </w:rPr>
      </w:pPr>
    </w:p>
    <w:p>
      <w:pPr>
        <w:widowControl/>
        <w:jc w:val="left"/>
        <w:rPr>
          <w:b/>
        </w:rPr>
      </w:pPr>
      <w:r>
        <w:rPr>
          <w:b/>
        </w:rPr>
        <w:br w:type="page"/>
      </w:r>
    </w:p>
    <w:p>
      <w:pPr>
        <w:pStyle w:val="2"/>
        <w:spacing w:before="93"/>
        <w:rPr>
          <w:rFonts w:hint="eastAsia"/>
          <w:b/>
        </w:rPr>
      </w:pPr>
    </w:p>
    <w:p>
      <w:pPr>
        <w:pStyle w:val="2"/>
        <w:spacing w:beforeLines="0" w:line="576" w:lineRule="exact"/>
        <w:jc w:val="center"/>
        <w:rPr>
          <w:rFonts w:hint="eastAsia" w:ascii="方正小标宋简体" w:hAnsi="宋体" w:eastAsia="方正小标宋简体" w:cs="宋体"/>
          <w:b/>
          <w:color w:val="000000"/>
          <w:sz w:val="44"/>
          <w:szCs w:val="44"/>
        </w:rPr>
      </w:pPr>
      <w:r>
        <w:rPr>
          <w:rFonts w:hint="eastAsia" w:ascii="方正小标宋简体" w:hAnsi="宋体" w:eastAsia="方正小标宋简体" w:cs="宋体"/>
          <w:b/>
          <w:color w:val="000000"/>
          <w:sz w:val="44"/>
          <w:szCs w:val="44"/>
        </w:rPr>
        <w:t>部门预算、专项资金预算项目支出绩效目标自评表（2022年度）</w:t>
      </w:r>
    </w:p>
    <w:p>
      <w:pPr>
        <w:spacing w:line="240" w:lineRule="exact"/>
        <w:rPr>
          <w:b/>
        </w:rPr>
      </w:pPr>
    </w:p>
    <w:tbl>
      <w:tblPr>
        <w:tblStyle w:val="16"/>
        <w:tblW w:w="15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760"/>
        <w:gridCol w:w="1420"/>
        <w:gridCol w:w="1740"/>
        <w:gridCol w:w="718"/>
        <w:gridCol w:w="898"/>
        <w:gridCol w:w="664"/>
        <w:gridCol w:w="1131"/>
        <w:gridCol w:w="609"/>
        <w:gridCol w:w="960"/>
        <w:gridCol w:w="1160"/>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20" w:type="dxa"/>
            <w:gridSpan w:val="2"/>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项目名称</w:t>
            </w:r>
          </w:p>
        </w:tc>
        <w:tc>
          <w:tcPr>
            <w:tcW w:w="11935" w:type="dxa"/>
            <w:gridSpan w:val="10"/>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天府科技云服务中心运维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220" w:type="dxa"/>
            <w:gridSpan w:val="2"/>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主管部门（盖章）</w:t>
            </w:r>
          </w:p>
        </w:tc>
        <w:tc>
          <w:tcPr>
            <w:tcW w:w="5440" w:type="dxa"/>
            <w:gridSpan w:val="5"/>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广元市科学技术协会</w:t>
            </w:r>
          </w:p>
        </w:tc>
        <w:tc>
          <w:tcPr>
            <w:tcW w:w="1131"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实施单位（盖章）</w:t>
            </w:r>
          </w:p>
        </w:tc>
        <w:tc>
          <w:tcPr>
            <w:tcW w:w="5364" w:type="dxa"/>
            <w:gridSpan w:val="4"/>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广元市科技服务中心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60" w:type="dxa"/>
            <w:vMerge w:val="restart"/>
            <w:shd w:val="clear" w:color="auto" w:fill="auto"/>
            <w:vAlign w:val="center"/>
          </w:tcPr>
          <w:p>
            <w:pPr>
              <w:widowControl/>
              <w:jc w:val="left"/>
              <w:rPr>
                <w:rFonts w:cs="宋体" w:asciiTheme="majorEastAsia" w:hAnsiTheme="majorEastAsia" w:eastAsiaTheme="majorEastAsia"/>
                <w:b/>
                <w:bCs/>
                <w:color w:val="000000"/>
                <w:spacing w:val="-8"/>
                <w:kern w:val="0"/>
                <w:szCs w:val="21"/>
              </w:rPr>
            </w:pPr>
            <w:r>
              <w:rPr>
                <w:rFonts w:hint="eastAsia" w:cs="宋体" w:asciiTheme="majorEastAsia" w:hAnsiTheme="majorEastAsia" w:eastAsiaTheme="majorEastAsia"/>
                <w:b/>
                <w:bCs/>
                <w:color w:val="000000"/>
                <w:spacing w:val="-8"/>
                <w:kern w:val="0"/>
                <w:szCs w:val="21"/>
              </w:rPr>
              <w:t>项目基本情况</w:t>
            </w:r>
          </w:p>
        </w:tc>
        <w:tc>
          <w:tcPr>
            <w:tcW w:w="1760" w:type="dxa"/>
            <w:vMerge w:val="restart"/>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1.项目年度目标完成情况</w:t>
            </w:r>
          </w:p>
        </w:tc>
        <w:tc>
          <w:tcPr>
            <w:tcW w:w="5440" w:type="dxa"/>
            <w:gridSpan w:val="5"/>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项目年度目标</w:t>
            </w:r>
          </w:p>
        </w:tc>
        <w:tc>
          <w:tcPr>
            <w:tcW w:w="6495" w:type="dxa"/>
            <w:gridSpan w:val="5"/>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vMerge w:val="continue"/>
            <w:vAlign w:val="center"/>
          </w:tcPr>
          <w:p>
            <w:pPr>
              <w:widowControl/>
              <w:jc w:val="left"/>
              <w:rPr>
                <w:rFonts w:cs="宋体" w:asciiTheme="majorEastAsia" w:hAnsiTheme="majorEastAsia" w:eastAsiaTheme="majorEastAsia"/>
                <w:b/>
                <w:bCs/>
                <w:color w:val="000000"/>
                <w:kern w:val="0"/>
                <w:szCs w:val="21"/>
              </w:rPr>
            </w:pPr>
          </w:p>
        </w:tc>
        <w:tc>
          <w:tcPr>
            <w:tcW w:w="5440" w:type="dxa"/>
            <w:gridSpan w:val="5"/>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购买第三方服务1年，费用5万元；服务大厅租赁、水电、网络服务费用5万元；天府科技云注册推广1.85万元，确保广元市天府科技云服务中心服务大厅和指挥中心正常运转，并指导全市“天府科技云”服务深入开展，争取绩效考核进入全省市州前十名。</w:t>
            </w:r>
          </w:p>
        </w:tc>
        <w:tc>
          <w:tcPr>
            <w:tcW w:w="6495" w:type="dxa"/>
            <w:gridSpan w:val="5"/>
            <w:shd w:val="clear" w:color="auto" w:fill="auto"/>
            <w:vAlign w:val="center"/>
          </w:tcPr>
          <w:p>
            <w:pPr>
              <w:widowControl/>
              <w:spacing w:line="280" w:lineRule="exact"/>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项目完成情况符合预期，绩效目标完成率100%。一是开展“保姆式”服务。购买5名专职保姆服务展开科技服务，共计接单2220单，完成612单，人均完成122.4单，完成率达127%。二是平台用户注册。2022年新增注册用户32124个，新增组织机构用户402个。三是打造科创工作室。2022年新增科创工作室1216个。四是培育精品案例。入选科创会项目570个。其中入选开幕式项目1个;重大专场项目1个；重点专区项目432个；展示区项目135个（其中云展厅项目70个）；科创沙龙展示项目1个。五是精准服务推动创新驱动发展。广元市科协荣获“2022年度精准服务创新驱动发展成效突出单位”称号，全省排名第二；荣获“2022年度精准服务科技工作者成效突出单位”称号，全省排名第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2.项目实施内容及过程概述</w:t>
            </w:r>
          </w:p>
        </w:tc>
        <w:tc>
          <w:tcPr>
            <w:tcW w:w="11935" w:type="dxa"/>
            <w:gridSpan w:val="10"/>
            <w:shd w:val="clear" w:color="auto" w:fill="auto"/>
            <w:vAlign w:val="center"/>
          </w:tcPr>
          <w:p>
            <w:pPr>
              <w:widowControl/>
              <w:spacing w:line="280" w:lineRule="exact"/>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一）项目组织架构及实施流程。按照单位内控制度，由市科协党组决定预算管理政策、年度预算追加及调整，年度财务决算等重大事项，办公室负责日常预算管理工作，业务部室提出本部室年度预算，组织实施经批复的年度预算。</w:t>
            </w:r>
            <w:r>
              <w:rPr>
                <w:rFonts w:hint="eastAsia" w:cs="宋体" w:asciiTheme="majorEastAsia" w:hAnsiTheme="majorEastAsia" w:eastAsiaTheme="majorEastAsia"/>
                <w:b/>
                <w:bCs/>
                <w:color w:val="000000"/>
                <w:kern w:val="0"/>
                <w:szCs w:val="21"/>
              </w:rPr>
              <w:br w:type="textWrapping"/>
            </w:r>
            <w:r>
              <w:rPr>
                <w:rFonts w:hint="eastAsia" w:cs="宋体" w:asciiTheme="majorEastAsia" w:hAnsiTheme="majorEastAsia" w:eastAsiaTheme="majorEastAsia"/>
                <w:b/>
                <w:bCs/>
                <w:color w:val="000000"/>
                <w:kern w:val="0"/>
                <w:szCs w:val="21"/>
              </w:rPr>
              <w:t>（二）项目管理情况。由分管领导牵头，市科技服务中心具体负责日常工作的开展，对项目实施结果负责。</w:t>
            </w:r>
            <w:r>
              <w:rPr>
                <w:rFonts w:hint="eastAsia" w:cs="宋体" w:asciiTheme="majorEastAsia" w:hAnsiTheme="majorEastAsia" w:eastAsiaTheme="majorEastAsia"/>
                <w:b/>
                <w:bCs/>
                <w:color w:val="000000"/>
                <w:kern w:val="0"/>
                <w:szCs w:val="21"/>
              </w:rPr>
              <w:br w:type="textWrapping"/>
            </w:r>
            <w:r>
              <w:rPr>
                <w:rFonts w:hint="eastAsia" w:cs="宋体" w:asciiTheme="majorEastAsia" w:hAnsiTheme="majorEastAsia" w:eastAsiaTheme="majorEastAsia"/>
                <w:b/>
                <w:bCs/>
                <w:color w:val="000000"/>
                <w:kern w:val="0"/>
                <w:szCs w:val="21"/>
              </w:rPr>
              <w:t>（三）项目监管情况。办公室（财务）对项目完成实施情况进行全过程监督检查，牵头开展项目的绩效考评和总结，保障资金使用安全及效益。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60" w:type="dxa"/>
            <w:vMerge w:val="restart"/>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spacing w:val="-10"/>
                <w:kern w:val="0"/>
                <w:szCs w:val="21"/>
              </w:rPr>
              <w:t>预算执行情况</w:t>
            </w:r>
            <w:r>
              <w:rPr>
                <w:rFonts w:hint="eastAsia" w:cs="宋体" w:asciiTheme="majorEastAsia" w:hAnsiTheme="majorEastAsia" w:eastAsiaTheme="majorEastAsia"/>
                <w:b/>
                <w:bCs/>
                <w:color w:val="000000"/>
                <w:kern w:val="0"/>
                <w:szCs w:val="21"/>
              </w:rPr>
              <w:br w:type="textWrapping"/>
            </w:r>
            <w:r>
              <w:rPr>
                <w:rFonts w:hint="eastAsia" w:cs="宋体" w:asciiTheme="majorEastAsia" w:hAnsiTheme="majorEastAsia" w:eastAsiaTheme="majorEastAsia"/>
                <w:b/>
                <w:bCs/>
                <w:color w:val="000000"/>
                <w:kern w:val="0"/>
                <w:szCs w:val="21"/>
              </w:rPr>
              <w:t>（10分）</w:t>
            </w:r>
          </w:p>
        </w:tc>
        <w:tc>
          <w:tcPr>
            <w:tcW w:w="1760" w:type="dxa"/>
            <w:shd w:val="clear" w:color="auto" w:fill="auto"/>
            <w:vAlign w:val="center"/>
          </w:tcPr>
          <w:p>
            <w:pPr>
              <w:widowControl/>
              <w:jc w:val="left"/>
              <w:rPr>
                <w:rFonts w:cs="宋体" w:asciiTheme="majorEastAsia" w:hAnsiTheme="majorEastAsia" w:eastAsiaTheme="majorEastAsia"/>
                <w:b/>
                <w:bCs/>
                <w:color w:val="000000"/>
                <w:spacing w:val="-12"/>
                <w:kern w:val="0"/>
                <w:szCs w:val="21"/>
              </w:rPr>
            </w:pPr>
            <w:r>
              <w:rPr>
                <w:rFonts w:hint="eastAsia" w:cs="宋体" w:asciiTheme="majorEastAsia" w:hAnsiTheme="majorEastAsia" w:eastAsiaTheme="majorEastAsia"/>
                <w:b/>
                <w:bCs/>
                <w:color w:val="000000"/>
                <w:spacing w:val="-12"/>
                <w:kern w:val="0"/>
                <w:szCs w:val="21"/>
              </w:rPr>
              <w:t>年度预算数（万元）</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年初预算</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调整后预算数</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预算执行数</w:t>
            </w:r>
          </w:p>
        </w:tc>
        <w:tc>
          <w:tcPr>
            <w:tcW w:w="1131" w:type="dxa"/>
            <w:shd w:val="clear" w:color="auto" w:fill="auto"/>
            <w:vAlign w:val="center"/>
          </w:tcPr>
          <w:p>
            <w:pPr>
              <w:widowControl/>
              <w:jc w:val="center"/>
              <w:rPr>
                <w:rFonts w:hint="eastAsia"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预算执</w:t>
            </w:r>
          </w:p>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行率</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权重%</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部门自评得分</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财政部门科室复评得分</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总额</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100.00%</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10</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vMerge w:val="restart"/>
            <w:shd w:val="clear" w:color="auto" w:fill="auto"/>
            <w:vAlign w:val="center"/>
          </w:tcPr>
          <w:p>
            <w:pPr>
              <w:widowControl/>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其中：财政资金</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11.85</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100.00%</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10</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vMerge w:val="continue"/>
            <w:vAlign w:val="center"/>
          </w:tcPr>
          <w:p>
            <w:pPr>
              <w:widowControl/>
              <w:jc w:val="left"/>
              <w:rPr>
                <w:rFonts w:cs="宋体" w:asciiTheme="majorEastAsia" w:hAnsiTheme="majorEastAsia" w:eastAsiaTheme="maj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spacing w:val="-12"/>
                <w:kern w:val="0"/>
                <w:szCs w:val="21"/>
              </w:rPr>
            </w:pPr>
            <w:r>
              <w:rPr>
                <w:rFonts w:hint="eastAsia" w:cs="宋体" w:asciiTheme="majorEastAsia" w:hAnsiTheme="majorEastAsia" w:eastAsiaTheme="majorEastAsia"/>
                <w:b/>
                <w:bCs/>
                <w:color w:val="000000"/>
                <w:spacing w:val="-12"/>
                <w:kern w:val="0"/>
                <w:szCs w:val="21"/>
              </w:rPr>
              <w:t>财政专户管理资金</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vMerge w:val="continue"/>
            <w:vAlign w:val="center"/>
          </w:tcPr>
          <w:p>
            <w:pPr>
              <w:widowControl/>
              <w:jc w:val="left"/>
              <w:rPr>
                <w:rFonts w:cs="宋体" w:asciiTheme="majorEastAsia" w:hAnsiTheme="majorEastAsia" w:eastAsiaTheme="maj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单位资金</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vMerge w:val="continue"/>
            <w:vAlign w:val="center"/>
          </w:tcPr>
          <w:p>
            <w:pPr>
              <w:widowControl/>
              <w:jc w:val="left"/>
              <w:rPr>
                <w:rFonts w:cs="宋体" w:asciiTheme="majorEastAsia" w:hAnsiTheme="majorEastAsia" w:eastAsiaTheme="maj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其他资金</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280" w:type="dxa"/>
            <w:gridSpan w:val="3"/>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vMerge w:val="continue"/>
            <w:vAlign w:val="center"/>
          </w:tcPr>
          <w:p>
            <w:pPr>
              <w:widowControl/>
              <w:jc w:val="left"/>
              <w:rPr>
                <w:rFonts w:cs="宋体" w:asciiTheme="majorEastAsia" w:hAnsiTheme="majorEastAsia" w:eastAsiaTheme="maj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460" w:type="dxa"/>
            <w:vMerge w:val="restart"/>
            <w:shd w:val="clear" w:color="auto" w:fill="auto"/>
            <w:vAlign w:val="center"/>
          </w:tcPr>
          <w:p>
            <w:pPr>
              <w:widowControl/>
              <w:jc w:val="center"/>
              <w:rPr>
                <w:rFonts w:hint="eastAsia"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绩效指标</w:t>
            </w:r>
          </w:p>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（90分）</w:t>
            </w:r>
          </w:p>
        </w:tc>
        <w:tc>
          <w:tcPr>
            <w:tcW w:w="17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一级指标</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二级指标</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三级指标</w:t>
            </w:r>
          </w:p>
        </w:tc>
        <w:tc>
          <w:tcPr>
            <w:tcW w:w="718"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指标性质</w:t>
            </w:r>
          </w:p>
        </w:tc>
        <w:tc>
          <w:tcPr>
            <w:tcW w:w="898"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指标值</w:t>
            </w:r>
          </w:p>
        </w:tc>
        <w:tc>
          <w:tcPr>
            <w:tcW w:w="664"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度量单位</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完成值</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权重</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部门自评得分</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财政部门科室复评得分</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noWrap/>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产出指标</w:t>
            </w:r>
          </w:p>
        </w:tc>
        <w:tc>
          <w:tcPr>
            <w:tcW w:w="142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时效指标</w:t>
            </w:r>
          </w:p>
        </w:tc>
        <w:tc>
          <w:tcPr>
            <w:tcW w:w="1740" w:type="dxa"/>
            <w:shd w:val="clear" w:color="auto" w:fill="auto"/>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按期完成年度工作目标</w:t>
            </w:r>
          </w:p>
        </w:tc>
        <w:tc>
          <w:tcPr>
            <w:tcW w:w="71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w:t>
            </w:r>
          </w:p>
        </w:tc>
        <w:tc>
          <w:tcPr>
            <w:tcW w:w="89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12</w:t>
            </w:r>
          </w:p>
        </w:tc>
        <w:tc>
          <w:tcPr>
            <w:tcW w:w="664"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月</w:t>
            </w:r>
          </w:p>
        </w:tc>
        <w:tc>
          <w:tcPr>
            <w:tcW w:w="1131"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12</w:t>
            </w:r>
          </w:p>
        </w:tc>
        <w:tc>
          <w:tcPr>
            <w:tcW w:w="609"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96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noWrap/>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产出指标</w:t>
            </w:r>
          </w:p>
        </w:tc>
        <w:tc>
          <w:tcPr>
            <w:tcW w:w="142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成本指标</w:t>
            </w:r>
          </w:p>
        </w:tc>
        <w:tc>
          <w:tcPr>
            <w:tcW w:w="1740" w:type="dxa"/>
            <w:shd w:val="clear" w:color="auto" w:fill="auto"/>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购买第三方服务1年费用</w:t>
            </w:r>
          </w:p>
        </w:tc>
        <w:tc>
          <w:tcPr>
            <w:tcW w:w="71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w:t>
            </w:r>
          </w:p>
        </w:tc>
        <w:tc>
          <w:tcPr>
            <w:tcW w:w="89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5</w:t>
            </w:r>
          </w:p>
        </w:tc>
        <w:tc>
          <w:tcPr>
            <w:tcW w:w="664"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万元</w:t>
            </w:r>
          </w:p>
        </w:tc>
        <w:tc>
          <w:tcPr>
            <w:tcW w:w="1131"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5</w:t>
            </w:r>
          </w:p>
        </w:tc>
        <w:tc>
          <w:tcPr>
            <w:tcW w:w="609"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96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noWrap/>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产出指标</w:t>
            </w:r>
          </w:p>
        </w:tc>
        <w:tc>
          <w:tcPr>
            <w:tcW w:w="142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数量指标</w:t>
            </w:r>
          </w:p>
        </w:tc>
        <w:tc>
          <w:tcPr>
            <w:tcW w:w="1740" w:type="dxa"/>
            <w:shd w:val="clear" w:color="auto" w:fill="auto"/>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购买第三方服务</w:t>
            </w:r>
          </w:p>
        </w:tc>
        <w:tc>
          <w:tcPr>
            <w:tcW w:w="71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w:t>
            </w:r>
          </w:p>
        </w:tc>
        <w:tc>
          <w:tcPr>
            <w:tcW w:w="89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w:t>
            </w:r>
          </w:p>
        </w:tc>
        <w:tc>
          <w:tcPr>
            <w:tcW w:w="664"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年</w:t>
            </w:r>
          </w:p>
        </w:tc>
        <w:tc>
          <w:tcPr>
            <w:tcW w:w="1131"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w:t>
            </w:r>
          </w:p>
        </w:tc>
        <w:tc>
          <w:tcPr>
            <w:tcW w:w="609"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96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20</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noWrap/>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产出指标</w:t>
            </w:r>
          </w:p>
        </w:tc>
        <w:tc>
          <w:tcPr>
            <w:tcW w:w="142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成本指标</w:t>
            </w:r>
          </w:p>
        </w:tc>
        <w:tc>
          <w:tcPr>
            <w:tcW w:w="1740" w:type="dxa"/>
            <w:shd w:val="clear" w:color="auto" w:fill="auto"/>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服务大厅租赁、水电、网络服务费用</w:t>
            </w:r>
          </w:p>
        </w:tc>
        <w:tc>
          <w:tcPr>
            <w:tcW w:w="71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w:t>
            </w:r>
          </w:p>
        </w:tc>
        <w:tc>
          <w:tcPr>
            <w:tcW w:w="89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5</w:t>
            </w:r>
          </w:p>
        </w:tc>
        <w:tc>
          <w:tcPr>
            <w:tcW w:w="664"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万元</w:t>
            </w:r>
          </w:p>
        </w:tc>
        <w:tc>
          <w:tcPr>
            <w:tcW w:w="1131"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5</w:t>
            </w:r>
          </w:p>
        </w:tc>
        <w:tc>
          <w:tcPr>
            <w:tcW w:w="609"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10</w:t>
            </w:r>
          </w:p>
        </w:tc>
        <w:tc>
          <w:tcPr>
            <w:tcW w:w="96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10</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noWrap/>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产出指标</w:t>
            </w:r>
          </w:p>
        </w:tc>
        <w:tc>
          <w:tcPr>
            <w:tcW w:w="142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成本指标</w:t>
            </w:r>
          </w:p>
        </w:tc>
        <w:tc>
          <w:tcPr>
            <w:tcW w:w="1740" w:type="dxa"/>
            <w:shd w:val="clear" w:color="auto" w:fill="auto"/>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天府科技云注册推广</w:t>
            </w:r>
          </w:p>
        </w:tc>
        <w:tc>
          <w:tcPr>
            <w:tcW w:w="71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w:t>
            </w:r>
          </w:p>
        </w:tc>
        <w:tc>
          <w:tcPr>
            <w:tcW w:w="89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1.85</w:t>
            </w:r>
          </w:p>
        </w:tc>
        <w:tc>
          <w:tcPr>
            <w:tcW w:w="664"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万元</w:t>
            </w:r>
          </w:p>
        </w:tc>
        <w:tc>
          <w:tcPr>
            <w:tcW w:w="1131"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1.85</w:t>
            </w:r>
          </w:p>
        </w:tc>
        <w:tc>
          <w:tcPr>
            <w:tcW w:w="609"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10</w:t>
            </w:r>
          </w:p>
        </w:tc>
        <w:tc>
          <w:tcPr>
            <w:tcW w:w="96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10</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60" w:type="dxa"/>
            <w:vMerge w:val="continue"/>
            <w:vAlign w:val="center"/>
          </w:tcPr>
          <w:p>
            <w:pPr>
              <w:widowControl/>
              <w:jc w:val="left"/>
              <w:rPr>
                <w:rFonts w:cs="宋体" w:asciiTheme="majorEastAsia" w:hAnsiTheme="majorEastAsia" w:eastAsiaTheme="majorEastAsia"/>
                <w:b/>
                <w:bCs/>
                <w:color w:val="000000"/>
                <w:kern w:val="0"/>
                <w:szCs w:val="21"/>
              </w:rPr>
            </w:pPr>
          </w:p>
        </w:tc>
        <w:tc>
          <w:tcPr>
            <w:tcW w:w="17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效益指标</w:t>
            </w:r>
          </w:p>
        </w:tc>
        <w:tc>
          <w:tcPr>
            <w:tcW w:w="142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社会效益</w:t>
            </w:r>
          </w:p>
        </w:tc>
        <w:tc>
          <w:tcPr>
            <w:tcW w:w="174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天府科技云服务知晓、使用率</w:t>
            </w:r>
          </w:p>
        </w:tc>
        <w:tc>
          <w:tcPr>
            <w:tcW w:w="718"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定性</w:t>
            </w:r>
          </w:p>
        </w:tc>
        <w:tc>
          <w:tcPr>
            <w:tcW w:w="898"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提升</w:t>
            </w:r>
          </w:p>
        </w:tc>
        <w:tc>
          <w:tcPr>
            <w:tcW w:w="664"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1131"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提升</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10</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8</w:t>
            </w:r>
          </w:p>
        </w:tc>
        <w:tc>
          <w:tcPr>
            <w:tcW w:w="11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91" w:type="dxa"/>
            <w:gridSpan w:val="8"/>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合计</w:t>
            </w:r>
          </w:p>
        </w:tc>
        <w:tc>
          <w:tcPr>
            <w:tcW w:w="609"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9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98</w:t>
            </w:r>
          </w:p>
        </w:tc>
        <w:tc>
          <w:tcPr>
            <w:tcW w:w="1160"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c>
          <w:tcPr>
            <w:tcW w:w="2635" w:type="dxa"/>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14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部门（单位）自评结论</w:t>
            </w:r>
          </w:p>
        </w:tc>
        <w:tc>
          <w:tcPr>
            <w:tcW w:w="13695" w:type="dxa"/>
            <w:gridSpan w:val="11"/>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项目完成情况符合预期，绩效目标完成率100%。保障了广元市天府科技云服务中心服务大厅和指挥中心正常运转，指导全市“天府科技云”服务深入开展，绩效考核进入全省市州前茅。评估总得分98分。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部门（单位）</w:t>
            </w:r>
            <w:r>
              <w:rPr>
                <w:rFonts w:hint="eastAsia" w:cs="宋体" w:asciiTheme="majorEastAsia" w:hAnsiTheme="majorEastAsia" w:eastAsiaTheme="majorEastAsia"/>
                <w:b/>
                <w:bCs/>
                <w:color w:val="000000"/>
                <w:spacing w:val="-8"/>
                <w:kern w:val="0"/>
                <w:szCs w:val="21"/>
              </w:rPr>
              <w:t>自评存在问题</w:t>
            </w:r>
          </w:p>
        </w:tc>
        <w:tc>
          <w:tcPr>
            <w:tcW w:w="13695" w:type="dxa"/>
            <w:gridSpan w:val="11"/>
            <w:shd w:val="clear" w:color="auto" w:fill="auto"/>
            <w:vAlign w:val="center"/>
          </w:tcPr>
          <w:p>
            <w:pPr>
              <w:widowControl/>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天府科技云平台的知晓率、使用率离省上要求还有差距。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部门（单位）</w:t>
            </w:r>
            <w:r>
              <w:rPr>
                <w:rFonts w:hint="eastAsia" w:cs="宋体" w:asciiTheme="majorEastAsia" w:hAnsiTheme="majorEastAsia" w:eastAsiaTheme="majorEastAsia"/>
                <w:b/>
                <w:bCs/>
                <w:color w:val="000000"/>
                <w:spacing w:val="-8"/>
                <w:kern w:val="0"/>
                <w:szCs w:val="21"/>
              </w:rPr>
              <w:t>自评改进措施</w:t>
            </w:r>
          </w:p>
        </w:tc>
        <w:tc>
          <w:tcPr>
            <w:tcW w:w="13695" w:type="dxa"/>
            <w:gridSpan w:val="11"/>
            <w:shd w:val="clear" w:color="auto" w:fill="auto"/>
            <w:vAlign w:val="center"/>
          </w:tcPr>
          <w:p>
            <w:pPr>
              <w:widowControl/>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天府科技云平台推广应用方面还要进一步加强。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60" w:type="dxa"/>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财政部门对口科室复评结论及整改要求</w:t>
            </w:r>
          </w:p>
        </w:tc>
        <w:tc>
          <w:tcPr>
            <w:tcW w:w="13695" w:type="dxa"/>
            <w:gridSpan w:val="11"/>
            <w:shd w:val="clear" w:color="auto" w:fill="auto"/>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098" w:type="dxa"/>
            <w:gridSpan w:val="5"/>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单位项目负责人：</w:t>
            </w:r>
          </w:p>
        </w:tc>
        <w:tc>
          <w:tcPr>
            <w:tcW w:w="8057" w:type="dxa"/>
            <w:gridSpan w:val="7"/>
            <w:shd w:val="clear" w:color="auto" w:fill="auto"/>
            <w:vAlign w:val="center"/>
          </w:tcPr>
          <w:p>
            <w:pPr>
              <w:widowControl/>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8" w:type="dxa"/>
            <w:gridSpan w:val="5"/>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部门项目负责人：王若凡</w:t>
            </w:r>
          </w:p>
        </w:tc>
        <w:tc>
          <w:tcPr>
            <w:tcW w:w="8057" w:type="dxa"/>
            <w:gridSpan w:val="7"/>
            <w:shd w:val="clear" w:color="auto" w:fill="auto"/>
            <w:vAlign w:val="center"/>
          </w:tcPr>
          <w:p>
            <w:pPr>
              <w:widowControl/>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55" w:type="dxa"/>
            <w:gridSpan w:val="12"/>
            <w:shd w:val="clear" w:color="auto" w:fill="auto"/>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财政部门科室负责人：</w:t>
            </w:r>
          </w:p>
        </w:tc>
      </w:tr>
    </w:tbl>
    <w:p>
      <w:pPr>
        <w:widowControl/>
        <w:jc w:val="left"/>
        <w:rPr>
          <w:b/>
        </w:rPr>
      </w:pPr>
    </w:p>
    <w:p>
      <w:pPr>
        <w:pStyle w:val="2"/>
        <w:spacing w:before="93"/>
        <w:rPr>
          <w:rFonts w:hint="eastAsia"/>
          <w:b/>
        </w:rPr>
      </w:pPr>
    </w:p>
    <w:p>
      <w:pPr>
        <w:pStyle w:val="2"/>
        <w:spacing w:before="93"/>
        <w:rPr>
          <w:rFonts w:hint="eastAsia"/>
          <w:b/>
        </w:rPr>
      </w:pPr>
    </w:p>
    <w:p>
      <w:pPr>
        <w:widowControl/>
        <w:jc w:val="left"/>
        <w:rPr>
          <w:rFonts w:ascii="仿宋_GB2312" w:eastAsia="仿宋_GB2312"/>
          <w:b/>
          <w:kern w:val="0"/>
          <w:sz w:val="30"/>
        </w:rPr>
      </w:pPr>
      <w:r>
        <w:rPr>
          <w:b/>
        </w:rPr>
        <w:br w:type="page"/>
      </w:r>
    </w:p>
    <w:p>
      <w:pPr>
        <w:spacing w:line="300" w:lineRule="exact"/>
        <w:rPr>
          <w:rFonts w:hint="eastAsia"/>
          <w:b/>
        </w:rPr>
      </w:pPr>
    </w:p>
    <w:p>
      <w:pPr>
        <w:spacing w:line="500" w:lineRule="exact"/>
        <w:jc w:val="center"/>
        <w:rPr>
          <w:rFonts w:hint="eastAsia"/>
          <w:b/>
        </w:rPr>
      </w:pPr>
      <w:r>
        <w:rPr>
          <w:rFonts w:hint="eastAsia" w:ascii="方正小标宋简体" w:hAnsi="宋体" w:eastAsia="方正小标宋简体" w:cs="宋体"/>
          <w:b/>
          <w:color w:val="000000"/>
          <w:kern w:val="0"/>
          <w:sz w:val="44"/>
          <w:szCs w:val="44"/>
        </w:rPr>
        <w:t>部门预算、专项资金预算项目支出绩效目标自评表（2022年度）</w:t>
      </w:r>
    </w:p>
    <w:p>
      <w:pPr>
        <w:pStyle w:val="2"/>
        <w:spacing w:beforeLines="0" w:line="240" w:lineRule="exact"/>
        <w:rPr>
          <w:b/>
        </w:rPr>
      </w:pPr>
    </w:p>
    <w:tbl>
      <w:tblPr>
        <w:tblStyle w:val="16"/>
        <w:tblW w:w="14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980"/>
        <w:gridCol w:w="1320"/>
        <w:gridCol w:w="1944"/>
        <w:gridCol w:w="640"/>
        <w:gridCol w:w="580"/>
        <w:gridCol w:w="427"/>
        <w:gridCol w:w="1182"/>
        <w:gridCol w:w="772"/>
        <w:gridCol w:w="811"/>
        <w:gridCol w:w="1080"/>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17" w:type="dxa"/>
            <w:gridSpan w:val="2"/>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0695" w:type="dxa"/>
            <w:gridSpan w:val="10"/>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017" w:type="dxa"/>
            <w:gridSpan w:val="2"/>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主管部门（盖章）</w:t>
            </w:r>
          </w:p>
        </w:tc>
        <w:tc>
          <w:tcPr>
            <w:tcW w:w="4911" w:type="dxa"/>
            <w:gridSpan w:val="5"/>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广元市科学技术协会</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实施单位（盖章）</w:t>
            </w:r>
          </w:p>
        </w:tc>
        <w:tc>
          <w:tcPr>
            <w:tcW w:w="4602" w:type="dxa"/>
            <w:gridSpan w:val="4"/>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科普部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037" w:type="dxa"/>
            <w:vMerge w:val="restart"/>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项目基本情况</w:t>
            </w:r>
          </w:p>
        </w:tc>
        <w:tc>
          <w:tcPr>
            <w:tcW w:w="1980" w:type="dxa"/>
            <w:vMerge w:val="restart"/>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1.项目年度目标完成情况</w:t>
            </w:r>
          </w:p>
        </w:tc>
        <w:tc>
          <w:tcPr>
            <w:tcW w:w="4911" w:type="dxa"/>
            <w:gridSpan w:val="5"/>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项目年度目标</w:t>
            </w:r>
          </w:p>
        </w:tc>
        <w:tc>
          <w:tcPr>
            <w:tcW w:w="5784" w:type="dxa"/>
            <w:gridSpan w:val="5"/>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vMerge w:val="continue"/>
            <w:vAlign w:val="center"/>
          </w:tcPr>
          <w:p>
            <w:pPr>
              <w:widowControl/>
              <w:spacing w:line="280" w:lineRule="exact"/>
              <w:jc w:val="left"/>
              <w:rPr>
                <w:rFonts w:ascii="宋体" w:hAnsi="宋体" w:cs="宋体"/>
                <w:b/>
                <w:bCs/>
                <w:color w:val="000000"/>
                <w:kern w:val="0"/>
                <w:szCs w:val="21"/>
              </w:rPr>
            </w:pPr>
          </w:p>
        </w:tc>
        <w:tc>
          <w:tcPr>
            <w:tcW w:w="4911" w:type="dxa"/>
            <w:gridSpan w:val="5"/>
            <w:shd w:val="clear" w:color="auto" w:fill="auto"/>
            <w:vAlign w:val="center"/>
          </w:tcPr>
          <w:p>
            <w:pPr>
              <w:widowControl/>
              <w:spacing w:line="240" w:lineRule="exact"/>
              <w:jc w:val="left"/>
              <w:rPr>
                <w:rFonts w:ascii="宋体" w:hAnsi="宋体" w:cs="宋体"/>
                <w:b/>
                <w:bCs/>
                <w:color w:val="000000"/>
                <w:kern w:val="0"/>
                <w:szCs w:val="21"/>
              </w:rPr>
            </w:pPr>
            <w:r>
              <w:rPr>
                <w:rFonts w:hint="eastAsia" w:ascii="宋体" w:hAnsi="宋体" w:cs="宋体"/>
                <w:b/>
                <w:bCs/>
                <w:color w:val="000000"/>
                <w:kern w:val="0"/>
                <w:szCs w:val="21"/>
              </w:rPr>
              <w:t>1.巩固和加强科普阵地建设。推进校园科技馆、科技小院、科普画廊等设施建设，加强互联网科普共享阵地建设和管理，有序推进科普示范县区创建等工作，确实提升基层科普治理能力。2、全面提升全民科学素质。认真落实青少年、农民、产业工人、老年人、领导干部和公务员五大群体科学素质提升行动。组织开展青少年科技教育实践活动，组织参加青少年科技创新大赛、高校科学营等活动；组织开展全国科普日活动、科技活动周、科技“三下乡”、实用科学技术培训等活动，用好“蜀道科普大讲堂”品牌，全年开展不少于10次科普交流与宣传活动；科普大篷车经常性进校园、进社区、进乡村、进企业、进机关等开展车载展品展示、科普宣传视频播放等。3、强化科普信息化建设。推进图书、报刊、音像、电视等传统媒体与新媒体深度融合，公益广告增加科学传播内容，确实提升科普信息化水平，逐步实现科普内容多渠道全媒体传播。</w:t>
            </w:r>
            <w:r>
              <w:rPr>
                <w:rFonts w:hint="eastAsia" w:ascii="宋体" w:hAnsi="宋体" w:cs="宋体"/>
                <w:b/>
                <w:bCs/>
                <w:color w:val="000000"/>
                <w:kern w:val="0"/>
                <w:szCs w:val="21"/>
              </w:rPr>
              <w:br w:type="textWrapping"/>
            </w:r>
            <w:r>
              <w:rPr>
                <w:rFonts w:hint="eastAsia" w:ascii="宋体" w:hAnsi="宋体" w:cs="宋体"/>
                <w:b/>
                <w:bCs/>
                <w:color w:val="000000"/>
                <w:kern w:val="0"/>
                <w:szCs w:val="21"/>
              </w:rPr>
              <w:t>4、加强科普队伍专业化建设。定期组织青创大赛科技辅导员、志愿者队伍、网络管理员、应急科普专家等人员参加专业培训，确实提升服务开展全民科学素质行动的能力。</w:t>
            </w:r>
          </w:p>
        </w:tc>
        <w:tc>
          <w:tcPr>
            <w:tcW w:w="5784" w:type="dxa"/>
            <w:gridSpan w:val="5"/>
            <w:shd w:val="clear" w:color="auto" w:fill="auto"/>
            <w:vAlign w:val="center"/>
          </w:tcPr>
          <w:p>
            <w:pPr>
              <w:widowControl/>
              <w:spacing w:line="220" w:lineRule="exact"/>
              <w:jc w:val="left"/>
              <w:rPr>
                <w:rFonts w:ascii="宋体" w:hAnsi="宋体" w:cs="宋体"/>
                <w:b/>
                <w:bCs/>
                <w:color w:val="000000"/>
                <w:kern w:val="0"/>
                <w:szCs w:val="21"/>
              </w:rPr>
            </w:pPr>
            <w:r>
              <w:rPr>
                <w:rFonts w:hint="eastAsia" w:ascii="宋体" w:hAnsi="宋体" w:cs="宋体"/>
                <w:b/>
                <w:bCs/>
                <w:color w:val="000000"/>
                <w:kern w:val="0"/>
                <w:szCs w:val="21"/>
              </w:rPr>
              <w:t>1.加强科普阵地建设。成功指导申报16个第三批科普惠民共享基地入驻天府科技云平台，组织实施2022年度“天府科技云服务”科普惠民共享基地能力提升项目，对排名靠前的12个基地给予支持，与市委宣传部、市科技局联合命名13家2022年广元市科普基地。2.开展科普交流与宣传活动十余次。开展了广元市大蜀道科普文化馆揭牌仪式暨笔墨丹青话蜀道·蜀道科普大讲堂走进昭化、广元市“激情冰雪 筑梦冬奥”科普活动暨蜀道科普大讲堂走进朝天、广元市科技活动周活动、广元市科普活动月活动、防灾减灾科普宣传活动等。市科协被中</w:t>
            </w:r>
            <w:r>
              <w:rPr>
                <w:rFonts w:hint="eastAsia" w:ascii="宋体" w:hAnsi="宋体" w:cs="宋体"/>
                <w:b/>
                <w:bCs/>
                <w:color w:val="000000"/>
                <w:kern w:val="0"/>
                <w:szCs w:val="21"/>
                <w:lang w:eastAsia="zh-CN"/>
              </w:rPr>
              <w:t>国</w:t>
            </w:r>
            <w:r>
              <w:rPr>
                <w:rFonts w:hint="eastAsia" w:ascii="宋体" w:hAnsi="宋体" w:cs="宋体"/>
                <w:b/>
                <w:bCs/>
                <w:color w:val="000000"/>
                <w:kern w:val="0"/>
                <w:szCs w:val="21"/>
              </w:rPr>
              <w:t>科协评为2022年全国科普日活动优秀组织单位。科普大篷车走进广外、嘉陵一中、苍溪文昌中学、青溪初级中学校、广元市利州区大东英才学校开展科普进校园活动。广泛开展青少年科技实践活动。开展我市第二十一届中小学师生科技节暨第三十七届青少年科技创新大赛，评定获奖作品391项；组织学校师生收听收看“乡村中小学如何开展科技活动”“科幻电影中的科学”等青少年线上科普讲座4场，协调组织学校师生300名到四川科技馆开展青少年科普研学活动；指导基层开展“我和妈妈学科学”活动。组织朝天中学11名师生参加2022年高校科学营活动。3.科普内容多渠道全媒体传播。用好“天府科技云”，全年共推送科普短信150万条，精准科普覆盖率100%，精准科普服务量达800余万次，开展广元市食品安全科普作品有奖征集、2022年广元新冠疫情防控知识竞赛、“科普向未来”全民科学素质知识竞赛、“学习</w:t>
            </w:r>
            <w:r>
              <w:rPr>
                <w:rFonts w:hint="eastAsia" w:ascii="宋体" w:hAnsi="宋体" w:cs="宋体"/>
                <w:b/>
                <w:bCs/>
                <w:color w:val="000000"/>
                <w:kern w:val="0"/>
                <w:szCs w:val="21"/>
                <w:lang w:eastAsia="zh-CN"/>
              </w:rPr>
              <w:t>党的</w:t>
            </w:r>
            <w:bookmarkStart w:id="71" w:name="_GoBack"/>
            <w:bookmarkEnd w:id="71"/>
            <w:r>
              <w:rPr>
                <w:rFonts w:hint="eastAsia" w:ascii="宋体" w:hAnsi="宋体" w:cs="宋体"/>
                <w:b/>
                <w:bCs/>
                <w:color w:val="000000"/>
                <w:kern w:val="0"/>
                <w:szCs w:val="21"/>
              </w:rPr>
              <w:t>二十大·科普你我他”——2022年广元市全民科学素质知识云竞赛等线上活动。4.组织各类各级人员参加市级、省级提能培训。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037" w:type="dxa"/>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项目基本情况</w:t>
            </w:r>
          </w:p>
        </w:tc>
        <w:tc>
          <w:tcPr>
            <w:tcW w:w="1980" w:type="dxa"/>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2.项目实施内容及过程概述</w:t>
            </w:r>
          </w:p>
        </w:tc>
        <w:tc>
          <w:tcPr>
            <w:tcW w:w="10695" w:type="dxa"/>
            <w:gridSpan w:val="10"/>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一）项目组织架构及实施流程。按照单位内部控制制度体系，由市科协党组决定预算管理政策、年度预算追加及调整，年度财务决算等重大事项，办公室负责日常预算管理工作，业务部室提出本部室年度预算，组织实施经批复的年度预算。</w:t>
            </w:r>
            <w:r>
              <w:rPr>
                <w:rFonts w:hint="eastAsia" w:ascii="宋体" w:hAnsi="宋体" w:cs="宋体"/>
                <w:b/>
                <w:bCs/>
                <w:color w:val="000000"/>
                <w:kern w:val="0"/>
                <w:szCs w:val="21"/>
              </w:rPr>
              <w:br w:type="textWrapping"/>
            </w:r>
            <w:r>
              <w:rPr>
                <w:rFonts w:hint="eastAsia" w:ascii="宋体" w:hAnsi="宋体" w:cs="宋体"/>
                <w:b/>
                <w:bCs/>
                <w:color w:val="000000"/>
                <w:kern w:val="0"/>
                <w:szCs w:val="21"/>
              </w:rPr>
              <w:t>（二）项目管理情况。由分管科普工作的领导牵头，普及部具体负责日常工作的开展，对项目实施结果负责。</w:t>
            </w:r>
            <w:r>
              <w:rPr>
                <w:rFonts w:hint="eastAsia" w:ascii="宋体" w:hAnsi="宋体" w:cs="宋体"/>
                <w:b/>
                <w:bCs/>
                <w:color w:val="000000"/>
                <w:kern w:val="0"/>
                <w:szCs w:val="21"/>
              </w:rPr>
              <w:br w:type="textWrapping"/>
            </w:r>
            <w:r>
              <w:rPr>
                <w:rFonts w:hint="eastAsia" w:ascii="宋体" w:hAnsi="宋体" w:cs="宋体"/>
                <w:b/>
                <w:bCs/>
                <w:color w:val="000000"/>
                <w:kern w:val="0"/>
                <w:szCs w:val="21"/>
              </w:rPr>
              <w:t>（三）项目监管情况。办公室对项目完成实施情况进行全过程监督检查，牵头开展项目的绩效考评和总结，保障资金使用安全及效益。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vMerge w:val="restart"/>
            <w:shd w:val="clear" w:color="auto" w:fill="auto"/>
            <w:vAlign w:val="center"/>
          </w:tcPr>
          <w:p>
            <w:pPr>
              <w:widowControl/>
              <w:spacing w:line="280" w:lineRule="exact"/>
              <w:jc w:val="center"/>
              <w:rPr>
                <w:rFonts w:hint="eastAsia" w:ascii="宋体" w:hAnsi="宋体" w:cs="宋体"/>
                <w:b/>
                <w:bCs/>
                <w:color w:val="000000"/>
                <w:kern w:val="0"/>
                <w:szCs w:val="21"/>
              </w:rPr>
            </w:pPr>
            <w:r>
              <w:rPr>
                <w:rFonts w:hint="eastAsia" w:ascii="宋体" w:hAnsi="宋体" w:cs="宋体"/>
                <w:b/>
                <w:bCs/>
                <w:color w:val="000000"/>
                <w:kern w:val="0"/>
                <w:szCs w:val="21"/>
              </w:rPr>
              <w:t>预算执行情况</w:t>
            </w:r>
          </w:p>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（10分）</w:t>
            </w: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年度预算数（万元）</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年初预算</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调整后预算数</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预算执行数</w:t>
            </w:r>
          </w:p>
        </w:tc>
        <w:tc>
          <w:tcPr>
            <w:tcW w:w="1182" w:type="dxa"/>
            <w:shd w:val="clear" w:color="auto" w:fill="auto"/>
            <w:vAlign w:val="center"/>
          </w:tcPr>
          <w:p>
            <w:pPr>
              <w:widowControl/>
              <w:spacing w:line="280" w:lineRule="exact"/>
              <w:jc w:val="center"/>
              <w:rPr>
                <w:rFonts w:ascii="宋体" w:hAnsi="宋体" w:cs="宋体"/>
                <w:b/>
                <w:bCs/>
                <w:color w:val="000000"/>
                <w:spacing w:val="-14"/>
                <w:kern w:val="0"/>
                <w:szCs w:val="21"/>
              </w:rPr>
            </w:pPr>
            <w:r>
              <w:rPr>
                <w:rFonts w:hint="eastAsia" w:ascii="宋体" w:hAnsi="宋体" w:cs="宋体"/>
                <w:b/>
                <w:bCs/>
                <w:color w:val="000000"/>
                <w:spacing w:val="-14"/>
                <w:kern w:val="0"/>
                <w:szCs w:val="21"/>
              </w:rPr>
              <w:t>预算执行率</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7" w:type="dxa"/>
            <w:vMerge w:val="continue"/>
            <w:vAlign w:val="center"/>
          </w:tcPr>
          <w:p>
            <w:pPr>
              <w:widowControl/>
              <w:spacing w:line="280" w:lineRule="exact"/>
              <w:jc w:val="left"/>
              <w:rPr>
                <w:rFonts w:ascii="宋体" w:hAnsi="宋体" w:cs="宋体"/>
                <w:b/>
                <w:bCs/>
                <w:color w:val="000000"/>
                <w:kern w:val="0"/>
                <w:szCs w:val="21"/>
              </w:rPr>
            </w:pP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总额</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939" w:type="dxa"/>
            <w:vMerge w:val="restart"/>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7" w:type="dxa"/>
            <w:vMerge w:val="continue"/>
            <w:vAlign w:val="center"/>
          </w:tcPr>
          <w:p>
            <w:pPr>
              <w:widowControl/>
              <w:spacing w:line="280" w:lineRule="exact"/>
              <w:jc w:val="left"/>
              <w:rPr>
                <w:rFonts w:ascii="宋体" w:hAnsi="宋体" w:cs="宋体"/>
                <w:b/>
                <w:bCs/>
                <w:color w:val="000000"/>
                <w:kern w:val="0"/>
                <w:szCs w:val="21"/>
              </w:rPr>
            </w:pP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其中：财政资金</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37.00</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939"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7" w:type="dxa"/>
            <w:vMerge w:val="continue"/>
            <w:vAlign w:val="center"/>
          </w:tcPr>
          <w:p>
            <w:pPr>
              <w:widowControl/>
              <w:spacing w:line="280" w:lineRule="exact"/>
              <w:jc w:val="left"/>
              <w:rPr>
                <w:rFonts w:ascii="宋体" w:hAnsi="宋体" w:cs="宋体"/>
                <w:b/>
                <w:bCs/>
                <w:color w:val="000000"/>
                <w:kern w:val="0"/>
                <w:szCs w:val="21"/>
              </w:rPr>
            </w:pP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财政专户管理资金</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7" w:type="dxa"/>
            <w:vMerge w:val="continue"/>
            <w:vAlign w:val="center"/>
          </w:tcPr>
          <w:p>
            <w:pPr>
              <w:widowControl/>
              <w:spacing w:line="280" w:lineRule="exact"/>
              <w:jc w:val="left"/>
              <w:rPr>
                <w:rFonts w:ascii="宋体" w:hAnsi="宋体" w:cs="宋体"/>
                <w:b/>
                <w:bCs/>
                <w:color w:val="000000"/>
                <w:kern w:val="0"/>
                <w:szCs w:val="21"/>
              </w:rPr>
            </w:pP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单位资金</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37" w:type="dxa"/>
            <w:vMerge w:val="continue"/>
            <w:vAlign w:val="center"/>
          </w:tcPr>
          <w:p>
            <w:pPr>
              <w:widowControl/>
              <w:spacing w:line="280" w:lineRule="exact"/>
              <w:jc w:val="left"/>
              <w:rPr>
                <w:rFonts w:ascii="宋体" w:hAnsi="宋体" w:cs="宋体"/>
                <w:b/>
                <w:bCs/>
                <w:color w:val="000000"/>
                <w:kern w:val="0"/>
                <w:szCs w:val="21"/>
              </w:rPr>
            </w:pP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其他资金</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647" w:type="dxa"/>
            <w:gridSpan w:val="3"/>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37" w:type="dxa"/>
            <w:vMerge w:val="restart"/>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绩效指标（90分）</w:t>
            </w:r>
          </w:p>
        </w:tc>
        <w:tc>
          <w:tcPr>
            <w:tcW w:w="19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132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1944"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三级指标</w:t>
            </w:r>
          </w:p>
        </w:tc>
        <w:tc>
          <w:tcPr>
            <w:tcW w:w="64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指标性质</w:t>
            </w:r>
          </w:p>
        </w:tc>
        <w:tc>
          <w:tcPr>
            <w:tcW w:w="5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指标值</w:t>
            </w:r>
          </w:p>
        </w:tc>
        <w:tc>
          <w:tcPr>
            <w:tcW w:w="42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度量单位</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完成值</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数量指标</w:t>
            </w:r>
          </w:p>
        </w:tc>
        <w:tc>
          <w:tcPr>
            <w:tcW w:w="1944" w:type="dxa"/>
            <w:shd w:val="clear" w:color="auto" w:fill="auto"/>
            <w:vAlign w:val="center"/>
          </w:tcPr>
          <w:p>
            <w:pPr>
              <w:widowControl/>
              <w:spacing w:line="280" w:lineRule="exact"/>
              <w:rPr>
                <w:rFonts w:ascii="宋体" w:hAnsi="宋体" w:cs="宋体"/>
                <w:b/>
                <w:bCs/>
                <w:spacing w:val="-14"/>
                <w:kern w:val="0"/>
                <w:szCs w:val="21"/>
              </w:rPr>
            </w:pPr>
            <w:r>
              <w:rPr>
                <w:rFonts w:hint="eastAsia" w:ascii="宋体" w:hAnsi="宋体" w:cs="宋体"/>
                <w:b/>
                <w:bCs/>
                <w:spacing w:val="-14"/>
                <w:kern w:val="0"/>
                <w:szCs w:val="21"/>
              </w:rPr>
              <w:t>组织科普宣传与交流</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42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次</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数量指标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开展青少年科技教</w:t>
            </w:r>
            <w:r>
              <w:rPr>
                <w:rFonts w:hint="eastAsia" w:ascii="宋体" w:hAnsi="宋体" w:cs="宋体"/>
                <w:b/>
                <w:bCs/>
                <w:spacing w:val="-14"/>
                <w:kern w:val="0"/>
                <w:szCs w:val="21"/>
              </w:rPr>
              <w:t>育、高校科学营活动</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42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次</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restart"/>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绩效指标（90分）</w:t>
            </w: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数量指标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开展反邪防邪宣传活动</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5</w:t>
            </w:r>
          </w:p>
        </w:tc>
        <w:tc>
          <w:tcPr>
            <w:tcW w:w="42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次</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时效指标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年底前完成全年目标任务</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12</w:t>
            </w:r>
          </w:p>
        </w:tc>
        <w:tc>
          <w:tcPr>
            <w:tcW w:w="42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月</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12</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质量指标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目标完成率</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100</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1182"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成本指标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科普宣传与交流</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万元</w:t>
            </w:r>
          </w:p>
        </w:tc>
        <w:tc>
          <w:tcPr>
            <w:tcW w:w="1182"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成本指标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全民科学素质行动规划纲要实施</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万元</w:t>
            </w:r>
          </w:p>
        </w:tc>
        <w:tc>
          <w:tcPr>
            <w:tcW w:w="1182"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10</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成本指标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组织开展国家/省级/市级科普示范基地创建工作</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17</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万元</w:t>
            </w:r>
          </w:p>
        </w:tc>
        <w:tc>
          <w:tcPr>
            <w:tcW w:w="1182"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17</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成本指标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反邪防邪宣传及资料印刷等费用</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5</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万元</w:t>
            </w:r>
          </w:p>
        </w:tc>
        <w:tc>
          <w:tcPr>
            <w:tcW w:w="1182"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5</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spacing w:val="-14"/>
                <w:kern w:val="0"/>
                <w:szCs w:val="21"/>
              </w:rPr>
            </w:pPr>
            <w:r>
              <w:rPr>
                <w:rFonts w:hint="eastAsia" w:ascii="宋体" w:hAnsi="宋体" w:cs="宋体"/>
                <w:b/>
                <w:bCs/>
                <w:spacing w:val="-14"/>
                <w:kern w:val="0"/>
                <w:szCs w:val="21"/>
              </w:rPr>
              <w:t>社会效益指标</w:t>
            </w:r>
          </w:p>
        </w:tc>
        <w:tc>
          <w:tcPr>
            <w:tcW w:w="1944" w:type="dxa"/>
            <w:shd w:val="clear" w:color="auto" w:fill="auto"/>
            <w:vAlign w:val="center"/>
          </w:tcPr>
          <w:p>
            <w:pPr>
              <w:widowControl/>
              <w:spacing w:line="280" w:lineRule="exact"/>
              <w:rPr>
                <w:rFonts w:ascii="宋体" w:hAnsi="宋体" w:cs="宋体"/>
                <w:b/>
                <w:bCs/>
                <w:spacing w:val="-14"/>
                <w:kern w:val="0"/>
                <w:szCs w:val="21"/>
              </w:rPr>
            </w:pPr>
            <w:r>
              <w:rPr>
                <w:rFonts w:hint="eastAsia" w:ascii="宋体" w:hAnsi="宋体" w:cs="宋体"/>
                <w:b/>
                <w:bCs/>
                <w:spacing w:val="-14"/>
                <w:kern w:val="0"/>
                <w:szCs w:val="21"/>
              </w:rPr>
              <w:t>科普覆盖率环比提升</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定性</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提升</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产出指标</w:t>
            </w:r>
          </w:p>
        </w:tc>
        <w:tc>
          <w:tcPr>
            <w:tcW w:w="1320" w:type="dxa"/>
            <w:shd w:val="clear" w:color="auto" w:fill="auto"/>
            <w:noWrap/>
            <w:vAlign w:val="center"/>
          </w:tcPr>
          <w:p>
            <w:pPr>
              <w:widowControl/>
              <w:spacing w:line="280" w:lineRule="exact"/>
              <w:rPr>
                <w:rFonts w:ascii="宋体" w:hAnsi="宋体" w:cs="宋体"/>
                <w:b/>
                <w:bCs/>
                <w:spacing w:val="-14"/>
                <w:kern w:val="0"/>
                <w:szCs w:val="21"/>
              </w:rPr>
            </w:pPr>
            <w:r>
              <w:rPr>
                <w:rFonts w:hint="eastAsia" w:ascii="宋体" w:hAnsi="宋体" w:cs="宋体"/>
                <w:b/>
                <w:bCs/>
                <w:spacing w:val="-14"/>
                <w:kern w:val="0"/>
                <w:szCs w:val="21"/>
              </w:rPr>
              <w:t>社会效益指标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全民科学素质提升</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定性</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提升</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37" w:type="dxa"/>
            <w:vMerge w:val="continue"/>
            <w:shd w:val="clear" w:color="auto" w:fill="auto"/>
            <w:vAlign w:val="center"/>
          </w:tcPr>
          <w:p>
            <w:pPr>
              <w:widowControl/>
              <w:spacing w:line="280" w:lineRule="exact"/>
              <w:jc w:val="left"/>
              <w:rPr>
                <w:rFonts w:ascii="宋体" w:hAnsi="宋体" w:cs="宋体"/>
                <w:b/>
                <w:bCs/>
                <w:color w:val="000000"/>
                <w:kern w:val="0"/>
                <w:szCs w:val="21"/>
              </w:rPr>
            </w:pPr>
          </w:p>
        </w:tc>
        <w:tc>
          <w:tcPr>
            <w:tcW w:w="1980" w:type="dxa"/>
            <w:shd w:val="clear" w:color="auto" w:fill="auto"/>
            <w:noWrap/>
            <w:vAlign w:val="center"/>
          </w:tcPr>
          <w:p>
            <w:pPr>
              <w:widowControl/>
              <w:spacing w:line="280" w:lineRule="exact"/>
              <w:rPr>
                <w:rFonts w:ascii="宋体" w:hAnsi="宋体" w:cs="宋体"/>
                <w:b/>
                <w:bCs/>
                <w:kern w:val="0"/>
                <w:szCs w:val="21"/>
              </w:rPr>
            </w:pPr>
            <w:r>
              <w:rPr>
                <w:rFonts w:hint="eastAsia" w:ascii="宋体" w:hAnsi="宋体" w:cs="宋体"/>
                <w:b/>
                <w:bCs/>
                <w:kern w:val="0"/>
                <w:szCs w:val="21"/>
              </w:rPr>
              <w:t>效益指标</w:t>
            </w:r>
          </w:p>
        </w:tc>
        <w:tc>
          <w:tcPr>
            <w:tcW w:w="1320" w:type="dxa"/>
            <w:shd w:val="clear" w:color="auto" w:fill="auto"/>
            <w:noWrap/>
            <w:vAlign w:val="center"/>
          </w:tcPr>
          <w:p>
            <w:pPr>
              <w:widowControl/>
              <w:spacing w:line="280" w:lineRule="exact"/>
              <w:rPr>
                <w:rFonts w:ascii="宋体" w:hAnsi="宋体" w:cs="宋体"/>
                <w:b/>
                <w:bCs/>
                <w:spacing w:val="-14"/>
                <w:kern w:val="0"/>
                <w:szCs w:val="21"/>
              </w:rPr>
            </w:pPr>
            <w:r>
              <w:rPr>
                <w:rFonts w:hint="eastAsia" w:ascii="宋体" w:hAnsi="宋体" w:cs="宋体"/>
                <w:b/>
                <w:bCs/>
                <w:spacing w:val="-14"/>
                <w:kern w:val="0"/>
                <w:szCs w:val="21"/>
              </w:rPr>
              <w:t>社会效益指标</w:t>
            </w:r>
          </w:p>
        </w:tc>
        <w:tc>
          <w:tcPr>
            <w:tcW w:w="1944" w:type="dxa"/>
            <w:shd w:val="clear" w:color="auto" w:fill="auto"/>
            <w:vAlign w:val="center"/>
          </w:tcPr>
          <w:p>
            <w:pPr>
              <w:widowControl/>
              <w:spacing w:line="280" w:lineRule="exact"/>
              <w:rPr>
                <w:rFonts w:ascii="宋体" w:hAnsi="宋体" w:cs="宋体"/>
                <w:b/>
                <w:bCs/>
                <w:kern w:val="0"/>
                <w:szCs w:val="21"/>
              </w:rPr>
            </w:pPr>
            <w:r>
              <w:rPr>
                <w:rFonts w:hint="eastAsia" w:ascii="宋体" w:hAnsi="宋体" w:cs="宋体"/>
                <w:b/>
                <w:bCs/>
                <w:kern w:val="0"/>
                <w:szCs w:val="21"/>
              </w:rPr>
              <w:t>公众反邪防邪意识和能力进一步增强</w:t>
            </w:r>
          </w:p>
        </w:tc>
        <w:tc>
          <w:tcPr>
            <w:tcW w:w="64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定性</w:t>
            </w:r>
          </w:p>
        </w:tc>
        <w:tc>
          <w:tcPr>
            <w:tcW w:w="580"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427" w:type="dxa"/>
            <w:shd w:val="clear" w:color="auto" w:fill="auto"/>
            <w:noWrap/>
            <w:vAlign w:val="center"/>
          </w:tcPr>
          <w:p>
            <w:pPr>
              <w:widowControl/>
              <w:spacing w:line="280" w:lineRule="exact"/>
              <w:jc w:val="center"/>
              <w:rPr>
                <w:rFonts w:ascii="宋体" w:hAnsi="宋体" w:cs="宋体"/>
                <w:b/>
                <w:bCs/>
                <w:kern w:val="0"/>
                <w:szCs w:val="21"/>
              </w:rPr>
            </w:pPr>
            <w:r>
              <w:rPr>
                <w:rFonts w:hint="eastAsia" w:ascii="宋体" w:hAnsi="宋体" w:cs="宋体"/>
                <w:b/>
                <w:bCs/>
                <w:kern w:val="0"/>
                <w:szCs w:val="21"/>
              </w:rPr>
              <w:t>　</w:t>
            </w:r>
          </w:p>
        </w:tc>
        <w:tc>
          <w:tcPr>
            <w:tcW w:w="118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增强</w:t>
            </w:r>
          </w:p>
        </w:tc>
        <w:tc>
          <w:tcPr>
            <w:tcW w:w="772"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080"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10" w:type="dxa"/>
            <w:gridSpan w:val="8"/>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772" w:type="dxa"/>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　</w:t>
            </w:r>
          </w:p>
        </w:tc>
        <w:tc>
          <w:tcPr>
            <w:tcW w:w="81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100</w:t>
            </w:r>
          </w:p>
        </w:tc>
        <w:tc>
          <w:tcPr>
            <w:tcW w:w="1080" w:type="dxa"/>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　</w:t>
            </w:r>
          </w:p>
        </w:tc>
        <w:tc>
          <w:tcPr>
            <w:tcW w:w="1939" w:type="dxa"/>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shd w:val="clear" w:color="auto" w:fill="auto"/>
            <w:vAlign w:val="center"/>
          </w:tcPr>
          <w:p>
            <w:pPr>
              <w:widowControl/>
              <w:spacing w:line="280" w:lineRule="exact"/>
              <w:jc w:val="center"/>
              <w:rPr>
                <w:rFonts w:ascii="宋体" w:hAnsi="宋体" w:cs="宋体"/>
                <w:b/>
                <w:bCs/>
                <w:color w:val="000000"/>
                <w:spacing w:val="-14"/>
                <w:kern w:val="0"/>
                <w:szCs w:val="21"/>
              </w:rPr>
            </w:pPr>
            <w:r>
              <w:rPr>
                <w:rFonts w:hint="eastAsia" w:ascii="宋体" w:hAnsi="宋体" w:cs="宋体"/>
                <w:b/>
                <w:bCs/>
                <w:color w:val="000000"/>
                <w:spacing w:val="-14"/>
                <w:kern w:val="0"/>
                <w:szCs w:val="21"/>
              </w:rPr>
              <w:t>部门（单位）自评结论</w:t>
            </w:r>
          </w:p>
        </w:tc>
        <w:tc>
          <w:tcPr>
            <w:tcW w:w="12675" w:type="dxa"/>
            <w:gridSpan w:val="11"/>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项目设置务实合理，管理办法有效，项目成效符合项目绩效目标预期。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部门（单位）自评存在问题</w:t>
            </w:r>
          </w:p>
        </w:tc>
        <w:tc>
          <w:tcPr>
            <w:tcW w:w="12675" w:type="dxa"/>
            <w:gridSpan w:val="11"/>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项目资金与实际需求差口较大。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部门（单位）自评改进措施</w:t>
            </w:r>
          </w:p>
        </w:tc>
        <w:tc>
          <w:tcPr>
            <w:tcW w:w="12675" w:type="dxa"/>
            <w:gridSpan w:val="11"/>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加大科普资金投入。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财政部门对口科室</w:t>
            </w:r>
            <w:r>
              <w:rPr>
                <w:rFonts w:hint="eastAsia" w:ascii="宋体" w:hAnsi="宋体" w:cs="宋体"/>
                <w:b/>
                <w:bCs/>
                <w:color w:val="000000"/>
                <w:spacing w:val="-14"/>
                <w:kern w:val="0"/>
                <w:szCs w:val="21"/>
              </w:rPr>
              <w:t>复评结论及整改要求</w:t>
            </w:r>
          </w:p>
        </w:tc>
        <w:tc>
          <w:tcPr>
            <w:tcW w:w="12675" w:type="dxa"/>
            <w:gridSpan w:val="11"/>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921" w:type="dxa"/>
            <w:gridSpan w:val="5"/>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单位项目负责人：</w:t>
            </w:r>
          </w:p>
        </w:tc>
        <w:tc>
          <w:tcPr>
            <w:tcW w:w="6791" w:type="dxa"/>
            <w:gridSpan w:val="7"/>
            <w:shd w:val="clear" w:color="auto" w:fill="auto"/>
            <w:vAlign w:val="center"/>
          </w:tcPr>
          <w:p>
            <w:pPr>
              <w:widowControl/>
              <w:spacing w:line="280" w:lineRule="exact"/>
              <w:rPr>
                <w:rFonts w:ascii="宋体" w:hAnsi="宋体" w:cs="宋体"/>
                <w:b/>
                <w:bCs/>
                <w:color w:val="000000"/>
                <w:kern w:val="0"/>
                <w:szCs w:val="21"/>
              </w:rPr>
            </w:pPr>
            <w:r>
              <w:rPr>
                <w:rFonts w:hint="eastAsia" w:ascii="宋体" w:hAnsi="宋体" w:cs="宋体"/>
                <w:b/>
                <w:bCs/>
                <w:color w:val="000000"/>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921" w:type="dxa"/>
            <w:gridSpan w:val="5"/>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部门项目负责人：胡斌</w:t>
            </w:r>
          </w:p>
        </w:tc>
        <w:tc>
          <w:tcPr>
            <w:tcW w:w="6791" w:type="dxa"/>
            <w:gridSpan w:val="7"/>
            <w:shd w:val="clear" w:color="auto" w:fill="auto"/>
            <w:vAlign w:val="center"/>
          </w:tcPr>
          <w:p>
            <w:pPr>
              <w:widowControl/>
              <w:spacing w:line="280" w:lineRule="exact"/>
              <w:rPr>
                <w:rFonts w:ascii="宋体" w:hAnsi="宋体" w:cs="宋体"/>
                <w:b/>
                <w:bCs/>
                <w:color w:val="000000"/>
                <w:kern w:val="0"/>
                <w:szCs w:val="21"/>
              </w:rPr>
            </w:pPr>
            <w:r>
              <w:rPr>
                <w:rFonts w:hint="eastAsia" w:ascii="宋体" w:hAnsi="宋体" w:cs="宋体"/>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712" w:type="dxa"/>
            <w:gridSpan w:val="12"/>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财政部门科室负责人：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12" w:type="dxa"/>
            <w:gridSpan w:val="12"/>
            <w:shd w:val="clear" w:color="auto" w:fill="auto"/>
            <w:vAlign w:val="center"/>
          </w:tcPr>
          <w:p>
            <w:pPr>
              <w:widowControl/>
              <w:spacing w:line="280" w:lineRule="exact"/>
              <w:jc w:val="left"/>
              <w:rPr>
                <w:rFonts w:ascii="宋体" w:hAnsi="宋体" w:cs="宋体"/>
                <w:b/>
                <w:kern w:val="0"/>
                <w:szCs w:val="21"/>
              </w:rPr>
            </w:pPr>
          </w:p>
        </w:tc>
      </w:tr>
    </w:tbl>
    <w:p>
      <w:pPr>
        <w:widowControl/>
        <w:jc w:val="left"/>
        <w:rPr>
          <w:b/>
        </w:rPr>
      </w:pPr>
    </w:p>
    <w:p>
      <w:pPr>
        <w:pStyle w:val="2"/>
        <w:spacing w:before="93"/>
        <w:rPr>
          <w:rFonts w:hint="eastAsia" w:ascii="黑体" w:hAnsi="黑体" w:eastAsia="黑体" w:cs="宋体"/>
          <w:b/>
          <w:color w:val="000000"/>
          <w:kern w:val="0"/>
          <w:sz w:val="32"/>
          <w:szCs w:val="32"/>
        </w:rPr>
      </w:pPr>
      <w:r>
        <w:rPr>
          <w:b/>
        </w:rPr>
        <w:br w:type="page"/>
      </w:r>
    </w:p>
    <w:p>
      <w:pPr>
        <w:pStyle w:val="2"/>
        <w:spacing w:beforeLines="0" w:line="576" w:lineRule="exact"/>
        <w:rPr>
          <w:rFonts w:hint="eastAsia"/>
        </w:rPr>
      </w:pPr>
    </w:p>
    <w:p>
      <w:pPr>
        <w:pStyle w:val="2"/>
        <w:overflowPunct w:val="0"/>
        <w:topLinePunct/>
        <w:spacing w:beforeLines="0" w:line="576" w:lineRule="exact"/>
        <w:jc w:val="center"/>
        <w:rPr>
          <w:rFonts w:hint="eastAsia"/>
        </w:rPr>
      </w:pPr>
      <w:r>
        <w:rPr>
          <w:rFonts w:hint="eastAsia" w:ascii="方正小标宋简体" w:hAnsi="宋体" w:eastAsia="方正小标宋简体" w:cs="宋体"/>
          <w:b/>
          <w:color w:val="000000"/>
          <w:sz w:val="44"/>
          <w:szCs w:val="44"/>
        </w:rPr>
        <w:t>部门预算、专项资金预算项目支出绩效目标自评表（2022年度）</w:t>
      </w:r>
    </w:p>
    <w:p>
      <w:pPr>
        <w:pStyle w:val="2"/>
        <w:overflowPunct w:val="0"/>
        <w:topLinePunct/>
        <w:spacing w:beforeLines="0" w:line="240" w:lineRule="exact"/>
        <w:rPr>
          <w:rFonts w:hint="eastAsia"/>
        </w:rPr>
      </w:pPr>
    </w:p>
    <w:tbl>
      <w:tblPr>
        <w:tblStyle w:val="16"/>
        <w:tblW w:w="14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720"/>
        <w:gridCol w:w="1300"/>
        <w:gridCol w:w="2104"/>
        <w:gridCol w:w="664"/>
        <w:gridCol w:w="850"/>
        <w:gridCol w:w="709"/>
        <w:gridCol w:w="1134"/>
        <w:gridCol w:w="638"/>
        <w:gridCol w:w="960"/>
        <w:gridCol w:w="1060"/>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240"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1202" w:type="dxa"/>
            <w:gridSpan w:val="10"/>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0"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主管部门（盖章）</w:t>
            </w:r>
          </w:p>
        </w:tc>
        <w:tc>
          <w:tcPr>
            <w:tcW w:w="5627"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广元市科学技术协会</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实施部室（盖章）</w:t>
            </w:r>
          </w:p>
        </w:tc>
        <w:tc>
          <w:tcPr>
            <w:tcW w:w="4441"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20"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项目基本情况</w:t>
            </w:r>
          </w:p>
        </w:tc>
        <w:tc>
          <w:tcPr>
            <w:tcW w:w="1720"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1.项目年度目标完成情况</w:t>
            </w:r>
          </w:p>
        </w:tc>
        <w:tc>
          <w:tcPr>
            <w:tcW w:w="5627"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项目年度目标</w:t>
            </w:r>
          </w:p>
        </w:tc>
        <w:tc>
          <w:tcPr>
            <w:tcW w:w="5575"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vMerge w:val="continue"/>
            <w:vAlign w:val="center"/>
          </w:tcPr>
          <w:p>
            <w:pPr>
              <w:widowControl/>
              <w:jc w:val="left"/>
              <w:rPr>
                <w:rFonts w:ascii="宋体" w:hAnsi="宋体" w:cs="宋体"/>
                <w:b/>
                <w:bCs/>
                <w:color w:val="000000"/>
                <w:kern w:val="0"/>
                <w:szCs w:val="21"/>
              </w:rPr>
            </w:pPr>
          </w:p>
        </w:tc>
        <w:tc>
          <w:tcPr>
            <w:tcW w:w="5627"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召开科技工作者座谈会1次、举办双创学术沙龙1次，组织开展了2022年广元市优秀科技论文征集评选活动，实施学会能力提升建设5家。通过各类活动的开展，达到凝聚科技工作者力量、促进科技与经济发展的社会效益，科技工作者对学会工作满意度90%以上。</w:t>
            </w:r>
          </w:p>
        </w:tc>
        <w:tc>
          <w:tcPr>
            <w:tcW w:w="5575" w:type="dxa"/>
            <w:gridSpan w:val="5"/>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项目完成情况符合预期，绩效目标完成率100%。一是举办广元市第七届“双创”学术沙龙1次，来自不同领域的6名“双创”代表进行了现场交流发言，向荣获2022年“双创”学术沙龙活动先进集体的广元市预防医学会等4个单位，艾力.赛丁等10个先进个人颁发了荣誉证书。二是开展2022年度学会能力提升项目建设，择优评选市老科协、魔芋协会、市科普作家协会、市中医学会、市医学会5家，其中市魔芋协会会长黄军周成功入选“中国农技协百强乡土人才”。三是召开2022年广元市“5.30全国科技工作者日”座谈会1次，向全市科技工作者发出了《关于开展“创新争先、自立自强”主题实践活动的倡议书》，发布了广元市第二届“十大最美科技工作者”，科技工作者代表进行了交流发言。四是组织开展了2022年优秀科技论文征集评选活动1次，征集科技论文68篇，评选52篇优秀优秀科技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2.项目实施内容及过程概述</w:t>
            </w:r>
          </w:p>
        </w:tc>
        <w:tc>
          <w:tcPr>
            <w:tcW w:w="11202" w:type="dxa"/>
            <w:gridSpan w:val="10"/>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开展学术交流，活跃学术思想。反映科技工作者的意见和要求，维护科技工作者的合法权益。表彰奖励优秀科技工作者，举荐人才等。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20"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预算执行情况（10分）</w:t>
            </w:r>
          </w:p>
        </w:tc>
        <w:tc>
          <w:tcPr>
            <w:tcW w:w="1720" w:type="dxa"/>
            <w:shd w:val="clear" w:color="auto" w:fill="auto"/>
            <w:vAlign w:val="center"/>
          </w:tcPr>
          <w:p>
            <w:pPr>
              <w:widowControl/>
              <w:jc w:val="left"/>
              <w:rPr>
                <w:rFonts w:ascii="宋体" w:hAnsi="宋体" w:cs="宋体"/>
                <w:b/>
                <w:bCs/>
                <w:color w:val="000000"/>
                <w:spacing w:val="-16"/>
                <w:kern w:val="0"/>
                <w:szCs w:val="21"/>
              </w:rPr>
            </w:pPr>
            <w:r>
              <w:rPr>
                <w:rFonts w:hint="eastAsia" w:ascii="宋体" w:hAnsi="宋体" w:cs="宋体"/>
                <w:b/>
                <w:bCs/>
                <w:color w:val="000000"/>
                <w:spacing w:val="-16"/>
                <w:kern w:val="0"/>
                <w:szCs w:val="21"/>
              </w:rPr>
              <w:t>年度预算数（万元）</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年初预算</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调整后预算数</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预算执行数</w:t>
            </w:r>
          </w:p>
        </w:tc>
        <w:tc>
          <w:tcPr>
            <w:tcW w:w="1134" w:type="dxa"/>
            <w:shd w:val="clear" w:color="auto" w:fill="auto"/>
            <w:vAlign w:val="center"/>
          </w:tcPr>
          <w:p>
            <w:pPr>
              <w:widowControl/>
              <w:jc w:val="center"/>
              <w:rPr>
                <w:rFonts w:ascii="宋体" w:hAnsi="宋体" w:cs="宋体"/>
                <w:b/>
                <w:bCs/>
                <w:color w:val="000000"/>
                <w:spacing w:val="-16"/>
                <w:kern w:val="0"/>
                <w:szCs w:val="21"/>
              </w:rPr>
            </w:pPr>
            <w:r>
              <w:rPr>
                <w:rFonts w:hint="eastAsia" w:ascii="宋体" w:hAnsi="宋体" w:cs="宋体"/>
                <w:b/>
                <w:bCs/>
                <w:color w:val="000000"/>
                <w:spacing w:val="-16"/>
                <w:kern w:val="0"/>
                <w:szCs w:val="21"/>
              </w:rPr>
              <w:t>预算执行率</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总额</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vMerge w:val="restart"/>
            <w:shd w:val="clear" w:color="auto" w:fill="auto"/>
            <w:vAlign w:val="center"/>
          </w:tcPr>
          <w:p>
            <w:pPr>
              <w:widowControl/>
              <w:spacing w:line="240" w:lineRule="exact"/>
              <w:rPr>
                <w:rFonts w:ascii="宋体" w:hAnsi="宋体" w:cs="宋体"/>
                <w:b/>
                <w:bCs/>
                <w:color w:val="000000"/>
                <w:kern w:val="0"/>
                <w:szCs w:val="21"/>
              </w:rPr>
            </w:pPr>
            <w:r>
              <w:rPr>
                <w:rFonts w:hint="eastAsia" w:ascii="宋体" w:hAnsi="宋体" w:cs="宋体"/>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其中：财政资金</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15.00</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spacing w:val="-14"/>
                <w:kern w:val="0"/>
                <w:szCs w:val="21"/>
              </w:rPr>
            </w:pPr>
            <w:r>
              <w:rPr>
                <w:rFonts w:hint="eastAsia" w:ascii="宋体" w:hAnsi="宋体" w:cs="宋体"/>
                <w:b/>
                <w:bCs/>
                <w:color w:val="000000"/>
                <w:spacing w:val="-14"/>
                <w:kern w:val="0"/>
                <w:szCs w:val="21"/>
              </w:rPr>
              <w:t>财政专户管理资金</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单位资金</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其他资金</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0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223"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520"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绩效指标</w:t>
            </w:r>
            <w:r>
              <w:rPr>
                <w:rFonts w:hint="eastAsia" w:ascii="宋体" w:hAnsi="宋体" w:cs="宋体"/>
                <w:b/>
                <w:bCs/>
                <w:color w:val="000000"/>
                <w:kern w:val="0"/>
                <w:szCs w:val="21"/>
              </w:rPr>
              <w:br w:type="textWrapping"/>
            </w:r>
            <w:r>
              <w:rPr>
                <w:rFonts w:hint="eastAsia" w:ascii="宋体" w:hAnsi="宋体" w:cs="宋体"/>
                <w:b/>
                <w:bCs/>
                <w:color w:val="000000"/>
                <w:kern w:val="0"/>
                <w:szCs w:val="21"/>
              </w:rPr>
              <w:t>（90分）</w:t>
            </w:r>
          </w:p>
        </w:tc>
        <w:tc>
          <w:tcPr>
            <w:tcW w:w="17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13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2104"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三级指标</w:t>
            </w:r>
          </w:p>
        </w:tc>
        <w:tc>
          <w:tcPr>
            <w:tcW w:w="66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指标性质</w:t>
            </w:r>
          </w:p>
        </w:tc>
        <w:tc>
          <w:tcPr>
            <w:tcW w:w="85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指标值</w:t>
            </w:r>
          </w:p>
        </w:tc>
        <w:tc>
          <w:tcPr>
            <w:tcW w:w="70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度量单位</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完成值</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2104" w:type="dxa"/>
            <w:shd w:val="clear" w:color="auto" w:fill="auto"/>
            <w:vAlign w:val="center"/>
          </w:tcPr>
          <w:p>
            <w:pPr>
              <w:widowControl/>
              <w:spacing w:line="240" w:lineRule="exact"/>
              <w:rPr>
                <w:rFonts w:ascii="宋体" w:hAnsi="宋体" w:cs="宋体"/>
                <w:b/>
                <w:bCs/>
                <w:kern w:val="0"/>
                <w:szCs w:val="21"/>
              </w:rPr>
            </w:pPr>
            <w:r>
              <w:rPr>
                <w:rFonts w:hint="eastAsia" w:ascii="宋体" w:hAnsi="宋体" w:cs="宋体"/>
                <w:b/>
                <w:bCs/>
                <w:kern w:val="0"/>
                <w:szCs w:val="21"/>
              </w:rPr>
              <w:t>召开科技工作者座谈会 、举办双创学术沙龙</w:t>
            </w:r>
            <w:r>
              <w:rPr>
                <w:rFonts w:ascii="Arial" w:hAnsi="Arial" w:cs="Arial"/>
                <w:b/>
                <w:bCs/>
                <w:kern w:val="0"/>
                <w:szCs w:val="21"/>
              </w:rPr>
              <w:t xml:space="preserve"> </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场次</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2104" w:type="dxa"/>
            <w:shd w:val="clear" w:color="auto" w:fill="auto"/>
            <w:vAlign w:val="center"/>
          </w:tcPr>
          <w:p>
            <w:pPr>
              <w:widowControl/>
              <w:spacing w:line="240" w:lineRule="exact"/>
              <w:rPr>
                <w:rFonts w:ascii="宋体" w:hAnsi="宋体" w:cs="宋体"/>
                <w:b/>
                <w:bCs/>
                <w:kern w:val="0"/>
                <w:szCs w:val="21"/>
              </w:rPr>
            </w:pPr>
            <w:r>
              <w:rPr>
                <w:rFonts w:hint="eastAsia" w:ascii="宋体" w:hAnsi="宋体" w:cs="宋体"/>
                <w:b/>
                <w:bCs/>
                <w:kern w:val="0"/>
                <w:szCs w:val="21"/>
              </w:rPr>
              <w:t>开展优秀学术论文评选</w:t>
            </w:r>
            <w:r>
              <w:rPr>
                <w:rFonts w:ascii="Arial" w:hAnsi="Arial" w:cs="Arial"/>
                <w:b/>
                <w:bCs/>
                <w:kern w:val="0"/>
                <w:szCs w:val="21"/>
              </w:rPr>
              <w:t xml:space="preserve"> </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场次</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2104" w:type="dxa"/>
            <w:shd w:val="clear" w:color="auto" w:fill="auto"/>
            <w:vAlign w:val="center"/>
          </w:tcPr>
          <w:p>
            <w:pPr>
              <w:widowControl/>
              <w:spacing w:line="240" w:lineRule="exact"/>
              <w:rPr>
                <w:rFonts w:ascii="宋体" w:hAnsi="宋体" w:cs="宋体"/>
                <w:b/>
                <w:bCs/>
                <w:kern w:val="0"/>
                <w:szCs w:val="21"/>
              </w:rPr>
            </w:pPr>
            <w:r>
              <w:rPr>
                <w:rFonts w:hint="eastAsia" w:ascii="宋体" w:hAnsi="宋体" w:cs="宋体"/>
                <w:b/>
                <w:bCs/>
                <w:kern w:val="0"/>
                <w:szCs w:val="21"/>
              </w:rPr>
              <w:t>实施学会能力提升建设</w:t>
            </w:r>
            <w:r>
              <w:rPr>
                <w:rFonts w:ascii="Arial" w:hAnsi="Arial" w:cs="Arial"/>
                <w:b/>
                <w:bCs/>
                <w:kern w:val="0"/>
                <w:szCs w:val="21"/>
              </w:rPr>
              <w:t xml:space="preserve"> </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家</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成本指标</w:t>
            </w:r>
          </w:p>
        </w:tc>
        <w:tc>
          <w:tcPr>
            <w:tcW w:w="2104" w:type="dxa"/>
            <w:shd w:val="clear" w:color="auto" w:fill="auto"/>
            <w:vAlign w:val="center"/>
          </w:tcPr>
          <w:p>
            <w:pPr>
              <w:widowControl/>
              <w:spacing w:line="240" w:lineRule="exact"/>
              <w:rPr>
                <w:rFonts w:ascii="宋体" w:hAnsi="宋体" w:cs="宋体"/>
                <w:b/>
                <w:bCs/>
                <w:kern w:val="0"/>
                <w:szCs w:val="21"/>
              </w:rPr>
            </w:pPr>
            <w:r>
              <w:rPr>
                <w:rFonts w:hint="eastAsia" w:ascii="宋体" w:hAnsi="宋体" w:cs="宋体"/>
                <w:b/>
                <w:bCs/>
                <w:kern w:val="0"/>
                <w:szCs w:val="21"/>
              </w:rPr>
              <w:t>开展学术交流活动</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万元</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质量指标</w:t>
            </w:r>
          </w:p>
        </w:tc>
        <w:tc>
          <w:tcPr>
            <w:tcW w:w="2104" w:type="dxa"/>
            <w:shd w:val="clear" w:color="auto" w:fill="auto"/>
            <w:vAlign w:val="center"/>
          </w:tcPr>
          <w:p>
            <w:pPr>
              <w:widowControl/>
              <w:spacing w:line="240" w:lineRule="exact"/>
              <w:rPr>
                <w:rFonts w:ascii="宋体" w:hAnsi="宋体" w:cs="宋体"/>
                <w:b/>
                <w:bCs/>
                <w:spacing w:val="-10"/>
                <w:kern w:val="0"/>
                <w:szCs w:val="21"/>
              </w:rPr>
            </w:pPr>
            <w:r>
              <w:rPr>
                <w:rFonts w:hint="eastAsia" w:ascii="宋体" w:hAnsi="宋体" w:cs="宋体"/>
                <w:b/>
                <w:bCs/>
                <w:spacing w:val="-10"/>
                <w:kern w:val="0"/>
                <w:szCs w:val="21"/>
              </w:rPr>
              <w:t>组织服务能力有提高</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定性</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20" w:type="dxa"/>
            <w:vMerge w:val="continue"/>
            <w:vAlign w:val="center"/>
          </w:tcPr>
          <w:p>
            <w:pPr>
              <w:widowControl/>
              <w:jc w:val="left"/>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成本指标</w:t>
            </w:r>
          </w:p>
        </w:tc>
        <w:tc>
          <w:tcPr>
            <w:tcW w:w="2104" w:type="dxa"/>
            <w:shd w:val="clear" w:color="auto" w:fill="auto"/>
            <w:vAlign w:val="center"/>
          </w:tcPr>
          <w:p>
            <w:pPr>
              <w:widowControl/>
              <w:spacing w:line="240" w:lineRule="exact"/>
              <w:rPr>
                <w:rFonts w:ascii="宋体" w:hAnsi="宋体" w:cs="宋体"/>
                <w:b/>
                <w:bCs/>
                <w:kern w:val="0"/>
                <w:szCs w:val="21"/>
              </w:rPr>
            </w:pPr>
            <w:r>
              <w:rPr>
                <w:rFonts w:hint="eastAsia" w:ascii="宋体" w:hAnsi="宋体" w:cs="宋体"/>
                <w:b/>
                <w:bCs/>
                <w:kern w:val="0"/>
                <w:szCs w:val="21"/>
              </w:rPr>
              <w:t>学会能力提升建设</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万元</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20"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绩效指标</w:t>
            </w:r>
            <w:r>
              <w:rPr>
                <w:rFonts w:hint="eastAsia" w:ascii="宋体" w:hAnsi="宋体" w:cs="宋体"/>
                <w:b/>
                <w:bCs/>
                <w:color w:val="000000"/>
                <w:kern w:val="0"/>
                <w:szCs w:val="21"/>
              </w:rPr>
              <w:br w:type="textWrapping"/>
            </w:r>
            <w:r>
              <w:rPr>
                <w:rFonts w:hint="eastAsia" w:ascii="宋体" w:hAnsi="宋体" w:cs="宋体"/>
                <w:b/>
                <w:bCs/>
                <w:color w:val="000000"/>
                <w:kern w:val="0"/>
                <w:szCs w:val="21"/>
              </w:rPr>
              <w:t>（90分）</w:t>
            </w: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效益指标</w:t>
            </w:r>
          </w:p>
        </w:tc>
        <w:tc>
          <w:tcPr>
            <w:tcW w:w="1300" w:type="dxa"/>
            <w:shd w:val="clear" w:color="auto" w:fill="auto"/>
            <w:vAlign w:val="center"/>
          </w:tcPr>
          <w:p>
            <w:pPr>
              <w:widowControl/>
              <w:rPr>
                <w:rFonts w:ascii="宋体" w:hAnsi="宋体" w:cs="宋体"/>
                <w:b/>
                <w:bCs/>
                <w:spacing w:val="-16"/>
                <w:kern w:val="0"/>
                <w:szCs w:val="21"/>
              </w:rPr>
            </w:pPr>
            <w:r>
              <w:rPr>
                <w:rFonts w:hint="eastAsia" w:ascii="宋体" w:hAnsi="宋体" w:cs="宋体"/>
                <w:b/>
                <w:bCs/>
                <w:spacing w:val="-16"/>
                <w:kern w:val="0"/>
                <w:szCs w:val="21"/>
              </w:rPr>
              <w:t>社会效益指标</w:t>
            </w:r>
          </w:p>
        </w:tc>
        <w:tc>
          <w:tcPr>
            <w:tcW w:w="2104"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凝聚科技工作者力量，促进科技与经济发展</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定性</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20" w:type="dxa"/>
            <w:vMerge w:val="continue"/>
            <w:shd w:val="clear" w:color="auto" w:fill="auto"/>
            <w:vAlign w:val="center"/>
          </w:tcPr>
          <w:p>
            <w:pPr>
              <w:widowControl/>
              <w:jc w:val="center"/>
              <w:rPr>
                <w:rFonts w:ascii="宋体" w:hAnsi="宋体" w:cs="宋体"/>
                <w:b/>
                <w:bCs/>
                <w:color w:val="000000"/>
                <w:kern w:val="0"/>
                <w:szCs w:val="21"/>
              </w:rPr>
            </w:pPr>
          </w:p>
        </w:tc>
        <w:tc>
          <w:tcPr>
            <w:tcW w:w="172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满意度指标</w:t>
            </w:r>
          </w:p>
        </w:tc>
        <w:tc>
          <w:tcPr>
            <w:tcW w:w="130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服务对象满意度指标</w:t>
            </w:r>
          </w:p>
        </w:tc>
        <w:tc>
          <w:tcPr>
            <w:tcW w:w="2104"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学会工作得到学会组织的认可满意度90%</w:t>
            </w:r>
          </w:p>
        </w:tc>
        <w:tc>
          <w:tcPr>
            <w:tcW w:w="66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定性</w:t>
            </w:r>
          </w:p>
        </w:tc>
        <w:tc>
          <w:tcPr>
            <w:tcW w:w="85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70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13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3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w:t>
            </w:r>
          </w:p>
        </w:tc>
        <w:tc>
          <w:tcPr>
            <w:tcW w:w="106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01" w:type="dxa"/>
            <w:gridSpan w:val="8"/>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90</w:t>
            </w:r>
          </w:p>
        </w:tc>
        <w:tc>
          <w:tcPr>
            <w:tcW w:w="106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1783"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部门（单位）自评结论</w:t>
            </w:r>
          </w:p>
        </w:tc>
        <w:tc>
          <w:tcPr>
            <w:tcW w:w="12922"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项目设置务实合理，管理办法有效，项目成效符合项目绩效目标预期。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部门（单位）自评存在问题</w:t>
            </w:r>
          </w:p>
        </w:tc>
        <w:tc>
          <w:tcPr>
            <w:tcW w:w="12922"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通过实施预算执行情况监控，发现项目资金使用进度滞后，存在年底集中支付情况。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部门（单位）自评改进措施</w:t>
            </w:r>
          </w:p>
        </w:tc>
        <w:tc>
          <w:tcPr>
            <w:tcW w:w="12922"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适时掌握预算执行情况，做到心中有数，尽可能避免年末集中支付情况，提高预算执行的可控性。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5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财政部门对口科室复评结论及整改要求</w:t>
            </w:r>
          </w:p>
        </w:tc>
        <w:tc>
          <w:tcPr>
            <w:tcW w:w="12922" w:type="dxa"/>
            <w:gridSpan w:val="11"/>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08"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单位项目负责人：</w:t>
            </w:r>
          </w:p>
        </w:tc>
        <w:tc>
          <w:tcPr>
            <w:tcW w:w="7134" w:type="dxa"/>
            <w:gridSpan w:val="7"/>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08"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部门项目负责人：高燕华</w:t>
            </w:r>
          </w:p>
        </w:tc>
        <w:tc>
          <w:tcPr>
            <w:tcW w:w="7134" w:type="dxa"/>
            <w:gridSpan w:val="7"/>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42" w:type="dxa"/>
            <w:gridSpan w:val="1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财政部门科室负责人：</w:t>
            </w:r>
          </w:p>
        </w:tc>
      </w:tr>
    </w:tbl>
    <w:p>
      <w:pPr>
        <w:pStyle w:val="2"/>
        <w:spacing w:beforeLines="0" w:line="576" w:lineRule="exact"/>
        <w:rPr>
          <w:rFonts w:hint="eastAsia" w:ascii="黑体" w:hAnsi="黑体" w:eastAsia="黑体" w:cs="宋体"/>
          <w:b/>
          <w:color w:val="000000"/>
          <w:sz w:val="32"/>
          <w:szCs w:val="32"/>
        </w:rPr>
      </w:pPr>
    </w:p>
    <w:p>
      <w:pPr>
        <w:spacing w:line="576" w:lineRule="exact"/>
        <w:jc w:val="center"/>
        <w:rPr>
          <w:rFonts w:hint="eastAsia"/>
        </w:rPr>
      </w:pPr>
    </w:p>
    <w:p>
      <w:pPr>
        <w:spacing w:line="576" w:lineRule="exact"/>
        <w:jc w:val="center"/>
        <w:rPr>
          <w:rFonts w:hint="eastAsia" w:ascii="方正小标宋简体" w:hAnsi="宋体" w:eastAsia="方正小标宋简体" w:cs="宋体"/>
          <w:b/>
          <w:color w:val="000000"/>
          <w:kern w:val="0"/>
          <w:sz w:val="44"/>
          <w:szCs w:val="44"/>
        </w:rPr>
      </w:pPr>
      <w:r>
        <w:rPr>
          <w:rFonts w:hint="eastAsia" w:ascii="方正小标宋简体" w:hAnsi="宋体" w:eastAsia="方正小标宋简体" w:cs="宋体"/>
          <w:b/>
          <w:color w:val="000000"/>
          <w:kern w:val="0"/>
          <w:sz w:val="44"/>
          <w:szCs w:val="44"/>
        </w:rPr>
        <w:t>部门预算、专项资金预算项目支出绩效目标自评表（2022年度）</w:t>
      </w:r>
    </w:p>
    <w:p>
      <w:pPr>
        <w:pStyle w:val="2"/>
        <w:spacing w:beforeLines="0" w:line="240" w:lineRule="exact"/>
        <w:jc w:val="center"/>
      </w:pPr>
    </w:p>
    <w:tbl>
      <w:tblPr>
        <w:tblStyle w:val="16"/>
        <w:tblW w:w="15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160"/>
        <w:gridCol w:w="1280"/>
        <w:gridCol w:w="1998"/>
        <w:gridCol w:w="520"/>
        <w:gridCol w:w="165"/>
        <w:gridCol w:w="854"/>
        <w:gridCol w:w="644"/>
        <w:gridCol w:w="1120"/>
        <w:gridCol w:w="498"/>
        <w:gridCol w:w="960"/>
        <w:gridCol w:w="118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39"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2129" w:type="dxa"/>
            <w:gridSpan w:val="11"/>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院士专家海智工作站建设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2939"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主管部门（盖章）</w:t>
            </w:r>
          </w:p>
        </w:tc>
        <w:tc>
          <w:tcPr>
            <w:tcW w:w="5461" w:type="dxa"/>
            <w:gridSpan w:val="6"/>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广元市科学技术协会</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实施单位（盖章）</w:t>
            </w:r>
          </w:p>
        </w:tc>
        <w:tc>
          <w:tcPr>
            <w:tcW w:w="5548"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市科技服务中心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9"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项目基本情况</w:t>
            </w:r>
          </w:p>
        </w:tc>
        <w:tc>
          <w:tcPr>
            <w:tcW w:w="1160"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1.项目年度目标完成情况</w:t>
            </w:r>
          </w:p>
        </w:tc>
        <w:tc>
          <w:tcPr>
            <w:tcW w:w="5461" w:type="dxa"/>
            <w:gridSpan w:val="6"/>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项目年度目标</w:t>
            </w:r>
          </w:p>
        </w:tc>
        <w:tc>
          <w:tcPr>
            <w:tcW w:w="6668"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0"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vMerge w:val="continue"/>
            <w:vAlign w:val="center"/>
          </w:tcPr>
          <w:p>
            <w:pPr>
              <w:widowControl/>
              <w:jc w:val="left"/>
              <w:rPr>
                <w:rFonts w:ascii="宋体" w:hAnsi="宋体" w:cs="宋体"/>
                <w:b/>
                <w:bCs/>
                <w:color w:val="000000"/>
                <w:kern w:val="0"/>
                <w:szCs w:val="21"/>
              </w:rPr>
            </w:pPr>
          </w:p>
        </w:tc>
        <w:tc>
          <w:tcPr>
            <w:tcW w:w="5461" w:type="dxa"/>
            <w:gridSpan w:val="6"/>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新建市级市级院士（专家）工作站3家、海智工作站1个，院士（专家）广元行活动1次，院士（专家）工作站成果展示推广活动1次，外出考察学习活动1次，开展工作站绩效考评，绩效考评奖励示范工作站5个，通过工作的开展，达到提升科技企业创新能力、降低运行成本，加快广元科技服务事业发展的效益，服务对象满意度90%以上。</w:t>
            </w:r>
          </w:p>
        </w:tc>
        <w:tc>
          <w:tcPr>
            <w:tcW w:w="6668"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牵头修订完善了《广元市院士（专家）工作站实施办法》《广元市院士（专家）工作站管理办法（试行）》，进一步规范院士（专家）工作站管理。对已建第七批市级专家工作站运行情况进行绩效考评。认定四川木门茶叶有限公司等5家工作站为优秀等次，并按照有关文件落实了1万元/家的一次性奖励补助。完成了第九批市级专家工作站、海智工作站的申报评审工作，审核批准广元中孚高精铝材有限公司等3个单位设立广元市专家工作站，广元三禾农业开发有限公司设立广元市海智工作站。做好省级院士（专家）工作站申报推荐。指导广元市第一人民医院成功申报四川省第十一批省级院士（专家）工作站。项目完成情况符合预期，绩效目标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2.项目实施内容及过程概述</w:t>
            </w:r>
          </w:p>
        </w:tc>
        <w:tc>
          <w:tcPr>
            <w:tcW w:w="12129"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对已建第七批市级专家工作站运行情况进行绩效考评。新建第九批市级专家工作站、第五批海智工作站。做好省级院士（专家）工作站申报推荐等。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2" w:hRule="atLeast"/>
          <w:jc w:val="center"/>
        </w:trPr>
        <w:tc>
          <w:tcPr>
            <w:tcW w:w="1779"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预算执行情况（10分）</w:t>
            </w: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年度预算数（万元）</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年初预算</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调整后预算数</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预算执行数</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预算执行率</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291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总额</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20.00</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20.00</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其中：财政资金</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20.00</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20.00</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财政专户管理资金</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单位资金</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79" w:type="dxa"/>
            <w:vMerge w:val="continue"/>
            <w:vAlign w:val="center"/>
          </w:tcPr>
          <w:p>
            <w:pPr>
              <w:widowControl/>
              <w:jc w:val="left"/>
              <w:rPr>
                <w:rFonts w:ascii="宋体" w:hAnsi="宋体" w:cs="宋体"/>
                <w:b/>
                <w:bCs/>
                <w:color w:val="000000"/>
                <w:kern w:val="0"/>
                <w:szCs w:val="21"/>
              </w:rPr>
            </w:pP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其他资金</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183"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vMerge w:val="continue"/>
            <w:vAlign w:val="center"/>
          </w:tcPr>
          <w:p>
            <w:pPr>
              <w:widowControl/>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1779"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绩效指标</w:t>
            </w:r>
            <w:r>
              <w:rPr>
                <w:rFonts w:hint="eastAsia" w:ascii="宋体" w:hAnsi="宋体" w:cs="宋体"/>
                <w:b/>
                <w:bCs/>
                <w:color w:val="000000"/>
                <w:kern w:val="0"/>
                <w:szCs w:val="21"/>
              </w:rPr>
              <w:br w:type="textWrapping"/>
            </w:r>
            <w:r>
              <w:rPr>
                <w:rFonts w:hint="eastAsia" w:ascii="宋体" w:hAnsi="宋体" w:cs="宋体"/>
                <w:b/>
                <w:bCs/>
                <w:color w:val="000000"/>
                <w:kern w:val="0"/>
                <w:szCs w:val="21"/>
              </w:rPr>
              <w:t>（90分）</w:t>
            </w:r>
          </w:p>
        </w:tc>
        <w:tc>
          <w:tcPr>
            <w:tcW w:w="11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12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19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三级指标</w:t>
            </w:r>
          </w:p>
        </w:tc>
        <w:tc>
          <w:tcPr>
            <w:tcW w:w="685" w:type="dxa"/>
            <w:gridSpan w:val="2"/>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指标性质</w:t>
            </w:r>
          </w:p>
        </w:tc>
        <w:tc>
          <w:tcPr>
            <w:tcW w:w="85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指标值</w:t>
            </w:r>
          </w:p>
        </w:tc>
        <w:tc>
          <w:tcPr>
            <w:tcW w:w="64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度量单位</w:t>
            </w:r>
          </w:p>
        </w:tc>
        <w:tc>
          <w:tcPr>
            <w:tcW w:w="11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完成值</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1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291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新建市级海智工作站数量</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个</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院士（专家）广元行活动次数</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2.5</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因疫情原因取消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院士（专家）工作站成果展示推广活动次数</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截止评价节点已完成目标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院士（专家）工作站外出考察学习活动次数</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次/年</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开展工作站绩效考评次数</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次/年</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779"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绩效指标</w:t>
            </w:r>
            <w:r>
              <w:rPr>
                <w:rFonts w:hint="eastAsia" w:ascii="宋体" w:hAnsi="宋体" w:cs="宋体"/>
                <w:b/>
                <w:bCs/>
                <w:color w:val="000000"/>
                <w:kern w:val="0"/>
                <w:szCs w:val="21"/>
              </w:rPr>
              <w:br w:type="textWrapping"/>
            </w:r>
            <w:r>
              <w:rPr>
                <w:rFonts w:hint="eastAsia" w:ascii="宋体" w:hAnsi="宋体" w:cs="宋体"/>
                <w:b/>
                <w:bCs/>
                <w:color w:val="000000"/>
                <w:kern w:val="0"/>
                <w:szCs w:val="21"/>
              </w:rPr>
              <w:t>（90分）</w:t>
            </w: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新建市级院士（专家）工作站数量</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个</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时效指标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完成时间</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12</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月</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12</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数量指标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绩效考评奖励示范工作站数量</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个</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质量指标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完成既定目标，验收成功率</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100</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100</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产出指标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成本指标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新建院士专家工作</w:t>
            </w:r>
            <w:r>
              <w:rPr>
                <w:rFonts w:hint="eastAsia" w:ascii="宋体" w:hAnsi="宋体" w:cs="宋体"/>
                <w:b/>
                <w:bCs/>
                <w:spacing w:val="-12"/>
                <w:kern w:val="0"/>
                <w:szCs w:val="21"/>
              </w:rPr>
              <w:t>站、绩效考评各10万</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万元</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效益指标</w:t>
            </w:r>
          </w:p>
        </w:tc>
        <w:tc>
          <w:tcPr>
            <w:tcW w:w="1280" w:type="dxa"/>
            <w:shd w:val="clear" w:color="auto" w:fill="auto"/>
            <w:vAlign w:val="center"/>
          </w:tcPr>
          <w:p>
            <w:pPr>
              <w:widowControl/>
              <w:rPr>
                <w:rFonts w:ascii="宋体" w:hAnsi="宋体" w:cs="宋体"/>
                <w:b/>
                <w:bCs/>
                <w:spacing w:val="-20"/>
                <w:kern w:val="0"/>
                <w:szCs w:val="21"/>
              </w:rPr>
            </w:pPr>
            <w:r>
              <w:rPr>
                <w:rFonts w:hint="eastAsia" w:ascii="宋体" w:hAnsi="宋体" w:cs="宋体"/>
                <w:b/>
                <w:bCs/>
                <w:spacing w:val="-20"/>
                <w:kern w:val="0"/>
                <w:szCs w:val="21"/>
              </w:rPr>
              <w:t>经济效益指标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提升科技企业创新</w:t>
            </w:r>
            <w:r>
              <w:rPr>
                <w:rFonts w:hint="eastAsia" w:ascii="宋体" w:hAnsi="宋体" w:cs="宋体"/>
                <w:b/>
                <w:bCs/>
                <w:spacing w:val="-12"/>
                <w:kern w:val="0"/>
                <w:szCs w:val="21"/>
              </w:rPr>
              <w:t>能力，降低运行成本</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5</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kern w:val="0"/>
                <w:szCs w:val="21"/>
              </w:rPr>
            </w:pPr>
            <w:r>
              <w:rPr>
                <w:rFonts w:hint="eastAsia" w:ascii="宋体" w:hAnsi="宋体" w:cs="宋体"/>
                <w:b/>
                <w:bCs/>
                <w:kern w:val="0"/>
                <w:szCs w:val="21"/>
              </w:rPr>
              <w:t>效益指标</w:t>
            </w:r>
          </w:p>
        </w:tc>
        <w:tc>
          <w:tcPr>
            <w:tcW w:w="1280" w:type="dxa"/>
            <w:shd w:val="clear" w:color="auto" w:fill="auto"/>
            <w:vAlign w:val="center"/>
          </w:tcPr>
          <w:p>
            <w:pPr>
              <w:widowControl/>
              <w:rPr>
                <w:rFonts w:ascii="宋体" w:hAnsi="宋体" w:cs="宋体"/>
                <w:b/>
                <w:bCs/>
                <w:spacing w:val="-20"/>
                <w:kern w:val="0"/>
                <w:szCs w:val="21"/>
              </w:rPr>
            </w:pPr>
            <w:r>
              <w:rPr>
                <w:rFonts w:hint="eastAsia" w:ascii="宋体" w:hAnsi="宋体" w:cs="宋体"/>
                <w:b/>
                <w:bCs/>
                <w:spacing w:val="-20"/>
                <w:kern w:val="0"/>
                <w:szCs w:val="21"/>
              </w:rPr>
              <w:t>社会效益指标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加快广元科技服务事业发展</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定性</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644" w:type="dxa"/>
            <w:shd w:val="clear" w:color="auto" w:fill="auto"/>
            <w:noWrap/>
            <w:vAlign w:val="center"/>
          </w:tcPr>
          <w:p>
            <w:pPr>
              <w:widowControl/>
              <w:jc w:val="center"/>
              <w:rPr>
                <w:rFonts w:ascii="宋体" w:hAnsi="宋体" w:cs="宋体"/>
                <w:b/>
                <w:bCs/>
                <w:kern w:val="0"/>
                <w:szCs w:val="21"/>
              </w:rPr>
            </w:pP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79" w:type="dxa"/>
            <w:vMerge w:val="continue"/>
            <w:shd w:val="clear" w:color="auto" w:fill="auto"/>
            <w:vAlign w:val="center"/>
          </w:tcPr>
          <w:p>
            <w:pPr>
              <w:widowControl/>
              <w:jc w:val="left"/>
              <w:rPr>
                <w:rFonts w:ascii="宋体" w:hAnsi="宋体" w:cs="宋体"/>
                <w:b/>
                <w:bCs/>
                <w:color w:val="000000"/>
                <w:kern w:val="0"/>
                <w:szCs w:val="21"/>
              </w:rPr>
            </w:pPr>
          </w:p>
        </w:tc>
        <w:tc>
          <w:tcPr>
            <w:tcW w:w="1160" w:type="dxa"/>
            <w:shd w:val="clear" w:color="auto" w:fill="auto"/>
            <w:noWrap/>
            <w:vAlign w:val="center"/>
          </w:tcPr>
          <w:p>
            <w:pPr>
              <w:widowControl/>
              <w:rPr>
                <w:rFonts w:ascii="宋体" w:hAnsi="宋体" w:cs="宋体"/>
                <w:b/>
                <w:bCs/>
                <w:spacing w:val="-12"/>
                <w:kern w:val="0"/>
                <w:szCs w:val="21"/>
              </w:rPr>
            </w:pPr>
            <w:r>
              <w:rPr>
                <w:rFonts w:hint="eastAsia" w:ascii="宋体" w:hAnsi="宋体" w:cs="宋体"/>
                <w:b/>
                <w:bCs/>
                <w:spacing w:val="-12"/>
                <w:kern w:val="0"/>
                <w:szCs w:val="21"/>
              </w:rPr>
              <w:t>满意度指标</w:t>
            </w:r>
          </w:p>
        </w:tc>
        <w:tc>
          <w:tcPr>
            <w:tcW w:w="1280"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服务对象满意度指标</w:t>
            </w:r>
          </w:p>
        </w:tc>
        <w:tc>
          <w:tcPr>
            <w:tcW w:w="1998"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企业满意度</w:t>
            </w:r>
          </w:p>
        </w:tc>
        <w:tc>
          <w:tcPr>
            <w:tcW w:w="685" w:type="dxa"/>
            <w:gridSpan w:val="2"/>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85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98</w:t>
            </w:r>
          </w:p>
        </w:tc>
        <w:tc>
          <w:tcPr>
            <w:tcW w:w="644"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12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98</w:t>
            </w:r>
          </w:p>
        </w:tc>
        <w:tc>
          <w:tcPr>
            <w:tcW w:w="4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1180" w:type="dxa"/>
            <w:shd w:val="clear" w:color="auto" w:fill="auto"/>
            <w:vAlign w:val="center"/>
          </w:tcPr>
          <w:p>
            <w:pPr>
              <w:widowControl/>
              <w:jc w:val="center"/>
              <w:rPr>
                <w:rFonts w:ascii="宋体" w:hAnsi="宋体" w:cs="宋体"/>
                <w:b/>
                <w:bCs/>
                <w:color w:val="000000"/>
                <w:kern w:val="0"/>
                <w:szCs w:val="21"/>
              </w:rPr>
            </w:pPr>
          </w:p>
        </w:tc>
        <w:tc>
          <w:tcPr>
            <w:tcW w:w="2910" w:type="dxa"/>
            <w:shd w:val="clear" w:color="auto" w:fill="auto"/>
            <w:vAlign w:val="center"/>
          </w:tcPr>
          <w:p>
            <w:pPr>
              <w:widowControl/>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9520" w:type="dxa"/>
            <w:gridSpan w:val="9"/>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49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97.5</w:t>
            </w:r>
          </w:p>
        </w:tc>
        <w:tc>
          <w:tcPr>
            <w:tcW w:w="118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291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7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部门（单位）自评结论</w:t>
            </w:r>
          </w:p>
        </w:tc>
        <w:tc>
          <w:tcPr>
            <w:tcW w:w="13289" w:type="dxa"/>
            <w:gridSpan w:val="12"/>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97.5分，项目设置务实合理，管理办法有效，除因不可抗因素未完成的指标外，项目执行情况整体符合预期。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77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部门（单位）自评存在问题</w:t>
            </w:r>
          </w:p>
        </w:tc>
        <w:tc>
          <w:tcPr>
            <w:tcW w:w="13289" w:type="dxa"/>
            <w:gridSpan w:val="1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因疫情影响，取消了院士专家广元行活动，执行进度存在年底集中支付现象。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7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部门（单位）自评改进措施</w:t>
            </w:r>
          </w:p>
        </w:tc>
        <w:tc>
          <w:tcPr>
            <w:tcW w:w="13289" w:type="dxa"/>
            <w:gridSpan w:val="1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财政绩效评价中应考虑不可抗拒因素（如新冠疫情等）导致的执行时间精度延迟情况，建议不纳入单位扣分项。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77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财政部门对口科室复评结论及整改要求</w:t>
            </w:r>
          </w:p>
        </w:tc>
        <w:tc>
          <w:tcPr>
            <w:tcW w:w="13289" w:type="dxa"/>
            <w:gridSpan w:val="12"/>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37"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单位项目负责人：</w:t>
            </w:r>
          </w:p>
        </w:tc>
        <w:tc>
          <w:tcPr>
            <w:tcW w:w="8331" w:type="dxa"/>
            <w:gridSpan w:val="8"/>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6737"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部门项目负责人：王若凡</w:t>
            </w:r>
          </w:p>
        </w:tc>
        <w:tc>
          <w:tcPr>
            <w:tcW w:w="8331" w:type="dxa"/>
            <w:gridSpan w:val="8"/>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068" w:type="dxa"/>
            <w:gridSpan w:val="13"/>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财政部门科室负责人：</w:t>
            </w:r>
          </w:p>
        </w:tc>
      </w:tr>
    </w:tbl>
    <w:p>
      <w:pPr>
        <w:widowControl/>
        <w:jc w:val="left"/>
        <w:rPr>
          <w:b/>
        </w:rPr>
      </w:pPr>
    </w:p>
    <w:p>
      <w:pPr>
        <w:pStyle w:val="2"/>
        <w:spacing w:before="93"/>
        <w:rPr>
          <w:b/>
        </w:rPr>
      </w:pPr>
      <w:r>
        <w:rPr>
          <w:b/>
        </w:rPr>
        <w:br w:type="page"/>
      </w:r>
    </w:p>
    <w:p>
      <w:pPr>
        <w:widowControl/>
        <w:jc w:val="left"/>
        <w:rPr>
          <w:rFonts w:hint="eastAsia" w:ascii="黑体" w:hAnsi="黑体" w:eastAsia="黑体" w:cs="宋体"/>
          <w:b/>
          <w:color w:val="000000"/>
          <w:kern w:val="0"/>
          <w:sz w:val="32"/>
          <w:szCs w:val="32"/>
        </w:rPr>
      </w:pPr>
    </w:p>
    <w:p>
      <w:pPr>
        <w:pStyle w:val="2"/>
        <w:spacing w:before="93"/>
        <w:rPr>
          <w:rFonts w:hint="eastAsia"/>
        </w:rPr>
      </w:pPr>
      <w:r>
        <w:rPr>
          <w:rFonts w:hint="eastAsia" w:ascii="方正小标宋简体" w:hAnsi="宋体" w:eastAsia="方正小标宋简体" w:cs="宋体"/>
          <w:b/>
          <w:color w:val="000000"/>
          <w:sz w:val="44"/>
          <w:szCs w:val="44"/>
        </w:rPr>
        <w:t>部门预算、专项资金预算项目支出绩效目标自评表（2022年度）</w:t>
      </w:r>
    </w:p>
    <w:tbl>
      <w:tblPr>
        <w:tblStyle w:val="16"/>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818"/>
        <w:gridCol w:w="1420"/>
        <w:gridCol w:w="1427"/>
        <w:gridCol w:w="658"/>
        <w:gridCol w:w="937"/>
        <w:gridCol w:w="749"/>
        <w:gridCol w:w="1100"/>
        <w:gridCol w:w="780"/>
        <w:gridCol w:w="960"/>
        <w:gridCol w:w="1173"/>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49"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1655" w:type="dxa"/>
            <w:gridSpan w:val="10"/>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乡村振兴工作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49" w:type="dxa"/>
            <w:gridSpan w:val="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主管部门（盖章）</w:t>
            </w:r>
          </w:p>
        </w:tc>
        <w:tc>
          <w:tcPr>
            <w:tcW w:w="5191"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广元市科学技术协会</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实施单位 （盖章）</w:t>
            </w:r>
          </w:p>
        </w:tc>
        <w:tc>
          <w:tcPr>
            <w:tcW w:w="5364" w:type="dxa"/>
            <w:gridSpan w:val="4"/>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驻村工作队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31"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项目基本情况</w:t>
            </w:r>
          </w:p>
        </w:tc>
        <w:tc>
          <w:tcPr>
            <w:tcW w:w="1818" w:type="dxa"/>
            <w:vMerge w:val="restart"/>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1.项目年度目标完成情况</w:t>
            </w:r>
          </w:p>
        </w:tc>
        <w:tc>
          <w:tcPr>
            <w:tcW w:w="5191"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项目年度目标</w:t>
            </w:r>
          </w:p>
        </w:tc>
        <w:tc>
          <w:tcPr>
            <w:tcW w:w="6464" w:type="dxa"/>
            <w:gridSpan w:val="5"/>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vMerge w:val="continue"/>
            <w:vAlign w:val="center"/>
          </w:tcPr>
          <w:p>
            <w:pPr>
              <w:widowControl/>
              <w:jc w:val="left"/>
              <w:rPr>
                <w:rFonts w:ascii="宋体" w:hAnsi="宋体" w:cs="宋体"/>
                <w:b/>
                <w:bCs/>
                <w:color w:val="000000"/>
                <w:kern w:val="0"/>
                <w:szCs w:val="21"/>
              </w:rPr>
            </w:pPr>
          </w:p>
        </w:tc>
        <w:tc>
          <w:tcPr>
            <w:tcW w:w="5191"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一是宣传宣讲党的方针政策。二是组织开展农村实用技术培训。三是做好村阵地文化宣传和乡风文明、村容村貌常态化巩固提升。四是看望慰问。脱贫户和特殊困难户。五是实施产业发展帮扶，助力乡村振兴。</w:t>
            </w:r>
          </w:p>
        </w:tc>
        <w:tc>
          <w:tcPr>
            <w:tcW w:w="6464"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1.开展现场核桃春季病虫害防治、冬季管护等技术培训10余场次。2.争取各类帮扶资金37.5万元，化解新村建设、道路硬化等遗留问题2个，新建卫生厕所、垃圾池、村道公路损毁堡坎等民生基础设施8处，完成村委会阵地功能化升级改造。3.争取科技项目资金对全村核桃树进行病虫害统防统治和新建核桃丰产管护示范基地1个，初步建成了“村级核桃产业产业专合社（负责管护资金及技术保障）+农户+电商平台”的产业合作模式，推动村集体经济持续发展壮大，预计2022年村集体经济增收2万元以上，人均增收达30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2.项目实施内容及过程概述</w:t>
            </w:r>
          </w:p>
        </w:tc>
        <w:tc>
          <w:tcPr>
            <w:tcW w:w="11655" w:type="dxa"/>
            <w:gridSpan w:val="10"/>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按照中央、省、市经济工作和农村工作会议精神，结合省市关于乡村振兴驻村帮扶工作有关要求，唐家村驻村工作队按照《广元市朝天区沙河镇唐家村2022年度驻村帮扶规划乡村振兴战略》具体规划有序开展各项驻村帮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31" w:type="dxa"/>
            <w:vMerge w:val="restar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预算执行情况（10分）</w:t>
            </w:r>
          </w:p>
        </w:tc>
        <w:tc>
          <w:tcPr>
            <w:tcW w:w="1818" w:type="dxa"/>
            <w:shd w:val="clear" w:color="auto" w:fill="auto"/>
            <w:vAlign w:val="center"/>
          </w:tcPr>
          <w:p>
            <w:pPr>
              <w:widowControl/>
              <w:jc w:val="left"/>
              <w:rPr>
                <w:rFonts w:ascii="宋体" w:hAnsi="宋体" w:cs="宋体"/>
                <w:b/>
                <w:bCs/>
                <w:color w:val="000000"/>
                <w:spacing w:val="-10"/>
                <w:kern w:val="0"/>
                <w:szCs w:val="21"/>
              </w:rPr>
            </w:pPr>
            <w:r>
              <w:rPr>
                <w:rFonts w:hint="eastAsia" w:ascii="宋体" w:hAnsi="宋体" w:cs="宋体"/>
                <w:b/>
                <w:bCs/>
                <w:color w:val="000000"/>
                <w:spacing w:val="-10"/>
                <w:kern w:val="0"/>
                <w:szCs w:val="21"/>
              </w:rPr>
              <w:t>年度预算数（万元）</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年初预算</w:t>
            </w:r>
          </w:p>
        </w:tc>
        <w:tc>
          <w:tcPr>
            <w:tcW w:w="1427" w:type="dxa"/>
            <w:shd w:val="clear" w:color="auto" w:fill="auto"/>
            <w:vAlign w:val="center"/>
          </w:tcPr>
          <w:p>
            <w:pPr>
              <w:widowControl/>
              <w:jc w:val="center"/>
              <w:rPr>
                <w:rFonts w:ascii="宋体" w:hAnsi="宋体" w:cs="宋体"/>
                <w:b/>
                <w:bCs/>
                <w:color w:val="000000"/>
                <w:spacing w:val="-10"/>
                <w:kern w:val="0"/>
                <w:szCs w:val="21"/>
              </w:rPr>
            </w:pPr>
            <w:r>
              <w:rPr>
                <w:rFonts w:hint="eastAsia" w:ascii="宋体" w:hAnsi="宋体" w:cs="宋体"/>
                <w:b/>
                <w:bCs/>
                <w:color w:val="000000"/>
                <w:spacing w:val="-10"/>
                <w:kern w:val="0"/>
                <w:szCs w:val="21"/>
              </w:rPr>
              <w:t>调整后预算数</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预算执行数</w:t>
            </w:r>
          </w:p>
        </w:tc>
        <w:tc>
          <w:tcPr>
            <w:tcW w:w="1100" w:type="dxa"/>
            <w:shd w:val="clear" w:color="auto" w:fill="auto"/>
            <w:vAlign w:val="center"/>
          </w:tcPr>
          <w:p>
            <w:pPr>
              <w:widowControl/>
              <w:jc w:val="center"/>
              <w:rPr>
                <w:rFonts w:ascii="宋体" w:hAnsi="宋体" w:cs="宋体"/>
                <w:b/>
                <w:bCs/>
                <w:color w:val="000000"/>
                <w:spacing w:val="-18"/>
                <w:kern w:val="0"/>
                <w:szCs w:val="21"/>
              </w:rPr>
            </w:pPr>
            <w:r>
              <w:rPr>
                <w:rFonts w:hint="eastAsia" w:ascii="宋体" w:hAnsi="宋体" w:cs="宋体"/>
                <w:b/>
                <w:bCs/>
                <w:color w:val="000000"/>
                <w:spacing w:val="-18"/>
                <w:kern w:val="0"/>
                <w:szCs w:val="21"/>
              </w:rPr>
              <w:t>预算执行率</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总额</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142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100.00%</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vMerge w:val="restart"/>
            <w:shd w:val="clear" w:color="auto" w:fill="auto"/>
            <w:vAlign w:val="center"/>
          </w:tcPr>
          <w:p>
            <w:pPr>
              <w:widowControl/>
              <w:spacing w:line="280" w:lineRule="exact"/>
              <w:jc w:val="left"/>
              <w:rPr>
                <w:rFonts w:ascii="宋体" w:hAnsi="宋体" w:cs="宋体"/>
                <w:b/>
                <w:bCs/>
                <w:color w:val="000000"/>
                <w:kern w:val="0"/>
                <w:szCs w:val="21"/>
              </w:rPr>
            </w:pPr>
            <w:r>
              <w:rPr>
                <w:rFonts w:hint="eastAsia" w:ascii="宋体" w:hAnsi="宋体" w:cs="宋体"/>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其中：财政资金</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142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1.82</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100.00%</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spacing w:val="-8"/>
                <w:kern w:val="0"/>
                <w:szCs w:val="21"/>
              </w:rPr>
            </w:pPr>
            <w:r>
              <w:rPr>
                <w:rFonts w:hint="eastAsia" w:ascii="宋体" w:hAnsi="宋体" w:cs="宋体"/>
                <w:b/>
                <w:bCs/>
                <w:color w:val="000000"/>
                <w:spacing w:val="-8"/>
                <w:kern w:val="0"/>
                <w:szCs w:val="21"/>
              </w:rPr>
              <w:t>财政专户管理资金</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42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单位资金</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42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其他资金</w:t>
            </w:r>
          </w:p>
        </w:tc>
        <w:tc>
          <w:tcPr>
            <w:tcW w:w="142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42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344" w:type="dxa"/>
            <w:gridSpan w:val="3"/>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0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78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vMerge w:val="continue"/>
            <w:vAlign w:val="center"/>
          </w:tcPr>
          <w:p>
            <w:pPr>
              <w:widowControl/>
              <w:spacing w:line="280" w:lineRule="exact"/>
              <w:jc w:val="left"/>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31" w:type="dxa"/>
            <w:vMerge w:val="restart"/>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绩效指标</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（90分）</w:t>
            </w:r>
          </w:p>
        </w:tc>
        <w:tc>
          <w:tcPr>
            <w:tcW w:w="1818" w:type="dxa"/>
            <w:shd w:val="clear" w:color="auto" w:fill="auto"/>
            <w:vAlign w:val="center"/>
          </w:tcPr>
          <w:p>
            <w:pPr>
              <w:widowControl/>
              <w:spacing w:line="240" w:lineRule="exact"/>
              <w:jc w:val="left"/>
              <w:rPr>
                <w:rFonts w:ascii="宋体" w:hAnsi="宋体" w:cs="宋体"/>
                <w:b/>
                <w:bCs/>
                <w:color w:val="000000"/>
                <w:kern w:val="0"/>
                <w:szCs w:val="21"/>
              </w:rPr>
            </w:pPr>
            <w:r>
              <w:rPr>
                <w:rFonts w:hint="eastAsia" w:ascii="宋体" w:hAnsi="宋体" w:cs="宋体"/>
                <w:b/>
                <w:bCs/>
                <w:color w:val="000000"/>
                <w:kern w:val="0"/>
                <w:szCs w:val="21"/>
              </w:rPr>
              <w:t>一级指标</w:t>
            </w:r>
          </w:p>
        </w:tc>
        <w:tc>
          <w:tcPr>
            <w:tcW w:w="1420"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1427"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三级指标</w:t>
            </w:r>
          </w:p>
        </w:tc>
        <w:tc>
          <w:tcPr>
            <w:tcW w:w="658"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指标性质</w:t>
            </w:r>
          </w:p>
        </w:tc>
        <w:tc>
          <w:tcPr>
            <w:tcW w:w="937"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指标值</w:t>
            </w:r>
          </w:p>
        </w:tc>
        <w:tc>
          <w:tcPr>
            <w:tcW w:w="749"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度量单位</w:t>
            </w:r>
          </w:p>
        </w:tc>
        <w:tc>
          <w:tcPr>
            <w:tcW w:w="1100"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完成值</w:t>
            </w:r>
          </w:p>
        </w:tc>
        <w:tc>
          <w:tcPr>
            <w:tcW w:w="780"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权重</w:t>
            </w:r>
          </w:p>
        </w:tc>
        <w:tc>
          <w:tcPr>
            <w:tcW w:w="960"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部门自评得分</w:t>
            </w:r>
          </w:p>
        </w:tc>
        <w:tc>
          <w:tcPr>
            <w:tcW w:w="1173" w:type="dxa"/>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财政部门科室复评得分</w:t>
            </w:r>
          </w:p>
        </w:tc>
        <w:tc>
          <w:tcPr>
            <w:tcW w:w="2451" w:type="dxa"/>
            <w:shd w:val="clear" w:color="auto" w:fill="auto"/>
            <w:vAlign w:val="center"/>
          </w:tcPr>
          <w:p>
            <w:pPr>
              <w:widowControl/>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产出指标</w:t>
            </w:r>
          </w:p>
        </w:tc>
        <w:tc>
          <w:tcPr>
            <w:tcW w:w="1420"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数量指标</w:t>
            </w:r>
          </w:p>
        </w:tc>
        <w:tc>
          <w:tcPr>
            <w:tcW w:w="14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开展科普宣讲、政策宣传次数</w:t>
            </w:r>
          </w:p>
        </w:tc>
        <w:tc>
          <w:tcPr>
            <w:tcW w:w="65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937"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4</w:t>
            </w:r>
          </w:p>
        </w:tc>
        <w:tc>
          <w:tcPr>
            <w:tcW w:w="74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次/年</w:t>
            </w:r>
          </w:p>
        </w:tc>
        <w:tc>
          <w:tcPr>
            <w:tcW w:w="110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4</w:t>
            </w:r>
          </w:p>
        </w:tc>
        <w:tc>
          <w:tcPr>
            <w:tcW w:w="78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产出指标</w:t>
            </w:r>
          </w:p>
        </w:tc>
        <w:tc>
          <w:tcPr>
            <w:tcW w:w="1420"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数量指标</w:t>
            </w:r>
          </w:p>
        </w:tc>
        <w:tc>
          <w:tcPr>
            <w:tcW w:w="14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开展农村实用技术培训</w:t>
            </w:r>
          </w:p>
        </w:tc>
        <w:tc>
          <w:tcPr>
            <w:tcW w:w="65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937"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74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次/年</w:t>
            </w:r>
          </w:p>
        </w:tc>
        <w:tc>
          <w:tcPr>
            <w:tcW w:w="110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78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15</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产出指标</w:t>
            </w:r>
          </w:p>
        </w:tc>
        <w:tc>
          <w:tcPr>
            <w:tcW w:w="1420"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质量指标</w:t>
            </w:r>
          </w:p>
        </w:tc>
        <w:tc>
          <w:tcPr>
            <w:tcW w:w="14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目标完成率</w:t>
            </w:r>
          </w:p>
        </w:tc>
        <w:tc>
          <w:tcPr>
            <w:tcW w:w="65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937"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100</w:t>
            </w:r>
          </w:p>
        </w:tc>
        <w:tc>
          <w:tcPr>
            <w:tcW w:w="74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10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100</w:t>
            </w:r>
          </w:p>
        </w:tc>
        <w:tc>
          <w:tcPr>
            <w:tcW w:w="78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产出指标</w:t>
            </w:r>
          </w:p>
        </w:tc>
        <w:tc>
          <w:tcPr>
            <w:tcW w:w="1420"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成本指标</w:t>
            </w:r>
          </w:p>
        </w:tc>
        <w:tc>
          <w:tcPr>
            <w:tcW w:w="14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主要用于人员日常工作经费</w:t>
            </w:r>
          </w:p>
        </w:tc>
        <w:tc>
          <w:tcPr>
            <w:tcW w:w="65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937"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1.82</w:t>
            </w:r>
          </w:p>
        </w:tc>
        <w:tc>
          <w:tcPr>
            <w:tcW w:w="749"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万元</w:t>
            </w:r>
          </w:p>
        </w:tc>
        <w:tc>
          <w:tcPr>
            <w:tcW w:w="110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1.82</w:t>
            </w:r>
          </w:p>
        </w:tc>
        <w:tc>
          <w:tcPr>
            <w:tcW w:w="78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31" w:type="dxa"/>
            <w:vMerge w:val="continue"/>
            <w:vAlign w:val="center"/>
          </w:tcPr>
          <w:p>
            <w:pPr>
              <w:widowControl/>
              <w:jc w:val="left"/>
              <w:rPr>
                <w:rFonts w:ascii="宋体" w:hAnsi="宋体" w:cs="宋体"/>
                <w:b/>
                <w:bCs/>
                <w:color w:val="000000"/>
                <w:kern w:val="0"/>
                <w:szCs w:val="21"/>
              </w:rPr>
            </w:pPr>
          </w:p>
        </w:tc>
        <w:tc>
          <w:tcPr>
            <w:tcW w:w="1818" w:type="dxa"/>
            <w:shd w:val="clear" w:color="auto" w:fill="auto"/>
            <w:noWrap/>
            <w:vAlign w:val="center"/>
          </w:tcPr>
          <w:p>
            <w:pPr>
              <w:widowControl/>
              <w:jc w:val="left"/>
              <w:rPr>
                <w:rFonts w:ascii="宋体" w:hAnsi="宋体" w:cs="宋体"/>
                <w:b/>
                <w:bCs/>
                <w:kern w:val="0"/>
                <w:szCs w:val="21"/>
              </w:rPr>
            </w:pPr>
            <w:r>
              <w:rPr>
                <w:rFonts w:hint="eastAsia" w:ascii="宋体" w:hAnsi="宋体" w:cs="宋体"/>
                <w:b/>
                <w:bCs/>
                <w:kern w:val="0"/>
                <w:szCs w:val="21"/>
              </w:rPr>
              <w:t>效益指标</w:t>
            </w:r>
          </w:p>
        </w:tc>
        <w:tc>
          <w:tcPr>
            <w:tcW w:w="1420" w:type="dxa"/>
            <w:shd w:val="clear" w:color="auto" w:fill="auto"/>
            <w:noWrap/>
            <w:vAlign w:val="center"/>
          </w:tcPr>
          <w:p>
            <w:pPr>
              <w:widowControl/>
              <w:jc w:val="left"/>
              <w:rPr>
                <w:rFonts w:ascii="宋体" w:hAnsi="宋体" w:cs="宋体"/>
                <w:b/>
                <w:bCs/>
                <w:spacing w:val="-10"/>
                <w:kern w:val="0"/>
                <w:szCs w:val="21"/>
              </w:rPr>
            </w:pPr>
            <w:r>
              <w:rPr>
                <w:rFonts w:hint="eastAsia" w:ascii="宋体" w:hAnsi="宋体" w:cs="宋体"/>
                <w:b/>
                <w:bCs/>
                <w:spacing w:val="-10"/>
                <w:kern w:val="0"/>
                <w:szCs w:val="21"/>
              </w:rPr>
              <w:t>社会效益指标</w:t>
            </w:r>
          </w:p>
        </w:tc>
        <w:tc>
          <w:tcPr>
            <w:tcW w:w="14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提升村容整体形象</w:t>
            </w:r>
          </w:p>
        </w:tc>
        <w:tc>
          <w:tcPr>
            <w:tcW w:w="658"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定性</w:t>
            </w:r>
          </w:p>
        </w:tc>
        <w:tc>
          <w:tcPr>
            <w:tcW w:w="937"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74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110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78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20</w:t>
            </w:r>
          </w:p>
        </w:tc>
        <w:tc>
          <w:tcPr>
            <w:tcW w:w="960"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18</w:t>
            </w:r>
          </w:p>
        </w:tc>
        <w:tc>
          <w:tcPr>
            <w:tcW w:w="117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40" w:type="dxa"/>
            <w:gridSpan w:val="8"/>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780"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96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98</w:t>
            </w:r>
          </w:p>
        </w:tc>
        <w:tc>
          <w:tcPr>
            <w:tcW w:w="1173"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2451" w:type="dxa"/>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3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部门（单位）自评结论</w:t>
            </w:r>
          </w:p>
        </w:tc>
        <w:tc>
          <w:tcPr>
            <w:tcW w:w="13473"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98分，整体目标实现符合预期，村容整体形象进一步提升。驻村工作队员经费得到保障。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3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部门（单位）自评存在问题</w:t>
            </w:r>
          </w:p>
        </w:tc>
        <w:tc>
          <w:tcPr>
            <w:tcW w:w="13473"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配套经费不足，难以形成裂变效应。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3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部门（单位）自评改进措施</w:t>
            </w:r>
          </w:p>
        </w:tc>
        <w:tc>
          <w:tcPr>
            <w:tcW w:w="13473"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积极争取项目经费，发挥资金裂变效应。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31"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财政部门对口科室复评结论及整改要求</w:t>
            </w:r>
          </w:p>
        </w:tc>
        <w:tc>
          <w:tcPr>
            <w:tcW w:w="13473" w:type="dxa"/>
            <w:gridSpan w:val="11"/>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54"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单位项目负责人：</w:t>
            </w:r>
          </w:p>
        </w:tc>
        <w:tc>
          <w:tcPr>
            <w:tcW w:w="8150" w:type="dxa"/>
            <w:gridSpan w:val="7"/>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单位财务负责人：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54" w:type="dxa"/>
            <w:gridSpan w:val="5"/>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部门项目负责人：胡斌</w:t>
            </w:r>
          </w:p>
        </w:tc>
        <w:tc>
          <w:tcPr>
            <w:tcW w:w="8150" w:type="dxa"/>
            <w:gridSpan w:val="7"/>
            <w:shd w:val="clear" w:color="auto" w:fill="auto"/>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104" w:type="dxa"/>
            <w:gridSpan w:val="12"/>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财政部门科室负责人：</w:t>
            </w:r>
          </w:p>
        </w:tc>
      </w:tr>
    </w:tbl>
    <w:p/>
    <w:p>
      <w:pPr>
        <w:pStyle w:val="2"/>
        <w:spacing w:before="93"/>
        <w:rPr>
          <w:b/>
        </w:rPr>
      </w:pPr>
      <w:r>
        <w:rPr>
          <w:b/>
        </w:rPr>
        <w:br w:type="page"/>
      </w:r>
    </w:p>
    <w:p>
      <w:pPr>
        <w:widowControl/>
        <w:spacing w:line="576" w:lineRule="exact"/>
        <w:jc w:val="left"/>
        <w:rPr>
          <w:rFonts w:hint="eastAsia" w:ascii="黑体" w:hAnsi="黑体" w:eastAsia="黑体" w:cs="宋体"/>
          <w:b/>
          <w:color w:val="000000"/>
          <w:kern w:val="0"/>
          <w:sz w:val="32"/>
          <w:szCs w:val="32"/>
        </w:rPr>
      </w:pPr>
    </w:p>
    <w:p>
      <w:pPr>
        <w:pStyle w:val="2"/>
        <w:spacing w:before="93"/>
        <w:rPr>
          <w:rFonts w:hint="eastAsia"/>
        </w:rPr>
      </w:pPr>
    </w:p>
    <w:p>
      <w:pPr>
        <w:pStyle w:val="2"/>
        <w:spacing w:beforeLines="0" w:line="576" w:lineRule="exact"/>
        <w:jc w:val="center"/>
        <w:rPr>
          <w:rFonts w:hint="eastAsia"/>
        </w:rPr>
      </w:pPr>
      <w:r>
        <w:rPr>
          <w:rFonts w:hint="eastAsia" w:ascii="方正小标宋简体" w:hAnsi="宋体" w:eastAsia="方正小标宋简体" w:cs="宋体"/>
          <w:b/>
          <w:color w:val="000000"/>
          <w:sz w:val="44"/>
          <w:szCs w:val="44"/>
        </w:rPr>
        <w:t>部门预算、专项资金预算项目支出绩效目标自评表（2022年度）</w:t>
      </w:r>
    </w:p>
    <w:p>
      <w:pPr>
        <w:widowControl/>
        <w:spacing w:line="200" w:lineRule="exact"/>
        <w:jc w:val="left"/>
        <w:rPr>
          <w:rFonts w:hint="eastAsia"/>
          <w:b/>
        </w:rPr>
      </w:pPr>
    </w:p>
    <w:tbl>
      <w:tblPr>
        <w:tblStyle w:val="16"/>
        <w:tblW w:w="15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1645"/>
        <w:gridCol w:w="1419"/>
        <w:gridCol w:w="1727"/>
        <w:gridCol w:w="719"/>
        <w:gridCol w:w="784"/>
        <w:gridCol w:w="649"/>
        <w:gridCol w:w="957"/>
        <w:gridCol w:w="540"/>
        <w:gridCol w:w="760"/>
        <w:gridCol w:w="117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4" w:type="dxa"/>
            <w:gridSpan w:val="2"/>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项目名称</w:t>
            </w:r>
          </w:p>
        </w:tc>
        <w:tc>
          <w:tcPr>
            <w:tcW w:w="11392" w:type="dxa"/>
            <w:gridSpan w:val="10"/>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老科协工作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14" w:type="dxa"/>
            <w:gridSpan w:val="2"/>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主管部门（盖章）</w:t>
            </w:r>
          </w:p>
        </w:tc>
        <w:tc>
          <w:tcPr>
            <w:tcW w:w="5298" w:type="dxa"/>
            <w:gridSpan w:val="5"/>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广元市科学技术协会</w:t>
            </w:r>
          </w:p>
        </w:tc>
        <w:tc>
          <w:tcPr>
            <w:tcW w:w="957" w:type="dxa"/>
            <w:shd w:val="clear" w:color="auto" w:fill="auto"/>
            <w:vAlign w:val="center"/>
          </w:tcPr>
          <w:p>
            <w:pPr>
              <w:widowControl/>
              <w:jc w:val="center"/>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实施</w:t>
            </w:r>
          </w:p>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c>
          <w:tcPr>
            <w:tcW w:w="5137" w:type="dxa"/>
            <w:gridSpan w:val="4"/>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广元市老科协技术工作者协会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9" w:type="dxa"/>
            <w:vMerge w:val="restart"/>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项目基本情况</w:t>
            </w:r>
          </w:p>
        </w:tc>
        <w:tc>
          <w:tcPr>
            <w:tcW w:w="1645" w:type="dxa"/>
            <w:vMerge w:val="restart"/>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1.项目年度目标完成情况</w:t>
            </w:r>
          </w:p>
        </w:tc>
        <w:tc>
          <w:tcPr>
            <w:tcW w:w="5298" w:type="dxa"/>
            <w:gridSpan w:val="5"/>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项目年度目标</w:t>
            </w:r>
          </w:p>
        </w:tc>
        <w:tc>
          <w:tcPr>
            <w:tcW w:w="6094" w:type="dxa"/>
            <w:gridSpan w:val="5"/>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vMerge w:val="continue"/>
            <w:vAlign w:val="center"/>
          </w:tcPr>
          <w:p>
            <w:pPr>
              <w:widowControl/>
              <w:rPr>
                <w:rFonts w:cs="宋体" w:asciiTheme="minorEastAsia" w:hAnsiTheme="minorEastAsia" w:eastAsiaTheme="minorEastAsia"/>
                <w:b/>
                <w:bCs/>
                <w:color w:val="000000"/>
                <w:kern w:val="0"/>
                <w:szCs w:val="21"/>
              </w:rPr>
            </w:pPr>
          </w:p>
        </w:tc>
        <w:tc>
          <w:tcPr>
            <w:tcW w:w="5298" w:type="dxa"/>
            <w:gridSpan w:val="5"/>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开展科普宣传，每季度开展3次以上。聘请老专家对核桃、猕猴桃管护等实用技术指导，全年开展5次以上。开展脱贫攻坚成果与乡村振兴有效衔接考察调研，推动农村文化宣传和乡风文明、村容村貌建设。实施三年万人培训计划，为农村培养科技人才。老科协日常工作保障等。</w:t>
            </w:r>
          </w:p>
        </w:tc>
        <w:tc>
          <w:tcPr>
            <w:tcW w:w="6094" w:type="dxa"/>
            <w:gridSpan w:val="5"/>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到剑阁、旺苍等县区，开展现场培训1260次，技术指导810次，平常电话答疑4208次，受益群众7000多人。剑阁县老科协特派团进村入户科技咨询、指导1200次，电话答疑1558次。完成二O二O年安排的“三年万人科技培训计划”，至二O二二年底，完成了对农村10000名科技人员培训，1000名科技带头人培训，100名农业开发企业负责人的培训任务。二O二二年全市组织老科协农业专家开展种养殖技术培训218场次，受训人数15800人，培养种养殖大户520户，培训种养殖技术能手40人，发放技术资料20000余份。组织全市老专家深入农村、工厂、学校调研，形成有针对性的调研报告、论文46篇。调研新食用油产业发展，形成了《广元市毛叶山桐子综合开发的建议》，上报市委市政府。组织力量对《四川乡村振兴》论文集进行收集、修改、编印，共收集稿件76篇，45万多字。</w:t>
            </w:r>
            <w:r>
              <w:rPr>
                <w:rFonts w:hint="eastAsia" w:cs="宋体" w:asciiTheme="minorEastAsia" w:hAnsiTheme="minorEastAsia" w:eastAsiaTheme="minorEastAsia"/>
                <w:b/>
                <w:bCs/>
                <w:color w:val="000000"/>
                <w:kern w:val="0"/>
                <w:szCs w:val="21"/>
              </w:rPr>
              <w:br w:type="textWrapping"/>
            </w:r>
            <w:r>
              <w:rPr>
                <w:rFonts w:hint="eastAsia" w:cs="宋体" w:asciiTheme="minorEastAsia" w:hAnsiTheme="minorEastAsia" w:eastAsiaTheme="minorEastAsia"/>
                <w:b/>
                <w:bCs/>
                <w:color w:val="000000"/>
                <w:kern w:val="0"/>
                <w:szCs w:val="21"/>
              </w:rPr>
              <w:t>支持农耕年华专业合作社，争取国家扶持资金72.5万元，修建了防旱池两口1000立方米，堡坎80米，增加了围栏，改造了办公用房，扩建50亩用地。被市委老干部局评为“先进党支部”。</w:t>
            </w:r>
            <w:r>
              <w:rPr>
                <w:rFonts w:hint="eastAsia" w:cs="宋体" w:asciiTheme="minorEastAsia" w:hAnsiTheme="minorEastAsia" w:eastAsiaTheme="minorEastAsia"/>
                <w:b/>
                <w:bCs/>
                <w:color w:val="000000"/>
                <w:kern w:val="0"/>
                <w:szCs w:val="21"/>
              </w:rPr>
              <w:br w:type="textWrapping"/>
            </w:r>
            <w:r>
              <w:rPr>
                <w:rFonts w:hint="eastAsia" w:cs="宋体" w:asciiTheme="minorEastAsia" w:hAnsiTheme="minorEastAsia" w:eastAsiaTheme="minorEastAsia"/>
                <w:b/>
                <w:bCs/>
                <w:color w:val="000000"/>
                <w:kern w:val="0"/>
                <w:szCs w:val="21"/>
              </w:rPr>
              <w:t>（二）项目效益情况。把全市范围内离退休科技工作者组织起来，发挥群体优势，为广元经济社会发展再做贡献。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2.项目实施内容及过程概述</w:t>
            </w:r>
          </w:p>
        </w:tc>
        <w:tc>
          <w:tcPr>
            <w:tcW w:w="11392" w:type="dxa"/>
            <w:gridSpan w:val="10"/>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广元市老科协是特殊的社团组织，成员基本是退休了的高级知识分子，老科协就是把他们组织起来，发挥余热，为社会做贡献。让他们老有所为、老有所学、老有所乐。专项资金严格按照年初预算项目安排，有计划分步骤组织实施，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restart"/>
            <w:shd w:val="clear" w:color="auto" w:fill="auto"/>
            <w:vAlign w:val="center"/>
          </w:tcPr>
          <w:p>
            <w:pPr>
              <w:widowControl/>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预算执行情况</w:t>
            </w:r>
          </w:p>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（10分）</w:t>
            </w:r>
          </w:p>
        </w:tc>
        <w:tc>
          <w:tcPr>
            <w:tcW w:w="1645" w:type="dxa"/>
            <w:shd w:val="clear" w:color="auto" w:fill="auto"/>
            <w:vAlign w:val="center"/>
          </w:tcPr>
          <w:p>
            <w:pPr>
              <w:widowControl/>
              <w:jc w:val="center"/>
              <w:rPr>
                <w:rFonts w:hint="eastAsia"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年度预算数</w:t>
            </w:r>
          </w:p>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（万元）</w:t>
            </w:r>
          </w:p>
        </w:tc>
        <w:tc>
          <w:tcPr>
            <w:tcW w:w="1419"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年初预算</w:t>
            </w:r>
          </w:p>
        </w:tc>
        <w:tc>
          <w:tcPr>
            <w:tcW w:w="172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调整后预算数</w:t>
            </w:r>
          </w:p>
        </w:tc>
        <w:tc>
          <w:tcPr>
            <w:tcW w:w="2152" w:type="dxa"/>
            <w:gridSpan w:val="3"/>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预算执行数</w:t>
            </w:r>
          </w:p>
        </w:tc>
        <w:tc>
          <w:tcPr>
            <w:tcW w:w="95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预算执行率</w:t>
            </w:r>
          </w:p>
        </w:tc>
        <w:tc>
          <w:tcPr>
            <w:tcW w:w="54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权重%</w:t>
            </w:r>
          </w:p>
        </w:tc>
        <w:tc>
          <w:tcPr>
            <w:tcW w:w="76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部门自评得分</w:t>
            </w:r>
          </w:p>
        </w:tc>
        <w:tc>
          <w:tcPr>
            <w:tcW w:w="117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财政部门科室复评得分</w:t>
            </w:r>
          </w:p>
        </w:tc>
        <w:tc>
          <w:tcPr>
            <w:tcW w:w="2663"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总额</w:t>
            </w:r>
          </w:p>
        </w:tc>
        <w:tc>
          <w:tcPr>
            <w:tcW w:w="141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172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2152" w:type="dxa"/>
            <w:gridSpan w:val="3"/>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95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100.00%</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76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vMerge w:val="restart"/>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其中：财政资金</w:t>
            </w:r>
          </w:p>
        </w:tc>
        <w:tc>
          <w:tcPr>
            <w:tcW w:w="141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172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2152" w:type="dxa"/>
            <w:gridSpan w:val="3"/>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180,000.00</w:t>
            </w:r>
          </w:p>
        </w:tc>
        <w:tc>
          <w:tcPr>
            <w:tcW w:w="95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100.00%</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76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10</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vMerge w:val="continue"/>
            <w:vAlign w:val="center"/>
          </w:tcPr>
          <w:p>
            <w:pPr>
              <w:widowControl/>
              <w:spacing w:line="240" w:lineRule="exac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财政专户管理资金</w:t>
            </w:r>
          </w:p>
        </w:tc>
        <w:tc>
          <w:tcPr>
            <w:tcW w:w="141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72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152" w:type="dxa"/>
            <w:gridSpan w:val="3"/>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95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76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vMerge w:val="continue"/>
            <w:vAlign w:val="center"/>
          </w:tcPr>
          <w:p>
            <w:pPr>
              <w:widowControl/>
              <w:spacing w:line="240" w:lineRule="exac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单位资金</w:t>
            </w:r>
          </w:p>
        </w:tc>
        <w:tc>
          <w:tcPr>
            <w:tcW w:w="141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72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152" w:type="dxa"/>
            <w:gridSpan w:val="3"/>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95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76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vMerge w:val="continue"/>
            <w:vAlign w:val="center"/>
          </w:tcPr>
          <w:p>
            <w:pPr>
              <w:widowControl/>
              <w:spacing w:line="240" w:lineRule="exac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其他资金</w:t>
            </w:r>
          </w:p>
        </w:tc>
        <w:tc>
          <w:tcPr>
            <w:tcW w:w="141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72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152" w:type="dxa"/>
            <w:gridSpan w:val="3"/>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957"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76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vMerge w:val="continue"/>
            <w:vAlign w:val="center"/>
          </w:tcPr>
          <w:p>
            <w:pPr>
              <w:widowControl/>
              <w:spacing w:line="240" w:lineRule="exact"/>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69" w:type="dxa"/>
            <w:vMerge w:val="restart"/>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绩效指标（90分）</w:t>
            </w:r>
          </w:p>
        </w:tc>
        <w:tc>
          <w:tcPr>
            <w:tcW w:w="1645"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一级指标</w:t>
            </w:r>
          </w:p>
        </w:tc>
        <w:tc>
          <w:tcPr>
            <w:tcW w:w="1419"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二级指标</w:t>
            </w:r>
          </w:p>
        </w:tc>
        <w:tc>
          <w:tcPr>
            <w:tcW w:w="172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三级指标</w:t>
            </w:r>
          </w:p>
        </w:tc>
        <w:tc>
          <w:tcPr>
            <w:tcW w:w="719"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指标性质</w:t>
            </w:r>
          </w:p>
        </w:tc>
        <w:tc>
          <w:tcPr>
            <w:tcW w:w="784" w:type="dxa"/>
            <w:shd w:val="clear" w:color="auto" w:fill="auto"/>
            <w:vAlign w:val="center"/>
          </w:tcPr>
          <w:p>
            <w:pPr>
              <w:widowControl/>
              <w:jc w:val="center"/>
              <w:rPr>
                <w:rFonts w:cs="宋体" w:asciiTheme="minorEastAsia" w:hAnsiTheme="minorEastAsia" w:eastAsiaTheme="minorEastAsia"/>
                <w:b/>
                <w:bCs/>
                <w:color w:val="000000"/>
                <w:spacing w:val="-20"/>
                <w:kern w:val="0"/>
                <w:szCs w:val="21"/>
              </w:rPr>
            </w:pPr>
            <w:r>
              <w:rPr>
                <w:rFonts w:hint="eastAsia" w:cs="宋体" w:asciiTheme="minorEastAsia" w:hAnsiTheme="minorEastAsia" w:eastAsiaTheme="minorEastAsia"/>
                <w:b/>
                <w:bCs/>
                <w:color w:val="000000"/>
                <w:spacing w:val="-20"/>
                <w:kern w:val="0"/>
                <w:szCs w:val="21"/>
              </w:rPr>
              <w:t>指标值</w:t>
            </w:r>
          </w:p>
        </w:tc>
        <w:tc>
          <w:tcPr>
            <w:tcW w:w="649"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度量单位</w:t>
            </w:r>
          </w:p>
        </w:tc>
        <w:tc>
          <w:tcPr>
            <w:tcW w:w="957"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完成值</w:t>
            </w:r>
          </w:p>
        </w:tc>
        <w:tc>
          <w:tcPr>
            <w:tcW w:w="54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权重</w:t>
            </w:r>
          </w:p>
        </w:tc>
        <w:tc>
          <w:tcPr>
            <w:tcW w:w="76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部门自评得分</w:t>
            </w:r>
          </w:p>
        </w:tc>
        <w:tc>
          <w:tcPr>
            <w:tcW w:w="1174"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财政部门科室复评得分</w:t>
            </w: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组织老科协宣讲团深入基层宣传党的二十大精神</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5</w:t>
            </w:r>
          </w:p>
        </w:tc>
        <w:tc>
          <w:tcPr>
            <w:tcW w:w="64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次</w:t>
            </w: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5</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老科协日常工作经费</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6.7</w:t>
            </w:r>
          </w:p>
        </w:tc>
        <w:tc>
          <w:tcPr>
            <w:tcW w:w="64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次</w:t>
            </w: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6.7</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实施万人培训计划、举办乡村振兴论坛</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w:t>
            </w:r>
          </w:p>
        </w:tc>
        <w:tc>
          <w:tcPr>
            <w:tcW w:w="64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万元</w:t>
            </w: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1.8</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组织老科技工作者开展农村科普和实用技术培训</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4.5</w:t>
            </w:r>
          </w:p>
        </w:tc>
        <w:tc>
          <w:tcPr>
            <w:tcW w:w="64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万元</w:t>
            </w: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4.5</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对口帮扶村群众满意</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3</w:t>
            </w:r>
          </w:p>
        </w:tc>
        <w:tc>
          <w:tcPr>
            <w:tcW w:w="64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万元</w:t>
            </w: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3</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069" w:type="dxa"/>
            <w:vMerge w:val="continue"/>
            <w:vAlign w:val="center"/>
          </w:tcPr>
          <w:p>
            <w:pPr>
              <w:widowControl/>
              <w:rPr>
                <w:rFonts w:cs="宋体" w:asciiTheme="minorEastAsia" w:hAnsiTheme="minorEastAsia" w:eastAsiaTheme="minorEastAsia"/>
                <w:b/>
                <w:bCs/>
                <w:color w:val="000000"/>
                <w:kern w:val="0"/>
                <w:szCs w:val="21"/>
              </w:rPr>
            </w:pPr>
          </w:p>
        </w:tc>
        <w:tc>
          <w:tcPr>
            <w:tcW w:w="1645"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产出指标</w:t>
            </w:r>
          </w:p>
        </w:tc>
        <w:tc>
          <w:tcPr>
            <w:tcW w:w="1419"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数量指标</w:t>
            </w:r>
          </w:p>
        </w:tc>
        <w:tc>
          <w:tcPr>
            <w:tcW w:w="1727" w:type="dxa"/>
            <w:shd w:val="clear" w:color="auto" w:fill="auto"/>
            <w:vAlign w:val="center"/>
          </w:tcPr>
          <w:p>
            <w:pPr>
              <w:widowControl/>
              <w:spacing w:line="240" w:lineRule="exac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举办乡村振兴论坛会</w:t>
            </w:r>
          </w:p>
        </w:tc>
        <w:tc>
          <w:tcPr>
            <w:tcW w:w="719"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定性</w:t>
            </w:r>
          </w:p>
        </w:tc>
        <w:tc>
          <w:tcPr>
            <w:tcW w:w="78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1</w:t>
            </w:r>
          </w:p>
        </w:tc>
        <w:tc>
          <w:tcPr>
            <w:tcW w:w="649"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957"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0</w:t>
            </w:r>
          </w:p>
        </w:tc>
        <w:tc>
          <w:tcPr>
            <w:tcW w:w="54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15</w:t>
            </w:r>
          </w:p>
        </w:tc>
        <w:tc>
          <w:tcPr>
            <w:tcW w:w="760" w:type="dxa"/>
            <w:shd w:val="clear" w:color="auto" w:fill="auto"/>
            <w:noWrap/>
            <w:vAlign w:val="center"/>
          </w:tcPr>
          <w:p>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14</w:t>
            </w:r>
          </w:p>
        </w:tc>
        <w:tc>
          <w:tcPr>
            <w:tcW w:w="1174" w:type="dxa"/>
            <w:shd w:val="clear" w:color="auto" w:fill="auto"/>
            <w:vAlign w:val="center"/>
          </w:tcPr>
          <w:p>
            <w:pPr>
              <w:widowControl/>
              <w:spacing w:line="240" w:lineRule="exact"/>
              <w:jc w:val="center"/>
              <w:rPr>
                <w:rFonts w:cs="宋体" w:asciiTheme="minorEastAsia" w:hAnsiTheme="minorEastAsia" w:eastAsiaTheme="minorEastAsia"/>
                <w:b/>
                <w:bCs/>
                <w:color w:val="000000"/>
                <w:kern w:val="0"/>
                <w:szCs w:val="21"/>
              </w:rPr>
            </w:pPr>
          </w:p>
        </w:tc>
        <w:tc>
          <w:tcPr>
            <w:tcW w:w="2663" w:type="dxa"/>
            <w:shd w:val="clear" w:color="auto" w:fill="auto"/>
            <w:vAlign w:val="center"/>
          </w:tcPr>
          <w:p>
            <w:pPr>
              <w:widowControl/>
              <w:spacing w:line="2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2022年疫情原因延期到2023年举办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69" w:type="dxa"/>
            <w:gridSpan w:val="8"/>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合计</w:t>
            </w:r>
          </w:p>
        </w:tc>
        <w:tc>
          <w:tcPr>
            <w:tcW w:w="540"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760" w:type="dxa"/>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99</w:t>
            </w:r>
          </w:p>
        </w:tc>
        <w:tc>
          <w:tcPr>
            <w:tcW w:w="1174"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2663"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069" w:type="dxa"/>
            <w:shd w:val="clear" w:color="auto" w:fill="auto"/>
            <w:vAlign w:val="center"/>
          </w:tcPr>
          <w:p>
            <w:pPr>
              <w:widowControl/>
              <w:rPr>
                <w:rFonts w:cs="宋体" w:asciiTheme="minorEastAsia" w:hAnsiTheme="minorEastAsia" w:eastAsiaTheme="minorEastAsia"/>
                <w:b/>
                <w:bCs/>
                <w:color w:val="000000"/>
                <w:spacing w:val="-12"/>
                <w:kern w:val="0"/>
                <w:szCs w:val="21"/>
              </w:rPr>
            </w:pPr>
            <w:r>
              <w:rPr>
                <w:rFonts w:hint="eastAsia" w:cs="宋体" w:asciiTheme="minorEastAsia" w:hAnsiTheme="minorEastAsia" w:eastAsiaTheme="minorEastAsia"/>
                <w:b/>
                <w:bCs/>
                <w:color w:val="000000"/>
                <w:spacing w:val="-12"/>
                <w:kern w:val="0"/>
                <w:szCs w:val="21"/>
              </w:rPr>
              <w:t>部门（单位）自评结论</w:t>
            </w:r>
          </w:p>
        </w:tc>
        <w:tc>
          <w:tcPr>
            <w:tcW w:w="13037" w:type="dxa"/>
            <w:gridSpan w:val="11"/>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99分，因疫情原因，乡村振兴论坛会延期到2023年举办，项目实施结果整体符合预期，较好的完成了年度各项目标任务。通过工作的开展，把全市范围内离退休科技工作者组织起来，发挥群体优势，为广元经济社会发展再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部门（单位）自评存在问题</w:t>
            </w:r>
          </w:p>
        </w:tc>
        <w:tc>
          <w:tcPr>
            <w:tcW w:w="13037" w:type="dxa"/>
            <w:gridSpan w:val="11"/>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部门（单位）自评改进措施</w:t>
            </w:r>
          </w:p>
        </w:tc>
        <w:tc>
          <w:tcPr>
            <w:tcW w:w="13037" w:type="dxa"/>
            <w:gridSpan w:val="11"/>
            <w:shd w:val="clear" w:color="auto" w:fill="auto"/>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69" w:type="dxa"/>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财政部门对口科室</w:t>
            </w:r>
            <w:r>
              <w:rPr>
                <w:rFonts w:hint="eastAsia" w:cs="宋体" w:asciiTheme="minorEastAsia" w:hAnsiTheme="minorEastAsia" w:eastAsiaTheme="minorEastAsia"/>
                <w:b/>
                <w:bCs/>
                <w:color w:val="000000"/>
                <w:spacing w:val="-6"/>
                <w:kern w:val="0"/>
                <w:szCs w:val="21"/>
              </w:rPr>
              <w:t>复评结论及整改要求</w:t>
            </w:r>
          </w:p>
        </w:tc>
        <w:tc>
          <w:tcPr>
            <w:tcW w:w="13037" w:type="dxa"/>
            <w:gridSpan w:val="11"/>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79" w:type="dxa"/>
            <w:gridSpan w:val="5"/>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单位项目负责人：赖庆润</w:t>
            </w:r>
          </w:p>
        </w:tc>
        <w:tc>
          <w:tcPr>
            <w:tcW w:w="7527" w:type="dxa"/>
            <w:gridSpan w:val="7"/>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单位财务负责人：施玉兰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79" w:type="dxa"/>
            <w:gridSpan w:val="5"/>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部门项目负责人：高燕华</w:t>
            </w:r>
          </w:p>
        </w:tc>
        <w:tc>
          <w:tcPr>
            <w:tcW w:w="7527" w:type="dxa"/>
            <w:gridSpan w:val="7"/>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部门财务负责人：苟兴国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106" w:type="dxa"/>
            <w:gridSpan w:val="12"/>
            <w:shd w:val="clear" w:color="auto" w:fill="auto"/>
            <w:vAlign w:val="center"/>
          </w:tcPr>
          <w:p>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财政部门科室负责人：</w:t>
            </w:r>
          </w:p>
        </w:tc>
      </w:tr>
    </w:tbl>
    <w:p>
      <w:pPr>
        <w:widowControl/>
        <w:jc w:val="left"/>
        <w:rPr>
          <w:b/>
        </w:rPr>
        <w:sectPr>
          <w:pgSz w:w="16838" w:h="11906" w:orient="landscape"/>
          <w:pgMar w:top="1701" w:right="1418" w:bottom="1701" w:left="1418" w:header="851" w:footer="1418" w:gutter="0"/>
          <w:cols w:space="425" w:num="1"/>
          <w:titlePg/>
          <w:docGrid w:type="lines" w:linePitch="312" w:charSpace="0"/>
        </w:sectPr>
      </w:pPr>
      <w:r>
        <w:rPr>
          <w:b/>
        </w:rPr>
        <w:br w:type="page"/>
      </w:r>
    </w:p>
    <w:p>
      <w:pPr>
        <w:spacing w:line="576" w:lineRule="exact"/>
        <w:rPr>
          <w:b/>
        </w:rPr>
      </w:pPr>
    </w:p>
    <w:p>
      <w:pPr>
        <w:overflowPunct w:val="0"/>
        <w:topLinePunct/>
        <w:adjustRightInd w:val="0"/>
        <w:spacing w:line="576" w:lineRule="exact"/>
        <w:jc w:val="center"/>
        <w:outlineLvl w:val="0"/>
        <w:rPr>
          <w:rFonts w:ascii="仿宋" w:hAnsi="仿宋" w:eastAsia="仿宋"/>
          <w:b/>
        </w:rPr>
      </w:pPr>
      <w:bookmarkStart w:id="57" w:name="_Toc15396618"/>
      <w:r>
        <w:rPr>
          <w:rFonts w:hint="eastAsia" w:ascii="黑体" w:hAnsi="黑体" w:eastAsia="黑体"/>
          <w:b/>
          <w:sz w:val="44"/>
          <w:szCs w:val="44"/>
        </w:rPr>
        <w:t>第</w:t>
      </w:r>
      <w:r>
        <w:rPr>
          <w:rStyle w:val="30"/>
          <w:rFonts w:hint="eastAsia" w:ascii="黑体" w:hAnsi="黑体" w:eastAsia="黑体"/>
        </w:rPr>
        <w:t>五部分 附表</w:t>
      </w:r>
      <w:bookmarkEnd w:id="56"/>
      <w:bookmarkEnd w:id="57"/>
      <w:bookmarkStart w:id="58" w:name="_Toc15396619"/>
    </w:p>
    <w:p>
      <w:pPr>
        <w:pStyle w:val="4"/>
        <w:keepNext w:val="0"/>
        <w:keepLines w:val="0"/>
        <w:overflowPunct w:val="0"/>
        <w:topLinePunct/>
        <w:adjustRightInd w:val="0"/>
        <w:spacing w:before="0" w:after="0" w:line="576" w:lineRule="exact"/>
        <w:rPr>
          <w:rFonts w:hint="eastAsia" w:ascii="仿宋" w:hAnsi="仿宋" w:eastAsia="仿宋"/>
        </w:rPr>
      </w:pPr>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r>
        <w:rPr>
          <w:rFonts w:hint="eastAsia" w:ascii="仿宋_GB2312" w:hAnsi="仿宋" w:eastAsia="仿宋_GB2312"/>
        </w:rPr>
        <w:t>一、收</w:t>
      </w:r>
      <w:r>
        <w:rPr>
          <w:rStyle w:val="31"/>
          <w:rFonts w:hint="eastAsia" w:ascii="仿宋_GB2312" w:hAnsi="仿宋" w:eastAsia="仿宋_GB2312"/>
          <w:b/>
          <w:bCs w:val="0"/>
        </w:rPr>
        <w:t>入支出决算总表</w:t>
      </w:r>
      <w:bookmarkEnd w:id="58"/>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59" w:name="_Toc15396620"/>
      <w:r>
        <w:rPr>
          <w:rFonts w:hint="eastAsia" w:ascii="仿宋_GB2312" w:hAnsi="仿宋" w:eastAsia="仿宋_GB2312"/>
        </w:rPr>
        <w:t>二、收</w:t>
      </w:r>
      <w:r>
        <w:rPr>
          <w:rStyle w:val="31"/>
          <w:rFonts w:hint="eastAsia" w:ascii="仿宋_GB2312" w:hAnsi="仿宋" w:eastAsia="仿宋_GB2312"/>
          <w:b/>
          <w:bCs w:val="0"/>
        </w:rPr>
        <w:t>入决算表</w:t>
      </w:r>
      <w:bookmarkEnd w:id="59"/>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0" w:name="_Toc15396621"/>
      <w:r>
        <w:rPr>
          <w:rStyle w:val="31"/>
          <w:rFonts w:hint="eastAsia" w:ascii="仿宋_GB2312" w:hAnsi="仿宋" w:eastAsia="仿宋_GB2312"/>
          <w:b/>
          <w:bCs w:val="0"/>
        </w:rPr>
        <w:t>三、</w:t>
      </w:r>
      <w:r>
        <w:rPr>
          <w:rFonts w:hint="eastAsia" w:ascii="仿宋_GB2312" w:hAnsi="仿宋" w:eastAsia="仿宋_GB2312"/>
        </w:rPr>
        <w:t>支</w:t>
      </w:r>
      <w:r>
        <w:rPr>
          <w:rStyle w:val="31"/>
          <w:rFonts w:hint="eastAsia" w:ascii="仿宋_GB2312" w:hAnsi="仿宋" w:eastAsia="仿宋_GB2312"/>
          <w:b/>
          <w:bCs w:val="0"/>
        </w:rPr>
        <w:t>出决算表</w:t>
      </w:r>
      <w:bookmarkEnd w:id="60"/>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1" w:name="_Toc15396622"/>
      <w:r>
        <w:rPr>
          <w:rStyle w:val="31"/>
          <w:rFonts w:hint="eastAsia" w:ascii="仿宋_GB2312" w:hAnsi="仿宋" w:eastAsia="仿宋_GB2312"/>
          <w:b/>
          <w:bCs w:val="0"/>
        </w:rPr>
        <w:t>四、</w:t>
      </w:r>
      <w:r>
        <w:rPr>
          <w:rFonts w:hint="eastAsia" w:ascii="仿宋_GB2312" w:hAnsi="仿宋" w:eastAsia="仿宋_GB2312"/>
        </w:rPr>
        <w:t>财</w:t>
      </w:r>
      <w:r>
        <w:rPr>
          <w:rStyle w:val="31"/>
          <w:rFonts w:hint="eastAsia" w:ascii="仿宋_GB2312" w:hAnsi="仿宋" w:eastAsia="仿宋_GB2312"/>
          <w:b/>
          <w:bCs w:val="0"/>
        </w:rPr>
        <w:t>政拨款收入支出决算总表</w:t>
      </w:r>
      <w:bookmarkEnd w:id="61"/>
    </w:p>
    <w:p>
      <w:pPr>
        <w:pStyle w:val="4"/>
        <w:keepNext w:val="0"/>
        <w:keepLines w:val="0"/>
        <w:overflowPunct w:val="0"/>
        <w:topLinePunct/>
        <w:adjustRightInd w:val="0"/>
        <w:spacing w:before="0" w:after="0" w:line="576" w:lineRule="exact"/>
        <w:ind w:firstLine="640" w:firstLineChars="200"/>
        <w:rPr>
          <w:rStyle w:val="31"/>
          <w:rFonts w:hint="eastAsia" w:ascii="仿宋_GB2312" w:hAnsi="仿宋" w:eastAsia="仿宋_GB2312"/>
          <w:b/>
          <w:bCs w:val="0"/>
        </w:rPr>
      </w:pPr>
      <w:bookmarkStart w:id="62" w:name="_Toc15396623"/>
      <w:r>
        <w:rPr>
          <w:rStyle w:val="31"/>
          <w:rFonts w:hint="eastAsia" w:ascii="仿宋_GB2312" w:hAnsi="仿宋" w:eastAsia="仿宋_GB2312"/>
          <w:b/>
          <w:bCs w:val="0"/>
        </w:rPr>
        <w:t>五、</w:t>
      </w:r>
      <w:r>
        <w:rPr>
          <w:rFonts w:hint="eastAsia" w:ascii="仿宋_GB2312" w:hAnsi="仿宋" w:eastAsia="仿宋_GB2312"/>
        </w:rPr>
        <w:t>财</w:t>
      </w:r>
      <w:r>
        <w:rPr>
          <w:rStyle w:val="31"/>
          <w:rFonts w:hint="eastAsia" w:ascii="仿宋_GB2312" w:hAnsi="仿宋" w:eastAsia="仿宋_GB2312"/>
          <w:b/>
          <w:bCs w:val="0"/>
        </w:rPr>
        <w:t>政拨款支出决算明细表</w:t>
      </w:r>
      <w:bookmarkEnd w:id="62"/>
      <w:bookmarkStart w:id="63" w:name="_Toc15396624"/>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r>
        <w:rPr>
          <w:rStyle w:val="31"/>
          <w:rFonts w:hint="eastAsia" w:ascii="仿宋_GB2312" w:hAnsi="仿宋" w:eastAsia="仿宋_GB2312"/>
          <w:b/>
          <w:bCs w:val="0"/>
        </w:rPr>
        <w:t>六、</w:t>
      </w:r>
      <w:r>
        <w:rPr>
          <w:rFonts w:hint="eastAsia" w:ascii="仿宋_GB2312" w:hAnsi="仿宋" w:eastAsia="仿宋_GB2312"/>
        </w:rPr>
        <w:t>一</w:t>
      </w:r>
      <w:r>
        <w:rPr>
          <w:rStyle w:val="31"/>
          <w:rFonts w:hint="eastAsia" w:ascii="仿宋_GB2312" w:hAnsi="仿宋" w:eastAsia="仿宋_GB2312"/>
          <w:b/>
          <w:bCs w:val="0"/>
        </w:rPr>
        <w:t>般公共预算财政拨款支出决算表</w:t>
      </w:r>
      <w:bookmarkEnd w:id="63"/>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4" w:name="_Toc15396625"/>
      <w:r>
        <w:rPr>
          <w:rStyle w:val="31"/>
          <w:rFonts w:hint="eastAsia" w:ascii="仿宋_GB2312" w:hAnsi="仿宋" w:eastAsia="仿宋_GB2312"/>
          <w:b/>
          <w:bCs w:val="0"/>
        </w:rPr>
        <w:t>七、</w:t>
      </w:r>
      <w:r>
        <w:rPr>
          <w:rFonts w:hint="eastAsia" w:ascii="仿宋_GB2312" w:hAnsi="仿宋" w:eastAsia="仿宋_GB2312"/>
        </w:rPr>
        <w:t>一</w:t>
      </w:r>
      <w:r>
        <w:rPr>
          <w:rStyle w:val="31"/>
          <w:rFonts w:hint="eastAsia" w:ascii="仿宋_GB2312" w:hAnsi="仿宋" w:eastAsia="仿宋_GB2312"/>
          <w:b/>
          <w:bCs w:val="0"/>
        </w:rPr>
        <w:t>般公共预算财政拨款支出决算明细表</w:t>
      </w:r>
      <w:bookmarkEnd w:id="64"/>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5" w:name="_Toc15396626"/>
      <w:r>
        <w:rPr>
          <w:rStyle w:val="31"/>
          <w:rFonts w:hint="eastAsia" w:ascii="仿宋_GB2312" w:hAnsi="仿宋" w:eastAsia="仿宋_GB2312"/>
          <w:b/>
          <w:bCs w:val="0"/>
        </w:rPr>
        <w:t>八、</w:t>
      </w:r>
      <w:r>
        <w:rPr>
          <w:rFonts w:hint="eastAsia" w:ascii="仿宋_GB2312" w:hAnsi="仿宋" w:eastAsia="仿宋_GB2312"/>
        </w:rPr>
        <w:t>一</w:t>
      </w:r>
      <w:r>
        <w:rPr>
          <w:rStyle w:val="31"/>
          <w:rFonts w:hint="eastAsia" w:ascii="仿宋_GB2312" w:hAnsi="仿宋" w:eastAsia="仿宋_GB2312"/>
          <w:b/>
          <w:bCs w:val="0"/>
        </w:rPr>
        <w:t>般公共预算财政拨款基本支出决算表</w:t>
      </w:r>
      <w:bookmarkEnd w:id="65"/>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6" w:name="_Toc15396627"/>
      <w:r>
        <w:rPr>
          <w:rStyle w:val="31"/>
          <w:rFonts w:hint="eastAsia" w:ascii="仿宋_GB2312" w:hAnsi="仿宋" w:eastAsia="仿宋_GB2312"/>
          <w:b/>
          <w:bCs w:val="0"/>
        </w:rPr>
        <w:t>九、</w:t>
      </w:r>
      <w:r>
        <w:rPr>
          <w:rFonts w:hint="eastAsia" w:ascii="仿宋_GB2312" w:hAnsi="仿宋" w:eastAsia="仿宋_GB2312"/>
        </w:rPr>
        <w:t>一</w:t>
      </w:r>
      <w:r>
        <w:rPr>
          <w:rStyle w:val="31"/>
          <w:rFonts w:hint="eastAsia" w:ascii="仿宋_GB2312" w:hAnsi="仿宋" w:eastAsia="仿宋_GB2312"/>
          <w:b/>
          <w:bCs w:val="0"/>
        </w:rPr>
        <w:t>般公共预算财政拨款项目支出决算表</w:t>
      </w:r>
      <w:bookmarkEnd w:id="66"/>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7" w:name="_Toc15396628"/>
      <w:r>
        <w:rPr>
          <w:rStyle w:val="31"/>
          <w:rFonts w:hint="eastAsia" w:ascii="仿宋_GB2312" w:hAnsi="仿宋" w:eastAsia="仿宋_GB2312"/>
          <w:b/>
          <w:bCs w:val="0"/>
        </w:rPr>
        <w:t>十、</w:t>
      </w:r>
      <w:bookmarkEnd w:id="67"/>
      <w:r>
        <w:rPr>
          <w:rFonts w:hint="eastAsia" w:ascii="仿宋_GB2312" w:hAnsi="仿宋" w:eastAsia="仿宋_GB2312"/>
        </w:rPr>
        <w:t>政</w:t>
      </w:r>
      <w:r>
        <w:rPr>
          <w:rStyle w:val="31"/>
          <w:rFonts w:hint="eastAsia" w:ascii="仿宋_GB2312" w:hAnsi="仿宋" w:eastAsia="仿宋_GB2312"/>
          <w:b/>
          <w:bCs w:val="0"/>
        </w:rPr>
        <w:t>府性基金预算财政拨款收入支出决算表</w:t>
      </w:r>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8" w:name="_Toc15396629"/>
      <w:r>
        <w:rPr>
          <w:rStyle w:val="31"/>
          <w:rFonts w:hint="eastAsia" w:ascii="仿宋_GB2312" w:hAnsi="仿宋" w:eastAsia="仿宋_GB2312"/>
          <w:b/>
          <w:bCs w:val="0"/>
        </w:rPr>
        <w:t>十一、</w:t>
      </w:r>
      <w:bookmarkEnd w:id="68"/>
      <w:r>
        <w:rPr>
          <w:rFonts w:hint="eastAsia" w:ascii="仿宋_GB2312" w:hAnsi="仿宋" w:eastAsia="仿宋_GB2312"/>
        </w:rPr>
        <w:t>国</w:t>
      </w:r>
      <w:r>
        <w:rPr>
          <w:rStyle w:val="31"/>
          <w:rFonts w:hint="eastAsia" w:ascii="仿宋_GB2312" w:hAnsi="仿宋" w:eastAsia="仿宋_GB2312"/>
          <w:b/>
          <w:bCs w:val="0"/>
        </w:rPr>
        <w:t>有资本经营预算财政拨款收入支出决算表</w:t>
      </w:r>
    </w:p>
    <w:p>
      <w:pPr>
        <w:pStyle w:val="4"/>
        <w:keepNext w:val="0"/>
        <w:keepLines w:val="0"/>
        <w:overflowPunct w:val="0"/>
        <w:topLinePunct/>
        <w:adjustRightInd w:val="0"/>
        <w:spacing w:before="0" w:after="0" w:line="576" w:lineRule="exact"/>
        <w:ind w:firstLine="640" w:firstLineChars="200"/>
        <w:rPr>
          <w:rFonts w:hint="eastAsia" w:ascii="仿宋_GB2312" w:hAnsi="仿宋" w:eastAsia="仿宋_GB2312"/>
        </w:rPr>
      </w:pPr>
      <w:bookmarkStart w:id="69" w:name="_Toc15396630"/>
      <w:r>
        <w:rPr>
          <w:rStyle w:val="31"/>
          <w:rFonts w:hint="eastAsia" w:ascii="仿宋_GB2312" w:hAnsi="仿宋" w:eastAsia="仿宋_GB2312"/>
          <w:b/>
          <w:bCs w:val="0"/>
        </w:rPr>
        <w:t>十二、</w:t>
      </w:r>
      <w:bookmarkEnd w:id="69"/>
      <w:r>
        <w:rPr>
          <w:rStyle w:val="31"/>
          <w:rFonts w:hint="eastAsia" w:ascii="仿宋_GB2312" w:hAnsi="仿宋" w:eastAsia="仿宋_GB2312"/>
          <w:b/>
          <w:bCs w:val="0"/>
        </w:rPr>
        <w:t>国有资本经营预算财政拨款支出决算表</w:t>
      </w:r>
    </w:p>
    <w:p>
      <w:pPr>
        <w:pStyle w:val="4"/>
        <w:keepNext w:val="0"/>
        <w:keepLines w:val="0"/>
        <w:overflowPunct w:val="0"/>
        <w:topLinePunct/>
        <w:adjustRightInd w:val="0"/>
        <w:spacing w:before="0" w:after="0" w:line="576" w:lineRule="exact"/>
        <w:ind w:firstLine="640" w:firstLineChars="200"/>
        <w:rPr>
          <w:rFonts w:hint="eastAsia" w:ascii="仿宋_GB2312" w:eastAsia="仿宋_GB2312"/>
        </w:rPr>
      </w:pPr>
      <w:bookmarkStart w:id="70" w:name="_Toc15396631"/>
      <w:r>
        <w:rPr>
          <w:rStyle w:val="31"/>
          <w:rFonts w:hint="eastAsia" w:ascii="仿宋_GB2312" w:hAnsi="仿宋" w:eastAsia="仿宋_GB2312"/>
          <w:b/>
          <w:bCs w:val="0"/>
        </w:rPr>
        <w:t>十三、</w:t>
      </w:r>
      <w:bookmarkEnd w:id="70"/>
      <w:r>
        <w:rPr>
          <w:rStyle w:val="31"/>
          <w:rFonts w:hint="eastAsia" w:ascii="仿宋_GB2312" w:hAnsi="仿宋" w:eastAsia="仿宋_GB2312"/>
          <w:b/>
          <w:bCs w:val="0"/>
        </w:rPr>
        <w:t>财政拨款“三公”经费支出决算表</w:t>
      </w:r>
    </w:p>
    <w:sectPr>
      <w:pgSz w:w="11906" w:h="16838"/>
      <w:pgMar w:top="2098" w:right="1474" w:bottom="1985" w:left="1588" w:header="851" w:footer="153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asciiTheme="majorEastAsia" w:hAnsiTheme="majorEastAsia" w:eastAsiaTheme="majorEastAsia"/>
        <w:sz w:val="28"/>
        <w:szCs w:val="28"/>
      </w:rPr>
    </w:pPr>
    <w:r>
      <w:rPr>
        <w:rStyle w:val="19"/>
        <w:rFonts w:hint="eastAsia" w:asciiTheme="majorEastAsia" w:hAnsiTheme="majorEastAsia" w:eastAsiaTheme="majorEastAsia"/>
        <w:sz w:val="28"/>
        <w:szCs w:val="28"/>
      </w:rPr>
      <w:t xml:space="preserve">— </w:t>
    </w:r>
    <w:r>
      <w:rPr>
        <w:rStyle w:val="19"/>
        <w:rFonts w:asciiTheme="majorEastAsia" w:hAnsiTheme="majorEastAsia" w:eastAsiaTheme="majorEastAsia"/>
        <w:sz w:val="28"/>
        <w:szCs w:val="28"/>
      </w:rPr>
      <w:fldChar w:fldCharType="begin"/>
    </w:r>
    <w:r>
      <w:rPr>
        <w:rStyle w:val="19"/>
        <w:rFonts w:asciiTheme="majorEastAsia" w:hAnsiTheme="majorEastAsia" w:eastAsiaTheme="majorEastAsia"/>
        <w:sz w:val="28"/>
        <w:szCs w:val="28"/>
      </w:rPr>
      <w:instrText xml:space="preserve">PAGE  </w:instrText>
    </w:r>
    <w:r>
      <w:rPr>
        <w:rStyle w:val="19"/>
        <w:rFonts w:asciiTheme="majorEastAsia" w:hAnsiTheme="majorEastAsia" w:eastAsiaTheme="majorEastAsia"/>
        <w:sz w:val="28"/>
        <w:szCs w:val="28"/>
      </w:rPr>
      <w:fldChar w:fldCharType="separate"/>
    </w:r>
    <w:r>
      <w:rPr>
        <w:rStyle w:val="19"/>
        <w:rFonts w:asciiTheme="majorEastAsia" w:hAnsiTheme="majorEastAsia" w:eastAsiaTheme="majorEastAsia"/>
        <w:sz w:val="28"/>
        <w:szCs w:val="28"/>
      </w:rPr>
      <w:t>44</w:t>
    </w:r>
    <w:r>
      <w:rPr>
        <w:rStyle w:val="19"/>
        <w:rFonts w:asciiTheme="majorEastAsia" w:hAnsiTheme="majorEastAsia" w:eastAsiaTheme="majorEastAsia"/>
        <w:sz w:val="28"/>
        <w:szCs w:val="28"/>
      </w:rPr>
      <w:fldChar w:fldCharType="end"/>
    </w:r>
    <w:r>
      <w:rPr>
        <w:rStyle w:val="19"/>
        <w:rFonts w:hint="eastAsia" w:asciiTheme="majorEastAsia" w:hAnsiTheme="majorEastAsia" w:eastAsiaTheme="majorEastAsia"/>
        <w:sz w:val="28"/>
        <w:szCs w:val="28"/>
      </w:rPr>
      <w:t xml:space="preserve"> —</w:t>
    </w:r>
  </w:p>
  <w:p>
    <w:pPr>
      <w:pStyle w:val="1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asciiTheme="majorEastAsia" w:hAnsiTheme="majorEastAsia" w:eastAsiaTheme="majorEastAsia"/>
        <w:sz w:val="28"/>
        <w:szCs w:val="28"/>
      </w:rPr>
    </w:pPr>
    <w:r>
      <w:rPr>
        <w:rStyle w:val="19"/>
        <w:rFonts w:hint="eastAsia" w:asciiTheme="majorEastAsia" w:hAnsiTheme="majorEastAsia" w:eastAsiaTheme="majorEastAsia"/>
        <w:sz w:val="28"/>
        <w:szCs w:val="28"/>
      </w:rPr>
      <w:t xml:space="preserve">— </w:t>
    </w:r>
    <w:r>
      <w:rPr>
        <w:rStyle w:val="19"/>
        <w:rFonts w:asciiTheme="majorEastAsia" w:hAnsiTheme="majorEastAsia" w:eastAsiaTheme="majorEastAsia"/>
        <w:sz w:val="28"/>
        <w:szCs w:val="28"/>
      </w:rPr>
      <w:fldChar w:fldCharType="begin"/>
    </w:r>
    <w:r>
      <w:rPr>
        <w:rStyle w:val="19"/>
        <w:rFonts w:asciiTheme="majorEastAsia" w:hAnsiTheme="majorEastAsia" w:eastAsiaTheme="majorEastAsia"/>
        <w:sz w:val="28"/>
        <w:szCs w:val="28"/>
      </w:rPr>
      <w:instrText xml:space="preserve">PAGE  </w:instrText>
    </w:r>
    <w:r>
      <w:rPr>
        <w:rStyle w:val="19"/>
        <w:rFonts w:asciiTheme="majorEastAsia" w:hAnsiTheme="majorEastAsia" w:eastAsiaTheme="majorEastAsia"/>
        <w:sz w:val="28"/>
        <w:szCs w:val="28"/>
      </w:rPr>
      <w:fldChar w:fldCharType="separate"/>
    </w:r>
    <w:r>
      <w:rPr>
        <w:rStyle w:val="19"/>
        <w:rFonts w:asciiTheme="majorEastAsia" w:hAnsiTheme="majorEastAsia" w:eastAsiaTheme="majorEastAsia"/>
        <w:sz w:val="28"/>
        <w:szCs w:val="28"/>
      </w:rPr>
      <w:t>19</w:t>
    </w:r>
    <w:r>
      <w:rPr>
        <w:rStyle w:val="19"/>
        <w:rFonts w:asciiTheme="majorEastAsia" w:hAnsiTheme="majorEastAsia" w:eastAsiaTheme="majorEastAsia"/>
        <w:sz w:val="28"/>
        <w:szCs w:val="28"/>
      </w:rPr>
      <w:fldChar w:fldCharType="end"/>
    </w:r>
    <w:r>
      <w:rPr>
        <w:rStyle w:val="19"/>
        <w:rFonts w:hint="eastAsia" w:asciiTheme="majorEastAsia" w:hAnsiTheme="majorEastAsia" w:eastAsiaTheme="majorEastAsia"/>
        <w:sz w:val="28"/>
        <w:szCs w:val="28"/>
      </w:rPr>
      <w:t xml:space="preserve"> —</w:t>
    </w:r>
  </w:p>
  <w:p>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asciiTheme="majorEastAsia" w:hAnsiTheme="majorEastAsia" w:eastAsiaTheme="majorEastAsia"/>
        <w:sz w:val="28"/>
        <w:szCs w:val="28"/>
      </w:rPr>
    </w:pPr>
    <w:r>
      <w:rPr>
        <w:rStyle w:val="19"/>
        <w:rFonts w:hint="eastAsia" w:asciiTheme="majorEastAsia" w:hAnsiTheme="majorEastAsia" w:eastAsiaTheme="majorEastAsia"/>
        <w:sz w:val="28"/>
        <w:szCs w:val="28"/>
      </w:rPr>
      <w:t xml:space="preserve">— </w:t>
    </w:r>
    <w:r>
      <w:rPr>
        <w:rStyle w:val="19"/>
        <w:rFonts w:asciiTheme="majorEastAsia" w:hAnsiTheme="majorEastAsia" w:eastAsiaTheme="majorEastAsia"/>
        <w:sz w:val="28"/>
        <w:szCs w:val="28"/>
      </w:rPr>
      <w:fldChar w:fldCharType="begin"/>
    </w:r>
    <w:r>
      <w:rPr>
        <w:rStyle w:val="19"/>
        <w:rFonts w:asciiTheme="majorEastAsia" w:hAnsiTheme="majorEastAsia" w:eastAsiaTheme="majorEastAsia"/>
        <w:sz w:val="28"/>
        <w:szCs w:val="28"/>
      </w:rPr>
      <w:instrText xml:space="preserve">PAGE  </w:instrText>
    </w:r>
    <w:r>
      <w:rPr>
        <w:rStyle w:val="19"/>
        <w:rFonts w:asciiTheme="majorEastAsia" w:hAnsiTheme="majorEastAsia" w:eastAsiaTheme="majorEastAsia"/>
        <w:sz w:val="28"/>
        <w:szCs w:val="28"/>
      </w:rPr>
      <w:fldChar w:fldCharType="separate"/>
    </w:r>
    <w:r>
      <w:rPr>
        <w:rStyle w:val="19"/>
        <w:rFonts w:asciiTheme="majorEastAsia" w:hAnsiTheme="majorEastAsia" w:eastAsiaTheme="majorEastAsia"/>
        <w:sz w:val="28"/>
        <w:szCs w:val="28"/>
      </w:rPr>
      <w:t>75</w:t>
    </w:r>
    <w:r>
      <w:rPr>
        <w:rStyle w:val="19"/>
        <w:rFonts w:asciiTheme="majorEastAsia" w:hAnsiTheme="majorEastAsia" w:eastAsiaTheme="majorEastAsia"/>
        <w:sz w:val="28"/>
        <w:szCs w:val="28"/>
      </w:rPr>
      <w:fldChar w:fldCharType="end"/>
    </w:r>
    <w:r>
      <w:rPr>
        <w:rStyle w:val="19"/>
        <w:rFonts w:hint="eastAsia" w:asciiTheme="majorEastAsia" w:hAnsiTheme="majorEastAsia" w:eastAsiaTheme="majorEastAsia"/>
        <w:sz w:val="28"/>
        <w:szCs w:val="28"/>
      </w:rPr>
      <w:t xml:space="preserve"> —</w: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F1361C"/>
    <w:rsid w:val="000222C6"/>
    <w:rsid w:val="0002549F"/>
    <w:rsid w:val="000422E0"/>
    <w:rsid w:val="000468DB"/>
    <w:rsid w:val="00057B34"/>
    <w:rsid w:val="0006487A"/>
    <w:rsid w:val="00065F8F"/>
    <w:rsid w:val="00070A43"/>
    <w:rsid w:val="000768F2"/>
    <w:rsid w:val="0009184B"/>
    <w:rsid w:val="00094236"/>
    <w:rsid w:val="0009593C"/>
    <w:rsid w:val="00097322"/>
    <w:rsid w:val="000A6A92"/>
    <w:rsid w:val="000B047F"/>
    <w:rsid w:val="000B5923"/>
    <w:rsid w:val="000B5A48"/>
    <w:rsid w:val="000B6FF3"/>
    <w:rsid w:val="000C2276"/>
    <w:rsid w:val="000C3467"/>
    <w:rsid w:val="000C3CA6"/>
    <w:rsid w:val="000D1267"/>
    <w:rsid w:val="000D1D50"/>
    <w:rsid w:val="000D5782"/>
    <w:rsid w:val="000E6613"/>
    <w:rsid w:val="000E7119"/>
    <w:rsid w:val="00114E9B"/>
    <w:rsid w:val="00142216"/>
    <w:rsid w:val="00144D6A"/>
    <w:rsid w:val="0014729F"/>
    <w:rsid w:val="0015606D"/>
    <w:rsid w:val="00157BAB"/>
    <w:rsid w:val="001654D1"/>
    <w:rsid w:val="00174518"/>
    <w:rsid w:val="0018106D"/>
    <w:rsid w:val="001877A7"/>
    <w:rsid w:val="00191536"/>
    <w:rsid w:val="00196687"/>
    <w:rsid w:val="001A2402"/>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2B88"/>
    <w:rsid w:val="00294DC9"/>
    <w:rsid w:val="00295495"/>
    <w:rsid w:val="002A31DE"/>
    <w:rsid w:val="002B2613"/>
    <w:rsid w:val="002B71BC"/>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CD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6D78"/>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44F9"/>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C36"/>
    <w:rsid w:val="00A04EB0"/>
    <w:rsid w:val="00A13CC1"/>
    <w:rsid w:val="00A16847"/>
    <w:rsid w:val="00A237D8"/>
    <w:rsid w:val="00A268C4"/>
    <w:rsid w:val="00A307CD"/>
    <w:rsid w:val="00A331C8"/>
    <w:rsid w:val="00A40A00"/>
    <w:rsid w:val="00A4142F"/>
    <w:rsid w:val="00A422EB"/>
    <w:rsid w:val="00A45BB7"/>
    <w:rsid w:val="00A518DB"/>
    <w:rsid w:val="00A56DF2"/>
    <w:rsid w:val="00A56E6E"/>
    <w:rsid w:val="00A67AB5"/>
    <w:rsid w:val="00A733B2"/>
    <w:rsid w:val="00A741C2"/>
    <w:rsid w:val="00A91760"/>
    <w:rsid w:val="00A93B00"/>
    <w:rsid w:val="00A93C21"/>
    <w:rsid w:val="00AA783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5661"/>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134"/>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38E8"/>
    <w:rsid w:val="00E82267"/>
    <w:rsid w:val="00E853CE"/>
    <w:rsid w:val="00E867B6"/>
    <w:rsid w:val="00EA010F"/>
    <w:rsid w:val="00ED1B63"/>
    <w:rsid w:val="00ED3C1F"/>
    <w:rsid w:val="00ED4085"/>
    <w:rsid w:val="00ED420E"/>
    <w:rsid w:val="00ED6FBE"/>
    <w:rsid w:val="00ED7383"/>
    <w:rsid w:val="00EE11C0"/>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5FD8A6"/>
    <w:rsid w:val="02143E91"/>
    <w:rsid w:val="066E0107"/>
    <w:rsid w:val="07996F6E"/>
    <w:rsid w:val="0A2032A3"/>
    <w:rsid w:val="0BDB89C8"/>
    <w:rsid w:val="0F98263C"/>
    <w:rsid w:val="101860EC"/>
    <w:rsid w:val="108F5D13"/>
    <w:rsid w:val="10C055FF"/>
    <w:rsid w:val="118107EC"/>
    <w:rsid w:val="12F56C30"/>
    <w:rsid w:val="13D50BC4"/>
    <w:rsid w:val="16BB723D"/>
    <w:rsid w:val="19FF5A1B"/>
    <w:rsid w:val="1BE8440E"/>
    <w:rsid w:val="1D155CEE"/>
    <w:rsid w:val="1F2B540C"/>
    <w:rsid w:val="1FCD74A2"/>
    <w:rsid w:val="1FF35744"/>
    <w:rsid w:val="23860B96"/>
    <w:rsid w:val="240371BF"/>
    <w:rsid w:val="247F156F"/>
    <w:rsid w:val="26C26CF7"/>
    <w:rsid w:val="29FD04D3"/>
    <w:rsid w:val="2A3CAB39"/>
    <w:rsid w:val="2BB11194"/>
    <w:rsid w:val="2C8A61B5"/>
    <w:rsid w:val="2D7F84F5"/>
    <w:rsid w:val="2DBFE80D"/>
    <w:rsid w:val="2DF04E50"/>
    <w:rsid w:val="2EDF05F8"/>
    <w:rsid w:val="2F040D46"/>
    <w:rsid w:val="2F4914E7"/>
    <w:rsid w:val="2F7F6146"/>
    <w:rsid w:val="2F870254"/>
    <w:rsid w:val="306D4B10"/>
    <w:rsid w:val="319F7F4E"/>
    <w:rsid w:val="32178802"/>
    <w:rsid w:val="32A9493D"/>
    <w:rsid w:val="3304709D"/>
    <w:rsid w:val="33BE8861"/>
    <w:rsid w:val="35FD375D"/>
    <w:rsid w:val="361FFCE2"/>
    <w:rsid w:val="3678760C"/>
    <w:rsid w:val="36AA5135"/>
    <w:rsid w:val="36FF0EE9"/>
    <w:rsid w:val="376D39B2"/>
    <w:rsid w:val="377E11E1"/>
    <w:rsid w:val="37E16F03"/>
    <w:rsid w:val="37F66ECC"/>
    <w:rsid w:val="37FBE55F"/>
    <w:rsid w:val="38D469F0"/>
    <w:rsid w:val="3B2F7D77"/>
    <w:rsid w:val="3B3F671F"/>
    <w:rsid w:val="3B775032"/>
    <w:rsid w:val="3BB68138"/>
    <w:rsid w:val="3BCF6121"/>
    <w:rsid w:val="3D6F1948"/>
    <w:rsid w:val="3D98207C"/>
    <w:rsid w:val="3DB9641C"/>
    <w:rsid w:val="3DD71451"/>
    <w:rsid w:val="3DD7A844"/>
    <w:rsid w:val="3DF6BD0F"/>
    <w:rsid w:val="3E78745D"/>
    <w:rsid w:val="3EAFFD4F"/>
    <w:rsid w:val="3EDF8DFC"/>
    <w:rsid w:val="3EF9C5EB"/>
    <w:rsid w:val="3EFF5B4E"/>
    <w:rsid w:val="3F394CCD"/>
    <w:rsid w:val="3F6F9D03"/>
    <w:rsid w:val="3FD98286"/>
    <w:rsid w:val="44E268DA"/>
    <w:rsid w:val="45DB71F7"/>
    <w:rsid w:val="47FD28C2"/>
    <w:rsid w:val="4A627F82"/>
    <w:rsid w:val="4B0E749A"/>
    <w:rsid w:val="4B4F25DA"/>
    <w:rsid w:val="4BE068DB"/>
    <w:rsid w:val="4BEB8467"/>
    <w:rsid w:val="4BF62ADC"/>
    <w:rsid w:val="4D577224"/>
    <w:rsid w:val="4D7DAB3F"/>
    <w:rsid w:val="4EAB630A"/>
    <w:rsid w:val="4ECE2238"/>
    <w:rsid w:val="4F291B21"/>
    <w:rsid w:val="4F7F4D1A"/>
    <w:rsid w:val="4FFF3F5E"/>
    <w:rsid w:val="533FFDC4"/>
    <w:rsid w:val="537E6D0A"/>
    <w:rsid w:val="55E7B510"/>
    <w:rsid w:val="5771A885"/>
    <w:rsid w:val="57DF798A"/>
    <w:rsid w:val="57EEC431"/>
    <w:rsid w:val="57FEF726"/>
    <w:rsid w:val="5A6F02C8"/>
    <w:rsid w:val="5ADD24C6"/>
    <w:rsid w:val="5AF92295"/>
    <w:rsid w:val="5BCB9067"/>
    <w:rsid w:val="5BEDC106"/>
    <w:rsid w:val="5BF7F32D"/>
    <w:rsid w:val="5BFFC871"/>
    <w:rsid w:val="5C571096"/>
    <w:rsid w:val="5CD3606B"/>
    <w:rsid w:val="5CD71FC4"/>
    <w:rsid w:val="5CEEA405"/>
    <w:rsid w:val="5DE7AA3C"/>
    <w:rsid w:val="5E6A5F43"/>
    <w:rsid w:val="5EFC3D60"/>
    <w:rsid w:val="5F73703C"/>
    <w:rsid w:val="5FA720E5"/>
    <w:rsid w:val="5FBF78D1"/>
    <w:rsid w:val="5FCB7701"/>
    <w:rsid w:val="5FCEC703"/>
    <w:rsid w:val="5FCFD131"/>
    <w:rsid w:val="5FEDD6F7"/>
    <w:rsid w:val="5FF46A11"/>
    <w:rsid w:val="5FFAD977"/>
    <w:rsid w:val="5FFD4643"/>
    <w:rsid w:val="61EEDDA8"/>
    <w:rsid w:val="659374BA"/>
    <w:rsid w:val="65DE4CD7"/>
    <w:rsid w:val="65DEF80B"/>
    <w:rsid w:val="67DDC90D"/>
    <w:rsid w:val="692D662A"/>
    <w:rsid w:val="6AC66F29"/>
    <w:rsid w:val="6AEFF2D5"/>
    <w:rsid w:val="6B1AB2B6"/>
    <w:rsid w:val="6B7C7F54"/>
    <w:rsid w:val="6BBA2B82"/>
    <w:rsid w:val="6BEF3CE2"/>
    <w:rsid w:val="6C1FA377"/>
    <w:rsid w:val="6C4A05C8"/>
    <w:rsid w:val="6D7795BE"/>
    <w:rsid w:val="6D9B135C"/>
    <w:rsid w:val="6DEFC033"/>
    <w:rsid w:val="6E7E3605"/>
    <w:rsid w:val="6EFEA99C"/>
    <w:rsid w:val="6F65962C"/>
    <w:rsid w:val="6F673635"/>
    <w:rsid w:val="6F6F7F82"/>
    <w:rsid w:val="6F795F85"/>
    <w:rsid w:val="6F9ECBB8"/>
    <w:rsid w:val="6FB6CC0D"/>
    <w:rsid w:val="6FBF5783"/>
    <w:rsid w:val="6FD7F1F6"/>
    <w:rsid w:val="6FDFFA8B"/>
    <w:rsid w:val="6FF5CC65"/>
    <w:rsid w:val="6FFF5AE8"/>
    <w:rsid w:val="715C0E4B"/>
    <w:rsid w:val="72734D90"/>
    <w:rsid w:val="72C232B3"/>
    <w:rsid w:val="735F2EF4"/>
    <w:rsid w:val="73AD73D5"/>
    <w:rsid w:val="73B6EB34"/>
    <w:rsid w:val="73ED5CB5"/>
    <w:rsid w:val="73FD8915"/>
    <w:rsid w:val="73FF96AC"/>
    <w:rsid w:val="744731E5"/>
    <w:rsid w:val="745F5CBE"/>
    <w:rsid w:val="749FB875"/>
    <w:rsid w:val="753F173C"/>
    <w:rsid w:val="754FC31F"/>
    <w:rsid w:val="76D3C53E"/>
    <w:rsid w:val="76E3355F"/>
    <w:rsid w:val="76EFDD79"/>
    <w:rsid w:val="7751D118"/>
    <w:rsid w:val="777B0804"/>
    <w:rsid w:val="777FF8F1"/>
    <w:rsid w:val="778769C8"/>
    <w:rsid w:val="77ADB9A2"/>
    <w:rsid w:val="77BBB358"/>
    <w:rsid w:val="77BF6C51"/>
    <w:rsid w:val="77DD4907"/>
    <w:rsid w:val="77F72635"/>
    <w:rsid w:val="77FF0D44"/>
    <w:rsid w:val="77FFBACD"/>
    <w:rsid w:val="78AEC8DB"/>
    <w:rsid w:val="78FF8984"/>
    <w:rsid w:val="79EE5BA4"/>
    <w:rsid w:val="79F79D44"/>
    <w:rsid w:val="7A7F052D"/>
    <w:rsid w:val="7A894339"/>
    <w:rsid w:val="7AA9FBF2"/>
    <w:rsid w:val="7ABB0D7A"/>
    <w:rsid w:val="7ADB991E"/>
    <w:rsid w:val="7B3F5AB6"/>
    <w:rsid w:val="7B53FF25"/>
    <w:rsid w:val="7B7FB0AF"/>
    <w:rsid w:val="7B7FE121"/>
    <w:rsid w:val="7BB7A8E2"/>
    <w:rsid w:val="7BCDD422"/>
    <w:rsid w:val="7BCF361A"/>
    <w:rsid w:val="7BDA882A"/>
    <w:rsid w:val="7BE155B6"/>
    <w:rsid w:val="7BE6424C"/>
    <w:rsid w:val="7BEFB9C8"/>
    <w:rsid w:val="7BF7A0CE"/>
    <w:rsid w:val="7BF95E46"/>
    <w:rsid w:val="7C999F32"/>
    <w:rsid w:val="7CCFA315"/>
    <w:rsid w:val="7CFE9BFB"/>
    <w:rsid w:val="7DBE10D6"/>
    <w:rsid w:val="7DBF5429"/>
    <w:rsid w:val="7DCD7A2C"/>
    <w:rsid w:val="7DFE97FA"/>
    <w:rsid w:val="7EB60F6B"/>
    <w:rsid w:val="7EDF759D"/>
    <w:rsid w:val="7EEF11D3"/>
    <w:rsid w:val="7EFC2A66"/>
    <w:rsid w:val="7EFD17A5"/>
    <w:rsid w:val="7EFFF47E"/>
    <w:rsid w:val="7F4F6C85"/>
    <w:rsid w:val="7F5FDDDE"/>
    <w:rsid w:val="7F9F2AD2"/>
    <w:rsid w:val="7F9F3CAE"/>
    <w:rsid w:val="7FA30C79"/>
    <w:rsid w:val="7FB7269E"/>
    <w:rsid w:val="7FB7DD30"/>
    <w:rsid w:val="7FBFD5D1"/>
    <w:rsid w:val="7FC96657"/>
    <w:rsid w:val="7FD7FD4E"/>
    <w:rsid w:val="7FDD41F1"/>
    <w:rsid w:val="7FDE6C4E"/>
    <w:rsid w:val="7FDF36E3"/>
    <w:rsid w:val="7FEF5B09"/>
    <w:rsid w:val="7FF74125"/>
    <w:rsid w:val="7FFB3D3E"/>
    <w:rsid w:val="7FFB3D40"/>
    <w:rsid w:val="7FFD4345"/>
    <w:rsid w:val="7FFD63D4"/>
    <w:rsid w:val="7FFEE245"/>
    <w:rsid w:val="7FFF8EA3"/>
    <w:rsid w:val="87FDFF9D"/>
    <w:rsid w:val="8E734207"/>
    <w:rsid w:val="8EFF3EA6"/>
    <w:rsid w:val="93EDFF72"/>
    <w:rsid w:val="99F55BEE"/>
    <w:rsid w:val="9BD98F5A"/>
    <w:rsid w:val="9F5150B7"/>
    <w:rsid w:val="9F5EAC4B"/>
    <w:rsid w:val="9F743DFE"/>
    <w:rsid w:val="9FF7F2E6"/>
    <w:rsid w:val="9FF82C15"/>
    <w:rsid w:val="9FFF8C5B"/>
    <w:rsid w:val="A22FE581"/>
    <w:rsid w:val="A3F97903"/>
    <w:rsid w:val="A7FBD091"/>
    <w:rsid w:val="AB8B88ED"/>
    <w:rsid w:val="ABF7D218"/>
    <w:rsid w:val="ADBB6482"/>
    <w:rsid w:val="AEFA70AD"/>
    <w:rsid w:val="AF6E6A65"/>
    <w:rsid w:val="AF76C181"/>
    <w:rsid w:val="AFFB57E9"/>
    <w:rsid w:val="B3DCDCAC"/>
    <w:rsid w:val="B66F6AEE"/>
    <w:rsid w:val="B6BEC59C"/>
    <w:rsid w:val="B9BE87BC"/>
    <w:rsid w:val="B9DB6069"/>
    <w:rsid w:val="BB45CB66"/>
    <w:rsid w:val="BCBD409D"/>
    <w:rsid w:val="BDAD53E7"/>
    <w:rsid w:val="BECFE994"/>
    <w:rsid w:val="BED81950"/>
    <w:rsid w:val="BEDFF72D"/>
    <w:rsid w:val="BF7F40D8"/>
    <w:rsid w:val="BFB7D47D"/>
    <w:rsid w:val="BFED9DAE"/>
    <w:rsid w:val="BFF555D8"/>
    <w:rsid w:val="BFF65AB8"/>
    <w:rsid w:val="BFF95AB1"/>
    <w:rsid w:val="BFFABDB4"/>
    <w:rsid w:val="BFFDCABF"/>
    <w:rsid w:val="C7FB000B"/>
    <w:rsid w:val="C7FFDE54"/>
    <w:rsid w:val="C8BDF872"/>
    <w:rsid w:val="C9FDA32A"/>
    <w:rsid w:val="CCFFFFF8"/>
    <w:rsid w:val="CEFACCF2"/>
    <w:rsid w:val="CFFF430D"/>
    <w:rsid w:val="D1272379"/>
    <w:rsid w:val="D2E65E4F"/>
    <w:rsid w:val="D3E340CE"/>
    <w:rsid w:val="D3FFD6B3"/>
    <w:rsid w:val="D4ED6D82"/>
    <w:rsid w:val="D54725F9"/>
    <w:rsid w:val="D5DF4926"/>
    <w:rsid w:val="D5FB9579"/>
    <w:rsid w:val="D5FFB074"/>
    <w:rsid w:val="D6DF5EBB"/>
    <w:rsid w:val="D6DF9962"/>
    <w:rsid w:val="D7465C65"/>
    <w:rsid w:val="D797AE90"/>
    <w:rsid w:val="D7B2F6F7"/>
    <w:rsid w:val="D7E967EF"/>
    <w:rsid w:val="D7ECEC2C"/>
    <w:rsid w:val="D8D6DB89"/>
    <w:rsid w:val="D9CC2034"/>
    <w:rsid w:val="DABB558C"/>
    <w:rsid w:val="DADACB90"/>
    <w:rsid w:val="DAFBF2B0"/>
    <w:rsid w:val="DAFFE0B2"/>
    <w:rsid w:val="DB6F4CAB"/>
    <w:rsid w:val="DB7FFE55"/>
    <w:rsid w:val="DBC79512"/>
    <w:rsid w:val="DBFA0870"/>
    <w:rsid w:val="DD6D8821"/>
    <w:rsid w:val="DD7EBEE4"/>
    <w:rsid w:val="DD7F3176"/>
    <w:rsid w:val="DDDC73C8"/>
    <w:rsid w:val="DDE9E8FA"/>
    <w:rsid w:val="DF6F9789"/>
    <w:rsid w:val="DF77BD93"/>
    <w:rsid w:val="DF7DB808"/>
    <w:rsid w:val="DFEF96B7"/>
    <w:rsid w:val="DFFF34F0"/>
    <w:rsid w:val="E59612BC"/>
    <w:rsid w:val="E5FFD70B"/>
    <w:rsid w:val="E6FDA88E"/>
    <w:rsid w:val="E7774582"/>
    <w:rsid w:val="E795E8AC"/>
    <w:rsid w:val="E7D2A7A2"/>
    <w:rsid w:val="E7DF60F0"/>
    <w:rsid w:val="E8CE6F89"/>
    <w:rsid w:val="EB5F7B6A"/>
    <w:rsid w:val="EB7C345C"/>
    <w:rsid w:val="EB8BD2BE"/>
    <w:rsid w:val="EBDD4BB2"/>
    <w:rsid w:val="EBE7C97C"/>
    <w:rsid w:val="EBE7DCC4"/>
    <w:rsid w:val="ED6D7393"/>
    <w:rsid w:val="EEBE03D4"/>
    <w:rsid w:val="EEF7A11C"/>
    <w:rsid w:val="EEFD67B5"/>
    <w:rsid w:val="EEFFA3BE"/>
    <w:rsid w:val="EF3F998D"/>
    <w:rsid w:val="EF58706F"/>
    <w:rsid w:val="EF7FB88F"/>
    <w:rsid w:val="EFB7C837"/>
    <w:rsid w:val="EFBEA08D"/>
    <w:rsid w:val="EFEE552C"/>
    <w:rsid w:val="EFEF4BEC"/>
    <w:rsid w:val="EFF36712"/>
    <w:rsid w:val="EFFBA7AC"/>
    <w:rsid w:val="EFFF9098"/>
    <w:rsid w:val="F1FD6F7E"/>
    <w:rsid w:val="F1FF38C6"/>
    <w:rsid w:val="F2CDDC6A"/>
    <w:rsid w:val="F3551080"/>
    <w:rsid w:val="F3A33611"/>
    <w:rsid w:val="F3C7836A"/>
    <w:rsid w:val="F3F932AA"/>
    <w:rsid w:val="F5BADAC9"/>
    <w:rsid w:val="F5DB4DDA"/>
    <w:rsid w:val="F5E9C2B3"/>
    <w:rsid w:val="F6D7C618"/>
    <w:rsid w:val="F6EF8B02"/>
    <w:rsid w:val="F6FE2C74"/>
    <w:rsid w:val="F6FF4255"/>
    <w:rsid w:val="F75BEBA1"/>
    <w:rsid w:val="F77F09A0"/>
    <w:rsid w:val="F79DA600"/>
    <w:rsid w:val="F7BB183B"/>
    <w:rsid w:val="F7BC30FC"/>
    <w:rsid w:val="F7BE9117"/>
    <w:rsid w:val="F7D7F542"/>
    <w:rsid w:val="F7DAC49E"/>
    <w:rsid w:val="F7ECA53B"/>
    <w:rsid w:val="F7FF0FBD"/>
    <w:rsid w:val="F84BF777"/>
    <w:rsid w:val="F8A55A37"/>
    <w:rsid w:val="FAB7C6F8"/>
    <w:rsid w:val="FABF8C4A"/>
    <w:rsid w:val="FAFC9D89"/>
    <w:rsid w:val="FB228BCF"/>
    <w:rsid w:val="FB2EF428"/>
    <w:rsid w:val="FBB76FEF"/>
    <w:rsid w:val="FBBF7EFD"/>
    <w:rsid w:val="FBEA5D01"/>
    <w:rsid w:val="FBEDCA5E"/>
    <w:rsid w:val="FBFADB45"/>
    <w:rsid w:val="FD675976"/>
    <w:rsid w:val="FD7E9F8A"/>
    <w:rsid w:val="FD7F45EE"/>
    <w:rsid w:val="FDBDA160"/>
    <w:rsid w:val="FDBF9D4C"/>
    <w:rsid w:val="FDDDCEF6"/>
    <w:rsid w:val="FDE441C5"/>
    <w:rsid w:val="FDF6C2AC"/>
    <w:rsid w:val="FDF974E4"/>
    <w:rsid w:val="FE59086D"/>
    <w:rsid w:val="FE7702B1"/>
    <w:rsid w:val="FE77136A"/>
    <w:rsid w:val="FE77F4A2"/>
    <w:rsid w:val="FE7FED8D"/>
    <w:rsid w:val="FE9D23F3"/>
    <w:rsid w:val="FEB2E86C"/>
    <w:rsid w:val="FEEE99C8"/>
    <w:rsid w:val="FEEEC0B1"/>
    <w:rsid w:val="FEF53779"/>
    <w:rsid w:val="FEF9D388"/>
    <w:rsid w:val="FEFFBEDA"/>
    <w:rsid w:val="FF2D9E6B"/>
    <w:rsid w:val="FF3764D0"/>
    <w:rsid w:val="FF49496E"/>
    <w:rsid w:val="FF7AB2BF"/>
    <w:rsid w:val="FF7B7FA7"/>
    <w:rsid w:val="FFA75D72"/>
    <w:rsid w:val="FFBB9249"/>
    <w:rsid w:val="FFBEBF3A"/>
    <w:rsid w:val="FFCDE088"/>
    <w:rsid w:val="FFDB5A52"/>
    <w:rsid w:val="FFDB9A96"/>
    <w:rsid w:val="FFDBEB90"/>
    <w:rsid w:val="FFDD1446"/>
    <w:rsid w:val="FFDE35AF"/>
    <w:rsid w:val="FFDE44ED"/>
    <w:rsid w:val="FFE6E240"/>
    <w:rsid w:val="FFE7A25A"/>
    <w:rsid w:val="FFED4D54"/>
    <w:rsid w:val="FFF308D9"/>
    <w:rsid w:val="FFF999A4"/>
    <w:rsid w:val="FFFBC7D6"/>
    <w:rsid w:val="FFFD7CDB"/>
    <w:rsid w:val="FFFDE894"/>
    <w:rsid w:val="FFFE409C"/>
    <w:rsid w:val="FFFF30B1"/>
    <w:rsid w:val="FFFF8BDD"/>
    <w:rsid w:val="FFFFB7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jc w:val="left"/>
    </w:pPr>
    <w:rPr>
      <w:rFonts w:ascii="Calibri" w:hAnsi="Calibri"/>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标题 1 Char1"/>
    <w:basedOn w:val="17"/>
    <w:link w:val="3"/>
    <w:qFormat/>
    <w:locked/>
    <w:uiPriority w:val="99"/>
    <w:rPr>
      <w:rFonts w:ascii="Times New Roman" w:hAnsi="Times New Roman" w:cs="Times New Roman"/>
      <w:b/>
      <w:bCs/>
      <w:kern w:val="44"/>
      <w:sz w:val="44"/>
      <w:szCs w:val="44"/>
    </w:rPr>
  </w:style>
  <w:style w:type="character" w:customStyle="1" w:styleId="38">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image" Target="media/image3.png"/><Relationship Id="rId16" Type="http://schemas.openxmlformats.org/officeDocument/2006/relationships/oleObject" Target="embeddings/oleObject3.bin"/><Relationship Id="rId15" Type="http://schemas.openxmlformats.org/officeDocument/2006/relationships/image" Target="media/image2.png"/><Relationship Id="rId14" Type="http://schemas.openxmlformats.org/officeDocument/2006/relationships/oleObject" Target="embeddings/oleObject2.bin"/><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900"/>
              <a:t>本年收入合计593.04万元</a:t>
            </a:r>
            <a:endParaRPr sz="900"/>
          </a:p>
        </c:rich>
      </c:tx>
      <c:layout>
        <c:manualLayout>
          <c:xMode val="edge"/>
          <c:yMode val="edge"/>
          <c:x val="0.292249889494622"/>
          <c:y val="0.0699663125161959"/>
        </c:manualLayout>
      </c:layout>
      <c:overlay val="false"/>
      <c:spPr>
        <a:noFill/>
        <a:ln>
          <a:noFill/>
        </a:ln>
        <a:effectLst/>
      </c:spPr>
    </c:title>
    <c:autoTitleDeleted val="false"/>
    <c:plotArea>
      <c:layout/>
      <c:pieChart>
        <c:varyColors val="true"/>
        <c:ser>
          <c:idx val="0"/>
          <c:order val="0"/>
          <c:tx>
            <c:strRef>
              <c:f>Sheet1!$B$1</c:f>
              <c:strCache>
                <c:ptCount val="1"/>
                <c:pt idx="0">
                  <c:v>本年收入合计（万元）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一般公共预算财政拨款</c:v>
                </c:pt>
                <c:pt idx="1">
                  <c:v>政府性基金预算财政拨款</c:v>
                </c:pt>
                <c:pt idx="2">
                  <c:v>国有资本经营预算财政拨款</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593.04</c:v>
                </c:pt>
                <c:pt idx="1">
                  <c:v>0</c:v>
                </c:pt>
                <c:pt idx="2">
                  <c:v>0</c:v>
                </c:pt>
                <c:pt idx="3">
                  <c:v>0</c:v>
                </c:pt>
                <c:pt idx="4">
                  <c:v>0</c:v>
                </c:pt>
                <c:pt idx="5">
                  <c:v>0</c:v>
                </c:pt>
                <c:pt idx="6">
                  <c:v>0</c:v>
                </c:pt>
                <c:pt idx="7">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本年支出合计645.30万元</a:t>
            </a:r>
          </a:p>
        </c:rich>
      </c:tx>
      <c:layout/>
      <c:overlay val="false"/>
      <c:spPr>
        <a:noFill/>
        <a:ln>
          <a:noFill/>
        </a:ln>
        <a:effectLst/>
      </c:spPr>
    </c:title>
    <c:autoTitleDeleted val="false"/>
    <c:plotArea>
      <c:layout/>
      <c:pieChart>
        <c:varyColors val="true"/>
        <c:ser>
          <c:idx val="0"/>
          <c:order val="0"/>
          <c:tx>
            <c:strRef>
              <c:f>Sheet1!$B$1</c:f>
              <c:strCache>
                <c:ptCount val="1"/>
                <c:pt idx="0">
                  <c:v>本年支出合计</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478.95</c:v>
                </c:pt>
                <c:pt idx="1">
                  <c:v>166.35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768306566802"/>
          <c:y val="0.0256410256410256"/>
          <c:w val="0.566357531180045"/>
          <c:h val="0.966175668303328"/>
        </c:manualLayout>
      </c:layout>
      <c:doughnutChart>
        <c:varyColors val="true"/>
        <c:ser>
          <c:idx val="0"/>
          <c:order val="0"/>
          <c:tx>
            <c:strRef>
              <c:f>Sheet1!$B$1</c:f>
              <c:strCache>
                <c:ptCount val="1"/>
                <c:pt idx="0">
                  <c:v>一般公共预算财政拨款支出万元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科学技术支出</c:v>
                </c:pt>
                <c:pt idx="2">
                  <c:v>社会保障和就业支出</c:v>
                </c:pt>
                <c:pt idx="3">
                  <c:v>卫生健康支出</c:v>
                </c:pt>
                <c:pt idx="4">
                  <c:v>住房保障支出</c:v>
                </c:pt>
              </c:strCache>
            </c:strRef>
          </c:cat>
          <c:val>
            <c:numRef>
              <c:f>Sheet1!$B$2:$B$6</c:f>
              <c:numCache>
                <c:formatCode>General</c:formatCode>
                <c:ptCount val="5"/>
                <c:pt idx="0">
                  <c:v>94.9</c:v>
                </c:pt>
                <c:pt idx="1">
                  <c:v>467.36</c:v>
                </c:pt>
                <c:pt idx="2">
                  <c:v>43.24</c:v>
                </c:pt>
                <c:pt idx="3">
                  <c:v>12.84</c:v>
                </c:pt>
                <c:pt idx="4">
                  <c:v>26.95</c:v>
                </c:pt>
              </c:numCache>
            </c:numRef>
          </c:val>
        </c:ser>
        <c:ser>
          <c:idx val="1"/>
          <c:order val="1"/>
          <c:tx>
            <c:strRef>
              <c:f>Sheet1!$C$1</c:f>
              <c:strCache>
                <c:ptCount val="1"/>
                <c:pt idx="0">
                  <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科学技术支出</c:v>
                </c:pt>
                <c:pt idx="2">
                  <c:v>社会保障和就业支出</c:v>
                </c:pt>
                <c:pt idx="3">
                  <c:v>卫生健康支出</c:v>
                </c:pt>
                <c:pt idx="4">
                  <c:v>住房保障支出</c:v>
                </c:pt>
              </c:strCache>
            </c:strRef>
          </c:cat>
          <c:val>
            <c:numRef>
              <c:f>Sheet1!$C$2:$C$6</c:f>
              <c:numCache>
                <c:formatCode>General</c:formatCode>
                <c:ptCount val="5"/>
              </c:numCache>
            </c:numRef>
          </c:val>
        </c:ser>
        <c:dLbls>
          <c:showLegendKey val="false"/>
          <c:showVal val="false"/>
          <c:showCatName val="false"/>
          <c:showSerName val="false"/>
          <c:showPercent val="true"/>
          <c:showBubbleSize val="false"/>
          <c:showLeaderLines val="true"/>
        </c:dLbls>
        <c:firstSliceAng val="0"/>
        <c:holeSize val="50"/>
      </c:doughnut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rPr sz="1400"/>
              <a:t>“三公”经费财政拨款支出</a:t>
            </a:r>
            <a:endParaRPr sz="1400"/>
          </a:p>
        </c:rich>
      </c:tx>
      <c:layout/>
      <c:overlay val="false"/>
      <c:spPr>
        <a:noFill/>
        <a:ln>
          <a:noFill/>
        </a:ln>
        <a:effectLst/>
      </c:spPr>
    </c:title>
    <c:autoTitleDeleted val="false"/>
    <c:plotArea>
      <c:layout/>
      <c:pieChart>
        <c:varyColors val="true"/>
        <c:ser>
          <c:idx val="0"/>
          <c:order val="0"/>
          <c:tx>
            <c:strRef>
              <c:f>Sheet1!$B$1</c:f>
              <c:strCache>
                <c:ptCount val="1"/>
                <c:pt idx="0">
                  <c:v>“三公”经费财政拨款支出</c:v>
                </c:pt>
              </c:strCache>
            </c:strRef>
          </c:tx>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1.18</c:v>
                </c:pt>
                <c:pt idx="2">
                  <c:v>0.8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79</Pages>
  <Words>5841</Words>
  <Characters>33297</Characters>
  <Lines>277</Lines>
  <Paragraphs>78</Paragraphs>
  <TotalTime>10</TotalTime>
  <ScaleCrop>false</ScaleCrop>
  <LinksUpToDate>false</LinksUpToDate>
  <CharactersWithSpaces>39060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2023-09-28T22:11:00Z</dcterms:created>
  <dc:creator>曹颖</dc:creator>
  <cp:lastModifiedBy> </cp:lastModifiedBy>
  <cp:lastPrinted>2023-08-02T10:35:00Z</cp:lastPrinted>
  <dcterms:modified xsi:type="dcterms:W3CDTF">2023-11-01T18:13:03Z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E25BBEE3C6F34EE1961E5E752EFF25C2_13</vt:lpwstr>
  </property>
</Properties>
</file>