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197" w:firstLineChars="38"/>
        <w:jc w:val="center"/>
        <w:outlineLvl w:val="0"/>
        <w:rPr>
          <w:rFonts w:ascii="方正小标宋简体" w:hAnsi="方正小标宋简体" w:eastAsia="方正小标宋简体" w:cs="方正小标宋简体"/>
          <w:color w:val="auto"/>
          <w:sz w:val="52"/>
          <w:szCs w:val="52"/>
        </w:rPr>
      </w:pPr>
      <w:bookmarkStart w:id="0" w:name="_Toc15377425"/>
      <w:bookmarkStart w:id="1" w:name="_Toc15378441"/>
      <w:bookmarkStart w:id="2" w:name="_Toc15396597"/>
      <w:bookmarkStart w:id="3" w:name="_Toc15377193"/>
      <w:bookmarkStart w:id="4" w:name="_Toc15396475"/>
      <w:bookmarkStart w:id="5" w:name="_Toc15306267"/>
    </w:p>
    <w:p>
      <w:pPr>
        <w:adjustRightInd w:val="0"/>
        <w:snapToGrid w:val="0"/>
        <w:spacing w:line="360" w:lineRule="auto"/>
        <w:ind w:firstLine="197" w:firstLineChars="38"/>
        <w:jc w:val="center"/>
        <w:outlineLvl w:val="0"/>
        <w:rPr>
          <w:rFonts w:ascii="方正小标宋简体" w:hAnsi="方正小标宋简体" w:eastAsia="方正小标宋简体" w:cs="方正小标宋简体"/>
          <w:color w:val="auto"/>
          <w:sz w:val="52"/>
          <w:szCs w:val="52"/>
        </w:rPr>
      </w:pPr>
    </w:p>
    <w:p>
      <w:pPr>
        <w:adjustRightInd w:val="0"/>
        <w:snapToGrid w:val="0"/>
        <w:spacing w:line="360" w:lineRule="auto"/>
        <w:ind w:firstLine="197" w:firstLineChars="38"/>
        <w:jc w:val="center"/>
        <w:outlineLvl w:val="0"/>
        <w:rPr>
          <w:rFonts w:ascii="方正小标宋简体" w:hAnsi="方正小标宋简体" w:eastAsia="方正小标宋简体" w:cs="方正小标宋简体"/>
          <w:color w:val="auto"/>
          <w:sz w:val="52"/>
          <w:szCs w:val="52"/>
        </w:rPr>
      </w:pPr>
    </w:p>
    <w:p>
      <w:pPr>
        <w:adjustRightInd w:val="0"/>
        <w:snapToGrid w:val="0"/>
        <w:spacing w:line="360" w:lineRule="auto"/>
        <w:ind w:firstLine="197" w:firstLineChars="38"/>
        <w:jc w:val="center"/>
        <w:outlineLvl w:val="0"/>
        <w:rPr>
          <w:rFonts w:ascii="方正小标宋简体" w:hAnsi="方正小标宋简体" w:eastAsia="方正小标宋简体" w:cs="方正小标宋简体"/>
          <w:color w:val="auto"/>
          <w:sz w:val="52"/>
          <w:szCs w:val="52"/>
        </w:rPr>
      </w:pPr>
      <w:bookmarkStart w:id="6" w:name="_Toc20673"/>
      <w:r>
        <w:rPr>
          <w:rFonts w:hint="eastAsia" w:ascii="方正小标宋简体" w:hAnsi="方正小标宋简体" w:eastAsia="方正小标宋简体" w:cs="方正小标宋简体"/>
          <w:color w:val="auto"/>
          <w:sz w:val="52"/>
          <w:szCs w:val="52"/>
        </w:rPr>
        <w:t>2022年度</w:t>
      </w:r>
      <w:bookmarkEnd w:id="0"/>
      <w:bookmarkEnd w:id="1"/>
      <w:bookmarkEnd w:id="2"/>
      <w:bookmarkEnd w:id="3"/>
      <w:bookmarkEnd w:id="4"/>
      <w:bookmarkEnd w:id="6"/>
    </w:p>
    <w:bookmarkEnd w:id="5"/>
    <w:p>
      <w:pPr>
        <w:adjustRightInd w:val="0"/>
        <w:snapToGrid w:val="0"/>
        <w:spacing w:line="360" w:lineRule="auto"/>
        <w:ind w:firstLine="0" w:firstLineChars="0"/>
        <w:jc w:val="center"/>
        <w:outlineLvl w:val="0"/>
        <w:rPr>
          <w:rFonts w:ascii="方正小标宋简体" w:hAnsi="方正小标宋简体" w:eastAsia="方正小标宋简体" w:cs="方正小标宋简体"/>
          <w:color w:val="auto"/>
          <w:sz w:val="52"/>
          <w:szCs w:val="52"/>
        </w:rPr>
        <w:sectPr>
          <w:headerReference r:id="rId7" w:type="first"/>
          <w:footerReference r:id="rId10" w:type="first"/>
          <w:headerReference r:id="rId5" w:type="default"/>
          <w:footerReference r:id="rId8" w:type="default"/>
          <w:headerReference r:id="rId6" w:type="even"/>
          <w:footerReference r:id="rId9" w:type="even"/>
          <w:pgSz w:w="11905" w:h="16838"/>
          <w:pgMar w:top="2098" w:right="1474" w:bottom="1984" w:left="1587" w:header="850" w:footer="1417" w:gutter="0"/>
          <w:pgNumType w:start="1"/>
          <w:cols w:space="0" w:num="1"/>
          <w:titlePg/>
          <w:docGrid w:linePitch="286" w:charSpace="0"/>
        </w:sectPr>
      </w:pPr>
      <w:bookmarkStart w:id="7" w:name="_Toc15377194"/>
      <w:bookmarkStart w:id="8" w:name="_Toc15396476"/>
      <w:bookmarkStart w:id="9" w:name="_Toc15306268"/>
      <w:bookmarkStart w:id="10" w:name="_Toc15378442"/>
      <w:bookmarkStart w:id="11" w:name="_Toc20029"/>
      <w:bookmarkStart w:id="12" w:name="_Toc15377426"/>
      <w:bookmarkStart w:id="13" w:name="_Toc15396598"/>
      <w:r>
        <w:rPr>
          <w:rFonts w:hint="eastAsia" w:ascii="方正小标宋简体" w:hAnsi="方正小标宋简体" w:eastAsia="方正小标宋简体" w:cs="方正小标宋简体"/>
          <w:color w:val="auto"/>
          <w:sz w:val="52"/>
          <w:szCs w:val="52"/>
        </w:rPr>
        <w:t>广元市贸促会部门决算</w:t>
      </w:r>
      <w:bookmarkEnd w:id="7"/>
      <w:bookmarkEnd w:id="8"/>
      <w:bookmarkEnd w:id="9"/>
      <w:bookmarkEnd w:id="10"/>
      <w:bookmarkEnd w:id="11"/>
      <w:bookmarkEnd w:id="12"/>
      <w:bookmarkEnd w:id="13"/>
    </w:p>
    <w:p>
      <w:pPr>
        <w:widowControl/>
        <w:ind w:firstLine="0" w:firstLineChars="0"/>
        <w:jc w:val="center"/>
        <w:rPr>
          <w:rFonts w:ascii="黑体" w:hAnsi="黑体" w:eastAsia="黑体" w:cs="黑体"/>
          <w:color w:val="auto"/>
          <w:sz w:val="28"/>
          <w:szCs w:val="28"/>
        </w:rPr>
      </w:pPr>
      <w:r>
        <w:rPr>
          <w:rFonts w:hint="eastAsia" w:ascii="方正小标宋简体" w:hAnsi="方正小标宋简体" w:eastAsia="方正小标宋简体" w:cs="方正小标宋简体"/>
          <w:color w:val="auto"/>
          <w:sz w:val="44"/>
          <w:szCs w:val="44"/>
        </w:rPr>
        <w:t>目录</w:t>
      </w:r>
    </w:p>
    <w:p>
      <w:pPr>
        <w:pStyle w:val="11"/>
        <w:adjustRightInd w:val="0"/>
        <w:snapToGrid w:val="0"/>
        <w:spacing w:before="0" w:line="440" w:lineRule="exact"/>
        <w:ind w:firstLine="240" w:firstLineChars="100"/>
        <w:rPr>
          <w:rFonts w:ascii="仿宋_GB2312" w:eastAsia="仿宋_GB2312"/>
          <w:color w:val="auto"/>
          <w:sz w:val="24"/>
        </w:rPr>
      </w:pPr>
      <w:r>
        <w:rPr>
          <w:rFonts w:hint="eastAsia" w:ascii="仿宋_GB2312" w:eastAsia="仿宋_GB2312"/>
          <w:color w:val="auto"/>
          <w:sz w:val="24"/>
        </w:rPr>
        <w:t>公开时间：2023年10月7日</w:t>
      </w:r>
    </w:p>
    <w:p>
      <w:pPr>
        <w:ind w:firstLine="640"/>
        <w:rPr>
          <w:color w:val="auto"/>
        </w:rPr>
      </w:pPr>
    </w:p>
    <w:p>
      <w:pPr>
        <w:pStyle w:val="11"/>
        <w:tabs>
          <w:tab w:val="right" w:leader="dot" w:pos="8844"/>
          <w:tab w:val="clear" w:pos="8296"/>
        </w:tabs>
        <w:spacing w:line="340" w:lineRule="exact"/>
        <w:ind w:firstLine="0" w:firstLineChars="0"/>
        <w:jc w:val="both"/>
        <w:rPr>
          <w:rFonts w:asciiTheme="minorEastAsia" w:hAnsiTheme="minorEastAsia" w:eastAsiaTheme="minorEastAsia"/>
          <w:color w:val="auto"/>
        </w:rPr>
      </w:pPr>
      <w:bookmarkStart w:id="14" w:name="_Toc15377196"/>
      <w:bookmarkStart w:id="15" w:name="_Toc15396599"/>
      <w:r>
        <w:rPr>
          <w:color w:val="auto"/>
        </w:rPr>
        <w:fldChar w:fldCharType="begin"/>
      </w:r>
      <w:r>
        <w:rPr>
          <w:color w:val="auto"/>
        </w:rPr>
        <w:instrText xml:space="preserve">TOC \o "1-3" \h \u </w:instrText>
      </w:r>
      <w:r>
        <w:rPr>
          <w:color w:val="auto"/>
        </w:rPr>
        <w:fldChar w:fldCharType="separate"/>
      </w:r>
      <w:r>
        <w:rPr>
          <w:color w:val="auto"/>
        </w:rPr>
        <w:fldChar w:fldCharType="begin"/>
      </w:r>
      <w:r>
        <w:rPr>
          <w:color w:val="auto"/>
        </w:rPr>
        <w:instrText xml:space="preserve"> HYPERLINK \l "_Toc13263" </w:instrText>
      </w:r>
      <w:r>
        <w:rPr>
          <w:color w:val="auto"/>
        </w:rPr>
        <w:fldChar w:fldCharType="separate"/>
      </w:r>
      <w:r>
        <w:rPr>
          <w:rFonts w:hint="eastAsia" w:asciiTheme="minorEastAsia" w:hAnsiTheme="minorEastAsia" w:eastAsiaTheme="minorEastAsia"/>
          <w:color w:val="auto"/>
        </w:rPr>
        <w:t>第一部分部门概况</w:t>
      </w:r>
      <w:r>
        <w:rPr>
          <w:rFonts w:asciiTheme="minorEastAsia" w:hAnsiTheme="minorEastAsia" w:eastAsiaTheme="minorEastAsia"/>
          <w:color w:val="auto"/>
        </w:rPr>
        <w:tab/>
      </w:r>
      <w:r>
        <w:rPr>
          <w:rFonts w:asciiTheme="minorEastAsia" w:hAnsiTheme="minorEastAsia" w:eastAsiaTheme="minorEastAsia"/>
          <w:color w:val="auto"/>
        </w:rPr>
        <w:fldChar w:fldCharType="begin"/>
      </w:r>
      <w:r>
        <w:rPr>
          <w:rFonts w:asciiTheme="minorEastAsia" w:hAnsiTheme="minorEastAsia" w:eastAsiaTheme="minorEastAsia"/>
          <w:color w:val="auto"/>
        </w:rPr>
        <w:instrText xml:space="preserve"> PAGEREF _Toc13263 \h </w:instrText>
      </w:r>
      <w:r>
        <w:rPr>
          <w:rFonts w:asciiTheme="minorEastAsia" w:hAnsiTheme="minorEastAsia" w:eastAsiaTheme="minorEastAsia"/>
          <w:color w:val="auto"/>
        </w:rPr>
        <w:fldChar w:fldCharType="separate"/>
      </w:r>
      <w:r>
        <w:rPr>
          <w:rFonts w:asciiTheme="minorEastAsia" w:hAnsiTheme="minorEastAsia" w:eastAsiaTheme="minorEastAsia"/>
          <w:color w:val="auto"/>
        </w:rPr>
        <w:t>1</w:t>
      </w:r>
      <w:r>
        <w:rPr>
          <w:rFonts w:asciiTheme="minorEastAsia" w:hAnsiTheme="minorEastAsia" w:eastAsiaTheme="minorEastAsia"/>
          <w:color w:val="auto"/>
        </w:rPr>
        <w:fldChar w:fldCharType="end"/>
      </w:r>
      <w:r>
        <w:rPr>
          <w:rFonts w:asciiTheme="minorEastAsia" w:hAnsiTheme="minorEastAsia" w:eastAsiaTheme="minorEastAsia"/>
          <w:color w:val="auto"/>
        </w:rPr>
        <w:fldChar w:fldCharType="end"/>
      </w:r>
    </w:p>
    <w:p>
      <w:pPr>
        <w:pStyle w:val="13"/>
        <w:tabs>
          <w:tab w:val="right" w:leader="dot" w:pos="8844"/>
          <w:tab w:val="clear" w:pos="8296"/>
        </w:tabs>
        <w:spacing w:line="340" w:lineRule="exact"/>
        <w:ind w:left="640" w:firstLine="640"/>
        <w:rPr>
          <w:rFonts w:asciiTheme="minorEastAsia" w:hAnsiTheme="minorEastAsia" w:eastAsiaTheme="minorEastAsia"/>
          <w:color w:val="auto"/>
          <w:sz w:val="28"/>
          <w:szCs w:val="28"/>
        </w:rPr>
      </w:pPr>
      <w:r>
        <w:rPr>
          <w:color w:val="auto"/>
        </w:rPr>
        <w:fldChar w:fldCharType="begin"/>
      </w:r>
      <w:r>
        <w:rPr>
          <w:color w:val="auto"/>
        </w:rPr>
        <w:instrText xml:space="preserve"> HYPERLINK \l "_Toc20285" </w:instrText>
      </w:r>
      <w:r>
        <w:rPr>
          <w:color w:val="auto"/>
        </w:rPr>
        <w:fldChar w:fldCharType="separate"/>
      </w:r>
      <w:r>
        <w:rPr>
          <w:rFonts w:hint="eastAsia" w:asciiTheme="minorEastAsia" w:hAnsiTheme="minorEastAsia" w:eastAsiaTheme="minorEastAsia"/>
          <w:color w:val="auto"/>
          <w:sz w:val="28"/>
          <w:szCs w:val="28"/>
        </w:rPr>
        <w:t>一、部门职责</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_Toc20285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1</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13"/>
        <w:tabs>
          <w:tab w:val="right" w:leader="dot" w:pos="8844"/>
          <w:tab w:val="clear" w:pos="8296"/>
        </w:tabs>
        <w:spacing w:line="340" w:lineRule="exact"/>
        <w:ind w:left="640" w:firstLine="640"/>
        <w:rPr>
          <w:rFonts w:asciiTheme="minorEastAsia" w:hAnsiTheme="minorEastAsia" w:eastAsiaTheme="minorEastAsia"/>
          <w:color w:val="auto"/>
          <w:sz w:val="28"/>
          <w:szCs w:val="28"/>
        </w:rPr>
      </w:pPr>
      <w:r>
        <w:rPr>
          <w:color w:val="auto"/>
        </w:rPr>
        <w:fldChar w:fldCharType="begin"/>
      </w:r>
      <w:r>
        <w:rPr>
          <w:color w:val="auto"/>
        </w:rPr>
        <w:instrText xml:space="preserve"> HYPERLINK \l "_Toc9717" </w:instrText>
      </w:r>
      <w:r>
        <w:rPr>
          <w:color w:val="auto"/>
        </w:rPr>
        <w:fldChar w:fldCharType="separate"/>
      </w:r>
      <w:r>
        <w:rPr>
          <w:rFonts w:hint="eastAsia" w:asciiTheme="minorEastAsia" w:hAnsiTheme="minorEastAsia" w:eastAsiaTheme="minorEastAsia"/>
          <w:color w:val="auto"/>
          <w:sz w:val="28"/>
          <w:szCs w:val="28"/>
        </w:rPr>
        <w:t>二、机构设置</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_Toc9717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1</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11"/>
        <w:tabs>
          <w:tab w:val="right" w:leader="dot" w:pos="8844"/>
          <w:tab w:val="clear" w:pos="8296"/>
        </w:tabs>
        <w:spacing w:line="340" w:lineRule="exact"/>
        <w:ind w:firstLine="560"/>
        <w:rPr>
          <w:rFonts w:asciiTheme="minorEastAsia" w:hAnsiTheme="minorEastAsia" w:eastAsiaTheme="minorEastAsia"/>
          <w:color w:val="auto"/>
        </w:rPr>
      </w:pPr>
      <w:r>
        <w:rPr>
          <w:color w:val="auto"/>
        </w:rPr>
        <w:fldChar w:fldCharType="begin"/>
      </w:r>
      <w:r>
        <w:rPr>
          <w:color w:val="auto"/>
        </w:rPr>
        <w:instrText xml:space="preserve"> HYPERLINK \l "_Toc15991" </w:instrText>
      </w:r>
      <w:r>
        <w:rPr>
          <w:color w:val="auto"/>
        </w:rPr>
        <w:fldChar w:fldCharType="separate"/>
      </w:r>
      <w:r>
        <w:rPr>
          <w:rFonts w:hint="eastAsia" w:asciiTheme="minorEastAsia" w:hAnsiTheme="minorEastAsia" w:eastAsiaTheme="minorEastAsia"/>
          <w:color w:val="auto"/>
        </w:rPr>
        <w:t>第二部分2022年度部门决算情况说明</w:t>
      </w:r>
      <w:r>
        <w:rPr>
          <w:rFonts w:asciiTheme="minorEastAsia" w:hAnsiTheme="minorEastAsia" w:eastAsiaTheme="minorEastAsia"/>
          <w:color w:val="auto"/>
        </w:rPr>
        <w:tab/>
      </w:r>
      <w:r>
        <w:rPr>
          <w:rFonts w:asciiTheme="minorEastAsia" w:hAnsiTheme="minorEastAsia" w:eastAsiaTheme="minorEastAsia"/>
          <w:color w:val="auto"/>
        </w:rPr>
        <w:fldChar w:fldCharType="begin"/>
      </w:r>
      <w:r>
        <w:rPr>
          <w:rFonts w:asciiTheme="minorEastAsia" w:hAnsiTheme="minorEastAsia" w:eastAsiaTheme="minorEastAsia"/>
          <w:color w:val="auto"/>
        </w:rPr>
        <w:instrText xml:space="preserve"> PAGEREF _Toc15991 \h </w:instrText>
      </w:r>
      <w:r>
        <w:rPr>
          <w:rFonts w:asciiTheme="minorEastAsia" w:hAnsiTheme="minorEastAsia" w:eastAsiaTheme="minorEastAsia"/>
          <w:color w:val="auto"/>
        </w:rPr>
        <w:fldChar w:fldCharType="separate"/>
      </w:r>
      <w:r>
        <w:rPr>
          <w:rFonts w:asciiTheme="minorEastAsia" w:hAnsiTheme="minorEastAsia" w:eastAsiaTheme="minorEastAsia"/>
          <w:color w:val="auto"/>
        </w:rPr>
        <w:t>2</w:t>
      </w:r>
      <w:r>
        <w:rPr>
          <w:rFonts w:asciiTheme="minorEastAsia" w:hAnsiTheme="minorEastAsia" w:eastAsiaTheme="minorEastAsia"/>
          <w:color w:val="auto"/>
        </w:rPr>
        <w:fldChar w:fldCharType="end"/>
      </w:r>
      <w:r>
        <w:rPr>
          <w:rFonts w:asciiTheme="minorEastAsia" w:hAnsiTheme="minorEastAsia" w:eastAsiaTheme="minorEastAsia"/>
          <w:color w:val="auto"/>
        </w:rPr>
        <w:fldChar w:fldCharType="end"/>
      </w:r>
    </w:p>
    <w:p>
      <w:pPr>
        <w:pStyle w:val="13"/>
        <w:tabs>
          <w:tab w:val="right" w:leader="dot" w:pos="8844"/>
          <w:tab w:val="clear" w:pos="8296"/>
        </w:tabs>
        <w:spacing w:line="340" w:lineRule="exact"/>
        <w:ind w:left="640" w:firstLine="640"/>
        <w:rPr>
          <w:rFonts w:asciiTheme="minorEastAsia" w:hAnsiTheme="minorEastAsia" w:eastAsiaTheme="minorEastAsia"/>
          <w:color w:val="auto"/>
          <w:sz w:val="28"/>
          <w:szCs w:val="28"/>
        </w:rPr>
      </w:pPr>
      <w:r>
        <w:rPr>
          <w:color w:val="auto"/>
        </w:rPr>
        <w:fldChar w:fldCharType="begin"/>
      </w:r>
      <w:r>
        <w:rPr>
          <w:color w:val="auto"/>
        </w:rPr>
        <w:instrText xml:space="preserve"> HYPERLINK \l "_Toc6116" </w:instrText>
      </w:r>
      <w:r>
        <w:rPr>
          <w:color w:val="auto"/>
        </w:rPr>
        <w:fldChar w:fldCharType="separate"/>
      </w:r>
      <w:r>
        <w:rPr>
          <w:rFonts w:hint="eastAsia" w:asciiTheme="minorEastAsia" w:hAnsiTheme="minorEastAsia" w:eastAsiaTheme="minorEastAsia"/>
          <w:color w:val="auto"/>
          <w:sz w:val="28"/>
          <w:szCs w:val="28"/>
        </w:rPr>
        <w:t>一、收入支出决算总体情况说明</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_Toc6116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2</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13"/>
        <w:tabs>
          <w:tab w:val="right" w:leader="dot" w:pos="8844"/>
          <w:tab w:val="clear" w:pos="8296"/>
        </w:tabs>
        <w:spacing w:line="340" w:lineRule="exact"/>
        <w:ind w:left="640" w:firstLine="640"/>
        <w:rPr>
          <w:rFonts w:asciiTheme="minorEastAsia" w:hAnsiTheme="minorEastAsia" w:eastAsiaTheme="minorEastAsia"/>
          <w:color w:val="auto"/>
          <w:sz w:val="28"/>
          <w:szCs w:val="28"/>
        </w:rPr>
      </w:pPr>
      <w:r>
        <w:rPr>
          <w:color w:val="auto"/>
        </w:rPr>
        <w:fldChar w:fldCharType="begin"/>
      </w:r>
      <w:r>
        <w:rPr>
          <w:color w:val="auto"/>
        </w:rPr>
        <w:instrText xml:space="preserve"> HYPERLINK \l "_Toc30706" </w:instrText>
      </w:r>
      <w:r>
        <w:rPr>
          <w:color w:val="auto"/>
        </w:rPr>
        <w:fldChar w:fldCharType="separate"/>
      </w:r>
      <w:r>
        <w:rPr>
          <w:rFonts w:hint="eastAsia" w:asciiTheme="minorEastAsia" w:hAnsiTheme="minorEastAsia" w:eastAsiaTheme="minorEastAsia"/>
          <w:color w:val="auto"/>
          <w:sz w:val="28"/>
          <w:szCs w:val="28"/>
        </w:rPr>
        <w:t>二、收入决算情况说明</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_Toc30706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3</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13"/>
        <w:tabs>
          <w:tab w:val="right" w:leader="dot" w:pos="8844"/>
          <w:tab w:val="clear" w:pos="8296"/>
        </w:tabs>
        <w:spacing w:line="340" w:lineRule="exact"/>
        <w:ind w:left="640" w:firstLine="640"/>
        <w:rPr>
          <w:rFonts w:asciiTheme="minorEastAsia" w:hAnsiTheme="minorEastAsia" w:eastAsiaTheme="minorEastAsia"/>
          <w:color w:val="auto"/>
          <w:sz w:val="28"/>
          <w:szCs w:val="28"/>
        </w:rPr>
      </w:pPr>
      <w:r>
        <w:rPr>
          <w:color w:val="auto"/>
        </w:rPr>
        <w:fldChar w:fldCharType="begin"/>
      </w:r>
      <w:r>
        <w:rPr>
          <w:color w:val="auto"/>
        </w:rPr>
        <w:instrText xml:space="preserve"> HYPERLINK \l "_Toc21303" </w:instrText>
      </w:r>
      <w:r>
        <w:rPr>
          <w:color w:val="auto"/>
        </w:rPr>
        <w:fldChar w:fldCharType="separate"/>
      </w:r>
      <w:r>
        <w:rPr>
          <w:rFonts w:hint="eastAsia" w:asciiTheme="minorEastAsia" w:hAnsiTheme="minorEastAsia" w:eastAsiaTheme="minorEastAsia"/>
          <w:color w:val="auto"/>
          <w:sz w:val="28"/>
          <w:szCs w:val="28"/>
        </w:rPr>
        <w:t>三、支出决算情况说明</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_Toc21303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3</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13"/>
        <w:tabs>
          <w:tab w:val="right" w:leader="dot" w:pos="8844"/>
          <w:tab w:val="clear" w:pos="8296"/>
        </w:tabs>
        <w:spacing w:line="340" w:lineRule="exact"/>
        <w:ind w:left="640" w:firstLine="640"/>
        <w:rPr>
          <w:rFonts w:asciiTheme="minorEastAsia" w:hAnsiTheme="minorEastAsia" w:eastAsiaTheme="minorEastAsia"/>
          <w:color w:val="auto"/>
          <w:sz w:val="28"/>
          <w:szCs w:val="28"/>
        </w:rPr>
      </w:pPr>
      <w:r>
        <w:rPr>
          <w:color w:val="auto"/>
        </w:rPr>
        <w:fldChar w:fldCharType="begin"/>
      </w:r>
      <w:r>
        <w:rPr>
          <w:color w:val="auto"/>
        </w:rPr>
        <w:instrText xml:space="preserve"> HYPERLINK \l "_Toc19913" </w:instrText>
      </w:r>
      <w:r>
        <w:rPr>
          <w:color w:val="auto"/>
        </w:rPr>
        <w:fldChar w:fldCharType="separate"/>
      </w:r>
      <w:r>
        <w:rPr>
          <w:rFonts w:hint="eastAsia" w:asciiTheme="minorEastAsia" w:hAnsiTheme="minorEastAsia" w:eastAsiaTheme="minorEastAsia"/>
          <w:color w:val="auto"/>
          <w:sz w:val="28"/>
          <w:szCs w:val="28"/>
        </w:rPr>
        <w:t>四、财政拨款收入支出决算总体情况说明</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_Toc19913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4</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13"/>
        <w:tabs>
          <w:tab w:val="right" w:leader="dot" w:pos="8844"/>
          <w:tab w:val="clear" w:pos="8296"/>
        </w:tabs>
        <w:spacing w:line="340" w:lineRule="exact"/>
        <w:ind w:left="640" w:firstLine="640"/>
        <w:rPr>
          <w:rFonts w:asciiTheme="minorEastAsia" w:hAnsiTheme="minorEastAsia" w:eastAsiaTheme="minorEastAsia"/>
          <w:color w:val="auto"/>
          <w:sz w:val="28"/>
          <w:szCs w:val="28"/>
        </w:rPr>
      </w:pPr>
      <w:r>
        <w:rPr>
          <w:color w:val="auto"/>
        </w:rPr>
        <w:fldChar w:fldCharType="begin"/>
      </w:r>
      <w:r>
        <w:rPr>
          <w:color w:val="auto"/>
        </w:rPr>
        <w:instrText xml:space="preserve"> HYPERLINK \l "_Toc31970" </w:instrText>
      </w:r>
      <w:r>
        <w:rPr>
          <w:color w:val="auto"/>
        </w:rPr>
        <w:fldChar w:fldCharType="separate"/>
      </w:r>
      <w:r>
        <w:rPr>
          <w:rFonts w:hint="eastAsia" w:asciiTheme="minorEastAsia" w:hAnsiTheme="minorEastAsia" w:eastAsiaTheme="minorEastAsia"/>
          <w:color w:val="auto"/>
          <w:sz w:val="28"/>
          <w:szCs w:val="28"/>
        </w:rPr>
        <w:t>五、一般公共预算财政拨款支出决算情况说明</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_Toc31970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4</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13"/>
        <w:tabs>
          <w:tab w:val="right" w:leader="dot" w:pos="8844"/>
          <w:tab w:val="clear" w:pos="8296"/>
        </w:tabs>
        <w:spacing w:line="340" w:lineRule="exact"/>
        <w:ind w:left="640" w:firstLine="640"/>
        <w:rPr>
          <w:rFonts w:asciiTheme="minorEastAsia" w:hAnsiTheme="minorEastAsia" w:eastAsiaTheme="minorEastAsia"/>
          <w:color w:val="auto"/>
          <w:sz w:val="28"/>
          <w:szCs w:val="28"/>
        </w:rPr>
      </w:pPr>
      <w:r>
        <w:rPr>
          <w:color w:val="auto"/>
        </w:rPr>
        <w:fldChar w:fldCharType="begin"/>
      </w:r>
      <w:r>
        <w:rPr>
          <w:color w:val="auto"/>
        </w:rPr>
        <w:instrText xml:space="preserve"> HYPERLINK \l "_Toc1880" </w:instrText>
      </w:r>
      <w:r>
        <w:rPr>
          <w:color w:val="auto"/>
        </w:rPr>
        <w:fldChar w:fldCharType="separate"/>
      </w:r>
      <w:r>
        <w:rPr>
          <w:rFonts w:hint="eastAsia" w:asciiTheme="minorEastAsia" w:hAnsiTheme="minorEastAsia" w:eastAsiaTheme="minorEastAsia"/>
          <w:color w:val="auto"/>
          <w:sz w:val="28"/>
          <w:szCs w:val="28"/>
        </w:rPr>
        <w:t>六、一般公共预算财政拨款基本支出决算情况说明</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_Toc1880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6</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13"/>
        <w:tabs>
          <w:tab w:val="right" w:leader="dot" w:pos="8844"/>
          <w:tab w:val="clear" w:pos="8296"/>
        </w:tabs>
        <w:spacing w:line="340" w:lineRule="exact"/>
        <w:ind w:left="640" w:firstLine="640"/>
        <w:rPr>
          <w:rFonts w:asciiTheme="minorEastAsia" w:hAnsiTheme="minorEastAsia" w:eastAsiaTheme="minorEastAsia"/>
          <w:color w:val="auto"/>
          <w:sz w:val="28"/>
          <w:szCs w:val="28"/>
        </w:rPr>
      </w:pPr>
      <w:r>
        <w:rPr>
          <w:color w:val="auto"/>
        </w:rPr>
        <w:fldChar w:fldCharType="begin"/>
      </w:r>
      <w:r>
        <w:rPr>
          <w:color w:val="auto"/>
        </w:rPr>
        <w:instrText xml:space="preserve"> HYPERLINK \l "_Toc1057" </w:instrText>
      </w:r>
      <w:r>
        <w:rPr>
          <w:color w:val="auto"/>
        </w:rPr>
        <w:fldChar w:fldCharType="separate"/>
      </w:r>
      <w:r>
        <w:rPr>
          <w:rFonts w:hint="eastAsia" w:asciiTheme="minorEastAsia" w:hAnsiTheme="minorEastAsia" w:eastAsiaTheme="minorEastAsia"/>
          <w:color w:val="auto"/>
          <w:sz w:val="28"/>
          <w:szCs w:val="28"/>
        </w:rPr>
        <w:t>七、财政拨款“三公”经费支出决算情况说明</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_Toc1057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7</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13"/>
        <w:tabs>
          <w:tab w:val="right" w:leader="dot" w:pos="8844"/>
          <w:tab w:val="clear" w:pos="8296"/>
        </w:tabs>
        <w:spacing w:line="340" w:lineRule="exact"/>
        <w:ind w:left="640" w:firstLine="640"/>
        <w:rPr>
          <w:rFonts w:asciiTheme="minorEastAsia" w:hAnsiTheme="minorEastAsia" w:eastAsiaTheme="minorEastAsia"/>
          <w:color w:val="auto"/>
          <w:sz w:val="28"/>
          <w:szCs w:val="28"/>
        </w:rPr>
      </w:pPr>
      <w:r>
        <w:rPr>
          <w:color w:val="auto"/>
        </w:rPr>
        <w:fldChar w:fldCharType="begin"/>
      </w:r>
      <w:r>
        <w:rPr>
          <w:color w:val="auto"/>
        </w:rPr>
        <w:instrText xml:space="preserve"> HYPERLINK \l "_Toc20218" </w:instrText>
      </w:r>
      <w:r>
        <w:rPr>
          <w:color w:val="auto"/>
        </w:rPr>
        <w:fldChar w:fldCharType="separate"/>
      </w:r>
      <w:r>
        <w:rPr>
          <w:rFonts w:hint="eastAsia" w:asciiTheme="minorEastAsia" w:hAnsiTheme="minorEastAsia" w:eastAsiaTheme="minorEastAsia"/>
          <w:color w:val="auto"/>
          <w:sz w:val="28"/>
          <w:szCs w:val="28"/>
        </w:rPr>
        <w:t>八、政府性基金预算支出决算情况说明</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_Toc20218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8</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13"/>
        <w:tabs>
          <w:tab w:val="right" w:leader="dot" w:pos="8844"/>
          <w:tab w:val="clear" w:pos="8296"/>
        </w:tabs>
        <w:spacing w:line="340" w:lineRule="exact"/>
        <w:ind w:left="640" w:firstLine="640"/>
        <w:rPr>
          <w:rFonts w:asciiTheme="minorEastAsia" w:hAnsiTheme="minorEastAsia" w:eastAsiaTheme="minorEastAsia"/>
          <w:color w:val="auto"/>
          <w:sz w:val="28"/>
          <w:szCs w:val="28"/>
        </w:rPr>
      </w:pPr>
      <w:r>
        <w:rPr>
          <w:color w:val="auto"/>
        </w:rPr>
        <w:fldChar w:fldCharType="begin"/>
      </w:r>
      <w:r>
        <w:rPr>
          <w:color w:val="auto"/>
        </w:rPr>
        <w:instrText xml:space="preserve"> HYPERLINK \l "_Toc10692" </w:instrText>
      </w:r>
      <w:r>
        <w:rPr>
          <w:color w:val="auto"/>
        </w:rPr>
        <w:fldChar w:fldCharType="separate"/>
      </w:r>
      <w:r>
        <w:rPr>
          <w:rFonts w:hint="eastAsia" w:asciiTheme="minorEastAsia" w:hAnsiTheme="minorEastAsia" w:eastAsiaTheme="minorEastAsia"/>
          <w:color w:val="auto"/>
          <w:sz w:val="28"/>
          <w:szCs w:val="28"/>
        </w:rPr>
        <w:t>九、国有资本经营预算支出决算情况说明</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_Toc10692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8</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13"/>
        <w:tabs>
          <w:tab w:val="right" w:leader="dot" w:pos="8844"/>
          <w:tab w:val="clear" w:pos="8296"/>
        </w:tabs>
        <w:spacing w:line="340" w:lineRule="exact"/>
        <w:ind w:left="640" w:firstLine="640"/>
        <w:rPr>
          <w:rFonts w:asciiTheme="minorEastAsia" w:hAnsiTheme="minorEastAsia" w:eastAsiaTheme="minorEastAsia"/>
          <w:color w:val="auto"/>
          <w:sz w:val="28"/>
          <w:szCs w:val="28"/>
        </w:rPr>
      </w:pPr>
      <w:r>
        <w:rPr>
          <w:color w:val="auto"/>
        </w:rPr>
        <w:fldChar w:fldCharType="begin"/>
      </w:r>
      <w:r>
        <w:rPr>
          <w:color w:val="auto"/>
        </w:rPr>
        <w:instrText xml:space="preserve"> HYPERLINK \l "_Toc10899" </w:instrText>
      </w:r>
      <w:r>
        <w:rPr>
          <w:color w:val="auto"/>
        </w:rPr>
        <w:fldChar w:fldCharType="separate"/>
      </w:r>
      <w:r>
        <w:rPr>
          <w:rFonts w:hint="eastAsia" w:asciiTheme="minorEastAsia" w:hAnsiTheme="minorEastAsia" w:eastAsiaTheme="minorEastAsia"/>
          <w:color w:val="auto"/>
          <w:sz w:val="28"/>
          <w:szCs w:val="28"/>
        </w:rPr>
        <w:t>十、其他重要事项的情况说明</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_Toc10899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8</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11"/>
        <w:tabs>
          <w:tab w:val="right" w:leader="dot" w:pos="8844"/>
          <w:tab w:val="clear" w:pos="8296"/>
        </w:tabs>
        <w:spacing w:line="340" w:lineRule="exact"/>
        <w:ind w:firstLine="560"/>
        <w:rPr>
          <w:rFonts w:asciiTheme="minorEastAsia" w:hAnsiTheme="minorEastAsia" w:eastAsiaTheme="minorEastAsia"/>
          <w:color w:val="auto"/>
        </w:rPr>
      </w:pPr>
      <w:r>
        <w:rPr>
          <w:color w:val="auto"/>
        </w:rPr>
        <w:fldChar w:fldCharType="begin"/>
      </w:r>
      <w:r>
        <w:rPr>
          <w:color w:val="auto"/>
        </w:rPr>
        <w:instrText xml:space="preserve"> HYPERLINK \l "_Toc27413" </w:instrText>
      </w:r>
      <w:r>
        <w:rPr>
          <w:color w:val="auto"/>
        </w:rPr>
        <w:fldChar w:fldCharType="separate"/>
      </w:r>
      <w:r>
        <w:rPr>
          <w:rFonts w:hint="eastAsia" w:asciiTheme="minorEastAsia" w:hAnsiTheme="minorEastAsia" w:eastAsiaTheme="minorEastAsia"/>
          <w:color w:val="auto"/>
        </w:rPr>
        <w:t>第三部分名词解释</w:t>
      </w:r>
      <w:r>
        <w:rPr>
          <w:rFonts w:asciiTheme="minorEastAsia" w:hAnsiTheme="minorEastAsia" w:eastAsiaTheme="minorEastAsia"/>
          <w:color w:val="auto"/>
        </w:rPr>
        <w:tab/>
      </w:r>
      <w:r>
        <w:rPr>
          <w:rFonts w:asciiTheme="minorEastAsia" w:hAnsiTheme="minorEastAsia" w:eastAsiaTheme="minorEastAsia"/>
          <w:color w:val="auto"/>
        </w:rPr>
        <w:fldChar w:fldCharType="begin"/>
      </w:r>
      <w:r>
        <w:rPr>
          <w:rFonts w:asciiTheme="minorEastAsia" w:hAnsiTheme="minorEastAsia" w:eastAsiaTheme="minorEastAsia"/>
          <w:color w:val="auto"/>
        </w:rPr>
        <w:instrText xml:space="preserve"> PAGEREF _Toc27413 \h </w:instrText>
      </w:r>
      <w:r>
        <w:rPr>
          <w:rFonts w:asciiTheme="minorEastAsia" w:hAnsiTheme="minorEastAsia" w:eastAsiaTheme="minorEastAsia"/>
          <w:color w:val="auto"/>
        </w:rPr>
        <w:fldChar w:fldCharType="separate"/>
      </w:r>
      <w:r>
        <w:rPr>
          <w:rFonts w:asciiTheme="minorEastAsia" w:hAnsiTheme="minorEastAsia" w:eastAsiaTheme="minorEastAsia"/>
          <w:color w:val="auto"/>
        </w:rPr>
        <w:t>10</w:t>
      </w:r>
      <w:r>
        <w:rPr>
          <w:rFonts w:asciiTheme="minorEastAsia" w:hAnsiTheme="minorEastAsia" w:eastAsiaTheme="minorEastAsia"/>
          <w:color w:val="auto"/>
        </w:rPr>
        <w:fldChar w:fldCharType="end"/>
      </w:r>
      <w:r>
        <w:rPr>
          <w:rFonts w:asciiTheme="minorEastAsia" w:hAnsiTheme="minorEastAsia" w:eastAsiaTheme="minorEastAsia"/>
          <w:color w:val="auto"/>
        </w:rPr>
        <w:fldChar w:fldCharType="end"/>
      </w:r>
    </w:p>
    <w:p>
      <w:pPr>
        <w:pStyle w:val="11"/>
        <w:tabs>
          <w:tab w:val="right" w:leader="dot" w:pos="8844"/>
          <w:tab w:val="clear" w:pos="8296"/>
        </w:tabs>
        <w:spacing w:line="340" w:lineRule="exact"/>
        <w:ind w:firstLine="560"/>
        <w:rPr>
          <w:rFonts w:asciiTheme="minorEastAsia" w:hAnsiTheme="minorEastAsia" w:eastAsiaTheme="minorEastAsia"/>
          <w:color w:val="auto"/>
        </w:rPr>
      </w:pPr>
      <w:r>
        <w:rPr>
          <w:color w:val="auto"/>
        </w:rPr>
        <w:fldChar w:fldCharType="begin"/>
      </w:r>
      <w:r>
        <w:rPr>
          <w:color w:val="auto"/>
        </w:rPr>
        <w:instrText xml:space="preserve"> HYPERLINK \l "_Toc15729" </w:instrText>
      </w:r>
      <w:r>
        <w:rPr>
          <w:color w:val="auto"/>
        </w:rPr>
        <w:fldChar w:fldCharType="separate"/>
      </w:r>
      <w:r>
        <w:rPr>
          <w:rFonts w:hint="eastAsia" w:asciiTheme="minorEastAsia" w:hAnsiTheme="minorEastAsia" w:eastAsiaTheme="minorEastAsia"/>
          <w:color w:val="auto"/>
        </w:rPr>
        <w:t>第四部分附件</w:t>
      </w:r>
      <w:r>
        <w:rPr>
          <w:rFonts w:asciiTheme="minorEastAsia" w:hAnsiTheme="minorEastAsia" w:eastAsiaTheme="minorEastAsia"/>
          <w:color w:val="auto"/>
        </w:rPr>
        <w:tab/>
      </w:r>
      <w:r>
        <w:rPr>
          <w:rFonts w:asciiTheme="minorEastAsia" w:hAnsiTheme="minorEastAsia" w:eastAsiaTheme="minorEastAsia"/>
          <w:color w:val="auto"/>
        </w:rPr>
        <w:fldChar w:fldCharType="begin"/>
      </w:r>
      <w:r>
        <w:rPr>
          <w:rFonts w:asciiTheme="minorEastAsia" w:hAnsiTheme="minorEastAsia" w:eastAsiaTheme="minorEastAsia"/>
          <w:color w:val="auto"/>
        </w:rPr>
        <w:instrText xml:space="preserve"> PAGEREF _Toc15729 \h </w:instrText>
      </w:r>
      <w:r>
        <w:rPr>
          <w:rFonts w:asciiTheme="minorEastAsia" w:hAnsiTheme="minorEastAsia" w:eastAsiaTheme="minorEastAsia"/>
          <w:color w:val="auto"/>
        </w:rPr>
        <w:fldChar w:fldCharType="separate"/>
      </w:r>
      <w:r>
        <w:rPr>
          <w:rFonts w:asciiTheme="minorEastAsia" w:hAnsiTheme="minorEastAsia" w:eastAsiaTheme="minorEastAsia"/>
          <w:color w:val="auto"/>
        </w:rPr>
        <w:t>13</w:t>
      </w:r>
      <w:r>
        <w:rPr>
          <w:rFonts w:asciiTheme="minorEastAsia" w:hAnsiTheme="minorEastAsia" w:eastAsiaTheme="minorEastAsia"/>
          <w:color w:val="auto"/>
        </w:rPr>
        <w:fldChar w:fldCharType="end"/>
      </w:r>
      <w:r>
        <w:rPr>
          <w:rFonts w:asciiTheme="minorEastAsia" w:hAnsiTheme="minorEastAsia" w:eastAsiaTheme="minorEastAsia"/>
          <w:color w:val="auto"/>
        </w:rPr>
        <w:fldChar w:fldCharType="end"/>
      </w:r>
    </w:p>
    <w:p>
      <w:pPr>
        <w:pStyle w:val="11"/>
        <w:tabs>
          <w:tab w:val="right" w:leader="dot" w:pos="8844"/>
          <w:tab w:val="clear" w:pos="8296"/>
        </w:tabs>
        <w:spacing w:line="340" w:lineRule="exact"/>
        <w:ind w:firstLine="560"/>
        <w:rPr>
          <w:rFonts w:asciiTheme="minorEastAsia" w:hAnsiTheme="minorEastAsia" w:eastAsiaTheme="minorEastAsia"/>
          <w:color w:val="auto"/>
        </w:rPr>
      </w:pPr>
      <w:r>
        <w:rPr>
          <w:color w:val="auto"/>
        </w:rPr>
        <w:fldChar w:fldCharType="begin"/>
      </w:r>
      <w:r>
        <w:rPr>
          <w:color w:val="auto"/>
        </w:rPr>
        <w:instrText xml:space="preserve"> HYPERLINK \l "_Toc13478" </w:instrText>
      </w:r>
      <w:r>
        <w:rPr>
          <w:color w:val="auto"/>
        </w:rPr>
        <w:fldChar w:fldCharType="separate"/>
      </w:r>
      <w:r>
        <w:rPr>
          <w:rFonts w:hint="eastAsia" w:asciiTheme="minorEastAsia" w:hAnsiTheme="minorEastAsia" w:eastAsiaTheme="minorEastAsia"/>
          <w:color w:val="auto"/>
        </w:rPr>
        <w:t>第五部分附表</w:t>
      </w:r>
      <w:r>
        <w:rPr>
          <w:rFonts w:asciiTheme="minorEastAsia" w:hAnsiTheme="minorEastAsia" w:eastAsiaTheme="minorEastAsia"/>
          <w:color w:val="auto"/>
        </w:rPr>
        <w:tab/>
      </w:r>
      <w:r>
        <w:rPr>
          <w:rFonts w:asciiTheme="minorEastAsia" w:hAnsiTheme="minorEastAsia" w:eastAsiaTheme="minorEastAsia"/>
          <w:color w:val="auto"/>
        </w:rPr>
        <w:fldChar w:fldCharType="begin"/>
      </w:r>
      <w:r>
        <w:rPr>
          <w:rFonts w:asciiTheme="minorEastAsia" w:hAnsiTheme="minorEastAsia" w:eastAsiaTheme="minorEastAsia"/>
          <w:color w:val="auto"/>
        </w:rPr>
        <w:instrText xml:space="preserve"> PAGEREF _Toc13478 \h </w:instrText>
      </w:r>
      <w:r>
        <w:rPr>
          <w:rFonts w:asciiTheme="minorEastAsia" w:hAnsiTheme="minorEastAsia" w:eastAsiaTheme="minorEastAsia"/>
          <w:color w:val="auto"/>
        </w:rPr>
        <w:fldChar w:fldCharType="separate"/>
      </w:r>
      <w:r>
        <w:rPr>
          <w:rFonts w:asciiTheme="minorEastAsia" w:hAnsiTheme="minorEastAsia" w:eastAsiaTheme="minorEastAsia"/>
          <w:color w:val="auto"/>
        </w:rPr>
        <w:t>61</w:t>
      </w:r>
      <w:r>
        <w:rPr>
          <w:rFonts w:asciiTheme="minorEastAsia" w:hAnsiTheme="minorEastAsia" w:eastAsiaTheme="minorEastAsia"/>
          <w:color w:val="auto"/>
        </w:rPr>
        <w:fldChar w:fldCharType="end"/>
      </w:r>
      <w:r>
        <w:rPr>
          <w:rFonts w:asciiTheme="minorEastAsia" w:hAnsiTheme="minorEastAsia" w:eastAsiaTheme="minorEastAsia"/>
          <w:color w:val="auto"/>
        </w:rPr>
        <w:fldChar w:fldCharType="end"/>
      </w:r>
    </w:p>
    <w:p>
      <w:pPr>
        <w:pStyle w:val="13"/>
        <w:tabs>
          <w:tab w:val="right" w:leader="dot" w:pos="8844"/>
          <w:tab w:val="clear" w:pos="8296"/>
        </w:tabs>
        <w:spacing w:line="340" w:lineRule="exact"/>
        <w:ind w:left="640" w:firstLine="640"/>
        <w:rPr>
          <w:rFonts w:asciiTheme="minorEastAsia" w:hAnsiTheme="minorEastAsia" w:eastAsiaTheme="minorEastAsia"/>
          <w:color w:val="auto"/>
          <w:sz w:val="28"/>
          <w:szCs w:val="28"/>
        </w:rPr>
      </w:pPr>
      <w:r>
        <w:rPr>
          <w:color w:val="auto"/>
        </w:rPr>
        <w:fldChar w:fldCharType="begin"/>
      </w:r>
      <w:r>
        <w:rPr>
          <w:color w:val="auto"/>
        </w:rPr>
        <w:instrText xml:space="preserve"> HYPERLINK \l "_Toc18007" </w:instrText>
      </w:r>
      <w:r>
        <w:rPr>
          <w:color w:val="auto"/>
        </w:rPr>
        <w:fldChar w:fldCharType="separate"/>
      </w:r>
      <w:r>
        <w:rPr>
          <w:rFonts w:hint="eastAsia" w:asciiTheme="minorEastAsia" w:hAnsiTheme="minorEastAsia" w:eastAsiaTheme="minorEastAsia"/>
          <w:color w:val="auto"/>
          <w:sz w:val="28"/>
          <w:szCs w:val="28"/>
        </w:rPr>
        <w:t>一、收入支出决算总表</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_Toc18007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61</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13"/>
        <w:tabs>
          <w:tab w:val="right" w:leader="dot" w:pos="8844"/>
          <w:tab w:val="clear" w:pos="8296"/>
        </w:tabs>
        <w:spacing w:line="340" w:lineRule="exact"/>
        <w:ind w:left="640" w:firstLine="640"/>
        <w:rPr>
          <w:rFonts w:asciiTheme="minorEastAsia" w:hAnsiTheme="minorEastAsia" w:eastAsiaTheme="minorEastAsia"/>
          <w:color w:val="auto"/>
          <w:sz w:val="28"/>
          <w:szCs w:val="28"/>
        </w:rPr>
      </w:pPr>
      <w:r>
        <w:rPr>
          <w:color w:val="auto"/>
        </w:rPr>
        <w:fldChar w:fldCharType="begin"/>
      </w:r>
      <w:r>
        <w:rPr>
          <w:color w:val="auto"/>
        </w:rPr>
        <w:instrText xml:space="preserve"> HYPERLINK \l "_Toc9414" </w:instrText>
      </w:r>
      <w:r>
        <w:rPr>
          <w:color w:val="auto"/>
        </w:rPr>
        <w:fldChar w:fldCharType="separate"/>
      </w:r>
      <w:r>
        <w:rPr>
          <w:rFonts w:hint="eastAsia" w:asciiTheme="minorEastAsia" w:hAnsiTheme="minorEastAsia" w:eastAsiaTheme="minorEastAsia"/>
          <w:color w:val="auto"/>
          <w:sz w:val="28"/>
          <w:szCs w:val="28"/>
        </w:rPr>
        <w:t>二、收入决算表</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_Toc9414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61</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13"/>
        <w:tabs>
          <w:tab w:val="right" w:leader="dot" w:pos="8844"/>
          <w:tab w:val="clear" w:pos="8296"/>
        </w:tabs>
        <w:spacing w:line="340" w:lineRule="exact"/>
        <w:ind w:left="640" w:firstLine="640"/>
        <w:rPr>
          <w:rFonts w:asciiTheme="minorEastAsia" w:hAnsiTheme="minorEastAsia" w:eastAsiaTheme="minorEastAsia"/>
          <w:color w:val="auto"/>
          <w:sz w:val="28"/>
          <w:szCs w:val="28"/>
        </w:rPr>
      </w:pPr>
      <w:r>
        <w:rPr>
          <w:color w:val="auto"/>
        </w:rPr>
        <w:fldChar w:fldCharType="begin"/>
      </w:r>
      <w:r>
        <w:rPr>
          <w:color w:val="auto"/>
        </w:rPr>
        <w:instrText xml:space="preserve"> HYPERLINK \l "_Toc8869" </w:instrText>
      </w:r>
      <w:r>
        <w:rPr>
          <w:color w:val="auto"/>
        </w:rPr>
        <w:fldChar w:fldCharType="separate"/>
      </w:r>
      <w:r>
        <w:rPr>
          <w:rFonts w:hint="eastAsia" w:asciiTheme="minorEastAsia" w:hAnsiTheme="minorEastAsia" w:eastAsiaTheme="minorEastAsia"/>
          <w:color w:val="auto"/>
          <w:sz w:val="28"/>
          <w:szCs w:val="28"/>
        </w:rPr>
        <w:t>三、支出决算表</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_Toc8869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61</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13"/>
        <w:tabs>
          <w:tab w:val="right" w:leader="dot" w:pos="8844"/>
          <w:tab w:val="clear" w:pos="8296"/>
        </w:tabs>
        <w:spacing w:line="340" w:lineRule="exact"/>
        <w:ind w:left="640" w:firstLine="640"/>
        <w:rPr>
          <w:rFonts w:asciiTheme="minorEastAsia" w:hAnsiTheme="minorEastAsia" w:eastAsiaTheme="minorEastAsia"/>
          <w:color w:val="auto"/>
          <w:sz w:val="28"/>
          <w:szCs w:val="28"/>
        </w:rPr>
      </w:pPr>
      <w:r>
        <w:rPr>
          <w:color w:val="auto"/>
        </w:rPr>
        <w:fldChar w:fldCharType="begin"/>
      </w:r>
      <w:r>
        <w:rPr>
          <w:color w:val="auto"/>
        </w:rPr>
        <w:instrText xml:space="preserve"> HYPERLINK \l "_Toc8818" </w:instrText>
      </w:r>
      <w:r>
        <w:rPr>
          <w:color w:val="auto"/>
        </w:rPr>
        <w:fldChar w:fldCharType="separate"/>
      </w:r>
      <w:r>
        <w:rPr>
          <w:rFonts w:hint="eastAsia" w:asciiTheme="minorEastAsia" w:hAnsiTheme="minorEastAsia" w:eastAsiaTheme="minorEastAsia"/>
          <w:color w:val="auto"/>
          <w:sz w:val="28"/>
          <w:szCs w:val="28"/>
        </w:rPr>
        <w:t>四、财政拨款收入支出决算总表</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_Toc8818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61</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13"/>
        <w:tabs>
          <w:tab w:val="right" w:leader="dot" w:pos="8844"/>
          <w:tab w:val="clear" w:pos="8296"/>
        </w:tabs>
        <w:spacing w:line="340" w:lineRule="exact"/>
        <w:ind w:left="640" w:firstLine="640"/>
        <w:rPr>
          <w:rFonts w:asciiTheme="minorEastAsia" w:hAnsiTheme="minorEastAsia" w:eastAsiaTheme="minorEastAsia"/>
          <w:color w:val="auto"/>
          <w:sz w:val="28"/>
          <w:szCs w:val="28"/>
        </w:rPr>
      </w:pPr>
      <w:r>
        <w:rPr>
          <w:color w:val="auto"/>
        </w:rPr>
        <w:fldChar w:fldCharType="begin"/>
      </w:r>
      <w:r>
        <w:rPr>
          <w:color w:val="auto"/>
        </w:rPr>
        <w:instrText xml:space="preserve"> HYPERLINK \l "_Toc10237" </w:instrText>
      </w:r>
      <w:r>
        <w:rPr>
          <w:color w:val="auto"/>
        </w:rPr>
        <w:fldChar w:fldCharType="separate"/>
      </w:r>
      <w:r>
        <w:rPr>
          <w:rFonts w:hint="eastAsia" w:asciiTheme="minorEastAsia" w:hAnsiTheme="minorEastAsia" w:eastAsiaTheme="minorEastAsia"/>
          <w:color w:val="auto"/>
          <w:sz w:val="28"/>
          <w:szCs w:val="28"/>
        </w:rPr>
        <w:t>五、财政拨款支出决算明细表</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_Toc10237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61</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13"/>
        <w:tabs>
          <w:tab w:val="right" w:leader="dot" w:pos="8844"/>
          <w:tab w:val="clear" w:pos="8296"/>
        </w:tabs>
        <w:spacing w:line="340" w:lineRule="exact"/>
        <w:ind w:left="640" w:firstLine="640"/>
        <w:rPr>
          <w:rFonts w:asciiTheme="minorEastAsia" w:hAnsiTheme="minorEastAsia" w:eastAsiaTheme="minorEastAsia"/>
          <w:color w:val="auto"/>
          <w:sz w:val="28"/>
          <w:szCs w:val="28"/>
        </w:rPr>
      </w:pPr>
      <w:r>
        <w:rPr>
          <w:color w:val="auto"/>
        </w:rPr>
        <w:fldChar w:fldCharType="begin"/>
      </w:r>
      <w:r>
        <w:rPr>
          <w:color w:val="auto"/>
        </w:rPr>
        <w:instrText xml:space="preserve"> HYPERLINK \l "_Toc29946" </w:instrText>
      </w:r>
      <w:r>
        <w:rPr>
          <w:color w:val="auto"/>
        </w:rPr>
        <w:fldChar w:fldCharType="separate"/>
      </w:r>
      <w:r>
        <w:rPr>
          <w:rFonts w:hint="eastAsia" w:asciiTheme="minorEastAsia" w:hAnsiTheme="minorEastAsia" w:eastAsiaTheme="minorEastAsia"/>
          <w:color w:val="auto"/>
          <w:sz w:val="28"/>
          <w:szCs w:val="28"/>
        </w:rPr>
        <w:t>六、一般公共预算财政拨款支出决算表</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_Toc29946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61</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13"/>
        <w:tabs>
          <w:tab w:val="right" w:leader="dot" w:pos="8844"/>
          <w:tab w:val="clear" w:pos="8296"/>
        </w:tabs>
        <w:spacing w:line="340" w:lineRule="exact"/>
        <w:ind w:left="640" w:firstLine="640"/>
        <w:rPr>
          <w:rFonts w:asciiTheme="minorEastAsia" w:hAnsiTheme="minorEastAsia" w:eastAsiaTheme="minorEastAsia"/>
          <w:color w:val="auto"/>
          <w:sz w:val="28"/>
          <w:szCs w:val="28"/>
        </w:rPr>
      </w:pPr>
      <w:r>
        <w:rPr>
          <w:color w:val="auto"/>
        </w:rPr>
        <w:fldChar w:fldCharType="begin"/>
      </w:r>
      <w:r>
        <w:rPr>
          <w:color w:val="auto"/>
        </w:rPr>
        <w:instrText xml:space="preserve"> HYPERLINK \l "_Toc28629" </w:instrText>
      </w:r>
      <w:r>
        <w:rPr>
          <w:color w:val="auto"/>
        </w:rPr>
        <w:fldChar w:fldCharType="separate"/>
      </w:r>
      <w:r>
        <w:rPr>
          <w:rFonts w:hint="eastAsia" w:asciiTheme="minorEastAsia" w:hAnsiTheme="minorEastAsia" w:eastAsiaTheme="minorEastAsia"/>
          <w:color w:val="auto"/>
          <w:sz w:val="28"/>
          <w:szCs w:val="28"/>
        </w:rPr>
        <w:t>七、一般公共预算财政拨款支出决算明细表</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_Toc28629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61</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13"/>
        <w:tabs>
          <w:tab w:val="right" w:leader="dot" w:pos="8844"/>
          <w:tab w:val="clear" w:pos="8296"/>
        </w:tabs>
        <w:spacing w:line="340" w:lineRule="exact"/>
        <w:ind w:left="640" w:firstLine="640"/>
        <w:rPr>
          <w:color w:val="auto"/>
          <w:sz w:val="28"/>
          <w:szCs w:val="28"/>
        </w:rPr>
      </w:pPr>
      <w:r>
        <w:rPr>
          <w:color w:val="auto"/>
        </w:rPr>
        <w:fldChar w:fldCharType="begin"/>
      </w:r>
      <w:r>
        <w:rPr>
          <w:color w:val="auto"/>
        </w:rPr>
        <w:instrText xml:space="preserve"> HYPERLINK \l "_Toc10683" </w:instrText>
      </w:r>
      <w:r>
        <w:rPr>
          <w:color w:val="auto"/>
        </w:rPr>
        <w:fldChar w:fldCharType="separate"/>
      </w:r>
      <w:r>
        <w:rPr>
          <w:rFonts w:hint="eastAsia" w:ascii="仿宋_GB2312" w:hAnsi="仿宋"/>
          <w:color w:val="auto"/>
          <w:sz w:val="28"/>
          <w:szCs w:val="28"/>
        </w:rPr>
        <w:t>八、一般公共预算财政拨款基本支出决算表</w:t>
      </w:r>
      <w:r>
        <w:rPr>
          <w:color w:val="auto"/>
          <w:sz w:val="28"/>
          <w:szCs w:val="28"/>
        </w:rPr>
        <w:tab/>
      </w:r>
      <w:r>
        <w:rPr>
          <w:color w:val="auto"/>
          <w:sz w:val="28"/>
          <w:szCs w:val="28"/>
        </w:rPr>
        <w:fldChar w:fldCharType="begin"/>
      </w:r>
      <w:r>
        <w:rPr>
          <w:color w:val="auto"/>
          <w:sz w:val="28"/>
          <w:szCs w:val="28"/>
        </w:rPr>
        <w:instrText xml:space="preserve"> PAGEREF _Toc10683 \h </w:instrText>
      </w:r>
      <w:r>
        <w:rPr>
          <w:color w:val="auto"/>
          <w:sz w:val="28"/>
          <w:szCs w:val="28"/>
        </w:rPr>
        <w:fldChar w:fldCharType="separate"/>
      </w:r>
      <w:r>
        <w:rPr>
          <w:color w:val="auto"/>
          <w:sz w:val="28"/>
          <w:szCs w:val="28"/>
        </w:rPr>
        <w:t>61</w:t>
      </w:r>
      <w:r>
        <w:rPr>
          <w:color w:val="auto"/>
          <w:sz w:val="28"/>
          <w:szCs w:val="28"/>
        </w:rPr>
        <w:fldChar w:fldCharType="end"/>
      </w:r>
      <w:r>
        <w:rPr>
          <w:color w:val="auto"/>
          <w:sz w:val="28"/>
          <w:szCs w:val="28"/>
        </w:rPr>
        <w:fldChar w:fldCharType="end"/>
      </w:r>
    </w:p>
    <w:p>
      <w:pPr>
        <w:pStyle w:val="13"/>
        <w:tabs>
          <w:tab w:val="right" w:leader="dot" w:pos="8844"/>
          <w:tab w:val="clear" w:pos="8296"/>
        </w:tabs>
        <w:spacing w:line="340" w:lineRule="exact"/>
        <w:ind w:left="640" w:firstLine="640"/>
        <w:rPr>
          <w:color w:val="auto"/>
          <w:sz w:val="28"/>
          <w:szCs w:val="28"/>
        </w:rPr>
      </w:pPr>
      <w:r>
        <w:rPr>
          <w:color w:val="auto"/>
        </w:rPr>
        <w:fldChar w:fldCharType="begin"/>
      </w:r>
      <w:r>
        <w:rPr>
          <w:color w:val="auto"/>
        </w:rPr>
        <w:instrText xml:space="preserve"> HYPERLINK \l "_Toc19670" </w:instrText>
      </w:r>
      <w:r>
        <w:rPr>
          <w:color w:val="auto"/>
        </w:rPr>
        <w:fldChar w:fldCharType="separate"/>
      </w:r>
      <w:r>
        <w:rPr>
          <w:rFonts w:hint="eastAsia" w:ascii="仿宋_GB2312" w:hAnsi="仿宋"/>
          <w:color w:val="auto"/>
          <w:sz w:val="28"/>
          <w:szCs w:val="28"/>
        </w:rPr>
        <w:t>九、一般公共预算财政拨款项目支出决算表</w:t>
      </w:r>
      <w:r>
        <w:rPr>
          <w:color w:val="auto"/>
          <w:sz w:val="28"/>
          <w:szCs w:val="28"/>
        </w:rPr>
        <w:tab/>
      </w:r>
      <w:r>
        <w:rPr>
          <w:color w:val="auto"/>
          <w:sz w:val="28"/>
          <w:szCs w:val="28"/>
        </w:rPr>
        <w:fldChar w:fldCharType="begin"/>
      </w:r>
      <w:r>
        <w:rPr>
          <w:color w:val="auto"/>
          <w:sz w:val="28"/>
          <w:szCs w:val="28"/>
        </w:rPr>
        <w:instrText xml:space="preserve"> PAGEREF _Toc19670 \h </w:instrText>
      </w:r>
      <w:r>
        <w:rPr>
          <w:color w:val="auto"/>
          <w:sz w:val="28"/>
          <w:szCs w:val="28"/>
        </w:rPr>
        <w:fldChar w:fldCharType="separate"/>
      </w:r>
      <w:r>
        <w:rPr>
          <w:color w:val="auto"/>
          <w:sz w:val="28"/>
          <w:szCs w:val="28"/>
        </w:rPr>
        <w:t>61</w:t>
      </w:r>
      <w:r>
        <w:rPr>
          <w:color w:val="auto"/>
          <w:sz w:val="28"/>
          <w:szCs w:val="28"/>
        </w:rPr>
        <w:fldChar w:fldCharType="end"/>
      </w:r>
      <w:r>
        <w:rPr>
          <w:color w:val="auto"/>
          <w:sz w:val="28"/>
          <w:szCs w:val="28"/>
        </w:rPr>
        <w:fldChar w:fldCharType="end"/>
      </w:r>
    </w:p>
    <w:p>
      <w:pPr>
        <w:pStyle w:val="13"/>
        <w:tabs>
          <w:tab w:val="right" w:leader="dot" w:pos="8844"/>
          <w:tab w:val="clear" w:pos="8296"/>
        </w:tabs>
        <w:spacing w:line="340" w:lineRule="exact"/>
        <w:ind w:left="640" w:firstLine="640"/>
        <w:rPr>
          <w:color w:val="auto"/>
          <w:sz w:val="28"/>
          <w:szCs w:val="28"/>
        </w:rPr>
      </w:pPr>
      <w:r>
        <w:rPr>
          <w:color w:val="auto"/>
        </w:rPr>
        <w:fldChar w:fldCharType="begin"/>
      </w:r>
      <w:r>
        <w:rPr>
          <w:color w:val="auto"/>
        </w:rPr>
        <w:instrText xml:space="preserve"> HYPERLINK \l "_Toc16527" </w:instrText>
      </w:r>
      <w:r>
        <w:rPr>
          <w:color w:val="auto"/>
        </w:rPr>
        <w:fldChar w:fldCharType="separate"/>
      </w:r>
      <w:r>
        <w:rPr>
          <w:rFonts w:hint="eastAsia" w:ascii="仿宋_GB2312" w:hAnsi="仿宋"/>
          <w:color w:val="auto"/>
          <w:sz w:val="28"/>
          <w:szCs w:val="28"/>
        </w:rPr>
        <w:t>十、政府性基金预算财政拨款收入支出决算表</w:t>
      </w:r>
      <w:r>
        <w:rPr>
          <w:color w:val="auto"/>
          <w:sz w:val="28"/>
          <w:szCs w:val="28"/>
        </w:rPr>
        <w:tab/>
      </w:r>
      <w:r>
        <w:rPr>
          <w:color w:val="auto"/>
          <w:sz w:val="28"/>
          <w:szCs w:val="28"/>
        </w:rPr>
        <w:fldChar w:fldCharType="begin"/>
      </w:r>
      <w:r>
        <w:rPr>
          <w:color w:val="auto"/>
          <w:sz w:val="28"/>
          <w:szCs w:val="28"/>
        </w:rPr>
        <w:instrText xml:space="preserve"> PAGEREF _Toc16527 \h </w:instrText>
      </w:r>
      <w:r>
        <w:rPr>
          <w:color w:val="auto"/>
          <w:sz w:val="28"/>
          <w:szCs w:val="28"/>
        </w:rPr>
        <w:fldChar w:fldCharType="separate"/>
      </w:r>
      <w:r>
        <w:rPr>
          <w:color w:val="auto"/>
          <w:sz w:val="28"/>
          <w:szCs w:val="28"/>
        </w:rPr>
        <w:t>61</w:t>
      </w:r>
      <w:r>
        <w:rPr>
          <w:color w:val="auto"/>
          <w:sz w:val="28"/>
          <w:szCs w:val="28"/>
        </w:rPr>
        <w:fldChar w:fldCharType="end"/>
      </w:r>
      <w:r>
        <w:rPr>
          <w:color w:val="auto"/>
          <w:sz w:val="28"/>
          <w:szCs w:val="28"/>
        </w:rPr>
        <w:fldChar w:fldCharType="end"/>
      </w:r>
    </w:p>
    <w:p>
      <w:pPr>
        <w:pStyle w:val="13"/>
        <w:tabs>
          <w:tab w:val="right" w:leader="dot" w:pos="8844"/>
          <w:tab w:val="clear" w:pos="8296"/>
        </w:tabs>
        <w:spacing w:line="340" w:lineRule="exact"/>
        <w:ind w:left="640" w:firstLine="640"/>
        <w:rPr>
          <w:color w:val="auto"/>
          <w:sz w:val="28"/>
          <w:szCs w:val="28"/>
        </w:rPr>
      </w:pPr>
      <w:r>
        <w:rPr>
          <w:color w:val="auto"/>
        </w:rPr>
        <w:fldChar w:fldCharType="begin"/>
      </w:r>
      <w:r>
        <w:rPr>
          <w:color w:val="auto"/>
        </w:rPr>
        <w:instrText xml:space="preserve"> HYPERLINK \l "_Toc8185" </w:instrText>
      </w:r>
      <w:r>
        <w:rPr>
          <w:color w:val="auto"/>
        </w:rPr>
        <w:fldChar w:fldCharType="separate"/>
      </w:r>
      <w:r>
        <w:rPr>
          <w:rFonts w:hint="eastAsia" w:ascii="仿宋_GB2312" w:hAnsi="仿宋"/>
          <w:color w:val="auto"/>
          <w:sz w:val="28"/>
          <w:szCs w:val="28"/>
        </w:rPr>
        <w:t>十一、国有资本经营预算财政拨款收入支出决算表</w:t>
      </w:r>
      <w:r>
        <w:rPr>
          <w:color w:val="auto"/>
          <w:sz w:val="28"/>
          <w:szCs w:val="28"/>
        </w:rPr>
        <w:tab/>
      </w:r>
      <w:r>
        <w:rPr>
          <w:color w:val="auto"/>
          <w:sz w:val="28"/>
          <w:szCs w:val="28"/>
        </w:rPr>
        <w:fldChar w:fldCharType="begin"/>
      </w:r>
      <w:r>
        <w:rPr>
          <w:color w:val="auto"/>
          <w:sz w:val="28"/>
          <w:szCs w:val="28"/>
        </w:rPr>
        <w:instrText xml:space="preserve"> PAGEREF _Toc8185 \h </w:instrText>
      </w:r>
      <w:r>
        <w:rPr>
          <w:color w:val="auto"/>
          <w:sz w:val="28"/>
          <w:szCs w:val="28"/>
        </w:rPr>
        <w:fldChar w:fldCharType="separate"/>
      </w:r>
      <w:r>
        <w:rPr>
          <w:color w:val="auto"/>
          <w:sz w:val="28"/>
          <w:szCs w:val="28"/>
        </w:rPr>
        <w:t>61</w:t>
      </w:r>
      <w:r>
        <w:rPr>
          <w:color w:val="auto"/>
          <w:sz w:val="28"/>
          <w:szCs w:val="28"/>
        </w:rPr>
        <w:fldChar w:fldCharType="end"/>
      </w:r>
      <w:r>
        <w:rPr>
          <w:color w:val="auto"/>
          <w:sz w:val="28"/>
          <w:szCs w:val="28"/>
        </w:rPr>
        <w:fldChar w:fldCharType="end"/>
      </w:r>
    </w:p>
    <w:p>
      <w:pPr>
        <w:pStyle w:val="13"/>
        <w:tabs>
          <w:tab w:val="right" w:leader="dot" w:pos="8844"/>
          <w:tab w:val="clear" w:pos="8296"/>
        </w:tabs>
        <w:spacing w:line="340" w:lineRule="exact"/>
        <w:ind w:left="640" w:firstLine="640"/>
        <w:rPr>
          <w:color w:val="auto"/>
          <w:sz w:val="28"/>
          <w:szCs w:val="28"/>
        </w:rPr>
      </w:pPr>
      <w:r>
        <w:rPr>
          <w:color w:val="auto"/>
        </w:rPr>
        <w:fldChar w:fldCharType="begin"/>
      </w:r>
      <w:r>
        <w:rPr>
          <w:color w:val="auto"/>
        </w:rPr>
        <w:instrText xml:space="preserve"> HYPERLINK \l "_Toc7401" </w:instrText>
      </w:r>
      <w:r>
        <w:rPr>
          <w:color w:val="auto"/>
        </w:rPr>
        <w:fldChar w:fldCharType="separate"/>
      </w:r>
      <w:r>
        <w:rPr>
          <w:rFonts w:hint="eastAsia" w:ascii="仿宋_GB2312" w:hAnsi="仿宋"/>
          <w:color w:val="auto"/>
          <w:sz w:val="28"/>
          <w:szCs w:val="28"/>
        </w:rPr>
        <w:t>十二、国有资本经营预算财政拨款支出决算表</w:t>
      </w:r>
      <w:r>
        <w:rPr>
          <w:color w:val="auto"/>
          <w:sz w:val="28"/>
          <w:szCs w:val="28"/>
        </w:rPr>
        <w:tab/>
      </w:r>
      <w:r>
        <w:rPr>
          <w:color w:val="auto"/>
          <w:sz w:val="28"/>
          <w:szCs w:val="28"/>
        </w:rPr>
        <w:fldChar w:fldCharType="begin"/>
      </w:r>
      <w:r>
        <w:rPr>
          <w:color w:val="auto"/>
          <w:sz w:val="28"/>
          <w:szCs w:val="28"/>
        </w:rPr>
        <w:instrText xml:space="preserve"> PAGEREF _Toc7401 \h </w:instrText>
      </w:r>
      <w:r>
        <w:rPr>
          <w:color w:val="auto"/>
          <w:sz w:val="28"/>
          <w:szCs w:val="28"/>
        </w:rPr>
        <w:fldChar w:fldCharType="separate"/>
      </w:r>
      <w:r>
        <w:rPr>
          <w:color w:val="auto"/>
          <w:sz w:val="28"/>
          <w:szCs w:val="28"/>
        </w:rPr>
        <w:t>61</w:t>
      </w:r>
      <w:r>
        <w:rPr>
          <w:color w:val="auto"/>
          <w:sz w:val="28"/>
          <w:szCs w:val="28"/>
        </w:rPr>
        <w:fldChar w:fldCharType="end"/>
      </w:r>
      <w:r>
        <w:rPr>
          <w:color w:val="auto"/>
          <w:sz w:val="28"/>
          <w:szCs w:val="28"/>
        </w:rPr>
        <w:fldChar w:fldCharType="end"/>
      </w:r>
    </w:p>
    <w:p>
      <w:pPr>
        <w:pStyle w:val="13"/>
        <w:tabs>
          <w:tab w:val="right" w:leader="dot" w:pos="8844"/>
          <w:tab w:val="clear" w:pos="8296"/>
        </w:tabs>
        <w:spacing w:line="340" w:lineRule="exact"/>
        <w:ind w:left="640" w:firstLine="640"/>
        <w:rPr>
          <w:color w:val="auto"/>
          <w:sz w:val="28"/>
          <w:szCs w:val="28"/>
        </w:rPr>
      </w:pPr>
      <w:r>
        <w:rPr>
          <w:color w:val="auto"/>
        </w:rPr>
        <w:fldChar w:fldCharType="begin"/>
      </w:r>
      <w:r>
        <w:rPr>
          <w:color w:val="auto"/>
        </w:rPr>
        <w:instrText xml:space="preserve"> HYPERLINK \l "_Toc13247" </w:instrText>
      </w:r>
      <w:r>
        <w:rPr>
          <w:color w:val="auto"/>
        </w:rPr>
        <w:fldChar w:fldCharType="separate"/>
      </w:r>
      <w:r>
        <w:rPr>
          <w:rFonts w:hint="eastAsia" w:ascii="仿宋_GB2312" w:hAnsi="仿宋"/>
          <w:color w:val="auto"/>
          <w:sz w:val="28"/>
          <w:szCs w:val="28"/>
        </w:rPr>
        <w:t>十三、财政拨款“三公”经费支出决算表</w:t>
      </w:r>
      <w:r>
        <w:rPr>
          <w:color w:val="auto"/>
          <w:sz w:val="28"/>
          <w:szCs w:val="28"/>
        </w:rPr>
        <w:tab/>
      </w:r>
      <w:r>
        <w:rPr>
          <w:color w:val="auto"/>
          <w:sz w:val="28"/>
          <w:szCs w:val="28"/>
        </w:rPr>
        <w:fldChar w:fldCharType="begin"/>
      </w:r>
      <w:r>
        <w:rPr>
          <w:color w:val="auto"/>
          <w:sz w:val="28"/>
          <w:szCs w:val="28"/>
        </w:rPr>
        <w:instrText xml:space="preserve"> PAGEREF _Toc13247 \h </w:instrText>
      </w:r>
      <w:r>
        <w:rPr>
          <w:color w:val="auto"/>
          <w:sz w:val="28"/>
          <w:szCs w:val="28"/>
        </w:rPr>
        <w:fldChar w:fldCharType="separate"/>
      </w:r>
      <w:r>
        <w:rPr>
          <w:color w:val="auto"/>
          <w:sz w:val="28"/>
          <w:szCs w:val="28"/>
        </w:rPr>
        <w:t>61</w:t>
      </w:r>
      <w:r>
        <w:rPr>
          <w:color w:val="auto"/>
          <w:sz w:val="28"/>
          <w:szCs w:val="28"/>
        </w:rPr>
        <w:fldChar w:fldCharType="end"/>
      </w:r>
      <w:r>
        <w:rPr>
          <w:color w:val="auto"/>
          <w:sz w:val="28"/>
          <w:szCs w:val="28"/>
        </w:rPr>
        <w:fldChar w:fldCharType="end"/>
      </w:r>
    </w:p>
    <w:p>
      <w:pPr>
        <w:ind w:firstLine="640"/>
        <w:rPr>
          <w:color w:val="auto"/>
        </w:rPr>
        <w:sectPr>
          <w:footerReference r:id="rId11" w:type="default"/>
          <w:pgSz w:w="11905" w:h="16838"/>
          <w:pgMar w:top="2098" w:right="1474" w:bottom="1984" w:left="1587" w:header="850" w:footer="1417" w:gutter="0"/>
          <w:pgNumType w:start="1"/>
          <w:cols w:space="0" w:num="1"/>
          <w:docGrid w:linePitch="286" w:charSpace="0"/>
        </w:sectPr>
      </w:pPr>
      <w:r>
        <w:rPr>
          <w:color w:val="auto"/>
        </w:rPr>
        <w:fldChar w:fldCharType="end"/>
      </w:r>
    </w:p>
    <w:p>
      <w:pPr>
        <w:ind w:firstLine="0" w:firstLineChars="0"/>
        <w:rPr>
          <w:color w:val="auto"/>
        </w:rPr>
      </w:pPr>
    </w:p>
    <w:p>
      <w:pPr>
        <w:pStyle w:val="3"/>
        <w:ind w:firstLine="880"/>
        <w:rPr>
          <w:color w:val="auto"/>
        </w:rPr>
      </w:pPr>
      <w:bookmarkStart w:id="16" w:name="_Toc13263"/>
      <w:r>
        <w:rPr>
          <w:rFonts w:hint="eastAsia"/>
          <w:color w:val="auto"/>
        </w:rPr>
        <w:t>第一部分部门概况</w:t>
      </w:r>
      <w:bookmarkEnd w:id="14"/>
      <w:bookmarkEnd w:id="15"/>
      <w:bookmarkEnd w:id="16"/>
    </w:p>
    <w:p>
      <w:pPr>
        <w:pStyle w:val="4"/>
        <w:spacing w:line="560" w:lineRule="exact"/>
        <w:ind w:firstLine="640"/>
        <w:rPr>
          <w:color w:val="auto"/>
          <w:kern w:val="44"/>
          <w:sz w:val="44"/>
          <w:szCs w:val="44"/>
        </w:rPr>
      </w:pPr>
      <w:bookmarkStart w:id="17" w:name="_Toc20285"/>
      <w:r>
        <w:rPr>
          <w:rFonts w:hint="eastAsia"/>
          <w:color w:val="auto"/>
        </w:rPr>
        <w:t>一、部门职责</w:t>
      </w:r>
      <w:bookmarkEnd w:id="17"/>
    </w:p>
    <w:p>
      <w:pPr>
        <w:spacing w:line="560" w:lineRule="exact"/>
        <w:ind w:firstLine="640"/>
        <w:rPr>
          <w:rFonts w:ascii="黑体" w:hAnsi="黑体" w:eastAsia="黑体"/>
          <w:color w:val="auto"/>
        </w:rPr>
      </w:pPr>
      <w:r>
        <w:rPr>
          <w:rFonts w:hint="eastAsia"/>
          <w:color w:val="auto"/>
        </w:rPr>
        <w:t>中国国际贸易促进委员会广元市委员会（以下简称：广元市贸促会），是由广元经济贸易界有代表性的人士、企业和团体组成的经济贸易促进组织，主要负责促进对外贸易、利用外资、引进外国先进技术及各种形式的中外经济技术合作等活动，促进广元同各国各地区之间的贸易和经济关系的发展。</w:t>
      </w:r>
      <w:bookmarkStart w:id="18" w:name="_Toc15396601"/>
      <w:bookmarkStart w:id="19" w:name="_Toc15377200"/>
    </w:p>
    <w:p>
      <w:pPr>
        <w:pStyle w:val="4"/>
        <w:spacing w:line="560" w:lineRule="exact"/>
        <w:ind w:firstLine="640"/>
        <w:rPr>
          <w:color w:val="auto"/>
        </w:rPr>
      </w:pPr>
      <w:bookmarkStart w:id="20" w:name="_Toc9717"/>
      <w:r>
        <w:rPr>
          <w:rFonts w:hint="eastAsia"/>
          <w:color w:val="auto"/>
        </w:rPr>
        <w:t>二、机构设置</w:t>
      </w:r>
      <w:bookmarkEnd w:id="18"/>
      <w:bookmarkEnd w:id="19"/>
      <w:bookmarkEnd w:id="20"/>
    </w:p>
    <w:p>
      <w:pPr>
        <w:spacing w:line="560" w:lineRule="exact"/>
        <w:ind w:firstLine="640"/>
        <w:rPr>
          <w:color w:val="auto"/>
        </w:rPr>
      </w:pPr>
      <w:r>
        <w:rPr>
          <w:rFonts w:hint="eastAsia"/>
          <w:color w:val="auto"/>
        </w:rPr>
        <w:t>广元市贸促会为一级预算单位，</w:t>
      </w:r>
      <w:r>
        <w:rPr>
          <w:color w:val="auto"/>
        </w:rPr>
        <w:t>无二级预算单位，</w:t>
      </w:r>
      <w:r>
        <w:rPr>
          <w:rFonts w:hint="eastAsia"/>
          <w:color w:val="auto"/>
        </w:rPr>
        <w:t>财政全额拨款，内设办公室、贸易投资促进部、国际联络部。</w:t>
      </w:r>
    </w:p>
    <w:p>
      <w:pPr>
        <w:pStyle w:val="4"/>
        <w:keepNext w:val="0"/>
        <w:keepLines w:val="0"/>
        <w:spacing w:line="576" w:lineRule="exact"/>
        <w:ind w:firstLine="643"/>
        <w:rPr>
          <w:rFonts w:ascii="仿宋_GB2312" w:hAnsi="仿宋_GB2312" w:eastAsia="仿宋_GB2312" w:cs="仿宋_GB2312"/>
          <w:b/>
          <w:bCs w:val="0"/>
          <w:color w:val="auto"/>
        </w:rPr>
      </w:pPr>
      <w:bookmarkStart w:id="21" w:name="_Toc15396602"/>
      <w:bookmarkStart w:id="22" w:name="_Toc15377204"/>
    </w:p>
    <w:p>
      <w:pPr>
        <w:pStyle w:val="4"/>
        <w:keepNext w:val="0"/>
        <w:keepLines w:val="0"/>
        <w:spacing w:line="576" w:lineRule="exact"/>
        <w:ind w:firstLine="643"/>
        <w:rPr>
          <w:rFonts w:ascii="仿宋_GB2312" w:hAnsi="仿宋_GB2312" w:eastAsia="仿宋_GB2312" w:cs="仿宋_GB2312"/>
          <w:b/>
          <w:bCs w:val="0"/>
          <w:color w:val="auto"/>
        </w:rPr>
      </w:pPr>
    </w:p>
    <w:p>
      <w:pPr>
        <w:pStyle w:val="4"/>
        <w:keepNext w:val="0"/>
        <w:keepLines w:val="0"/>
        <w:spacing w:line="576" w:lineRule="exact"/>
        <w:ind w:firstLine="643"/>
        <w:rPr>
          <w:rFonts w:ascii="仿宋_GB2312" w:hAnsi="仿宋_GB2312" w:eastAsia="仿宋_GB2312" w:cs="仿宋_GB2312"/>
          <w:b/>
          <w:bCs w:val="0"/>
          <w:color w:val="auto"/>
        </w:rPr>
      </w:pPr>
    </w:p>
    <w:p>
      <w:pPr>
        <w:pStyle w:val="4"/>
        <w:keepNext w:val="0"/>
        <w:keepLines w:val="0"/>
        <w:spacing w:line="576" w:lineRule="exact"/>
        <w:ind w:firstLine="643"/>
        <w:rPr>
          <w:rFonts w:ascii="仿宋_GB2312" w:hAnsi="仿宋_GB2312" w:eastAsia="仿宋_GB2312" w:cs="仿宋_GB2312"/>
          <w:b/>
          <w:bCs w:val="0"/>
          <w:color w:val="auto"/>
        </w:rPr>
      </w:pPr>
    </w:p>
    <w:p>
      <w:pPr>
        <w:pStyle w:val="4"/>
        <w:keepNext w:val="0"/>
        <w:keepLines w:val="0"/>
        <w:spacing w:line="576" w:lineRule="exact"/>
        <w:ind w:firstLine="643"/>
        <w:rPr>
          <w:rFonts w:ascii="仿宋_GB2312" w:hAnsi="仿宋_GB2312" w:eastAsia="仿宋_GB2312" w:cs="仿宋_GB2312"/>
          <w:b/>
          <w:bCs w:val="0"/>
          <w:color w:val="auto"/>
        </w:rPr>
      </w:pPr>
    </w:p>
    <w:p>
      <w:pPr>
        <w:pStyle w:val="2"/>
        <w:spacing w:before="72"/>
        <w:ind w:firstLine="600"/>
        <w:rPr>
          <w:color w:val="auto"/>
        </w:rPr>
      </w:pPr>
    </w:p>
    <w:p>
      <w:pPr>
        <w:pStyle w:val="3"/>
        <w:keepNext w:val="0"/>
        <w:keepLines w:val="0"/>
        <w:spacing w:before="0" w:after="0" w:line="576" w:lineRule="exact"/>
        <w:ind w:firstLine="883"/>
        <w:rPr>
          <w:rFonts w:ascii="黑体" w:hAnsi="黑体"/>
          <w:b/>
          <w:color w:val="auto"/>
        </w:rPr>
      </w:pPr>
    </w:p>
    <w:p>
      <w:pPr>
        <w:pStyle w:val="3"/>
        <w:keepNext w:val="0"/>
        <w:keepLines w:val="0"/>
        <w:spacing w:before="0" w:after="0" w:line="576" w:lineRule="exact"/>
        <w:ind w:firstLine="883"/>
        <w:rPr>
          <w:rFonts w:ascii="黑体" w:hAnsi="黑体"/>
          <w:b/>
          <w:color w:val="auto"/>
        </w:rPr>
      </w:pPr>
    </w:p>
    <w:p>
      <w:pPr>
        <w:pStyle w:val="3"/>
        <w:keepNext w:val="0"/>
        <w:keepLines w:val="0"/>
        <w:spacing w:before="0" w:after="0" w:line="576" w:lineRule="exact"/>
        <w:ind w:firstLine="883"/>
        <w:rPr>
          <w:rFonts w:ascii="黑体" w:hAnsi="黑体"/>
          <w:b/>
          <w:color w:val="auto"/>
        </w:rPr>
      </w:pPr>
    </w:p>
    <w:p>
      <w:pPr>
        <w:pStyle w:val="3"/>
        <w:keepNext w:val="0"/>
        <w:keepLines w:val="0"/>
        <w:spacing w:before="0" w:after="0" w:line="576" w:lineRule="exact"/>
        <w:ind w:firstLine="0" w:firstLineChars="0"/>
        <w:jc w:val="both"/>
        <w:rPr>
          <w:rFonts w:ascii="黑体" w:hAnsi="黑体"/>
          <w:b/>
          <w:color w:val="auto"/>
        </w:rPr>
      </w:pPr>
    </w:p>
    <w:p>
      <w:pPr>
        <w:pStyle w:val="3"/>
        <w:ind w:firstLine="880"/>
        <w:rPr>
          <w:color w:val="auto"/>
        </w:rPr>
      </w:pPr>
      <w:bookmarkStart w:id="23" w:name="_Toc15991"/>
      <w:r>
        <w:rPr>
          <w:rFonts w:hint="eastAsia"/>
          <w:color w:val="auto"/>
        </w:rPr>
        <w:t>第二部分2022年度部门决算情况说明</w:t>
      </w:r>
      <w:bookmarkEnd w:id="21"/>
      <w:bookmarkEnd w:id="22"/>
      <w:bookmarkEnd w:id="23"/>
    </w:p>
    <w:p>
      <w:pPr>
        <w:pStyle w:val="4"/>
        <w:spacing w:line="560" w:lineRule="exact"/>
        <w:ind w:firstLine="640"/>
        <w:rPr>
          <w:color w:val="auto"/>
        </w:rPr>
      </w:pPr>
      <w:bookmarkStart w:id="24" w:name="_Toc15377205"/>
      <w:bookmarkStart w:id="25" w:name="_Toc6116"/>
      <w:bookmarkStart w:id="26" w:name="_Toc15396603"/>
      <w:r>
        <w:rPr>
          <w:rFonts w:hint="eastAsia"/>
          <w:color w:val="auto"/>
        </w:rPr>
        <w:t>一、收入支出决算总体情况说明</w:t>
      </w:r>
      <w:bookmarkEnd w:id="24"/>
      <w:bookmarkEnd w:id="25"/>
      <w:bookmarkEnd w:id="26"/>
    </w:p>
    <w:p>
      <w:pPr>
        <w:spacing w:line="560" w:lineRule="exact"/>
        <w:ind w:firstLine="640"/>
        <w:rPr>
          <w:color w:val="auto"/>
        </w:rPr>
      </w:pPr>
      <w:r>
        <w:rPr>
          <w:rFonts w:hint="eastAsia"/>
          <w:color w:val="auto"/>
        </w:rPr>
        <w:t>2022年度收、支总计248.61万元。与2021年相比，收、支总计各减少57.26万元，下降18.72</w:t>
      </w:r>
      <w:r>
        <w:rPr>
          <w:color w:val="auto"/>
        </w:rPr>
        <w:t>%</w:t>
      </w:r>
      <w:r>
        <w:rPr>
          <w:rFonts w:hint="eastAsia"/>
          <w:color w:val="auto"/>
        </w:rPr>
        <w:t>。主要变动原因是人员变动、</w:t>
      </w:r>
      <w:r>
        <w:rPr>
          <w:rStyle w:val="17"/>
          <w:rFonts w:hint="eastAsia" w:ascii="仿宋" w:hAnsi="仿宋" w:eastAsia="仿宋"/>
          <w:b w:val="0"/>
          <w:color w:val="auto"/>
          <w:szCs w:val="32"/>
        </w:rPr>
        <w:t>厉行节约</w:t>
      </w:r>
      <w:r>
        <w:rPr>
          <w:rFonts w:hint="eastAsia"/>
          <w:color w:val="auto"/>
        </w:rPr>
        <w:t>。</w:t>
      </w:r>
    </w:p>
    <w:p>
      <w:pPr>
        <w:pStyle w:val="2"/>
        <w:spacing w:before="72"/>
        <w:ind w:firstLine="600"/>
        <w:rPr>
          <w:color w:val="auto"/>
        </w:rPr>
      </w:pPr>
    </w:p>
    <w:p>
      <w:pPr>
        <w:pStyle w:val="2"/>
        <w:spacing w:before="72"/>
        <w:ind w:firstLine="600"/>
        <w:rPr>
          <w:rFonts w:ascii="仿宋" w:hAnsi="仿宋" w:eastAsia="仿宋"/>
          <w:color w:val="auto"/>
          <w:szCs w:val="32"/>
        </w:rPr>
      </w:pPr>
      <w:r>
        <w:rPr>
          <w:color w:val="auto"/>
        </w:rPr>
        <w:drawing>
          <wp:inline distT="0" distB="0" distL="0" distR="0">
            <wp:extent cx="5795010" cy="4055110"/>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5"/>
                    <a:srcRect/>
                    <a:stretch>
                      <a:fillRect/>
                    </a:stretch>
                  </pic:blipFill>
                  <pic:spPr>
                    <a:xfrm>
                      <a:off x="0" y="0"/>
                      <a:ext cx="5795953" cy="4055420"/>
                    </a:xfrm>
                    <a:prstGeom prst="rect">
                      <a:avLst/>
                    </a:prstGeom>
                    <a:noFill/>
                    <a:ln w="9525">
                      <a:noFill/>
                      <a:miter lim="800000"/>
                      <a:headEnd/>
                      <a:tailEnd/>
                    </a:ln>
                  </pic:spPr>
                </pic:pic>
              </a:graphicData>
            </a:graphic>
          </wp:inline>
        </w:drawing>
      </w:r>
    </w:p>
    <w:p>
      <w:pPr>
        <w:pStyle w:val="2"/>
        <w:spacing w:before="72"/>
        <w:ind w:firstLine="600"/>
        <w:jc w:val="center"/>
        <w:rPr>
          <w:rFonts w:ascii="仿宋" w:hAnsi="仿宋" w:eastAsia="仿宋"/>
          <w:color w:val="auto"/>
          <w:szCs w:val="32"/>
        </w:rPr>
      </w:pPr>
    </w:p>
    <w:p>
      <w:pPr>
        <w:pStyle w:val="2"/>
        <w:spacing w:before="72"/>
        <w:ind w:firstLine="600"/>
        <w:jc w:val="center"/>
        <w:rPr>
          <w:rFonts w:ascii="仿宋" w:hAnsi="仿宋" w:eastAsia="仿宋"/>
          <w:color w:val="auto"/>
          <w:szCs w:val="32"/>
        </w:rPr>
      </w:pPr>
      <w:r>
        <w:rPr>
          <w:rFonts w:hint="eastAsia" w:ascii="仿宋" w:hAnsi="仿宋" w:eastAsia="仿宋"/>
          <w:color w:val="auto"/>
          <w:szCs w:val="32"/>
        </w:rPr>
        <w:t>图</w:t>
      </w:r>
      <w:r>
        <w:rPr>
          <w:rFonts w:ascii="仿宋" w:hAnsi="仿宋" w:eastAsia="仿宋"/>
          <w:color w:val="auto"/>
          <w:szCs w:val="32"/>
        </w:rPr>
        <w:t>1</w:t>
      </w:r>
      <w:r>
        <w:rPr>
          <w:rFonts w:hint="eastAsia" w:ascii="仿宋" w:hAnsi="仿宋" w:eastAsia="仿宋"/>
          <w:color w:val="auto"/>
          <w:szCs w:val="32"/>
        </w:rPr>
        <w:t>：收、支决算总计变动情况图（单位：万元）</w:t>
      </w:r>
      <w:bookmarkStart w:id="27" w:name="_Toc30706"/>
      <w:bookmarkStart w:id="28" w:name="_Toc15377206"/>
      <w:bookmarkStart w:id="29" w:name="_Toc15396604"/>
    </w:p>
    <w:p>
      <w:pPr>
        <w:pStyle w:val="4"/>
        <w:spacing w:line="560" w:lineRule="exact"/>
        <w:ind w:firstLine="640"/>
        <w:rPr>
          <w:color w:val="auto"/>
        </w:rPr>
      </w:pPr>
    </w:p>
    <w:p>
      <w:pPr>
        <w:ind w:firstLine="640"/>
        <w:rPr>
          <w:color w:val="auto"/>
        </w:rPr>
      </w:pPr>
    </w:p>
    <w:p>
      <w:pPr>
        <w:pStyle w:val="2"/>
        <w:spacing w:before="72"/>
        <w:ind w:firstLine="600"/>
        <w:rPr>
          <w:color w:val="auto"/>
        </w:rPr>
      </w:pPr>
    </w:p>
    <w:p>
      <w:pPr>
        <w:pStyle w:val="4"/>
        <w:spacing w:line="560" w:lineRule="exact"/>
        <w:ind w:firstLine="640"/>
        <w:rPr>
          <w:color w:val="auto"/>
        </w:rPr>
      </w:pPr>
      <w:r>
        <w:rPr>
          <w:rFonts w:hint="eastAsia"/>
          <w:color w:val="auto"/>
        </w:rPr>
        <w:t>二、收入决算情况说明</w:t>
      </w:r>
      <w:bookmarkEnd w:id="27"/>
      <w:bookmarkEnd w:id="28"/>
      <w:bookmarkEnd w:id="29"/>
    </w:p>
    <w:p>
      <w:pPr>
        <w:spacing w:line="560" w:lineRule="exact"/>
        <w:ind w:firstLine="640"/>
        <w:rPr>
          <w:color w:val="auto"/>
        </w:rPr>
      </w:pPr>
      <w:r>
        <w:rPr>
          <w:color w:val="auto"/>
        </w:rPr>
        <w:t>20</w:t>
      </w:r>
      <w:r>
        <w:rPr>
          <w:rFonts w:hint="eastAsia"/>
          <w:color w:val="auto"/>
        </w:rPr>
        <w:t>22年本年收入合计243.41万元，其中：一般公共预算财政拨款收入243.41万元，占100</w:t>
      </w:r>
      <w:r>
        <w:rPr>
          <w:color w:val="auto"/>
        </w:rPr>
        <w:t>%</w:t>
      </w:r>
      <w:r>
        <w:rPr>
          <w:rFonts w:hint="eastAsia"/>
          <w:color w:val="auto"/>
        </w:rPr>
        <w:t>。</w:t>
      </w:r>
    </w:p>
    <w:p>
      <w:pPr>
        <w:pStyle w:val="2"/>
        <w:spacing w:before="72"/>
        <w:ind w:firstLine="600"/>
        <w:rPr>
          <w:rFonts w:ascii="仿宋" w:hAnsi="仿宋" w:eastAsia="仿宋"/>
          <w:color w:val="auto"/>
          <w:sz w:val="32"/>
          <w:szCs w:val="32"/>
        </w:rPr>
      </w:pPr>
      <w:r>
        <w:rPr>
          <w:color w:val="auto"/>
        </w:rPr>
        <w:drawing>
          <wp:inline distT="0" distB="0" distL="0" distR="0">
            <wp:extent cx="5267325" cy="2249805"/>
            <wp:effectExtent l="19050" t="0" r="9525" b="0"/>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noChangeArrowheads="1"/>
                    </pic:cNvPicPr>
                  </pic:nvPicPr>
                  <pic:blipFill>
                    <a:blip r:embed="rId16"/>
                    <a:srcRect/>
                    <a:stretch>
                      <a:fillRect/>
                    </a:stretch>
                  </pic:blipFill>
                  <pic:spPr>
                    <a:xfrm>
                      <a:off x="0" y="0"/>
                      <a:ext cx="5267325" cy="2249805"/>
                    </a:xfrm>
                    <a:prstGeom prst="rect">
                      <a:avLst/>
                    </a:prstGeom>
                    <a:noFill/>
                    <a:ln w="9525">
                      <a:noFill/>
                      <a:miter lim="800000"/>
                      <a:headEnd/>
                      <a:tailEnd/>
                    </a:ln>
                  </pic:spPr>
                </pic:pic>
              </a:graphicData>
            </a:graphic>
          </wp:inline>
        </w:drawing>
      </w:r>
    </w:p>
    <w:p>
      <w:pPr>
        <w:ind w:firstLine="0" w:firstLineChars="0"/>
        <w:jc w:val="center"/>
        <w:rPr>
          <w:rFonts w:ascii="仿宋" w:hAnsi="仿宋" w:eastAsia="仿宋"/>
          <w:color w:val="auto"/>
          <w:szCs w:val="32"/>
        </w:rPr>
      </w:pPr>
    </w:p>
    <w:p>
      <w:pPr>
        <w:ind w:firstLine="0" w:firstLineChars="0"/>
        <w:jc w:val="center"/>
        <w:rPr>
          <w:rFonts w:ascii="仿宋_GB2312"/>
          <w:color w:val="auto"/>
          <w:szCs w:val="32"/>
        </w:rPr>
      </w:pPr>
      <w:r>
        <w:rPr>
          <w:rFonts w:hint="eastAsia" w:ascii="仿宋" w:hAnsi="仿宋" w:eastAsia="仿宋"/>
          <w:color w:val="auto"/>
          <w:szCs w:val="32"/>
        </w:rPr>
        <w:t>图2：收入决算结构图</w:t>
      </w:r>
    </w:p>
    <w:p>
      <w:pPr>
        <w:pStyle w:val="4"/>
        <w:spacing w:line="560" w:lineRule="exact"/>
        <w:ind w:firstLine="640"/>
        <w:rPr>
          <w:color w:val="auto"/>
        </w:rPr>
      </w:pPr>
      <w:bookmarkStart w:id="30" w:name="_Toc21303"/>
      <w:bookmarkStart w:id="31" w:name="_Toc15396605"/>
      <w:bookmarkStart w:id="32" w:name="_Toc15377207"/>
      <w:r>
        <w:rPr>
          <w:rFonts w:hint="eastAsia"/>
          <w:color w:val="auto"/>
        </w:rPr>
        <w:t>三、支出决算情况说明</w:t>
      </w:r>
      <w:bookmarkEnd w:id="30"/>
      <w:bookmarkEnd w:id="31"/>
      <w:bookmarkEnd w:id="32"/>
    </w:p>
    <w:p>
      <w:pPr>
        <w:spacing w:line="560" w:lineRule="exact"/>
        <w:ind w:firstLine="640"/>
        <w:rPr>
          <w:color w:val="auto"/>
        </w:rPr>
      </w:pPr>
      <w:r>
        <w:rPr>
          <w:color w:val="auto"/>
        </w:rPr>
        <w:t>20</w:t>
      </w:r>
      <w:r>
        <w:rPr>
          <w:rFonts w:hint="eastAsia"/>
          <w:color w:val="auto"/>
        </w:rPr>
        <w:t>22年本年支出合计248.61万元，其中：基本支出207.63万元，占83.52</w:t>
      </w:r>
      <w:r>
        <w:rPr>
          <w:color w:val="auto"/>
        </w:rPr>
        <w:t>%</w:t>
      </w:r>
      <w:r>
        <w:rPr>
          <w:rFonts w:hint="eastAsia"/>
          <w:color w:val="auto"/>
        </w:rPr>
        <w:t>；项目支出40.99万元，占16.48</w:t>
      </w:r>
      <w:r>
        <w:rPr>
          <w:color w:val="auto"/>
        </w:rPr>
        <w:t>%</w:t>
      </w:r>
      <w:r>
        <w:rPr>
          <w:rFonts w:hint="eastAsia"/>
          <w:color w:val="auto"/>
        </w:rPr>
        <w:t>。</w:t>
      </w:r>
    </w:p>
    <w:p>
      <w:pPr>
        <w:pStyle w:val="2"/>
        <w:spacing w:before="72"/>
        <w:ind w:firstLine="600"/>
        <w:rPr>
          <w:rFonts w:ascii="仿宋" w:hAnsi="仿宋" w:eastAsia="仿宋"/>
          <w:color w:val="auto"/>
          <w:sz w:val="32"/>
          <w:szCs w:val="32"/>
        </w:rPr>
      </w:pPr>
      <w:r>
        <w:rPr>
          <w:color w:val="auto"/>
        </w:rPr>
        <w:drawing>
          <wp:inline distT="0" distB="0" distL="0" distR="0">
            <wp:extent cx="5267325" cy="2647950"/>
            <wp:effectExtent l="19050" t="0" r="9525" b="0"/>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7"/>
                    <a:srcRect/>
                    <a:stretch>
                      <a:fillRect/>
                    </a:stretch>
                  </pic:blipFill>
                  <pic:spPr>
                    <a:xfrm>
                      <a:off x="0" y="0"/>
                      <a:ext cx="5267325" cy="2647950"/>
                    </a:xfrm>
                    <a:prstGeom prst="rect">
                      <a:avLst/>
                    </a:prstGeom>
                    <a:noFill/>
                    <a:ln w="9525">
                      <a:noFill/>
                      <a:miter lim="800000"/>
                      <a:headEnd/>
                      <a:tailEnd/>
                    </a:ln>
                  </pic:spPr>
                </pic:pic>
              </a:graphicData>
            </a:graphic>
          </wp:inline>
        </w:drawing>
      </w:r>
    </w:p>
    <w:p>
      <w:pPr>
        <w:ind w:firstLine="640"/>
        <w:jc w:val="center"/>
        <w:rPr>
          <w:rFonts w:ascii="仿宋" w:hAnsi="仿宋" w:eastAsia="仿宋"/>
          <w:color w:val="auto"/>
          <w:szCs w:val="32"/>
        </w:rPr>
      </w:pPr>
      <w:r>
        <w:rPr>
          <w:rFonts w:hint="eastAsia" w:ascii="仿宋" w:hAnsi="仿宋" w:eastAsia="仿宋"/>
          <w:color w:val="auto"/>
          <w:szCs w:val="32"/>
        </w:rPr>
        <w:t>图3：支出决算结构图</w:t>
      </w:r>
    </w:p>
    <w:p>
      <w:pPr>
        <w:pStyle w:val="4"/>
        <w:spacing w:line="560" w:lineRule="exact"/>
        <w:ind w:firstLine="640"/>
        <w:rPr>
          <w:rFonts w:ascii="黑体" w:hAnsi="黑体"/>
          <w:color w:val="auto"/>
        </w:rPr>
      </w:pPr>
      <w:bookmarkStart w:id="33" w:name="_Toc15396606"/>
      <w:bookmarkStart w:id="34" w:name="_Toc19913"/>
      <w:bookmarkStart w:id="35" w:name="_Toc15377208"/>
      <w:r>
        <w:rPr>
          <w:rFonts w:hint="eastAsia" w:ascii="黑体" w:hAnsi="黑体"/>
          <w:color w:val="auto"/>
        </w:rPr>
        <w:t>四、财政拨款收入支出决算总体情况说明</w:t>
      </w:r>
      <w:bookmarkEnd w:id="33"/>
      <w:bookmarkEnd w:id="34"/>
      <w:bookmarkEnd w:id="35"/>
    </w:p>
    <w:p>
      <w:pPr>
        <w:spacing w:line="560" w:lineRule="exact"/>
        <w:ind w:firstLine="640"/>
        <w:rPr>
          <w:color w:val="auto"/>
        </w:rPr>
      </w:pPr>
      <w:r>
        <w:rPr>
          <w:color w:val="auto"/>
        </w:rPr>
        <w:t>20</w:t>
      </w:r>
      <w:r>
        <w:rPr>
          <w:rFonts w:hint="eastAsia"/>
          <w:color w:val="auto"/>
        </w:rPr>
        <w:t>22年财政拨款收、支总计248.61万元。与2021年相比，收、支总计各减少57.23万元，下降18.71</w:t>
      </w:r>
      <w:r>
        <w:rPr>
          <w:color w:val="auto"/>
        </w:rPr>
        <w:t>%</w:t>
      </w:r>
      <w:r>
        <w:rPr>
          <w:rFonts w:hint="eastAsia"/>
          <w:color w:val="auto"/>
        </w:rPr>
        <w:t>。主要变动原因是人员变动、厉行节约。</w:t>
      </w:r>
    </w:p>
    <w:p>
      <w:pPr>
        <w:pStyle w:val="2"/>
        <w:spacing w:before="72"/>
        <w:ind w:firstLine="600"/>
        <w:rPr>
          <w:rFonts w:ascii="仿宋" w:hAnsi="仿宋" w:eastAsia="仿宋"/>
          <w:color w:val="auto"/>
          <w:sz w:val="32"/>
          <w:szCs w:val="32"/>
        </w:rPr>
      </w:pPr>
      <w:r>
        <w:rPr>
          <w:color w:val="auto"/>
        </w:rPr>
        <w:drawing>
          <wp:inline distT="0" distB="0" distL="0" distR="0">
            <wp:extent cx="5267325" cy="3685540"/>
            <wp:effectExtent l="19050" t="0" r="9525"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15"/>
                    <a:srcRect/>
                    <a:stretch>
                      <a:fillRect/>
                    </a:stretch>
                  </pic:blipFill>
                  <pic:spPr>
                    <a:xfrm>
                      <a:off x="0" y="0"/>
                      <a:ext cx="5267325" cy="3685540"/>
                    </a:xfrm>
                    <a:prstGeom prst="rect">
                      <a:avLst/>
                    </a:prstGeom>
                    <a:noFill/>
                    <a:ln w="9525">
                      <a:noFill/>
                      <a:miter lim="800000"/>
                      <a:headEnd/>
                      <a:tailEnd/>
                    </a:ln>
                  </pic:spPr>
                </pic:pic>
              </a:graphicData>
            </a:graphic>
          </wp:inline>
        </w:drawing>
      </w:r>
    </w:p>
    <w:p>
      <w:pPr>
        <w:ind w:firstLine="640"/>
        <w:rPr>
          <w:rFonts w:ascii="仿宋" w:hAnsi="仿宋" w:eastAsia="仿宋"/>
          <w:color w:val="auto"/>
          <w:szCs w:val="32"/>
        </w:rPr>
      </w:pPr>
      <w:r>
        <w:rPr>
          <w:rFonts w:hint="eastAsia" w:ascii="仿宋" w:hAnsi="仿宋" w:eastAsia="仿宋"/>
          <w:color w:val="auto"/>
          <w:szCs w:val="32"/>
        </w:rPr>
        <w:t>图4：财政拨款收、支决算总计变动情况（单位：万元）</w:t>
      </w:r>
    </w:p>
    <w:p>
      <w:pPr>
        <w:pStyle w:val="24"/>
        <w:ind w:firstLine="640"/>
        <w:outlineLvl w:val="1"/>
        <w:rPr>
          <w:rStyle w:val="20"/>
          <w:rFonts w:ascii="黑体" w:hAnsi="黑体"/>
          <w:color w:val="auto"/>
        </w:rPr>
      </w:pPr>
      <w:bookmarkStart w:id="36" w:name="_Toc15396607"/>
      <w:bookmarkStart w:id="37" w:name="_Toc15377209"/>
    </w:p>
    <w:p>
      <w:pPr>
        <w:pStyle w:val="4"/>
        <w:spacing w:line="560" w:lineRule="exact"/>
        <w:ind w:firstLine="640"/>
        <w:rPr>
          <w:color w:val="auto"/>
        </w:rPr>
      </w:pPr>
      <w:bookmarkStart w:id="38" w:name="_Toc31970"/>
      <w:r>
        <w:rPr>
          <w:rFonts w:hint="eastAsia"/>
          <w:color w:val="auto"/>
        </w:rPr>
        <w:t>五、一般公共预算财政拨款支出决算情况说明</w:t>
      </w:r>
      <w:bookmarkEnd w:id="36"/>
      <w:bookmarkEnd w:id="37"/>
      <w:bookmarkEnd w:id="38"/>
    </w:p>
    <w:p>
      <w:pPr>
        <w:spacing w:line="560" w:lineRule="exact"/>
        <w:ind w:firstLine="640"/>
        <w:rPr>
          <w:rFonts w:ascii="方正楷体简体" w:eastAsia="方正楷体简体"/>
          <w:color w:val="auto"/>
        </w:rPr>
      </w:pPr>
      <w:bookmarkStart w:id="39" w:name="_Toc15377210"/>
      <w:r>
        <w:rPr>
          <w:rFonts w:hint="eastAsia" w:ascii="方正楷体简体" w:eastAsia="方正楷体简体"/>
          <w:color w:val="auto"/>
        </w:rPr>
        <w:t>（一）一般公共预算财政拨款支出决算总体情况</w:t>
      </w:r>
      <w:bookmarkEnd w:id="39"/>
    </w:p>
    <w:p>
      <w:pPr>
        <w:spacing w:line="560" w:lineRule="exact"/>
        <w:ind w:firstLine="640"/>
        <w:rPr>
          <w:color w:val="auto"/>
        </w:rPr>
      </w:pPr>
      <w:r>
        <w:rPr>
          <w:color w:val="auto"/>
        </w:rPr>
        <w:t>20</w:t>
      </w:r>
      <w:r>
        <w:rPr>
          <w:rFonts w:hint="eastAsia"/>
          <w:color w:val="auto"/>
        </w:rPr>
        <w:t>22年一般公共预算财政拨款支出248.61万元，占本年支出合计的100</w:t>
      </w:r>
      <w:r>
        <w:rPr>
          <w:color w:val="auto"/>
        </w:rPr>
        <w:t>%</w:t>
      </w:r>
      <w:r>
        <w:rPr>
          <w:rFonts w:hint="eastAsia"/>
          <w:color w:val="auto"/>
        </w:rPr>
        <w:t>。与</w:t>
      </w:r>
      <w:r>
        <w:rPr>
          <w:color w:val="auto"/>
        </w:rPr>
        <w:t>20</w:t>
      </w:r>
      <w:r>
        <w:rPr>
          <w:rFonts w:hint="eastAsia"/>
          <w:color w:val="auto"/>
        </w:rPr>
        <w:t>21年相比，一般公共预算财政拨款支出减少52万元，下降17.30</w:t>
      </w:r>
      <w:r>
        <w:rPr>
          <w:color w:val="auto"/>
        </w:rPr>
        <w:t>%</w:t>
      </w:r>
      <w:r>
        <w:rPr>
          <w:rFonts w:hint="eastAsia"/>
          <w:color w:val="auto"/>
        </w:rPr>
        <w:t>。主要变动原因是人员变动、厉行节约。</w:t>
      </w:r>
    </w:p>
    <w:p>
      <w:pPr>
        <w:pStyle w:val="2"/>
        <w:spacing w:before="72"/>
        <w:ind w:firstLine="600"/>
        <w:rPr>
          <w:color w:val="auto"/>
        </w:rPr>
      </w:pPr>
    </w:p>
    <w:p>
      <w:pPr>
        <w:pStyle w:val="2"/>
        <w:spacing w:before="72"/>
        <w:ind w:firstLine="600"/>
        <w:rPr>
          <w:rFonts w:ascii="仿宋" w:hAnsi="仿宋" w:eastAsia="仿宋"/>
          <w:color w:val="auto"/>
          <w:sz w:val="32"/>
          <w:szCs w:val="32"/>
        </w:rPr>
      </w:pPr>
      <w:r>
        <w:rPr>
          <w:color w:val="auto"/>
        </w:rPr>
        <w:drawing>
          <wp:inline distT="0" distB="0" distL="0" distR="0">
            <wp:extent cx="5267325" cy="2372995"/>
            <wp:effectExtent l="19050" t="0" r="9525" b="0"/>
            <wp:docPr id="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8"/>
                    <pic:cNvPicPr>
                      <a:picLocks noChangeAspect="1" noChangeArrowheads="1"/>
                    </pic:cNvPicPr>
                  </pic:nvPicPr>
                  <pic:blipFill>
                    <a:blip r:embed="rId18"/>
                    <a:srcRect/>
                    <a:stretch>
                      <a:fillRect/>
                    </a:stretch>
                  </pic:blipFill>
                  <pic:spPr>
                    <a:xfrm>
                      <a:off x="0" y="0"/>
                      <a:ext cx="5267325" cy="2372995"/>
                    </a:xfrm>
                    <a:prstGeom prst="rect">
                      <a:avLst/>
                    </a:prstGeom>
                    <a:noFill/>
                    <a:ln w="9525">
                      <a:noFill/>
                      <a:miter lim="800000"/>
                      <a:headEnd/>
                      <a:tailEnd/>
                    </a:ln>
                  </pic:spPr>
                </pic:pic>
              </a:graphicData>
            </a:graphic>
          </wp:inline>
        </w:drawing>
      </w:r>
    </w:p>
    <w:p>
      <w:pPr>
        <w:spacing w:line="560" w:lineRule="exact"/>
        <w:ind w:firstLine="980" w:firstLineChars="350"/>
        <w:rPr>
          <w:color w:val="auto"/>
        </w:rPr>
      </w:pPr>
      <w:r>
        <w:rPr>
          <w:rFonts w:hint="eastAsia" w:ascii="仿宋" w:hAnsi="仿宋" w:eastAsia="仿宋"/>
          <w:color w:val="auto"/>
          <w:spacing w:val="-20"/>
          <w:szCs w:val="32"/>
        </w:rPr>
        <w:t>图5：一般公共预算财政拨款支出决算变动情况（单位：万元）</w:t>
      </w:r>
      <w:bookmarkStart w:id="40" w:name="_Toc15377211"/>
    </w:p>
    <w:p>
      <w:pPr>
        <w:spacing w:line="560" w:lineRule="exact"/>
        <w:ind w:firstLine="640"/>
        <w:rPr>
          <w:rFonts w:ascii="方正楷体简体" w:eastAsia="方正楷体简体"/>
          <w:color w:val="auto"/>
        </w:rPr>
      </w:pPr>
      <w:r>
        <w:rPr>
          <w:rFonts w:hint="eastAsia" w:ascii="方正楷体简体" w:eastAsia="方正楷体简体"/>
          <w:color w:val="auto"/>
        </w:rPr>
        <w:t>（二）一般公共预算财政拨款支出决算结构情况</w:t>
      </w:r>
      <w:bookmarkEnd w:id="40"/>
    </w:p>
    <w:p>
      <w:pPr>
        <w:spacing w:line="560" w:lineRule="exact"/>
        <w:ind w:firstLine="640"/>
        <w:rPr>
          <w:color w:val="auto"/>
        </w:rPr>
      </w:pPr>
      <w:r>
        <w:rPr>
          <w:color w:val="auto"/>
        </w:rPr>
        <w:t>20</w:t>
      </w:r>
      <w:r>
        <w:rPr>
          <w:rFonts w:hint="eastAsia"/>
          <w:color w:val="auto"/>
        </w:rPr>
        <w:t>22年一般公共预算财政拨款支出248.61万元，主要用于以下方面：一般公共服务支出213.94万元，占86.05</w:t>
      </w:r>
      <w:r>
        <w:rPr>
          <w:color w:val="auto"/>
        </w:rPr>
        <w:t>%</w:t>
      </w:r>
      <w:r>
        <w:rPr>
          <w:rFonts w:hint="eastAsia"/>
          <w:color w:val="auto"/>
        </w:rPr>
        <w:t>；社会保障和就业支出15.42万元，占6.20</w:t>
      </w:r>
      <w:r>
        <w:rPr>
          <w:color w:val="auto"/>
        </w:rPr>
        <w:t>%</w:t>
      </w:r>
      <w:r>
        <w:rPr>
          <w:rFonts w:hint="eastAsia"/>
          <w:color w:val="auto"/>
        </w:rPr>
        <w:t>；卫生健康支出6.12万元，占2.46</w:t>
      </w:r>
      <w:r>
        <w:rPr>
          <w:color w:val="auto"/>
        </w:rPr>
        <w:t>%</w:t>
      </w:r>
      <w:r>
        <w:rPr>
          <w:rFonts w:hint="eastAsia"/>
          <w:color w:val="auto"/>
        </w:rPr>
        <w:t>；住房保障支出13.15万元，占5.29</w:t>
      </w:r>
      <w:r>
        <w:rPr>
          <w:color w:val="auto"/>
        </w:rPr>
        <w:t>%</w:t>
      </w:r>
      <w:r>
        <w:rPr>
          <w:rFonts w:hint="eastAsia"/>
          <w:color w:val="auto"/>
        </w:rPr>
        <w:t>。</w:t>
      </w:r>
    </w:p>
    <w:p>
      <w:pPr>
        <w:ind w:firstLine="0" w:firstLineChars="0"/>
        <w:rPr>
          <w:rFonts w:ascii="仿宋" w:hAnsi="仿宋" w:eastAsia="仿宋"/>
          <w:color w:val="auto"/>
          <w:szCs w:val="32"/>
        </w:rPr>
      </w:pPr>
    </w:p>
    <w:p>
      <w:pPr>
        <w:ind w:firstLine="800" w:firstLineChars="250"/>
        <w:jc w:val="center"/>
        <w:rPr>
          <w:rFonts w:ascii="仿宋" w:hAnsi="仿宋" w:eastAsia="仿宋"/>
          <w:color w:val="auto"/>
          <w:szCs w:val="32"/>
        </w:rPr>
      </w:pPr>
      <w:r>
        <w:rPr>
          <w:color w:val="auto"/>
        </w:rPr>
        <w:drawing>
          <wp:inline distT="0" distB="0" distL="0" distR="0">
            <wp:extent cx="5433060" cy="2464435"/>
            <wp:effectExtent l="19050" t="0" r="0" b="0"/>
            <wp:docPr id="18"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0"/>
                    <pic:cNvPicPr>
                      <a:picLocks noChangeAspect="1" noChangeArrowheads="1"/>
                    </pic:cNvPicPr>
                  </pic:nvPicPr>
                  <pic:blipFill>
                    <a:blip r:embed="rId19"/>
                    <a:srcRect/>
                    <a:stretch>
                      <a:fillRect/>
                    </a:stretch>
                  </pic:blipFill>
                  <pic:spPr>
                    <a:xfrm>
                      <a:off x="0" y="0"/>
                      <a:ext cx="5434321" cy="2465262"/>
                    </a:xfrm>
                    <a:prstGeom prst="rect">
                      <a:avLst/>
                    </a:prstGeom>
                    <a:noFill/>
                    <a:ln w="9525">
                      <a:noFill/>
                      <a:miter lim="800000"/>
                      <a:headEnd/>
                      <a:tailEnd/>
                    </a:ln>
                  </pic:spPr>
                </pic:pic>
              </a:graphicData>
            </a:graphic>
          </wp:inline>
        </w:drawing>
      </w:r>
    </w:p>
    <w:p>
      <w:pPr>
        <w:pStyle w:val="2"/>
        <w:spacing w:before="72"/>
        <w:ind w:firstLine="0" w:firstLineChars="0"/>
        <w:jc w:val="center"/>
        <w:rPr>
          <w:color w:val="auto"/>
        </w:rPr>
      </w:pPr>
      <w:r>
        <w:rPr>
          <w:rFonts w:hint="eastAsia" w:ascii="仿宋" w:hAnsi="仿宋" w:eastAsia="仿宋"/>
          <w:color w:val="auto"/>
          <w:szCs w:val="32"/>
        </w:rPr>
        <w:t>图6：一般公共预算财政拨款支出决算结构</w:t>
      </w:r>
    </w:p>
    <w:p>
      <w:pPr>
        <w:spacing w:line="560" w:lineRule="exact"/>
        <w:ind w:firstLine="640"/>
        <w:rPr>
          <w:rFonts w:ascii="方正楷体简体" w:eastAsia="方正楷体简体"/>
          <w:color w:val="auto"/>
        </w:rPr>
      </w:pPr>
      <w:bookmarkStart w:id="41" w:name="_Toc15377212"/>
      <w:r>
        <w:rPr>
          <w:rFonts w:hint="eastAsia" w:ascii="方正楷体简体" w:eastAsia="方正楷体简体"/>
          <w:color w:val="auto"/>
        </w:rPr>
        <w:t>（三）一般公共预算财政拨款支出决算具体情况</w:t>
      </w:r>
      <w:bookmarkEnd w:id="41"/>
    </w:p>
    <w:p>
      <w:pPr>
        <w:spacing w:line="560" w:lineRule="exact"/>
        <w:ind w:firstLine="640"/>
        <w:rPr>
          <w:color w:val="auto"/>
        </w:rPr>
      </w:pPr>
      <w:bookmarkStart w:id="42" w:name="_Toc15378460"/>
      <w:bookmarkStart w:id="43" w:name="_Toc15377444"/>
      <w:bookmarkStart w:id="44" w:name="_Toc15377213"/>
      <w:r>
        <w:rPr>
          <w:rFonts w:hint="eastAsia"/>
          <w:color w:val="auto"/>
        </w:rPr>
        <w:t>2022年一般公共预算支出决算数为248.61万元，完成预算100</w:t>
      </w:r>
      <w:r>
        <w:rPr>
          <w:color w:val="auto"/>
        </w:rPr>
        <w:t>%</w:t>
      </w:r>
      <w:r>
        <w:rPr>
          <w:rFonts w:hint="eastAsia"/>
          <w:color w:val="auto"/>
        </w:rPr>
        <w:t>。其中：</w:t>
      </w:r>
      <w:bookmarkEnd w:id="42"/>
      <w:bookmarkEnd w:id="43"/>
      <w:bookmarkEnd w:id="44"/>
    </w:p>
    <w:p>
      <w:pPr>
        <w:spacing w:line="560" w:lineRule="exact"/>
        <w:ind w:firstLine="640"/>
        <w:rPr>
          <w:color w:val="auto"/>
        </w:rPr>
      </w:pPr>
      <w:r>
        <w:rPr>
          <w:rFonts w:hint="eastAsia"/>
          <w:color w:val="auto"/>
        </w:rPr>
        <w:t>1.一般公共服务（类）政府办公厅（室）及相关机构事务（款）行政运行（项）：支出决算为172.95万元，完成预算100%。</w:t>
      </w:r>
    </w:p>
    <w:p>
      <w:pPr>
        <w:spacing w:line="560" w:lineRule="exact"/>
        <w:ind w:firstLine="640"/>
        <w:rPr>
          <w:color w:val="auto"/>
        </w:rPr>
      </w:pPr>
      <w:r>
        <w:rPr>
          <w:rFonts w:hint="eastAsia"/>
          <w:color w:val="auto"/>
        </w:rPr>
        <w:t>2.一般公共服务（类）政府办公厅（室）及相关机构事务（款）一般行政管理事务（项）：支出决算为40.99万元，完成预算100%。</w:t>
      </w:r>
    </w:p>
    <w:p>
      <w:pPr>
        <w:spacing w:line="560" w:lineRule="exact"/>
        <w:ind w:firstLine="640"/>
        <w:rPr>
          <w:color w:val="auto"/>
        </w:rPr>
      </w:pPr>
      <w:r>
        <w:rPr>
          <w:rFonts w:hint="eastAsia"/>
          <w:color w:val="auto"/>
        </w:rPr>
        <w:t>3.社会保障和就业（类）行政事业单位养老支出（款）机关事业单位基本养老保险缴费支出（项）：支出决算为12.29万元，完成预算100</w:t>
      </w:r>
      <w:r>
        <w:rPr>
          <w:color w:val="auto"/>
        </w:rPr>
        <w:t>%</w:t>
      </w:r>
      <w:r>
        <w:rPr>
          <w:rFonts w:hint="eastAsia"/>
          <w:color w:val="auto"/>
        </w:rPr>
        <w:t>；</w:t>
      </w:r>
    </w:p>
    <w:p>
      <w:pPr>
        <w:spacing w:line="560" w:lineRule="exact"/>
        <w:ind w:firstLine="640"/>
        <w:rPr>
          <w:color w:val="auto"/>
        </w:rPr>
      </w:pPr>
      <w:r>
        <w:rPr>
          <w:rFonts w:hint="eastAsia"/>
          <w:color w:val="auto"/>
        </w:rPr>
        <w:t>4.社会保障和就业（类）行政事业单位养老支出（款）其他社会保障和就业支出（项）为3.13万元，完成预算100</w:t>
      </w:r>
      <w:r>
        <w:rPr>
          <w:color w:val="auto"/>
        </w:rPr>
        <w:t>%</w:t>
      </w:r>
      <w:r>
        <w:rPr>
          <w:rFonts w:hint="eastAsia"/>
          <w:color w:val="auto"/>
        </w:rPr>
        <w:t>。</w:t>
      </w:r>
    </w:p>
    <w:p>
      <w:pPr>
        <w:spacing w:line="560" w:lineRule="exact"/>
        <w:ind w:firstLine="640"/>
        <w:rPr>
          <w:color w:val="auto"/>
        </w:rPr>
      </w:pPr>
      <w:r>
        <w:rPr>
          <w:rFonts w:hint="eastAsia"/>
          <w:color w:val="auto"/>
        </w:rPr>
        <w:t>5.卫生健康（类）行政事业单位医疗（款）事业单位医疗（项）：支出决算为6.12万元，完成预算100%。</w:t>
      </w:r>
    </w:p>
    <w:p>
      <w:pPr>
        <w:spacing w:line="560" w:lineRule="exact"/>
        <w:ind w:firstLine="640"/>
        <w:rPr>
          <w:color w:val="auto"/>
        </w:rPr>
      </w:pPr>
      <w:r>
        <w:rPr>
          <w:rFonts w:hint="eastAsia"/>
          <w:color w:val="auto"/>
        </w:rPr>
        <w:t>6.住房保障支出（类）住房改革支出（款）住房公积金（项）：支出决算为13.15万元，完成预算100%。</w:t>
      </w:r>
      <w:bookmarkStart w:id="45" w:name="_Toc15396608"/>
      <w:bookmarkStart w:id="46" w:name="_Toc15377214"/>
    </w:p>
    <w:p>
      <w:pPr>
        <w:pStyle w:val="4"/>
        <w:spacing w:line="560" w:lineRule="exact"/>
        <w:ind w:firstLine="640"/>
        <w:rPr>
          <w:rStyle w:val="20"/>
          <w:bCs w:val="0"/>
          <w:color w:val="auto"/>
        </w:rPr>
      </w:pPr>
      <w:bookmarkStart w:id="47" w:name="_Toc1880"/>
      <w:r>
        <w:rPr>
          <w:rFonts w:hint="eastAsia"/>
          <w:color w:val="auto"/>
        </w:rPr>
        <w:t>六、一般公共预算财政拨款基本支出决算情况说明</w:t>
      </w:r>
      <w:bookmarkEnd w:id="45"/>
      <w:bookmarkEnd w:id="46"/>
      <w:bookmarkEnd w:id="47"/>
      <w:r>
        <w:rPr>
          <w:color w:val="auto"/>
        </w:rPr>
        <w:tab/>
      </w:r>
    </w:p>
    <w:p>
      <w:pPr>
        <w:spacing w:line="560" w:lineRule="exact"/>
        <w:ind w:firstLine="640"/>
        <w:rPr>
          <w:color w:val="auto"/>
        </w:rPr>
      </w:pPr>
      <w:r>
        <w:rPr>
          <w:color w:val="auto"/>
        </w:rPr>
        <w:t>20</w:t>
      </w:r>
      <w:r>
        <w:rPr>
          <w:rFonts w:hint="eastAsia"/>
          <w:color w:val="auto"/>
        </w:rPr>
        <w:t>22年一般公共预算财政拨款基本支出207.63万元，其中：</w:t>
      </w:r>
    </w:p>
    <w:p>
      <w:pPr>
        <w:spacing w:line="560" w:lineRule="exact"/>
        <w:ind w:firstLine="640"/>
        <w:rPr>
          <w:color w:val="auto"/>
        </w:rPr>
      </w:pPr>
      <w:r>
        <w:rPr>
          <w:rFonts w:hint="eastAsia"/>
          <w:color w:val="auto"/>
        </w:rPr>
        <w:t>人员经费180.27万元，主要包括：基本工资、津贴补贴、奖金、机关事业单位基本养老保险缴费、职工基本医疗保险缴费、其他社会保障缴费、住房公积金、生活补助、奖励金。</w:t>
      </w:r>
    </w:p>
    <w:p>
      <w:pPr>
        <w:spacing w:line="560" w:lineRule="exact"/>
        <w:ind w:firstLine="640"/>
        <w:rPr>
          <w:color w:val="auto"/>
        </w:rPr>
      </w:pPr>
      <w:r>
        <w:rPr>
          <w:rFonts w:hint="eastAsia"/>
          <w:color w:val="auto"/>
        </w:rPr>
        <w:t>公用经费27.36万元，主要包括：</w:t>
      </w:r>
      <w:bookmarkStart w:id="48" w:name="_Toc15377215"/>
      <w:bookmarkStart w:id="49" w:name="_Toc15396609"/>
      <w:r>
        <w:rPr>
          <w:rFonts w:hint="eastAsia"/>
          <w:color w:val="auto"/>
        </w:rPr>
        <w:t>办公费、印刷费、咨询费、水费、电费、邮电费、差旅费、维修（护）费、会议费、培训费、公务接待费、劳务费、委托业务费、工会经费、福利费、其他交通费用、其他商品和服务支出。</w:t>
      </w:r>
    </w:p>
    <w:p>
      <w:pPr>
        <w:pStyle w:val="4"/>
        <w:spacing w:line="560" w:lineRule="exact"/>
        <w:ind w:firstLine="640"/>
        <w:rPr>
          <w:color w:val="auto"/>
        </w:rPr>
      </w:pPr>
      <w:bookmarkStart w:id="50" w:name="_Toc1057"/>
      <w:r>
        <w:rPr>
          <w:rFonts w:hint="eastAsia"/>
          <w:color w:val="auto"/>
        </w:rPr>
        <w:t>七、财政拨款“三公”经费支出决算情况说明</w:t>
      </w:r>
      <w:bookmarkEnd w:id="48"/>
      <w:bookmarkEnd w:id="49"/>
      <w:bookmarkEnd w:id="50"/>
    </w:p>
    <w:p>
      <w:pPr>
        <w:spacing w:line="560" w:lineRule="exact"/>
        <w:ind w:firstLine="640"/>
        <w:rPr>
          <w:rFonts w:ascii="方正楷体简体" w:eastAsia="方正楷体简体"/>
          <w:color w:val="auto"/>
        </w:rPr>
      </w:pPr>
      <w:bookmarkStart w:id="51" w:name="_Toc15377216"/>
      <w:r>
        <w:rPr>
          <w:rFonts w:hint="eastAsia" w:ascii="方正楷体简体" w:eastAsia="方正楷体简体"/>
          <w:color w:val="auto"/>
        </w:rPr>
        <w:t>（一）“三公”经费财政拨款支出决算总体情况说明</w:t>
      </w:r>
      <w:bookmarkEnd w:id="51"/>
    </w:p>
    <w:p>
      <w:pPr>
        <w:spacing w:line="560" w:lineRule="exact"/>
        <w:ind w:firstLine="640"/>
        <w:rPr>
          <w:color w:val="auto"/>
        </w:rPr>
      </w:pPr>
      <w:r>
        <w:rPr>
          <w:color w:val="auto"/>
        </w:rPr>
        <w:t>20</w:t>
      </w:r>
      <w:r>
        <w:rPr>
          <w:rFonts w:hint="eastAsia"/>
          <w:color w:val="auto"/>
        </w:rPr>
        <w:t>22年“三公”经费财政拨款支出决算为0.22万元，完成预算100</w:t>
      </w:r>
      <w:r>
        <w:rPr>
          <w:color w:val="auto"/>
        </w:rPr>
        <w:t>%</w:t>
      </w:r>
      <w:r>
        <w:rPr>
          <w:rFonts w:hint="eastAsia"/>
          <w:color w:val="auto"/>
        </w:rPr>
        <w:t>，较上年减少0.14万元，减少38.89%。决算数持平预算数。</w:t>
      </w:r>
    </w:p>
    <w:p>
      <w:pPr>
        <w:spacing w:line="560" w:lineRule="exact"/>
        <w:ind w:firstLine="640"/>
        <w:rPr>
          <w:rFonts w:ascii="方正楷体简体" w:eastAsia="方正楷体简体"/>
          <w:color w:val="auto"/>
        </w:rPr>
      </w:pPr>
      <w:bookmarkStart w:id="52" w:name="_Toc15377217"/>
      <w:r>
        <w:rPr>
          <w:rFonts w:hint="eastAsia" w:ascii="方正楷体简体" w:eastAsia="方正楷体简体"/>
          <w:color w:val="auto"/>
        </w:rPr>
        <w:t>（二）“三公”经费财政拨款支出决算具体情况说明</w:t>
      </w:r>
      <w:bookmarkEnd w:id="52"/>
    </w:p>
    <w:p>
      <w:pPr>
        <w:spacing w:line="560" w:lineRule="exact"/>
        <w:ind w:firstLine="640"/>
        <w:rPr>
          <w:color w:val="auto"/>
        </w:rPr>
      </w:pPr>
      <w:r>
        <w:rPr>
          <w:color w:val="auto"/>
        </w:rPr>
        <w:t>20</w:t>
      </w:r>
      <w:r>
        <w:rPr>
          <w:rFonts w:hint="eastAsia"/>
          <w:color w:val="auto"/>
        </w:rPr>
        <w:t>22年“三公”经费财政拨款支出决算中，因公出国（境）费支出决算0万元，占0</w:t>
      </w:r>
      <w:r>
        <w:rPr>
          <w:color w:val="auto"/>
        </w:rPr>
        <w:t>%</w:t>
      </w:r>
      <w:r>
        <w:rPr>
          <w:rFonts w:hint="eastAsia"/>
          <w:color w:val="auto"/>
        </w:rPr>
        <w:t>；公务用车购置及运行维护费支出决算0万元，占0</w:t>
      </w:r>
      <w:r>
        <w:rPr>
          <w:color w:val="auto"/>
        </w:rPr>
        <w:t>%</w:t>
      </w:r>
      <w:r>
        <w:rPr>
          <w:rFonts w:hint="eastAsia"/>
          <w:color w:val="auto"/>
        </w:rPr>
        <w:t>；公务接待费支出决算0.22万元，占100</w:t>
      </w:r>
      <w:r>
        <w:rPr>
          <w:color w:val="auto"/>
        </w:rPr>
        <w:t>%</w:t>
      </w:r>
      <w:r>
        <w:rPr>
          <w:rFonts w:hint="eastAsia"/>
          <w:color w:val="auto"/>
        </w:rPr>
        <w:t>。具体情况如下：</w:t>
      </w:r>
    </w:p>
    <w:p>
      <w:pPr>
        <w:pStyle w:val="2"/>
        <w:spacing w:before="72"/>
        <w:ind w:firstLine="0" w:firstLineChars="0"/>
        <w:rPr>
          <w:color w:val="auto"/>
        </w:rPr>
      </w:pPr>
    </w:p>
    <w:p>
      <w:pPr>
        <w:pStyle w:val="2"/>
        <w:spacing w:before="72"/>
        <w:ind w:firstLine="600"/>
        <w:rPr>
          <w:rFonts w:ascii="仿宋" w:hAnsi="仿宋" w:eastAsia="仿宋"/>
          <w:color w:val="auto"/>
          <w:sz w:val="32"/>
          <w:szCs w:val="32"/>
        </w:rPr>
      </w:pPr>
      <w:r>
        <w:rPr>
          <w:color w:val="auto"/>
        </w:rPr>
        <w:drawing>
          <wp:inline distT="0" distB="0" distL="0" distR="0">
            <wp:extent cx="5273040" cy="2580640"/>
            <wp:effectExtent l="19050" t="0" r="3810" b="0"/>
            <wp:docPr id="7"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5"/>
                    <pic:cNvPicPr>
                      <a:picLocks noChangeAspect="1" noChangeArrowheads="1"/>
                    </pic:cNvPicPr>
                  </pic:nvPicPr>
                  <pic:blipFill>
                    <a:blip r:embed="rId20"/>
                    <a:srcRect/>
                    <a:stretch>
                      <a:fillRect/>
                    </a:stretch>
                  </pic:blipFill>
                  <pic:spPr>
                    <a:xfrm>
                      <a:off x="0" y="0"/>
                      <a:ext cx="5273040" cy="2580640"/>
                    </a:xfrm>
                    <a:prstGeom prst="rect">
                      <a:avLst/>
                    </a:prstGeom>
                    <a:noFill/>
                    <a:ln w="9525">
                      <a:noFill/>
                      <a:miter lim="800000"/>
                      <a:headEnd/>
                      <a:tailEnd/>
                    </a:ln>
                  </pic:spPr>
                </pic:pic>
              </a:graphicData>
            </a:graphic>
          </wp:inline>
        </w:drawing>
      </w:r>
    </w:p>
    <w:p>
      <w:pPr>
        <w:ind w:firstLine="640"/>
        <w:jc w:val="center"/>
        <w:rPr>
          <w:rFonts w:ascii="仿宋" w:hAnsi="仿宋" w:eastAsia="仿宋"/>
          <w:color w:val="auto"/>
          <w:szCs w:val="32"/>
        </w:rPr>
      </w:pPr>
      <w:r>
        <w:rPr>
          <w:rFonts w:hint="eastAsia" w:ascii="仿宋" w:hAnsi="仿宋" w:eastAsia="仿宋"/>
          <w:color w:val="auto"/>
          <w:szCs w:val="32"/>
        </w:rPr>
        <w:t>图7：“三公”经费财政拨款支出结构</w:t>
      </w:r>
    </w:p>
    <w:p>
      <w:pPr>
        <w:ind w:firstLine="0" w:firstLineChars="0"/>
        <w:rPr>
          <w:rFonts w:ascii="仿宋_GB2312"/>
          <w:b/>
          <w:color w:val="auto"/>
          <w:szCs w:val="32"/>
        </w:rPr>
      </w:pPr>
    </w:p>
    <w:p>
      <w:pPr>
        <w:spacing w:line="560" w:lineRule="exact"/>
        <w:ind w:firstLine="640"/>
        <w:rPr>
          <w:color w:val="auto"/>
        </w:rPr>
      </w:pPr>
      <w:r>
        <w:rPr>
          <w:color w:val="auto"/>
        </w:rPr>
        <w:t>1.</w:t>
      </w:r>
      <w:r>
        <w:rPr>
          <w:rFonts w:hint="eastAsia"/>
          <w:color w:val="auto"/>
        </w:rPr>
        <w:t>因公出国（境）经费支出0万元，年初未安排预算。因公出国（境）支出决算较</w:t>
      </w:r>
      <w:r>
        <w:rPr>
          <w:color w:val="auto"/>
        </w:rPr>
        <w:t>20</w:t>
      </w:r>
      <w:r>
        <w:rPr>
          <w:rFonts w:hint="eastAsia"/>
          <w:color w:val="auto"/>
        </w:rPr>
        <w:t>21年无变化。</w:t>
      </w:r>
    </w:p>
    <w:p>
      <w:pPr>
        <w:spacing w:line="560" w:lineRule="exact"/>
        <w:ind w:firstLine="640"/>
        <w:rPr>
          <w:color w:val="auto"/>
        </w:rPr>
      </w:pPr>
      <w:r>
        <w:rPr>
          <w:color w:val="auto"/>
        </w:rPr>
        <w:t>2.</w:t>
      </w:r>
      <w:r>
        <w:rPr>
          <w:rFonts w:hint="eastAsia"/>
          <w:color w:val="auto"/>
        </w:rPr>
        <w:t>公务用车购置及运行维护费支出0万元，年初未安排预算。公务用车购置及运行维护费支出决算较</w:t>
      </w:r>
      <w:r>
        <w:rPr>
          <w:color w:val="auto"/>
        </w:rPr>
        <w:t>20</w:t>
      </w:r>
      <w:r>
        <w:rPr>
          <w:rFonts w:hint="eastAsia"/>
          <w:color w:val="auto"/>
        </w:rPr>
        <w:t>21年无变化。</w:t>
      </w:r>
    </w:p>
    <w:p>
      <w:pPr>
        <w:spacing w:line="560" w:lineRule="exact"/>
        <w:ind w:firstLine="640"/>
        <w:rPr>
          <w:color w:val="auto"/>
        </w:rPr>
      </w:pPr>
      <w:r>
        <w:rPr>
          <w:rFonts w:hint="eastAsia"/>
          <w:color w:val="auto"/>
        </w:rPr>
        <w:t>其中：公务用车购置支出0万元，无公务用车保有量。</w:t>
      </w:r>
    </w:p>
    <w:p>
      <w:pPr>
        <w:spacing w:line="560" w:lineRule="exact"/>
        <w:ind w:firstLine="640"/>
        <w:rPr>
          <w:color w:val="auto"/>
        </w:rPr>
      </w:pPr>
      <w:r>
        <w:rPr>
          <w:rFonts w:hint="eastAsia"/>
          <w:color w:val="auto"/>
        </w:rPr>
        <w:t>公务用车运行维护费支出0万元。</w:t>
      </w:r>
    </w:p>
    <w:p>
      <w:pPr>
        <w:spacing w:line="560" w:lineRule="exact"/>
        <w:ind w:firstLine="640"/>
        <w:rPr>
          <w:color w:val="auto"/>
        </w:rPr>
      </w:pPr>
      <w:r>
        <w:rPr>
          <w:color w:val="auto"/>
        </w:rPr>
        <w:t>3.</w:t>
      </w:r>
      <w:r>
        <w:rPr>
          <w:rFonts w:hint="eastAsia"/>
          <w:color w:val="auto"/>
        </w:rPr>
        <w:t>公务接待费支出0.22万元，完成预算100</w:t>
      </w:r>
      <w:r>
        <w:rPr>
          <w:color w:val="auto"/>
        </w:rPr>
        <w:t>%</w:t>
      </w:r>
      <w:r>
        <w:rPr>
          <w:rFonts w:hint="eastAsia"/>
          <w:color w:val="auto"/>
        </w:rPr>
        <w:t>。公务接待费支出决算比</w:t>
      </w:r>
      <w:r>
        <w:rPr>
          <w:color w:val="auto"/>
        </w:rPr>
        <w:t>20</w:t>
      </w:r>
      <w:r>
        <w:rPr>
          <w:rFonts w:hint="eastAsia"/>
          <w:color w:val="auto"/>
        </w:rPr>
        <w:t>21年减少0.14万元，减少38.89</w:t>
      </w:r>
      <w:r>
        <w:rPr>
          <w:color w:val="auto"/>
        </w:rPr>
        <w:t>%</w:t>
      </w:r>
      <w:r>
        <w:rPr>
          <w:rFonts w:hint="eastAsia"/>
          <w:color w:val="auto"/>
        </w:rPr>
        <w:t>。主要原因是厉行节约。其中：</w:t>
      </w:r>
    </w:p>
    <w:p>
      <w:pPr>
        <w:spacing w:line="560" w:lineRule="exact"/>
        <w:ind w:firstLine="640"/>
        <w:rPr>
          <w:color w:val="auto"/>
        </w:rPr>
      </w:pPr>
      <w:r>
        <w:rPr>
          <w:rFonts w:hint="eastAsia"/>
          <w:color w:val="auto"/>
        </w:rPr>
        <w:t>国内公务接待支出0.22万元，主要用于公务接待开支的用餐费。国内公务接待2批次，11人次（不包括陪同人员），共计支出0.22万元，具体内容包括：宜宾贸促会一行5人来广公务接待支出0.08万元，省贸促会一行6人来广公务接待支出0.14万元。</w:t>
      </w:r>
    </w:p>
    <w:p>
      <w:pPr>
        <w:spacing w:line="560" w:lineRule="exact"/>
        <w:ind w:firstLine="640"/>
        <w:rPr>
          <w:color w:val="auto"/>
        </w:rPr>
      </w:pPr>
      <w:r>
        <w:rPr>
          <w:rFonts w:hint="eastAsia"/>
          <w:color w:val="auto"/>
        </w:rPr>
        <w:t>外事接待支出0万元。</w:t>
      </w:r>
    </w:p>
    <w:p>
      <w:pPr>
        <w:pStyle w:val="4"/>
        <w:spacing w:line="560" w:lineRule="exact"/>
        <w:ind w:firstLine="640"/>
        <w:rPr>
          <w:color w:val="auto"/>
        </w:rPr>
      </w:pPr>
      <w:bookmarkStart w:id="53" w:name="_Toc15396610"/>
      <w:bookmarkStart w:id="54" w:name="_Toc20218"/>
      <w:bookmarkStart w:id="55" w:name="_Toc15377218"/>
      <w:r>
        <w:rPr>
          <w:rFonts w:hint="eastAsia"/>
          <w:color w:val="auto"/>
        </w:rPr>
        <w:t>八、政府性基金预算支出决算情况说明</w:t>
      </w:r>
      <w:bookmarkEnd w:id="53"/>
      <w:bookmarkEnd w:id="54"/>
      <w:bookmarkEnd w:id="55"/>
    </w:p>
    <w:p>
      <w:pPr>
        <w:spacing w:line="560" w:lineRule="exact"/>
        <w:ind w:firstLine="640"/>
        <w:rPr>
          <w:color w:val="auto"/>
        </w:rPr>
      </w:pPr>
      <w:r>
        <w:rPr>
          <w:rFonts w:hint="eastAsia"/>
          <w:color w:val="auto"/>
        </w:rPr>
        <w:t>2022年政府性基金预算拨款支出0万元。2022年本单位未在政府性基金预算拨款安排“三公经费”支出。</w:t>
      </w:r>
    </w:p>
    <w:p>
      <w:pPr>
        <w:pStyle w:val="4"/>
        <w:spacing w:line="560" w:lineRule="exact"/>
        <w:ind w:firstLine="640"/>
        <w:rPr>
          <w:color w:val="auto"/>
        </w:rPr>
      </w:pPr>
      <w:bookmarkStart w:id="56" w:name="_Toc10692"/>
      <w:bookmarkStart w:id="57" w:name="_Toc15396611"/>
      <w:bookmarkStart w:id="58" w:name="_Toc15377219"/>
      <w:r>
        <w:rPr>
          <w:rFonts w:hint="eastAsia"/>
          <w:color w:val="auto"/>
        </w:rPr>
        <w:t>九、国有资本经营预算支出决算情况说明</w:t>
      </w:r>
      <w:bookmarkEnd w:id="56"/>
      <w:bookmarkEnd w:id="57"/>
      <w:bookmarkEnd w:id="58"/>
    </w:p>
    <w:p>
      <w:pPr>
        <w:spacing w:line="560" w:lineRule="exact"/>
        <w:ind w:firstLine="640"/>
        <w:rPr>
          <w:color w:val="auto"/>
        </w:rPr>
      </w:pPr>
      <w:r>
        <w:rPr>
          <w:color w:val="auto"/>
        </w:rPr>
        <w:t>20</w:t>
      </w:r>
      <w:r>
        <w:rPr>
          <w:rFonts w:hint="eastAsia"/>
          <w:color w:val="auto"/>
        </w:rPr>
        <w:t>22年国有资本经营预算财政拨款支出0万元。</w:t>
      </w:r>
    </w:p>
    <w:p>
      <w:pPr>
        <w:pStyle w:val="4"/>
        <w:spacing w:line="560" w:lineRule="exact"/>
        <w:ind w:firstLine="640"/>
        <w:rPr>
          <w:color w:val="auto"/>
        </w:rPr>
      </w:pPr>
      <w:bookmarkStart w:id="59" w:name="_Toc15396612"/>
      <w:bookmarkStart w:id="60" w:name="_Toc10899"/>
      <w:bookmarkStart w:id="61" w:name="_Toc15377221"/>
      <w:r>
        <w:rPr>
          <w:rFonts w:hint="eastAsia"/>
          <w:color w:val="auto"/>
        </w:rPr>
        <w:t>十、其他重要事项的情况说明</w:t>
      </w:r>
      <w:bookmarkEnd w:id="59"/>
      <w:bookmarkEnd w:id="60"/>
      <w:bookmarkEnd w:id="61"/>
    </w:p>
    <w:p>
      <w:pPr>
        <w:spacing w:line="560" w:lineRule="exact"/>
        <w:ind w:firstLine="640"/>
        <w:rPr>
          <w:rFonts w:ascii="方正楷体简体" w:eastAsia="方正楷体简体"/>
          <w:color w:val="auto"/>
        </w:rPr>
      </w:pPr>
      <w:bookmarkStart w:id="62" w:name="_Toc15377222"/>
      <w:r>
        <w:rPr>
          <w:rFonts w:hint="eastAsia" w:ascii="方正楷体简体" w:eastAsia="方正楷体简体"/>
          <w:color w:val="auto"/>
        </w:rPr>
        <w:t>（一）机关运行经费支出情况</w:t>
      </w:r>
      <w:bookmarkEnd w:id="62"/>
    </w:p>
    <w:p>
      <w:pPr>
        <w:spacing w:line="560" w:lineRule="exact"/>
        <w:ind w:firstLine="640"/>
        <w:rPr>
          <w:color w:val="auto"/>
        </w:rPr>
      </w:pPr>
      <w:r>
        <w:rPr>
          <w:color w:val="auto"/>
        </w:rPr>
        <w:t>20</w:t>
      </w:r>
      <w:r>
        <w:rPr>
          <w:rFonts w:hint="eastAsia"/>
          <w:color w:val="auto"/>
        </w:rPr>
        <w:t>22年，广元市贸促会机关运行经费支出27.36万元，比</w:t>
      </w:r>
      <w:r>
        <w:rPr>
          <w:color w:val="auto"/>
        </w:rPr>
        <w:t>20</w:t>
      </w:r>
      <w:r>
        <w:rPr>
          <w:rFonts w:hint="eastAsia"/>
          <w:color w:val="auto"/>
        </w:rPr>
        <w:t>21年减少3.22万元，下降10.53</w:t>
      </w:r>
      <w:r>
        <w:rPr>
          <w:color w:val="auto"/>
        </w:rPr>
        <w:t>%</w:t>
      </w:r>
      <w:r>
        <w:rPr>
          <w:rFonts w:hint="eastAsia"/>
          <w:color w:val="auto"/>
        </w:rPr>
        <w:t>，主要原因是厉行节约。</w:t>
      </w:r>
    </w:p>
    <w:p>
      <w:pPr>
        <w:spacing w:line="560" w:lineRule="exact"/>
        <w:ind w:firstLine="640"/>
        <w:rPr>
          <w:rFonts w:ascii="方正楷体简体" w:eastAsia="方正楷体简体"/>
          <w:color w:val="auto"/>
        </w:rPr>
      </w:pPr>
      <w:bookmarkStart w:id="63" w:name="_Toc15377223"/>
      <w:r>
        <w:rPr>
          <w:rFonts w:hint="eastAsia" w:ascii="方正楷体简体" w:eastAsia="方正楷体简体"/>
          <w:color w:val="auto"/>
        </w:rPr>
        <w:t>（二）政府采购支出情况</w:t>
      </w:r>
      <w:bookmarkEnd w:id="63"/>
    </w:p>
    <w:p>
      <w:pPr>
        <w:spacing w:line="560" w:lineRule="exact"/>
        <w:ind w:firstLine="640"/>
        <w:rPr>
          <w:color w:val="auto"/>
        </w:rPr>
      </w:pPr>
      <w:r>
        <w:rPr>
          <w:color w:val="auto"/>
        </w:rPr>
        <w:t>20</w:t>
      </w:r>
      <w:r>
        <w:rPr>
          <w:rFonts w:hint="eastAsia"/>
          <w:color w:val="auto"/>
        </w:rPr>
        <w:t>22年，广元市贸促会政府采购支出总额0万元。</w:t>
      </w:r>
    </w:p>
    <w:p>
      <w:pPr>
        <w:spacing w:line="560" w:lineRule="exact"/>
        <w:ind w:firstLine="640"/>
        <w:rPr>
          <w:rFonts w:ascii="方正楷体简体" w:eastAsia="方正楷体简体"/>
          <w:color w:val="auto"/>
        </w:rPr>
      </w:pPr>
      <w:bookmarkStart w:id="64" w:name="_Toc15377224"/>
      <w:r>
        <w:rPr>
          <w:rFonts w:hint="eastAsia" w:ascii="方正楷体简体" w:eastAsia="方正楷体简体"/>
          <w:color w:val="auto"/>
        </w:rPr>
        <w:t>（三）国有资产占有使用情况</w:t>
      </w:r>
      <w:bookmarkEnd w:id="64"/>
    </w:p>
    <w:p>
      <w:pPr>
        <w:spacing w:line="560" w:lineRule="exact"/>
        <w:ind w:firstLine="640"/>
        <w:rPr>
          <w:color w:val="auto"/>
        </w:rPr>
      </w:pPr>
      <w:r>
        <w:rPr>
          <w:rFonts w:hint="eastAsia"/>
          <w:color w:val="auto"/>
        </w:rPr>
        <w:t>截至</w:t>
      </w:r>
      <w:r>
        <w:rPr>
          <w:color w:val="auto"/>
        </w:rPr>
        <w:t>202</w:t>
      </w:r>
      <w:r>
        <w:rPr>
          <w:rFonts w:hint="eastAsia"/>
          <w:color w:val="auto"/>
        </w:rPr>
        <w:t>2年</w:t>
      </w:r>
      <w:r>
        <w:rPr>
          <w:color w:val="auto"/>
        </w:rPr>
        <w:t>12</w:t>
      </w:r>
      <w:r>
        <w:rPr>
          <w:rFonts w:hint="eastAsia"/>
          <w:color w:val="auto"/>
        </w:rPr>
        <w:t>月</w:t>
      </w:r>
      <w:r>
        <w:rPr>
          <w:color w:val="auto"/>
        </w:rPr>
        <w:t>31</w:t>
      </w:r>
      <w:r>
        <w:rPr>
          <w:rFonts w:hint="eastAsia"/>
          <w:color w:val="auto"/>
        </w:rPr>
        <w:t>日，广元市贸促会共有车辆0辆，单价</w:t>
      </w:r>
      <w:r>
        <w:rPr>
          <w:color w:val="auto"/>
        </w:rPr>
        <w:t>50</w:t>
      </w:r>
      <w:r>
        <w:rPr>
          <w:rFonts w:hint="eastAsia"/>
          <w:color w:val="auto"/>
        </w:rPr>
        <w:t>万元以上通用设备0台（套），单价</w:t>
      </w:r>
      <w:r>
        <w:rPr>
          <w:color w:val="auto"/>
        </w:rPr>
        <w:t>100</w:t>
      </w:r>
      <w:r>
        <w:rPr>
          <w:rFonts w:hint="eastAsia"/>
          <w:color w:val="auto"/>
        </w:rPr>
        <w:t>万元以上专用设备0台（套）。</w:t>
      </w:r>
    </w:p>
    <w:p>
      <w:pPr>
        <w:spacing w:line="560" w:lineRule="exact"/>
        <w:ind w:firstLine="640"/>
        <w:rPr>
          <w:rFonts w:ascii="方正楷体简体" w:eastAsia="方正楷体简体"/>
          <w:color w:val="auto"/>
        </w:rPr>
      </w:pPr>
      <w:r>
        <w:rPr>
          <w:rFonts w:hint="eastAsia" w:ascii="方正楷体简体" w:eastAsia="方正楷体简体"/>
          <w:color w:val="auto"/>
        </w:rPr>
        <w:t>（四）预算绩效管理情况</w:t>
      </w:r>
    </w:p>
    <w:p>
      <w:pPr>
        <w:spacing w:line="560" w:lineRule="exact"/>
        <w:ind w:firstLine="640"/>
        <w:rPr>
          <w:color w:val="auto"/>
        </w:rPr>
      </w:pPr>
      <w:bookmarkStart w:id="65" w:name="_Toc15396613"/>
      <w:bookmarkStart w:id="66" w:name="_Toc15377225"/>
      <w:r>
        <w:rPr>
          <w:rFonts w:hint="eastAsia"/>
          <w:color w:val="auto"/>
        </w:rPr>
        <w:t>根据预算绩效管理要求，本部门在2022年度预算编制阶段，组织对“第八届成都国际汽车零配件及售后服务展览会”“222年第一届秦巴山区年货节”项目等10个项目开展了预算事前绩效评估，对10个项目编制了绩效目标，预算执行过程中，选取6个项目开展绩效监控。</w:t>
      </w:r>
    </w:p>
    <w:p>
      <w:pPr>
        <w:spacing w:line="560" w:lineRule="exact"/>
        <w:ind w:firstLine="640"/>
        <w:rPr>
          <w:color w:val="auto"/>
        </w:rPr>
      </w:pPr>
      <w:r>
        <w:rPr>
          <w:rFonts w:hint="eastAsia"/>
          <w:color w:val="auto"/>
        </w:rPr>
        <w:t>组织对2022年度一般公共预算全面开展绩效自评，形成市贸促会部门整体绩效自评报告、第八届成都国际汽车零配件及售后服务展览会等专项预算项目绩效自评报告，其中，市贸促会部门整体绩效自评得分为94分，绩效自评综述：我会</w:t>
      </w:r>
      <w:r>
        <w:rPr>
          <w:color w:val="auto"/>
        </w:rPr>
        <w:t>2022</w:t>
      </w:r>
      <w:r>
        <w:rPr>
          <w:rFonts w:hint="eastAsia"/>
          <w:color w:val="auto"/>
        </w:rPr>
        <w:t>年绩效目标设置明确、预算编制较准确、项目预算执行较好，基本按照计划完成年度工作任务，实现了年度绩效目标；</w:t>
      </w:r>
      <w:r>
        <w:rPr>
          <w:rFonts w:hint="eastAsia"/>
          <w:b/>
          <w:color w:val="auto"/>
        </w:rPr>
        <w:t>“第七届中国（成都）智慧产业国际博览会暨中国（四川）信创产业展览会”</w:t>
      </w:r>
      <w:r>
        <w:rPr>
          <w:rFonts w:hint="eastAsia"/>
          <w:color w:val="auto"/>
        </w:rPr>
        <w:t>项目绩效自评得分为100分，绩效自评综述：我市设54平方米的广元特装展馆，组织格莱思科技、嘉洁能等企业参展，会期达成合作意向金额5072万元，实现了绩效目标；</w:t>
      </w:r>
      <w:r>
        <w:rPr>
          <w:rFonts w:hint="eastAsia" w:ascii="仿宋_GB2312"/>
          <w:b/>
          <w:color w:val="auto"/>
        </w:rPr>
        <w:t>“2020年迪拜世博会中国馆‘四川活动日’”</w:t>
      </w:r>
      <w:r>
        <w:rPr>
          <w:rFonts w:hint="eastAsia"/>
          <w:color w:val="auto"/>
        </w:rPr>
        <w:t>项目绩效自评得分为100分，绩效自评综述：广元</w:t>
      </w:r>
      <w:r>
        <w:rPr>
          <w:color w:val="auto"/>
        </w:rPr>
        <w:t>7</w:t>
      </w:r>
      <w:r>
        <w:rPr>
          <w:rFonts w:hint="eastAsia"/>
          <w:color w:val="auto"/>
        </w:rPr>
        <w:t>家企业</w:t>
      </w:r>
      <w:r>
        <w:rPr>
          <w:color w:val="auto"/>
        </w:rPr>
        <w:t>60</w:t>
      </w:r>
      <w:r>
        <w:rPr>
          <w:rFonts w:hint="eastAsia"/>
          <w:color w:val="auto"/>
        </w:rPr>
        <w:t>余种优质产品亮相“融洽会”，会期销售及意向共</w:t>
      </w:r>
      <w:r>
        <w:rPr>
          <w:color w:val="auto"/>
        </w:rPr>
        <w:t>450</w:t>
      </w:r>
      <w:r>
        <w:rPr>
          <w:rFonts w:hint="eastAsia"/>
          <w:color w:val="auto"/>
        </w:rPr>
        <w:t>余万元，实现了绩效目标；</w:t>
      </w:r>
      <w:r>
        <w:rPr>
          <w:rFonts w:hint="eastAsia"/>
          <w:b/>
          <w:color w:val="auto"/>
        </w:rPr>
        <w:t>2023年“遇见巴蜀.国际融合采洽会”</w:t>
      </w:r>
      <w:r>
        <w:rPr>
          <w:rFonts w:hint="eastAsia"/>
          <w:color w:val="auto"/>
        </w:rPr>
        <w:t>项目绩效自评得分为100分，绩效自评综述：我市设广元展馆</w:t>
      </w:r>
      <w:r>
        <w:rPr>
          <w:color w:val="auto"/>
        </w:rPr>
        <w:t>72</w:t>
      </w:r>
      <w:r>
        <w:rPr>
          <w:rFonts w:hint="eastAsia"/>
          <w:color w:val="auto"/>
        </w:rPr>
        <w:t>平方米，组织</w:t>
      </w:r>
      <w:r>
        <w:rPr>
          <w:color w:val="auto"/>
        </w:rPr>
        <w:t>8</w:t>
      </w:r>
      <w:r>
        <w:rPr>
          <w:rFonts w:hint="eastAsia"/>
          <w:color w:val="auto"/>
        </w:rPr>
        <w:t>家优势企业</w:t>
      </w:r>
      <w:r>
        <w:rPr>
          <w:color w:val="auto"/>
        </w:rPr>
        <w:t>60</w:t>
      </w:r>
      <w:r>
        <w:rPr>
          <w:rFonts w:hint="eastAsia"/>
          <w:color w:val="auto"/>
        </w:rPr>
        <w:t>余种特色产品参展，达成合作意向协议</w:t>
      </w:r>
      <w:r>
        <w:rPr>
          <w:color w:val="auto"/>
        </w:rPr>
        <w:t>12</w:t>
      </w:r>
      <w:r>
        <w:rPr>
          <w:rFonts w:hint="eastAsia"/>
          <w:color w:val="auto"/>
        </w:rPr>
        <w:t>个、协议金额</w:t>
      </w:r>
      <w:r>
        <w:rPr>
          <w:color w:val="auto"/>
        </w:rPr>
        <w:t>680</w:t>
      </w:r>
      <w:r>
        <w:rPr>
          <w:rFonts w:hint="eastAsia"/>
          <w:color w:val="auto"/>
        </w:rPr>
        <w:t>余万元，实现了绩效目标；</w:t>
      </w:r>
      <w:r>
        <w:rPr>
          <w:rFonts w:hint="eastAsia"/>
          <w:b/>
          <w:color w:val="auto"/>
        </w:rPr>
        <w:t>“第八届成都国际汽车零配件及售后服务展览会”</w:t>
      </w:r>
      <w:r>
        <w:rPr>
          <w:rFonts w:hint="eastAsia"/>
          <w:color w:val="auto"/>
        </w:rPr>
        <w:t>项目绩效自评得分为100分，绩效自评综述：我市设54平方米的广元特装展馆，组织安驭铝合金车轮、天源机械、四川欣源设备等7家企业参展，会期达成合作意向金额1196万元，实现了绩效目标（绩效自评报告详见附件</w:t>
      </w:r>
      <w:bookmarkStart w:id="67" w:name="_Toc27413"/>
      <w:r>
        <w:rPr>
          <w:rFonts w:hint="eastAsia"/>
          <w:color w:val="auto"/>
        </w:rPr>
        <w:t>）。</w:t>
      </w:r>
    </w:p>
    <w:p>
      <w:pPr>
        <w:spacing w:line="560" w:lineRule="exact"/>
        <w:ind w:firstLine="640"/>
        <w:rPr>
          <w:color w:val="auto"/>
        </w:rPr>
      </w:pPr>
    </w:p>
    <w:p>
      <w:pPr>
        <w:spacing w:line="560" w:lineRule="exact"/>
        <w:ind w:firstLine="640"/>
        <w:rPr>
          <w:color w:val="auto"/>
        </w:rPr>
      </w:pPr>
    </w:p>
    <w:p>
      <w:pPr>
        <w:spacing w:line="560" w:lineRule="exact"/>
        <w:ind w:firstLine="640"/>
        <w:rPr>
          <w:color w:val="auto"/>
        </w:rPr>
      </w:pPr>
    </w:p>
    <w:p>
      <w:pPr>
        <w:spacing w:line="560" w:lineRule="exact"/>
        <w:ind w:firstLine="640"/>
        <w:rPr>
          <w:color w:val="auto"/>
        </w:rPr>
      </w:pPr>
    </w:p>
    <w:p>
      <w:pPr>
        <w:spacing w:line="560" w:lineRule="exact"/>
        <w:ind w:firstLine="640"/>
        <w:rPr>
          <w:color w:val="auto"/>
        </w:rPr>
      </w:pPr>
    </w:p>
    <w:p>
      <w:pPr>
        <w:spacing w:line="560" w:lineRule="exact"/>
        <w:ind w:firstLine="640"/>
        <w:rPr>
          <w:color w:val="auto"/>
        </w:rPr>
      </w:pPr>
    </w:p>
    <w:p>
      <w:pPr>
        <w:spacing w:line="560" w:lineRule="exact"/>
        <w:ind w:firstLine="640"/>
        <w:rPr>
          <w:color w:val="auto"/>
        </w:rPr>
      </w:pPr>
    </w:p>
    <w:p>
      <w:pPr>
        <w:spacing w:line="560" w:lineRule="exact"/>
        <w:ind w:firstLine="640"/>
        <w:rPr>
          <w:color w:val="auto"/>
        </w:rPr>
      </w:pPr>
    </w:p>
    <w:p>
      <w:pPr>
        <w:spacing w:line="560" w:lineRule="exact"/>
        <w:ind w:firstLine="640"/>
        <w:rPr>
          <w:color w:val="auto"/>
        </w:rPr>
      </w:pPr>
    </w:p>
    <w:p>
      <w:pPr>
        <w:pStyle w:val="3"/>
        <w:ind w:firstLine="880"/>
        <w:rPr>
          <w:color w:val="auto"/>
        </w:rPr>
      </w:pPr>
      <w:r>
        <w:rPr>
          <w:rFonts w:hint="eastAsia"/>
          <w:color w:val="auto"/>
        </w:rPr>
        <w:t>第三部分名词解释</w:t>
      </w:r>
      <w:bookmarkEnd w:id="65"/>
      <w:bookmarkEnd w:id="66"/>
      <w:bookmarkEnd w:id="67"/>
    </w:p>
    <w:p>
      <w:pPr>
        <w:numPr>
          <w:ilvl w:val="0"/>
          <w:numId w:val="1"/>
        </w:numPr>
        <w:spacing w:line="560" w:lineRule="exact"/>
        <w:ind w:firstLineChars="0"/>
        <w:rPr>
          <w:color w:val="auto"/>
        </w:rPr>
      </w:pPr>
      <w:bookmarkStart w:id="68" w:name="_Toc15377226"/>
      <w:r>
        <w:rPr>
          <w:rFonts w:hint="eastAsia"/>
          <w:color w:val="auto"/>
        </w:rPr>
        <w:t>财政拨款收入：指单位从同级财政部门取得的财政预算资金。</w:t>
      </w:r>
    </w:p>
    <w:p>
      <w:pPr>
        <w:numPr>
          <w:ilvl w:val="0"/>
          <w:numId w:val="1"/>
        </w:numPr>
        <w:spacing w:line="560" w:lineRule="exact"/>
        <w:ind w:firstLineChars="0"/>
        <w:rPr>
          <w:color w:val="auto"/>
        </w:rPr>
      </w:pPr>
      <w:r>
        <w:rPr>
          <w:rFonts w:hint="eastAsia"/>
          <w:color w:val="auto"/>
        </w:rPr>
        <w:t>年初结转和结余：指以前年度尚未完成、结转到本年按有关规定继续使用的资金。</w:t>
      </w:r>
    </w:p>
    <w:p>
      <w:pPr>
        <w:numPr>
          <w:ilvl w:val="0"/>
          <w:numId w:val="1"/>
        </w:numPr>
        <w:spacing w:line="560" w:lineRule="exact"/>
        <w:ind w:firstLineChars="0"/>
        <w:rPr>
          <w:color w:val="auto"/>
        </w:rPr>
      </w:pPr>
      <w:r>
        <w:rPr>
          <w:rFonts w:hint="eastAsia"/>
          <w:color w:val="auto"/>
        </w:rPr>
        <w:t>一般公共服务（类）政府办公厅（室）及相关机构事务（款）行政运行（项）：指市贸促会机关单位用于保障机构正常运行、开展日常工作的基本支出。</w:t>
      </w:r>
    </w:p>
    <w:p>
      <w:pPr>
        <w:numPr>
          <w:ilvl w:val="0"/>
          <w:numId w:val="1"/>
        </w:numPr>
        <w:spacing w:line="560" w:lineRule="exact"/>
        <w:ind w:firstLineChars="0"/>
        <w:rPr>
          <w:color w:val="auto"/>
        </w:rPr>
      </w:pPr>
      <w:r>
        <w:rPr>
          <w:rFonts w:hint="eastAsia"/>
          <w:color w:val="auto"/>
        </w:rPr>
        <w:t>一般公共服务（类）政府办公厅（室）及相关机构事务（款）一般行政管理事务（项）：指市贸促会未单独设置项级科目的其他项目支出。</w:t>
      </w:r>
    </w:p>
    <w:p>
      <w:pPr>
        <w:numPr>
          <w:ilvl w:val="0"/>
          <w:numId w:val="1"/>
        </w:numPr>
        <w:spacing w:line="560" w:lineRule="exact"/>
        <w:ind w:firstLineChars="0"/>
        <w:rPr>
          <w:color w:val="auto"/>
        </w:rPr>
      </w:pPr>
      <w:r>
        <w:rPr>
          <w:rFonts w:hint="eastAsia"/>
          <w:color w:val="auto"/>
        </w:rPr>
        <w:t>社会保障和就业（类）行政事业单位养老支出（款）机关事业单位基本养老保险缴费支出（项）：指部门实施养老保险制度由单位缴纳的养老保险费支出。</w:t>
      </w:r>
    </w:p>
    <w:p>
      <w:pPr>
        <w:numPr>
          <w:ilvl w:val="0"/>
          <w:numId w:val="1"/>
        </w:numPr>
        <w:spacing w:line="560" w:lineRule="exact"/>
        <w:ind w:firstLineChars="0"/>
        <w:rPr>
          <w:color w:val="auto"/>
        </w:rPr>
      </w:pPr>
      <w:r>
        <w:rPr>
          <w:rFonts w:hint="eastAsia"/>
          <w:color w:val="auto"/>
        </w:rPr>
        <w:t>社会保障和就业（类）其他社会保障和就业（款）其他社会保障和就业支出（项）：指除上述项目外，其他用于行政事业单位离退休等方面的支出。</w:t>
      </w:r>
    </w:p>
    <w:p>
      <w:pPr>
        <w:numPr>
          <w:ilvl w:val="0"/>
          <w:numId w:val="1"/>
        </w:numPr>
        <w:spacing w:line="560" w:lineRule="exact"/>
        <w:ind w:firstLineChars="0"/>
        <w:rPr>
          <w:color w:val="auto"/>
        </w:rPr>
      </w:pPr>
      <w:r>
        <w:rPr>
          <w:rFonts w:hint="eastAsia"/>
          <w:color w:val="auto"/>
        </w:rPr>
        <w:t>卫生健康（类）行政事业单位医疗（款）行政单位医疗（项）：指市贸促会单位基本医疗保险缴费经费的支出。</w:t>
      </w:r>
    </w:p>
    <w:p>
      <w:pPr>
        <w:numPr>
          <w:ilvl w:val="0"/>
          <w:numId w:val="1"/>
        </w:numPr>
        <w:spacing w:line="560" w:lineRule="exact"/>
        <w:ind w:firstLineChars="0"/>
        <w:rPr>
          <w:color w:val="auto"/>
        </w:rPr>
      </w:pPr>
      <w:r>
        <w:rPr>
          <w:rFonts w:hint="eastAsia"/>
          <w:color w:val="auto"/>
        </w:rPr>
        <w:t>住房保障支出（类）住房改革支出（款）住房公积金（项）：指市贸促会为职工缴纳住房公积金的支出。</w:t>
      </w:r>
    </w:p>
    <w:p>
      <w:pPr>
        <w:numPr>
          <w:ilvl w:val="0"/>
          <w:numId w:val="1"/>
        </w:numPr>
        <w:spacing w:line="560" w:lineRule="exact"/>
        <w:ind w:firstLineChars="0"/>
        <w:rPr>
          <w:color w:val="auto"/>
        </w:rPr>
      </w:pPr>
      <w:r>
        <w:rPr>
          <w:rFonts w:hint="eastAsia"/>
          <w:color w:val="auto"/>
        </w:rPr>
        <w:t>基本支出：指为保障机构正常运转、完成日常工作任务而发生的人员支出和公用支出。</w:t>
      </w:r>
    </w:p>
    <w:p>
      <w:pPr>
        <w:numPr>
          <w:ilvl w:val="0"/>
          <w:numId w:val="1"/>
        </w:numPr>
        <w:spacing w:line="560" w:lineRule="exact"/>
        <w:ind w:firstLineChars="0"/>
        <w:rPr>
          <w:color w:val="auto"/>
        </w:rPr>
      </w:pPr>
      <w:r>
        <w:rPr>
          <w:rFonts w:hint="eastAsia"/>
          <w:color w:val="auto"/>
        </w:rPr>
        <w:t>项目支出：指在基本支出之外为完成特定行政任务和事业发展目标所发生的支出。</w:t>
      </w:r>
    </w:p>
    <w:p>
      <w:pPr>
        <w:numPr>
          <w:ilvl w:val="0"/>
          <w:numId w:val="1"/>
        </w:numPr>
        <w:spacing w:line="560" w:lineRule="exact"/>
        <w:ind w:firstLineChars="0"/>
        <w:rPr>
          <w:color w:val="auto"/>
        </w:rPr>
      </w:pPr>
      <w:r>
        <w:rPr>
          <w:rFonts w:hint="eastAsia"/>
          <w:color w:val="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保险费等支出；公务接待费反映单位按规定开支的各类公务接待（含外宾接待）支出。</w:t>
      </w:r>
    </w:p>
    <w:p>
      <w:pPr>
        <w:numPr>
          <w:ilvl w:val="0"/>
          <w:numId w:val="1"/>
        </w:numPr>
        <w:spacing w:line="560" w:lineRule="exact"/>
        <w:ind w:firstLineChars="0"/>
        <w:rPr>
          <w:color w:val="auto"/>
        </w:rPr>
      </w:pPr>
      <w:r>
        <w:rPr>
          <w:rFonts w:hint="eastAsia"/>
          <w:color w:val="auto"/>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bookmarkStart w:id="69" w:name="_Toc15396614"/>
      <w:bookmarkStart w:id="70" w:name="_Toc15729"/>
    </w:p>
    <w:p>
      <w:pPr>
        <w:ind w:firstLine="640"/>
        <w:rPr>
          <w:color w:val="auto"/>
        </w:rPr>
      </w:pPr>
      <w:r>
        <w:rPr>
          <w:rFonts w:hint="eastAsia"/>
          <w:color w:val="auto"/>
        </w:rPr>
        <w:br w:type="page"/>
      </w:r>
    </w:p>
    <w:p>
      <w:pPr>
        <w:pStyle w:val="3"/>
        <w:ind w:firstLine="880"/>
        <w:rPr>
          <w:color w:val="auto"/>
        </w:rPr>
      </w:pPr>
      <w:r>
        <w:rPr>
          <w:rFonts w:hint="eastAsia"/>
          <w:color w:val="auto"/>
        </w:rPr>
        <w:t>第四部分附件</w:t>
      </w:r>
      <w:bookmarkEnd w:id="69"/>
      <w:bookmarkEnd w:id="70"/>
    </w:p>
    <w:p>
      <w:pPr>
        <w:adjustRightInd w:val="0"/>
        <w:snapToGrid w:val="0"/>
        <w:spacing w:line="560" w:lineRule="exact"/>
        <w:ind w:firstLine="198" w:firstLineChars="62"/>
        <w:contextualSpacing/>
        <w:jc w:val="left"/>
        <w:rPr>
          <w:rFonts w:ascii="黑体" w:hAnsi="黑体" w:eastAsia="黑体" w:cs="方正仿宋简体"/>
          <w:color w:val="auto"/>
          <w:szCs w:val="32"/>
        </w:rPr>
      </w:pPr>
      <w:r>
        <w:rPr>
          <w:rFonts w:hint="eastAsia" w:ascii="黑体" w:hAnsi="黑体" w:eastAsia="黑体" w:cs="方正仿宋简体"/>
          <w:color w:val="auto"/>
          <w:szCs w:val="32"/>
        </w:rPr>
        <w:t>附件</w:t>
      </w:r>
    </w:p>
    <w:p>
      <w:pPr>
        <w:ind w:firstLine="880"/>
        <w:jc w:val="center"/>
        <w:rPr>
          <w:rFonts w:ascii="方正小标宋简体" w:hAnsi="宋体" w:eastAsia="方正小标宋简体"/>
          <w:color w:val="auto"/>
          <w:kern w:val="0"/>
          <w:sz w:val="44"/>
          <w:szCs w:val="44"/>
        </w:rPr>
      </w:pPr>
    </w:p>
    <w:p>
      <w:pPr>
        <w:ind w:firstLine="880"/>
        <w:jc w:val="center"/>
        <w:rPr>
          <w:rFonts w:ascii="方正小标宋简体" w:hAnsi="宋体" w:eastAsia="方正小标宋简体"/>
          <w:color w:val="auto"/>
          <w:kern w:val="0"/>
          <w:sz w:val="44"/>
          <w:szCs w:val="44"/>
        </w:rPr>
      </w:pPr>
      <w:r>
        <w:rPr>
          <w:rFonts w:hint="eastAsia" w:ascii="方正小标宋简体" w:hAnsi="宋体" w:eastAsia="方正小标宋简体"/>
          <w:color w:val="auto"/>
          <w:kern w:val="0"/>
          <w:sz w:val="44"/>
          <w:szCs w:val="44"/>
        </w:rPr>
        <w:t>2023年广元市贸促会整体绩效评价报告</w:t>
      </w:r>
    </w:p>
    <w:p>
      <w:pPr>
        <w:adjustRightInd w:val="0"/>
        <w:snapToGrid w:val="0"/>
        <w:spacing w:line="560" w:lineRule="exact"/>
        <w:ind w:firstLine="640"/>
        <w:contextualSpacing/>
        <w:jc w:val="left"/>
        <w:rPr>
          <w:rFonts w:ascii="黑体" w:hAnsi="黑体" w:eastAsia="黑体"/>
          <w:color w:val="auto"/>
          <w:szCs w:val="32"/>
        </w:rPr>
      </w:pPr>
    </w:p>
    <w:p>
      <w:pPr>
        <w:adjustRightInd w:val="0"/>
        <w:snapToGrid w:val="0"/>
        <w:spacing w:line="560" w:lineRule="exact"/>
        <w:ind w:firstLine="640"/>
        <w:contextualSpacing/>
        <w:jc w:val="left"/>
        <w:rPr>
          <w:rFonts w:ascii="黑体" w:hAnsi="黑体" w:eastAsia="黑体"/>
          <w:color w:val="auto"/>
          <w:szCs w:val="32"/>
        </w:rPr>
      </w:pPr>
      <w:r>
        <w:rPr>
          <w:rFonts w:hint="eastAsia" w:ascii="黑体" w:hAnsi="黑体" w:eastAsia="黑体"/>
          <w:color w:val="auto"/>
          <w:szCs w:val="32"/>
        </w:rPr>
        <w:t>一、部门（单位）基本情况</w:t>
      </w:r>
    </w:p>
    <w:p>
      <w:pPr>
        <w:adjustRightInd w:val="0"/>
        <w:snapToGrid w:val="0"/>
        <w:spacing w:line="560" w:lineRule="exact"/>
        <w:ind w:firstLine="640"/>
        <w:contextualSpacing/>
        <w:jc w:val="left"/>
        <w:rPr>
          <w:rFonts w:ascii="楷体_GB2312" w:hAnsi="仿宋" w:eastAsia="楷体_GB2312" w:cs="方正仿宋简体"/>
          <w:color w:val="auto"/>
          <w:szCs w:val="32"/>
        </w:rPr>
      </w:pPr>
      <w:r>
        <w:rPr>
          <w:rFonts w:hint="eastAsia" w:ascii="楷体_GB2312" w:hAnsi="仿宋" w:eastAsia="楷体_GB2312" w:cs="方正仿宋简体"/>
          <w:color w:val="auto"/>
          <w:szCs w:val="32"/>
        </w:rPr>
        <w:t>（一）机构组成</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中国国际贸易促进委员会广元市委员会（以下简称市贸促会）是市委、市政府领导的群团组织，正县级单位，内设办公室、贸易投资促进部、国际联络部。</w:t>
      </w:r>
    </w:p>
    <w:p>
      <w:pPr>
        <w:adjustRightInd w:val="0"/>
        <w:snapToGrid w:val="0"/>
        <w:spacing w:line="560" w:lineRule="exact"/>
        <w:ind w:firstLine="640"/>
        <w:contextualSpacing/>
        <w:jc w:val="left"/>
        <w:rPr>
          <w:rFonts w:ascii="楷体_GB2312" w:hAnsi="仿宋" w:eastAsia="楷体_GB2312" w:cs="方正仿宋简体"/>
          <w:color w:val="auto"/>
          <w:szCs w:val="32"/>
        </w:rPr>
      </w:pPr>
      <w:r>
        <w:rPr>
          <w:rFonts w:hint="eastAsia" w:ascii="楷体_GB2312" w:hAnsi="仿宋" w:eastAsia="楷体_GB2312" w:cs="方正仿宋简体"/>
          <w:color w:val="auto"/>
          <w:szCs w:val="32"/>
        </w:rPr>
        <w:t>（二）机构职能和人员概况</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机构职能：</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1.根据市委、市政府外事、外贸、外资、外经的具体政策和目标任务，发挥民间外交的作用，开展同世界各国、各地区经济贸易界和有关国际组织的联络。</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2.邀请和接待国外、境外贸促机构、商协会、经济贸易、技术人士和代表团来广元市考察访问；与有关国际组织、区域性组织及各国贸促机构和商协会开展交流合作。</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3.参加国家贸促会和省贸促会主办的国际展览活动；根据市政府授权，承办我市赴国外、境外举办的经济贸易展览会工作，统筹协调国外、境外来我市举办的经济贸易或技术合作展览会，提供展览信息与业务培训服务。</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4.开展国内外经济调查研究和经济贸易信息的搜集、整理、传递和发布工作，建立国内外的经贸信息网络。向国内外有关企业和机构提供经济贸易和技术合作等方面的信息和咨询服务；编辑发行对外经济贸易信息摘报及其他刊物。</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5.出具广元市出口商品产地证明书；承办工业产权等知识产权的咨询等业务。</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6.开展和提供涉外法律咨询服务；接受委托代理涉外仲裁诉讼案件；调解涉外经济贸易纠纷；组织或参与涉外经济贸易案件调查工作。</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7.在全市企业和有关单位中发展会员并提供服务，发挥企业与政府间的桥梁、纽带作用。</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8.承办市委、市政府交办的其他工作。</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人员概况：市贸促会现有参公编制数7个、工勤编制1个，</w:t>
      </w:r>
      <w:r>
        <w:rPr>
          <w:rFonts w:hAnsi="仿宋" w:cs="方正仿宋简体"/>
          <w:color w:val="auto"/>
          <w:szCs w:val="32"/>
        </w:rPr>
        <w:t>退休人员</w:t>
      </w:r>
      <w:r>
        <w:rPr>
          <w:rFonts w:hint="eastAsia" w:hAnsi="仿宋" w:cs="方正仿宋简体"/>
          <w:color w:val="auto"/>
          <w:szCs w:val="32"/>
        </w:rPr>
        <w:t>5</w:t>
      </w:r>
      <w:r>
        <w:rPr>
          <w:rFonts w:hAnsi="仿宋" w:cs="方正仿宋简体"/>
          <w:color w:val="auto"/>
          <w:szCs w:val="32"/>
        </w:rPr>
        <w:t>人。</w:t>
      </w:r>
    </w:p>
    <w:p>
      <w:pPr>
        <w:adjustRightInd w:val="0"/>
        <w:snapToGrid w:val="0"/>
        <w:spacing w:line="560" w:lineRule="exact"/>
        <w:ind w:firstLine="640"/>
        <w:contextualSpacing/>
        <w:jc w:val="left"/>
        <w:rPr>
          <w:rFonts w:ascii="楷体_GB2312" w:hAnsi="仿宋" w:eastAsia="楷体_GB2312" w:cs="方正仿宋简体"/>
          <w:color w:val="auto"/>
          <w:szCs w:val="32"/>
        </w:rPr>
      </w:pPr>
      <w:r>
        <w:rPr>
          <w:rFonts w:hint="eastAsia" w:ascii="楷体_GB2312" w:hAnsi="仿宋" w:eastAsia="楷体_GB2312" w:cs="方正仿宋简体"/>
          <w:color w:val="auto"/>
          <w:szCs w:val="32"/>
        </w:rPr>
        <w:t>（三）年度主要工作任务</w:t>
      </w:r>
    </w:p>
    <w:p>
      <w:pPr>
        <w:adjustRightInd w:val="0"/>
        <w:snapToGrid w:val="0"/>
        <w:spacing w:line="560" w:lineRule="exact"/>
        <w:ind w:firstLine="640"/>
        <w:contextualSpacing/>
        <w:jc w:val="both"/>
        <w:rPr>
          <w:rFonts w:hAnsi="仿宋" w:cs="方正仿宋简体"/>
          <w:color w:val="auto"/>
          <w:szCs w:val="32"/>
        </w:rPr>
      </w:pPr>
      <w:r>
        <w:rPr>
          <w:rFonts w:hint="eastAsia" w:hAnsi="仿宋" w:cs="方正仿宋简体"/>
          <w:color w:val="auto"/>
          <w:szCs w:val="32"/>
        </w:rPr>
        <w:t>一是以</w:t>
      </w:r>
      <w:r>
        <w:rPr>
          <w:rFonts w:hint="eastAsia" w:hAnsi="仿宋" w:cs="方正仿宋简体"/>
          <w:color w:val="auto"/>
          <w:szCs w:val="32"/>
        </w:rPr>
        <w:t>学习贯彻习近平新时代中国特色社会主义思想</w:t>
      </w:r>
      <w:r>
        <w:rPr>
          <w:rFonts w:hint="eastAsia" w:hAnsi="仿宋" w:cs="方正仿宋简体"/>
          <w:color w:val="auto"/>
          <w:szCs w:val="32"/>
        </w:rPr>
        <w:t>为核心，突出强化思想政治引领。把</w:t>
      </w:r>
      <w:r>
        <w:rPr>
          <w:rFonts w:hint="eastAsia" w:hAnsi="仿宋" w:cs="方正仿宋简体"/>
          <w:color w:val="auto"/>
          <w:szCs w:val="32"/>
          <w:lang w:eastAsia="zh-CN"/>
        </w:rPr>
        <w:t>坚持和加强党的全面领导</w:t>
      </w:r>
      <w:r>
        <w:rPr>
          <w:rFonts w:hint="eastAsia" w:hAnsi="仿宋" w:cs="方正仿宋简体"/>
          <w:color w:val="auto"/>
          <w:szCs w:val="32"/>
        </w:rPr>
        <w:t>作为根本政治原则和重大政治责任，严格执行重大事项请示报告制度，发挥好党组“把方向、管大局、保落实”的重要作用。把政治建会作为贸促会的根本性工作，重点做好干部职工和非公经济人士的思想政治教育，始终保持风清气正的良好政治生态。</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二是以高质量筹办、参加各类展会活动为重点，助力我市拼经济搞建设。克服疫情影响，用好用活“互联网+会展”模式，办好2022年第11届秦巴山区年货节，并探索通过市场化办展方式争取筹办一次专业性展会。充分运用贸促会资源，会同有关部门共同办好女儿节商品展、广元春秋两季汽车展、广元家居建材交易会等展会活动，打响广元展会品牌。认真谋划并组织好广元组团参加西博会和进博会、食材展、汽配展等重大展会活动，帮助广元优势企业和特色产品拓展市场。</w:t>
      </w:r>
      <w:bookmarkStart w:id="100" w:name="_GoBack"/>
      <w:bookmarkEnd w:id="100"/>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三是以“一带一路”地市贸促会联盟为抓手，深度挖掘经贸合作潜能。继续深耕“一带一路”地市贸促会联盟，积极争取“一带一路”地市贸促会联盟在广元开展贸易投资促进活动，并针对性地选择1-2个东部发达城市贸促机构开展合作。持续融入成渝地区双城经济圈建设，加快推进与成都、重庆等地贸促机构的对接合作，为“广元造”产品进入成都、重庆市场牵线搭桥。继续强化与国（境）内外商协会、经贸组织和企业的联系交流，重点加强与南亚、东南亚等地区商协会的联系，力争建立务实合作关系。</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四是以打造服务型机关为目标，持续提升服务企业效能。进一步健全完善服务外资企业专班工作运行机制，拓展服务范围，织密服务网络，加强调查研究和政策宣传，建立问题清单和整改清单，强化跟踪服务，推动问题有效解决。健全落实好党员干部联系服务企业制度，积极推动金融支持、产业对接和项目合作等服务。全面落实川渝通办要求，积极宣传和推广原产地证、ATA单证册、国际商事证明书等审批办理事项，协助做好企业证件审批办理相关事项。建好用好原产地办证点、经贸摩擦预警点、营商环境监测站、四川调解中心广元办事处。持续深化广元国际商会改革，积极搭建服务平台，切实提高服务能力和水平。</w:t>
      </w:r>
    </w:p>
    <w:p>
      <w:pPr>
        <w:adjustRightInd w:val="0"/>
        <w:snapToGrid w:val="0"/>
        <w:spacing w:line="560" w:lineRule="exact"/>
        <w:ind w:firstLine="640"/>
        <w:contextualSpacing/>
        <w:jc w:val="left"/>
        <w:rPr>
          <w:rFonts w:ascii="楷体_GB2312" w:hAnsi="仿宋" w:eastAsia="楷体_GB2312" w:cs="方正仿宋简体"/>
          <w:color w:val="auto"/>
          <w:szCs w:val="32"/>
        </w:rPr>
      </w:pPr>
      <w:r>
        <w:rPr>
          <w:rFonts w:hint="eastAsia" w:ascii="楷体_GB2312" w:hAnsi="仿宋" w:eastAsia="楷体_GB2312" w:cs="方正仿宋简体"/>
          <w:color w:val="auto"/>
          <w:szCs w:val="32"/>
        </w:rPr>
        <w:t>（四）部门整体支出绩效目标</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1.成功举办</w:t>
      </w:r>
      <w:r>
        <w:rPr>
          <w:rFonts w:hAnsi="仿宋" w:cs="方正仿宋简体"/>
          <w:color w:val="auto"/>
          <w:szCs w:val="32"/>
        </w:rPr>
        <w:t>2022</w:t>
      </w:r>
      <w:r>
        <w:rPr>
          <w:rFonts w:hint="eastAsia" w:hAnsi="仿宋" w:cs="方正仿宋简体"/>
          <w:color w:val="auto"/>
          <w:szCs w:val="32"/>
        </w:rPr>
        <w:t>第十一届秦巴山区年货节，展览面积1500平方米，64家特色企业、2000余种产品参展，同步举办2022年云上秦巴山区年货节，46家企业、市外10余家企业的920余种特色优质年货产品线上参展，累计实现销售额1.86亿元。</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2.积极协办市内重点展会，会同有关部门成功举办2022广元夏季汽车节、第二届夏季建材家居“夜宴”消费周等活动，实现销售额近2亿元。</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3.组团参加第八届成都汽配展，设广元展馆54平方米，6家企业参展，达成意向合同1196万元。</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4.组团参加第七届成都智博会，设广元展馆54平方米，组织</w:t>
      </w:r>
      <w:r>
        <w:rPr>
          <w:rFonts w:hAnsi="仿宋" w:cs="方正仿宋简体"/>
          <w:color w:val="auto"/>
          <w:szCs w:val="32"/>
        </w:rPr>
        <w:t>5</w:t>
      </w:r>
      <w:r>
        <w:rPr>
          <w:rFonts w:hint="eastAsia" w:hAnsi="仿宋" w:cs="方正仿宋简体"/>
          <w:color w:val="auto"/>
          <w:szCs w:val="32"/>
        </w:rPr>
        <w:t>家企业参展，达成销售意向</w:t>
      </w:r>
      <w:r>
        <w:rPr>
          <w:rFonts w:hAnsi="仿宋" w:cs="方正仿宋简体"/>
          <w:color w:val="auto"/>
          <w:szCs w:val="32"/>
        </w:rPr>
        <w:t>5072</w:t>
      </w:r>
      <w:r>
        <w:rPr>
          <w:rFonts w:hint="eastAsia" w:hAnsi="仿宋" w:cs="方正仿宋简体"/>
          <w:color w:val="auto"/>
          <w:szCs w:val="32"/>
        </w:rPr>
        <w:t>万元。</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5.组织7家本土优势企业参加2022年迪拜世博会中国馆“四川活动日”—遇见巴蜀·国际融合采洽会，实现销售额450万元。</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6.组织4家本土优势企业参加第106届成都糖酒商品交易会，会期销售及签订意向协议1350万元，其中四川俊业农业科技有限公司与四川机场签订400万元订单。</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7.会同青川县在广元、杭州西湖区举办“西湖——青川东西部协作”青川山珍迎新春年货节专场活动和青川山珍农特产品专场推介，现场销售及签约超1900万元。</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8.参加“一带一路”全国上市公司国际论坛，推介广元绿色发展、基础建设、物流运输项目20余个。赴成都、广安等地开展投资促进活动3次，实地考察意向合作企业11家，与2家企业初步达成合作意向。</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9.组织企业参加省贸促会举办的“2022中国（四川）-韩国RCEP说明会”和智利农产品暨智利投资机遇研讨会。</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10.配合市经合外事局开展与巴基斯坦有关城市交流合作，在省贸促会支持下与巴基斯坦第三大城市费萨拉巴德市建立初步联系。深耕“一带一路”地市贸促会联盟，通过该平台先后与全国39家贸促机构建立了友好合作关系。</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11.开展“我为企业办实事”等活动，对涉外企业进行全覆盖走访，建立外资企业数据库和涉外企业困难、需求台账，推动解决突出问题12个。</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12.在广元设立原产地办证点、经贸摩擦预警点、营商环境监测站、调解中心办事处，先后组织50余家企业参加RCEP线上培训，为企业提供经贸信息1000余条。</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13.宣传推广原产地证、ATA单证册、国际商事证明书等新业务，帮助四川昭钢炭素有限公司成功办理广元首批RCEP优惠原产地证。圆满完成中国贸促会“贸法通”四川服务月值守工作，推送宣传信息100余条，解答咨询16次。</w:t>
      </w:r>
    </w:p>
    <w:p>
      <w:pPr>
        <w:adjustRightInd w:val="0"/>
        <w:snapToGrid w:val="0"/>
        <w:spacing w:line="560" w:lineRule="exact"/>
        <w:ind w:firstLine="640"/>
        <w:contextualSpacing/>
        <w:jc w:val="left"/>
        <w:rPr>
          <w:rFonts w:hAnsi="仿宋" w:cs="方正仿宋简体"/>
          <w:color w:val="auto"/>
          <w:szCs w:val="32"/>
        </w:rPr>
      </w:pPr>
      <w:r>
        <w:rPr>
          <w:rFonts w:hint="eastAsia" w:ascii="黑体" w:hAnsi="黑体" w:eastAsia="黑体"/>
          <w:color w:val="auto"/>
          <w:szCs w:val="32"/>
        </w:rPr>
        <w:t>二、部门资金收支情况</w:t>
      </w:r>
    </w:p>
    <w:p>
      <w:pPr>
        <w:adjustRightInd w:val="0"/>
        <w:snapToGrid w:val="0"/>
        <w:spacing w:line="560" w:lineRule="exact"/>
        <w:ind w:firstLine="640"/>
        <w:contextualSpacing/>
        <w:jc w:val="left"/>
        <w:rPr>
          <w:rFonts w:ascii="楷体_GB2312" w:hAnsi="仿宋" w:eastAsia="楷体_GB2312" w:cs="方正仿宋简体"/>
          <w:color w:val="auto"/>
          <w:szCs w:val="32"/>
        </w:rPr>
      </w:pPr>
      <w:r>
        <w:rPr>
          <w:rFonts w:hint="eastAsia" w:ascii="楷体_GB2312" w:hAnsi="仿宋" w:eastAsia="楷体_GB2312" w:cs="方正仿宋简体"/>
          <w:color w:val="auto"/>
          <w:szCs w:val="32"/>
        </w:rPr>
        <w:t>（一）部门总体收支情况</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1.部门总体收入情况</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2022年市贸促会财政资金收入243.41万元，其中一般公共预算财政拨款收入243.41万元。</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2.部门总体支出情况</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2022年支出总计248.61万元，其中人员经费支出180.27万元，办公及运行经费支出27.36万元，项目支出40.99万元。</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3.部门总体结转结余情况</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2022年年初结转结余5.20万元。</w:t>
      </w:r>
    </w:p>
    <w:p>
      <w:pPr>
        <w:adjustRightInd w:val="0"/>
        <w:snapToGrid w:val="0"/>
        <w:spacing w:line="560" w:lineRule="exact"/>
        <w:ind w:firstLine="640"/>
        <w:contextualSpacing/>
        <w:jc w:val="left"/>
        <w:rPr>
          <w:rFonts w:ascii="楷体_GB2312" w:hAnsi="仿宋" w:eastAsia="楷体_GB2312" w:cs="方正仿宋简体"/>
          <w:color w:val="auto"/>
          <w:szCs w:val="32"/>
        </w:rPr>
      </w:pPr>
      <w:r>
        <w:rPr>
          <w:rFonts w:hint="eastAsia" w:ascii="楷体_GB2312" w:hAnsi="仿宋" w:eastAsia="楷体_GB2312" w:cs="方正仿宋简体"/>
          <w:color w:val="auto"/>
          <w:szCs w:val="32"/>
        </w:rPr>
        <w:t>（二）部门财政拨款收支情况</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1.部门财政拨款收入情况</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2022年市贸促会财政资金收入243.41万元，其中一般公共预算财政拨款收入243.41万元。</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2.部门财政拨款支出情况</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2022年支出总计248.61万元，其中人员经费支出180.27万元，办公及运行经费支出27.36万元，项目支出40.99万元。</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3.部门财政拨款结转结余情况</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2022年年初结转和结余5.20万元。</w:t>
      </w:r>
    </w:p>
    <w:p>
      <w:pPr>
        <w:adjustRightInd w:val="0"/>
        <w:snapToGrid w:val="0"/>
        <w:spacing w:line="560" w:lineRule="exact"/>
        <w:ind w:firstLine="640"/>
        <w:contextualSpacing/>
        <w:jc w:val="left"/>
        <w:rPr>
          <w:rFonts w:ascii="黑体" w:hAnsi="黑体" w:eastAsia="黑体"/>
          <w:color w:val="auto"/>
          <w:szCs w:val="32"/>
        </w:rPr>
      </w:pPr>
      <w:r>
        <w:rPr>
          <w:rFonts w:hint="eastAsia" w:ascii="黑体" w:hAnsi="黑体" w:eastAsia="黑体"/>
          <w:color w:val="auto"/>
          <w:szCs w:val="32"/>
        </w:rPr>
        <w:t>三、部门整体绩效分析</w:t>
      </w:r>
    </w:p>
    <w:p>
      <w:pPr>
        <w:adjustRightInd w:val="0"/>
        <w:snapToGrid w:val="0"/>
        <w:spacing w:line="560" w:lineRule="exact"/>
        <w:ind w:firstLine="640"/>
        <w:contextualSpacing/>
        <w:jc w:val="left"/>
        <w:rPr>
          <w:rFonts w:ascii="楷体_GB2312" w:hAnsi="仿宋" w:eastAsia="楷体_GB2312" w:cs="方正仿宋简体"/>
          <w:color w:val="auto"/>
          <w:szCs w:val="32"/>
        </w:rPr>
      </w:pPr>
      <w:r>
        <w:rPr>
          <w:rFonts w:hint="eastAsia" w:ascii="楷体_GB2312" w:hAnsi="仿宋" w:eastAsia="楷体_GB2312" w:cs="方正仿宋简体"/>
          <w:color w:val="auto"/>
          <w:szCs w:val="32"/>
        </w:rPr>
        <w:t>（一）部门预算项目绩效分析</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1.人员类项目绩效分析</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2022年度本单位共支出资金248.61万元，其中人员经费支出180.27万元，全部为财政资金，有效保证了单位的人员经费。</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2.运转类项目绩效分析</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2022年度本单位共支出资金248.61万元，全部为财政资金办公及运行经费支出27.36万元，有效的保证了单位的正常运转。</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3.特定目标类项目绩效分析</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2022年项目支出合计为40.99万元，绩效分析结果如下：广元参加2022年遇见巴蜀•国际融合采洽会经费2万元，执行数2万元，预算执行率100%，通过实施该项目，我市设广元展馆72平方米，组织广元供销农产品集团有限公司、四川木门茶业等8家优势企业参展，广元七绝、苍溪大米、木门黄茶等60余种特色产品参展，达成合作意向协议12个、协议金额680余万元。2022年各类会展、贸易投资促进活动经费6.6万元，执行数1.50万元，预算执行率22.73%，通过实施该项目，邀请国（境）内外商协会、经贸促进组织、企业来广考察5批次，引进招商项目1个，组织广元本地企业20余家家参加国（境）外线上线下会展活动、经贸对接活动5次；积极组织广元本地企业经贸活动以及“一带一路”地市贸促会联盟举办展会、经贸促进活动20余次。2022年乡村振兴工作经费1.82万元，执行数1.82万元，预算执行率100%，通过项目实施，我会驻村工作队通过入户走访、以购代扶等，完成我会帮扶工作。2022年经贸摩擦预警、产地签证、营商环境监测经费5万元，执行数2.91万元，预算执行率58.2%，通过实施该项目，我会开展经贸预警调研、分析等工作，为企业提供预警信息100条，各类咨询10次，设置营商环境监测点15家企业，原产地签证点得到宣传和推广。我市组织参加2020年迪拜世博会中国馆“四川活动日”工作经费3.55万元，执行数3.55万元，预算执行率100%，通过实施该项目，广元米茶山茶叶、速食牛肉面、“广元七绝”系列、女皇故里酒、“广元红”高端红茶等</w:t>
      </w:r>
      <w:r>
        <w:rPr>
          <w:rFonts w:hAnsi="仿宋" w:cs="方正仿宋简体"/>
          <w:color w:val="auto"/>
          <w:szCs w:val="32"/>
        </w:rPr>
        <w:t>7</w:t>
      </w:r>
      <w:r>
        <w:rPr>
          <w:rFonts w:hint="eastAsia" w:hAnsi="仿宋" w:cs="方正仿宋简体"/>
          <w:color w:val="auto"/>
          <w:szCs w:val="32"/>
        </w:rPr>
        <w:t>家企业</w:t>
      </w:r>
      <w:r>
        <w:rPr>
          <w:rFonts w:hAnsi="仿宋" w:cs="方正仿宋简体"/>
          <w:color w:val="auto"/>
          <w:szCs w:val="32"/>
        </w:rPr>
        <w:t>60</w:t>
      </w:r>
      <w:r>
        <w:rPr>
          <w:rFonts w:hint="eastAsia" w:hAnsi="仿宋" w:cs="方正仿宋简体"/>
          <w:color w:val="auto"/>
          <w:szCs w:val="32"/>
        </w:rPr>
        <w:t>余种优质产品亮相“活动日”，会期销售及意向共</w:t>
      </w:r>
      <w:r>
        <w:rPr>
          <w:rFonts w:hAnsi="仿宋" w:cs="方正仿宋简体"/>
          <w:color w:val="auto"/>
          <w:szCs w:val="32"/>
        </w:rPr>
        <w:t>450</w:t>
      </w:r>
      <w:r>
        <w:rPr>
          <w:rFonts w:hint="eastAsia" w:hAnsi="仿宋" w:cs="方正仿宋简体"/>
          <w:color w:val="auto"/>
          <w:szCs w:val="32"/>
        </w:rPr>
        <w:t>余万元。2022第十一届秦巴山区年货节筹办经费11.85万元，执行数11.85万元，预算执行率100%，通过项目实施，设展览面积1500平方米展会，广元60余家企业现场参展，59家市内外企业线上参展。年货节期间同步开展了2022云上秦巴山区年货节、四川广元迎春购物月、网上年货展销、最受欢迎商品评选、送春联等系列活动。广元参加第八届成都国际汽车零配件及售后服务展览会经费8万元，执行数8万元，预算执行率100%，通过项目实施，我市设54平方米的广元特装展馆，组织安驭铝合金车轮、天源机械、四川欣源设备等7家企业参展，会期达成合作意向金额1196万元，达到预期效果。广元参加第七届（成都）智慧产业国际博览会经费8万元，执行数8万元，预算执行率100%，我市设54平方米的广元特装展馆，组织格莱思科技、嘉洁能等企业参展，会期达成合作意向金额5072万元，达到预期效果。</w:t>
      </w:r>
    </w:p>
    <w:p>
      <w:pPr>
        <w:adjustRightInd w:val="0"/>
        <w:snapToGrid w:val="0"/>
        <w:spacing w:line="560" w:lineRule="exact"/>
        <w:ind w:firstLine="640"/>
        <w:contextualSpacing/>
        <w:jc w:val="left"/>
        <w:rPr>
          <w:rFonts w:ascii="楷体_GB2312" w:hAnsi="仿宋" w:eastAsia="楷体_GB2312" w:cs="方正仿宋简体"/>
          <w:color w:val="auto"/>
          <w:szCs w:val="32"/>
        </w:rPr>
      </w:pPr>
      <w:r>
        <w:rPr>
          <w:rFonts w:hint="eastAsia" w:ascii="楷体_GB2312" w:hAnsi="仿宋" w:eastAsia="楷体_GB2312" w:cs="方正仿宋简体"/>
          <w:color w:val="auto"/>
          <w:szCs w:val="32"/>
        </w:rPr>
        <w:t>（二）部门整体履职绩效分析</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1.保证了在职职工的工资发放和在职职工各项保险等的支付；以及保证机关工作、党建工作、工会等工作正常开展。</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2.通过对接“一带一路”建设和省上“万企出国门”和“川货全国行”活动，充分发挥贸促优势，邀请国（境）内外商协会、经贸促进组织、企业来广考察5批次，引进招商项目1个，组织广元本地企业5家参加国（境）外线上线下会展活动、经贸对接活动5次；积极组织广元本地企业参加成都汽配展、成都智博会、融洽会、西博会等省内外线上线下会展、经贸活动以及“一带一路”西部贸促联盟举办展会、经贸促进活动20余次，筛选并组织广元本地企业50余家参展参会，开拓市场、寻求合作。</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3.完成我会昭化太公镇黄金村定点帮扶工作。</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4.开展经贸预警的调研、分析，为企业提供预警信息等服务，办理产地签证、开展营商环境监测调解中心办事处相关工作，并做好宣传。</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5.认真落实市委打造“四川北向东出桥头堡”决策部署，成功举办2022年第十一届秦巴山区年货节，邀请了省内外商协会、企业来广参会参展，积极开拓市场、寻求合作。</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6.组织20余家企业参加第七届（成都）智慧产业国际博览会、第八届成都国际汽车零配件及售后服务展览会、</w:t>
      </w:r>
      <w:r>
        <w:rPr>
          <w:rFonts w:hAnsi="仿宋" w:cs="方正仿宋简体"/>
          <w:color w:val="auto"/>
          <w:szCs w:val="32"/>
        </w:rPr>
        <w:t>2022</w:t>
      </w:r>
      <w:r>
        <w:rPr>
          <w:rFonts w:hint="eastAsia" w:hAnsi="仿宋" w:cs="方正仿宋简体"/>
          <w:color w:val="auto"/>
          <w:szCs w:val="32"/>
        </w:rPr>
        <w:t>遇见巴蜀</w:t>
      </w:r>
      <w:r>
        <w:rPr>
          <w:rFonts w:hint="cs" w:hAnsi="仿宋" w:cs="方正仿宋简体"/>
          <w:color w:val="auto"/>
          <w:szCs w:val="32"/>
        </w:rPr>
        <w:t>•</w:t>
      </w:r>
      <w:r>
        <w:rPr>
          <w:rFonts w:hint="eastAsia" w:hAnsi="仿宋" w:cs="方正仿宋简体"/>
          <w:color w:val="auto"/>
          <w:szCs w:val="32"/>
        </w:rPr>
        <w:t>国际融合采洽会等展会，开展展览展示、经贸合作、品牌推广等活动，推介项目，寻求合作。</w:t>
      </w:r>
    </w:p>
    <w:p>
      <w:pPr>
        <w:adjustRightInd w:val="0"/>
        <w:snapToGrid w:val="0"/>
        <w:spacing w:line="560" w:lineRule="exact"/>
        <w:ind w:firstLine="640"/>
        <w:contextualSpacing/>
        <w:jc w:val="left"/>
        <w:rPr>
          <w:rFonts w:ascii="楷体_GB2312" w:hAnsi="仿宋" w:eastAsia="楷体_GB2312" w:cs="方正仿宋简体"/>
          <w:color w:val="auto"/>
          <w:szCs w:val="32"/>
        </w:rPr>
      </w:pPr>
      <w:r>
        <w:rPr>
          <w:rFonts w:hint="eastAsia" w:ascii="楷体_GB2312" w:hAnsi="仿宋" w:eastAsia="楷体_GB2312" w:cs="方正仿宋简体"/>
          <w:color w:val="auto"/>
          <w:szCs w:val="32"/>
        </w:rPr>
        <w:t>（三）结果应用情况</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1.内部应用</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我会将内设机构绩效自评纳入考核体系，建立了对内设机构预算与绩效挂钩机制。</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2.自评公开</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单位严格按要求将部门整体绩效自评情况和自行组织的评价情况在贸促会官网进行公布。</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3.问题整改和应用反馈等情况</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我会2022年度未收到绩效目标核查、绩效监控核查和重点绩效评价相关问题反馈。</w:t>
      </w:r>
    </w:p>
    <w:p>
      <w:pPr>
        <w:adjustRightInd w:val="0"/>
        <w:snapToGrid w:val="0"/>
        <w:spacing w:line="560" w:lineRule="exact"/>
        <w:ind w:firstLine="640"/>
        <w:contextualSpacing/>
        <w:jc w:val="left"/>
        <w:rPr>
          <w:rFonts w:ascii="楷体_GB2312" w:hAnsi="仿宋" w:eastAsia="楷体_GB2312" w:cs="方正仿宋简体"/>
          <w:color w:val="auto"/>
          <w:szCs w:val="32"/>
        </w:rPr>
      </w:pPr>
      <w:r>
        <w:rPr>
          <w:rFonts w:hint="eastAsia" w:ascii="楷体_GB2312" w:hAnsi="仿宋" w:eastAsia="楷体_GB2312" w:cs="方正仿宋简体"/>
          <w:color w:val="auto"/>
          <w:szCs w:val="32"/>
        </w:rPr>
        <w:t>（四）自评质量</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部门整体支出绩效评价得94分，在部门预算项目绩效管理得44分，专项资金预算项目绩效管理得30分，绩效结果应用得10分，自评质量得10分，自评质量较准确。</w:t>
      </w:r>
    </w:p>
    <w:p>
      <w:pPr>
        <w:adjustRightInd w:val="0"/>
        <w:snapToGrid w:val="0"/>
        <w:spacing w:line="560" w:lineRule="exact"/>
        <w:ind w:firstLine="640"/>
        <w:contextualSpacing/>
        <w:jc w:val="left"/>
        <w:rPr>
          <w:rFonts w:ascii="黑体" w:hAnsi="黑体" w:eastAsia="黑体"/>
          <w:color w:val="auto"/>
          <w:szCs w:val="32"/>
        </w:rPr>
      </w:pPr>
      <w:r>
        <w:rPr>
          <w:rFonts w:hint="eastAsia" w:ascii="黑体" w:hAnsi="黑体" w:eastAsia="黑体"/>
          <w:color w:val="auto"/>
          <w:szCs w:val="32"/>
        </w:rPr>
        <w:t>四、评价结论及建议</w:t>
      </w:r>
    </w:p>
    <w:p>
      <w:pPr>
        <w:adjustRightInd w:val="0"/>
        <w:snapToGrid w:val="0"/>
        <w:spacing w:line="560" w:lineRule="exact"/>
        <w:ind w:firstLine="640"/>
        <w:contextualSpacing/>
        <w:jc w:val="left"/>
        <w:rPr>
          <w:rFonts w:ascii="楷体_GB2312" w:hAnsi="仿宋" w:eastAsia="楷体_GB2312" w:cs="方正仿宋简体"/>
          <w:color w:val="auto"/>
          <w:szCs w:val="32"/>
        </w:rPr>
      </w:pPr>
      <w:r>
        <w:rPr>
          <w:rFonts w:hint="eastAsia" w:ascii="楷体_GB2312" w:hAnsi="仿宋" w:eastAsia="楷体_GB2312" w:cs="方正仿宋简体"/>
          <w:color w:val="auto"/>
          <w:szCs w:val="32"/>
        </w:rPr>
        <w:t>（一）评价结论</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我会2022年绩效目标设置明确、预算编制较准确、项目预算执行较好，基本按照计划完成年度工作任务，实现了年度绩效目标。按照2023年市级部门整体支出绩效评价指标和计分标准，2022年部门支出整体绩效评价得分94分，其中部门预算项目绩效管理得分59分、绩效结果应用得分25分、自评质量得分10分。详细情况见附件3。</w:t>
      </w:r>
    </w:p>
    <w:p>
      <w:pPr>
        <w:adjustRightInd w:val="0"/>
        <w:snapToGrid w:val="0"/>
        <w:spacing w:line="560" w:lineRule="exact"/>
        <w:ind w:firstLine="640"/>
        <w:contextualSpacing/>
        <w:jc w:val="left"/>
        <w:rPr>
          <w:rFonts w:ascii="楷体_GB2312" w:hAnsi="仿宋" w:eastAsia="楷体_GB2312" w:cs="方正仿宋简体"/>
          <w:color w:val="auto"/>
          <w:szCs w:val="32"/>
        </w:rPr>
      </w:pPr>
      <w:r>
        <w:rPr>
          <w:rFonts w:hint="eastAsia" w:ascii="楷体_GB2312" w:hAnsi="仿宋" w:eastAsia="楷体_GB2312" w:cs="方正仿宋简体"/>
          <w:color w:val="auto"/>
          <w:szCs w:val="32"/>
        </w:rPr>
        <w:t>（二）存在问题</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1.预算绩效目标设置不够细化。</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2.部分专项资金年初预算不够准确。我会部门项目因年初无法确定内容，如企业参展数量、展会面积、疫情影响等具体情况，无法确定年初预算，存在及时追加、调整预算情况。</w:t>
      </w:r>
    </w:p>
    <w:p>
      <w:pPr>
        <w:adjustRightInd w:val="0"/>
        <w:snapToGrid w:val="0"/>
        <w:spacing w:line="560" w:lineRule="exact"/>
        <w:ind w:firstLine="640"/>
        <w:contextualSpacing/>
        <w:jc w:val="left"/>
        <w:rPr>
          <w:rFonts w:ascii="楷体_GB2312" w:hAnsi="仿宋" w:eastAsia="楷体_GB2312" w:cs="方正仿宋简体"/>
          <w:color w:val="auto"/>
          <w:szCs w:val="32"/>
        </w:rPr>
      </w:pPr>
      <w:r>
        <w:rPr>
          <w:rFonts w:hint="eastAsia" w:ascii="楷体_GB2312" w:hAnsi="仿宋" w:eastAsia="楷体_GB2312" w:cs="方正仿宋简体"/>
          <w:color w:val="auto"/>
          <w:szCs w:val="32"/>
        </w:rPr>
        <w:t>（三）改进建议</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1.细化预算编制工作。进一步加强内部预算管理意识，提高预算编制的科学性、合理性、严谨性和可控性。</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2.加强预算执行管理。对于临时追加的相关工作所需费用，严格按照.程序，逐级申报报批，有效降低预算控制率。</w:t>
      </w:r>
    </w:p>
    <w:p>
      <w:pPr>
        <w:adjustRightInd w:val="0"/>
        <w:snapToGrid w:val="0"/>
        <w:spacing w:line="560" w:lineRule="exact"/>
        <w:ind w:firstLine="640"/>
        <w:contextualSpacing/>
        <w:jc w:val="left"/>
        <w:rPr>
          <w:rFonts w:hAnsi="仿宋" w:cs="方正仿宋简体"/>
          <w:color w:val="auto"/>
          <w:szCs w:val="32"/>
        </w:rPr>
      </w:pPr>
      <w:r>
        <w:rPr>
          <w:rFonts w:hint="eastAsia" w:hAnsi="仿宋" w:cs="方正仿宋简体"/>
          <w:color w:val="auto"/>
          <w:szCs w:val="32"/>
        </w:rPr>
        <w:t>3.保障预算执行进度。加快项目实施进度的推进，加强项目开展进度的跟踪，及时开展项目绩效评价，确保项目绩效目标的完成，发挥资金的使用效益，压减年末结余资金规模，提高预算完成率。</w:t>
      </w:r>
    </w:p>
    <w:p>
      <w:pPr>
        <w:pStyle w:val="14"/>
        <w:spacing w:line="560" w:lineRule="exact"/>
        <w:ind w:left="0" w:leftChars="0" w:firstLine="0" w:firstLineChars="0"/>
        <w:rPr>
          <w:rFonts w:hAnsi="仿宋_GB2312" w:cs="仿宋_GB2312"/>
          <w:color w:val="auto"/>
          <w:lang w:val="zh-CN"/>
        </w:rPr>
      </w:pPr>
    </w:p>
    <w:p>
      <w:pPr>
        <w:spacing w:before="28"/>
        <w:ind w:left="2392" w:firstLine="396"/>
        <w:outlineLvl w:val="0"/>
        <w:rPr>
          <w:rFonts w:ascii="微软雅黑" w:hAnsi="微软雅黑" w:eastAsia="微软雅黑"/>
          <w:color w:val="auto"/>
          <w:spacing w:val="4"/>
          <w:sz w:val="19"/>
          <w:szCs w:val="19"/>
        </w:rPr>
      </w:pPr>
    </w:p>
    <w:p>
      <w:pPr>
        <w:spacing w:before="28"/>
        <w:ind w:left="2392" w:firstLine="396"/>
        <w:outlineLvl w:val="0"/>
        <w:rPr>
          <w:rFonts w:ascii="微软雅黑" w:hAnsi="微软雅黑" w:eastAsia="微软雅黑"/>
          <w:color w:val="auto"/>
          <w:spacing w:val="4"/>
          <w:sz w:val="19"/>
          <w:szCs w:val="19"/>
        </w:rPr>
      </w:pPr>
    </w:p>
    <w:p>
      <w:pPr>
        <w:spacing w:before="28"/>
        <w:ind w:left="2392" w:firstLine="396"/>
        <w:outlineLvl w:val="0"/>
        <w:rPr>
          <w:rFonts w:ascii="微软雅黑" w:hAnsi="微软雅黑" w:eastAsia="微软雅黑"/>
          <w:color w:val="auto"/>
          <w:spacing w:val="4"/>
          <w:sz w:val="19"/>
          <w:szCs w:val="19"/>
        </w:rPr>
      </w:pPr>
    </w:p>
    <w:p>
      <w:pPr>
        <w:spacing w:before="28"/>
        <w:ind w:left="2392" w:firstLine="396"/>
        <w:outlineLvl w:val="0"/>
        <w:rPr>
          <w:rFonts w:ascii="微软雅黑" w:hAnsi="微软雅黑" w:eastAsia="微软雅黑"/>
          <w:color w:val="auto"/>
          <w:spacing w:val="4"/>
          <w:sz w:val="19"/>
          <w:szCs w:val="19"/>
        </w:rPr>
      </w:pPr>
    </w:p>
    <w:p>
      <w:pPr>
        <w:spacing w:before="28"/>
        <w:ind w:left="2392" w:firstLine="396"/>
        <w:outlineLvl w:val="0"/>
        <w:rPr>
          <w:rFonts w:ascii="微软雅黑" w:hAnsi="微软雅黑" w:eastAsia="微软雅黑"/>
          <w:color w:val="auto"/>
          <w:spacing w:val="4"/>
          <w:sz w:val="19"/>
          <w:szCs w:val="19"/>
        </w:rPr>
      </w:pPr>
    </w:p>
    <w:p>
      <w:pPr>
        <w:spacing w:before="28"/>
        <w:ind w:left="2392" w:firstLine="396"/>
        <w:outlineLvl w:val="0"/>
        <w:rPr>
          <w:rFonts w:ascii="微软雅黑" w:hAnsi="微软雅黑" w:eastAsia="微软雅黑"/>
          <w:color w:val="auto"/>
          <w:spacing w:val="4"/>
          <w:sz w:val="19"/>
          <w:szCs w:val="19"/>
        </w:rPr>
      </w:pPr>
    </w:p>
    <w:p>
      <w:pPr>
        <w:spacing w:before="28"/>
        <w:ind w:left="2392" w:firstLine="396"/>
        <w:outlineLvl w:val="0"/>
        <w:rPr>
          <w:rFonts w:ascii="微软雅黑" w:hAnsi="微软雅黑" w:eastAsia="微软雅黑"/>
          <w:color w:val="auto"/>
          <w:spacing w:val="4"/>
          <w:sz w:val="19"/>
          <w:szCs w:val="19"/>
        </w:rPr>
      </w:pPr>
    </w:p>
    <w:p>
      <w:pPr>
        <w:spacing w:before="28"/>
        <w:ind w:left="2392" w:firstLine="396"/>
        <w:outlineLvl w:val="0"/>
        <w:rPr>
          <w:rFonts w:ascii="微软雅黑" w:hAnsi="微软雅黑" w:eastAsia="微软雅黑"/>
          <w:color w:val="auto"/>
          <w:spacing w:val="4"/>
          <w:sz w:val="19"/>
          <w:szCs w:val="19"/>
        </w:rPr>
      </w:pPr>
    </w:p>
    <w:p>
      <w:pPr>
        <w:spacing w:before="28"/>
        <w:ind w:left="2392" w:firstLine="396"/>
        <w:outlineLvl w:val="0"/>
        <w:rPr>
          <w:rFonts w:ascii="微软雅黑" w:hAnsi="微软雅黑" w:eastAsia="微软雅黑"/>
          <w:color w:val="auto"/>
          <w:spacing w:val="4"/>
          <w:sz w:val="19"/>
          <w:szCs w:val="19"/>
        </w:rPr>
      </w:pPr>
    </w:p>
    <w:p>
      <w:pPr>
        <w:spacing w:before="28"/>
        <w:ind w:left="2392" w:firstLine="396"/>
        <w:outlineLvl w:val="0"/>
        <w:rPr>
          <w:rFonts w:ascii="微软雅黑" w:hAnsi="微软雅黑" w:eastAsia="微软雅黑"/>
          <w:color w:val="auto"/>
          <w:spacing w:val="4"/>
          <w:sz w:val="19"/>
          <w:szCs w:val="19"/>
        </w:rPr>
      </w:pPr>
    </w:p>
    <w:p>
      <w:pPr>
        <w:spacing w:before="28"/>
        <w:ind w:left="2392" w:firstLine="396"/>
        <w:outlineLvl w:val="0"/>
        <w:rPr>
          <w:rFonts w:ascii="微软雅黑" w:hAnsi="微软雅黑" w:eastAsia="微软雅黑"/>
          <w:color w:val="auto"/>
          <w:spacing w:val="4"/>
          <w:sz w:val="19"/>
          <w:szCs w:val="19"/>
        </w:rPr>
      </w:pPr>
    </w:p>
    <w:p>
      <w:pPr>
        <w:spacing w:before="28"/>
        <w:ind w:left="2392" w:firstLine="396"/>
        <w:outlineLvl w:val="0"/>
        <w:rPr>
          <w:rFonts w:ascii="微软雅黑" w:hAnsi="微软雅黑" w:eastAsia="微软雅黑"/>
          <w:color w:val="auto"/>
          <w:spacing w:val="4"/>
          <w:sz w:val="19"/>
          <w:szCs w:val="19"/>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部门整体支出绩效目标自评表 (2022年度)</w:t>
      </w:r>
    </w:p>
    <w:p>
      <w:pPr>
        <w:spacing w:line="47" w:lineRule="exact"/>
        <w:ind w:firstLine="640"/>
        <w:rPr>
          <w:rFonts w:asciiTheme="minorEastAsia" w:hAnsiTheme="minorEastAsia" w:eastAsiaTheme="minorEastAsia"/>
          <w:color w:val="auto"/>
          <w:sz w:val="21"/>
          <w:szCs w:val="21"/>
        </w:rPr>
      </w:pPr>
      <w:r>
        <w:rPr>
          <w:rFonts w:asciiTheme="minorEastAsia" w:hAnsiTheme="minorEastAsia" w:eastAsiaTheme="minorEastAsia"/>
          <w:color w:val="auto"/>
        </w:rPr>
        <w:t xml:space="preserve"> </w:t>
      </w:r>
    </w:p>
    <w:tbl>
      <w:tblPr>
        <w:tblStyle w:val="36"/>
        <w:tblW w:w="8450"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8"/>
        <w:gridCol w:w="595"/>
        <w:gridCol w:w="511"/>
        <w:gridCol w:w="1614"/>
        <w:gridCol w:w="1030"/>
        <w:gridCol w:w="584"/>
        <w:gridCol w:w="808"/>
        <w:gridCol w:w="461"/>
        <w:gridCol w:w="475"/>
        <w:gridCol w:w="475"/>
        <w:gridCol w:w="475"/>
        <w:gridCol w:w="449"/>
        <w:gridCol w:w="4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 w:hRule="atLeast"/>
        </w:trPr>
        <w:tc>
          <w:tcPr>
            <w:tcW w:w="1644" w:type="dxa"/>
            <w:gridSpan w:val="3"/>
            <w:tcBorders>
              <w:top w:val="single" w:color="000000" w:sz="2" w:space="0"/>
              <w:left w:val="single" w:color="000000" w:sz="2" w:space="0"/>
              <w:bottom w:val="single" w:color="auto" w:sz="4" w:space="0"/>
              <w:right w:val="single" w:color="000000" w:sz="2" w:space="0"/>
            </w:tcBorders>
          </w:tcPr>
          <w:p>
            <w:pPr>
              <w:pStyle w:val="35"/>
              <w:spacing w:before="60"/>
              <w:ind w:left="652"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部门名称</w:t>
            </w:r>
          </w:p>
        </w:tc>
        <w:tc>
          <w:tcPr>
            <w:tcW w:w="6806" w:type="dxa"/>
            <w:gridSpan w:val="10"/>
            <w:tcBorders>
              <w:top w:val="single" w:color="000000" w:sz="2" w:space="0"/>
              <w:left w:val="single" w:color="000000" w:sz="2" w:space="0"/>
              <w:bottom w:val="single" w:color="auto" w:sz="4" w:space="0"/>
              <w:right w:val="single" w:color="000000" w:sz="2" w:space="0"/>
            </w:tcBorders>
          </w:tcPr>
          <w:p>
            <w:pPr>
              <w:pStyle w:val="35"/>
              <w:spacing w:before="60"/>
              <w:ind w:left="2668" w:firstLine="344"/>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中国国际贸易促进委员会广元市委员会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trPr>
        <w:tc>
          <w:tcPr>
            <w:tcW w:w="538" w:type="dxa"/>
            <w:vMerge w:val="restart"/>
            <w:tcBorders>
              <w:top w:val="single" w:color="auto" w:sz="4" w:space="0"/>
              <w:left w:val="single" w:color="auto" w:sz="4" w:space="0"/>
              <w:bottom w:val="single" w:color="auto" w:sz="4" w:space="0"/>
              <w:right w:val="single" w:color="auto" w:sz="4" w:space="0"/>
            </w:tcBorders>
          </w:tcPr>
          <w:p>
            <w:pPr>
              <w:ind w:firstLine="320"/>
              <w:rPr>
                <w:rFonts w:cs="Arial" w:asciiTheme="minorEastAsia" w:hAnsiTheme="minorEastAsia" w:eastAsiaTheme="minorEastAsia"/>
                <w:color w:val="auto"/>
                <w:sz w:val="16"/>
                <w:szCs w:val="16"/>
              </w:rPr>
            </w:pPr>
          </w:p>
          <w:p>
            <w:pPr>
              <w:ind w:firstLine="320"/>
              <w:rPr>
                <w:rFonts w:asciiTheme="minorEastAsia" w:hAnsiTheme="minorEastAsia" w:eastAsiaTheme="minorEastAsia"/>
                <w:color w:val="auto"/>
                <w:sz w:val="16"/>
                <w:szCs w:val="16"/>
              </w:rPr>
            </w:pPr>
          </w:p>
          <w:p>
            <w:pPr>
              <w:ind w:firstLine="320"/>
              <w:rPr>
                <w:rFonts w:asciiTheme="minorEastAsia" w:hAnsiTheme="minorEastAsia" w:eastAsiaTheme="minorEastAsia"/>
                <w:color w:val="auto"/>
                <w:sz w:val="16"/>
                <w:szCs w:val="16"/>
              </w:rPr>
            </w:pPr>
          </w:p>
          <w:p>
            <w:pPr>
              <w:ind w:firstLine="320"/>
              <w:rPr>
                <w:rFonts w:asciiTheme="minorEastAsia" w:hAnsiTheme="minorEastAsia" w:eastAsiaTheme="minorEastAsia"/>
                <w:color w:val="auto"/>
                <w:sz w:val="16"/>
                <w:szCs w:val="16"/>
              </w:rPr>
            </w:pPr>
          </w:p>
          <w:p>
            <w:pPr>
              <w:ind w:firstLine="320"/>
              <w:rPr>
                <w:rFonts w:asciiTheme="minorEastAsia" w:hAnsiTheme="minorEastAsia" w:eastAsiaTheme="minorEastAsia"/>
                <w:color w:val="auto"/>
                <w:sz w:val="16"/>
                <w:szCs w:val="16"/>
              </w:rPr>
            </w:pPr>
          </w:p>
          <w:p>
            <w:pPr>
              <w:ind w:firstLine="320"/>
              <w:rPr>
                <w:rFonts w:asciiTheme="minorEastAsia" w:hAnsiTheme="minorEastAsia" w:eastAsiaTheme="minorEastAsia"/>
                <w:color w:val="auto"/>
                <w:sz w:val="16"/>
                <w:szCs w:val="16"/>
              </w:rPr>
            </w:pPr>
          </w:p>
          <w:p>
            <w:pPr>
              <w:ind w:firstLine="320"/>
              <w:rPr>
                <w:rFonts w:asciiTheme="minorEastAsia" w:hAnsiTheme="minorEastAsia" w:eastAsiaTheme="minorEastAsia"/>
                <w:color w:val="auto"/>
                <w:sz w:val="16"/>
                <w:szCs w:val="16"/>
              </w:rPr>
            </w:pPr>
          </w:p>
          <w:p>
            <w:pPr>
              <w:ind w:firstLine="320"/>
              <w:rPr>
                <w:rFonts w:asciiTheme="minorEastAsia" w:hAnsiTheme="minorEastAsia" w:eastAsiaTheme="minorEastAsia"/>
                <w:color w:val="auto"/>
                <w:sz w:val="16"/>
                <w:szCs w:val="16"/>
              </w:rPr>
            </w:pPr>
          </w:p>
          <w:p>
            <w:pPr>
              <w:ind w:firstLine="320"/>
              <w:rPr>
                <w:rFonts w:asciiTheme="minorEastAsia" w:hAnsiTheme="minorEastAsia" w:eastAsiaTheme="minorEastAsia"/>
                <w:color w:val="auto"/>
                <w:sz w:val="16"/>
                <w:szCs w:val="16"/>
              </w:rPr>
            </w:pPr>
          </w:p>
          <w:p>
            <w:pPr>
              <w:ind w:firstLine="320"/>
              <w:rPr>
                <w:rFonts w:asciiTheme="minorEastAsia" w:hAnsiTheme="minorEastAsia" w:eastAsiaTheme="minorEastAsia"/>
                <w:color w:val="auto"/>
                <w:sz w:val="16"/>
                <w:szCs w:val="16"/>
              </w:rPr>
            </w:pPr>
          </w:p>
          <w:p>
            <w:pPr>
              <w:ind w:firstLine="320"/>
              <w:rPr>
                <w:rFonts w:asciiTheme="minorEastAsia" w:hAnsiTheme="minorEastAsia" w:eastAsiaTheme="minorEastAsia"/>
                <w:color w:val="auto"/>
                <w:sz w:val="16"/>
                <w:szCs w:val="16"/>
              </w:rPr>
            </w:pPr>
          </w:p>
          <w:p>
            <w:pPr>
              <w:ind w:firstLine="320"/>
              <w:rPr>
                <w:rFonts w:asciiTheme="minorEastAsia" w:hAnsiTheme="minorEastAsia" w:eastAsiaTheme="minorEastAsia"/>
                <w:color w:val="auto"/>
                <w:sz w:val="16"/>
                <w:szCs w:val="16"/>
              </w:rPr>
            </w:pPr>
          </w:p>
          <w:p>
            <w:pPr>
              <w:pStyle w:val="35"/>
              <w:spacing w:before="5"/>
              <w:ind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position w:val="1"/>
              </w:rPr>
              <w:t>年度主要任务</w:t>
            </w:r>
          </w:p>
        </w:tc>
        <w:tc>
          <w:tcPr>
            <w:tcW w:w="1106" w:type="dxa"/>
            <w:gridSpan w:val="2"/>
            <w:vMerge w:val="restart"/>
            <w:tcBorders>
              <w:top w:val="single" w:color="auto" w:sz="4" w:space="0"/>
              <w:left w:val="single" w:color="auto" w:sz="4" w:space="0"/>
              <w:bottom w:val="single" w:color="auto" w:sz="4" w:space="0"/>
              <w:right w:val="single" w:color="auto" w:sz="4" w:space="0"/>
            </w:tcBorders>
          </w:tcPr>
          <w:p>
            <w:pPr>
              <w:pStyle w:val="35"/>
              <w:spacing w:before="76"/>
              <w:ind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任务名称</w:t>
            </w:r>
          </w:p>
        </w:tc>
        <w:tc>
          <w:tcPr>
            <w:tcW w:w="1614" w:type="dxa"/>
            <w:vMerge w:val="restart"/>
            <w:tcBorders>
              <w:top w:val="single" w:color="auto" w:sz="4" w:space="0"/>
              <w:left w:val="single" w:color="auto" w:sz="4" w:space="0"/>
              <w:bottom w:val="single" w:color="auto" w:sz="4" w:space="0"/>
              <w:right w:val="single" w:color="auto" w:sz="4" w:space="0"/>
            </w:tcBorders>
          </w:tcPr>
          <w:p>
            <w:pPr>
              <w:pStyle w:val="35"/>
              <w:spacing w:before="76"/>
              <w:ind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主要内容</w:t>
            </w:r>
          </w:p>
        </w:tc>
        <w:tc>
          <w:tcPr>
            <w:tcW w:w="2883" w:type="dxa"/>
            <w:gridSpan w:val="4"/>
            <w:tcBorders>
              <w:top w:val="single" w:color="auto" w:sz="4" w:space="0"/>
              <w:left w:val="single" w:color="auto" w:sz="4" w:space="0"/>
              <w:bottom w:val="single" w:color="auto" w:sz="4" w:space="0"/>
              <w:right w:val="single" w:color="auto" w:sz="4" w:space="0"/>
            </w:tcBorders>
          </w:tcPr>
          <w:p>
            <w:pPr>
              <w:pStyle w:val="35"/>
              <w:spacing w:before="16"/>
              <w:ind w:left="1094" w:firstLine="344"/>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预算金额（万元）</w:t>
            </w:r>
          </w:p>
        </w:tc>
        <w:tc>
          <w:tcPr>
            <w:tcW w:w="2309" w:type="dxa"/>
            <w:gridSpan w:val="5"/>
            <w:tcBorders>
              <w:top w:val="single" w:color="auto" w:sz="4" w:space="0"/>
              <w:left w:val="single" w:color="auto" w:sz="4" w:space="0"/>
              <w:bottom w:val="single" w:color="auto" w:sz="4" w:space="0"/>
              <w:right w:val="single" w:color="auto" w:sz="4" w:space="0"/>
            </w:tcBorders>
          </w:tcPr>
          <w:p>
            <w:pPr>
              <w:pStyle w:val="35"/>
              <w:spacing w:before="16"/>
              <w:ind w:left="812"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5"/>
              </w:rPr>
              <w:t>实际执行（万元）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1106"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1030" w:type="dxa"/>
            <w:tcBorders>
              <w:top w:val="single" w:color="auto" w:sz="4" w:space="0"/>
              <w:left w:val="single" w:color="auto" w:sz="4" w:space="0"/>
              <w:bottom w:val="single" w:color="auto" w:sz="4" w:space="0"/>
              <w:right w:val="single" w:color="auto" w:sz="4" w:space="0"/>
            </w:tcBorders>
          </w:tcPr>
          <w:p>
            <w:pPr>
              <w:pStyle w:val="35"/>
              <w:spacing w:before="13"/>
              <w:ind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5"/>
              </w:rPr>
              <w:t>总额</w:t>
            </w:r>
          </w:p>
        </w:tc>
        <w:tc>
          <w:tcPr>
            <w:tcW w:w="1392" w:type="dxa"/>
            <w:gridSpan w:val="2"/>
            <w:tcBorders>
              <w:top w:val="single" w:color="auto" w:sz="4" w:space="0"/>
              <w:left w:val="single" w:color="auto" w:sz="4" w:space="0"/>
              <w:bottom w:val="single" w:color="auto" w:sz="4" w:space="0"/>
              <w:right w:val="single" w:color="auto" w:sz="4" w:space="0"/>
            </w:tcBorders>
          </w:tcPr>
          <w:p>
            <w:pPr>
              <w:pStyle w:val="35"/>
              <w:spacing w:before="13"/>
              <w:ind w:firstLineChars="116"/>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财政拨款</w:t>
            </w:r>
          </w:p>
        </w:tc>
        <w:tc>
          <w:tcPr>
            <w:tcW w:w="461" w:type="dxa"/>
            <w:tcBorders>
              <w:top w:val="single" w:color="auto" w:sz="4" w:space="0"/>
              <w:left w:val="single" w:color="auto" w:sz="4" w:space="0"/>
              <w:bottom w:val="single" w:color="auto" w:sz="4" w:space="0"/>
              <w:right w:val="single" w:color="auto" w:sz="4" w:space="0"/>
            </w:tcBorders>
          </w:tcPr>
          <w:p>
            <w:pPr>
              <w:pStyle w:val="35"/>
              <w:spacing w:before="13"/>
              <w:ind w:left="62"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其他资金</w:t>
            </w:r>
          </w:p>
        </w:tc>
        <w:tc>
          <w:tcPr>
            <w:tcW w:w="950" w:type="dxa"/>
            <w:gridSpan w:val="2"/>
            <w:tcBorders>
              <w:top w:val="single" w:color="auto" w:sz="4" w:space="0"/>
              <w:left w:val="single" w:color="auto" w:sz="4" w:space="0"/>
              <w:bottom w:val="single" w:color="auto" w:sz="4" w:space="0"/>
              <w:right w:val="single" w:color="auto" w:sz="4" w:space="0"/>
            </w:tcBorders>
          </w:tcPr>
          <w:p>
            <w:pPr>
              <w:pStyle w:val="35"/>
              <w:spacing w:before="13"/>
              <w:ind w:left="393"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5"/>
              </w:rPr>
              <w:t>总额</w:t>
            </w:r>
          </w:p>
        </w:tc>
        <w:tc>
          <w:tcPr>
            <w:tcW w:w="924" w:type="dxa"/>
            <w:gridSpan w:val="2"/>
            <w:tcBorders>
              <w:top w:val="single" w:color="auto" w:sz="4" w:space="0"/>
              <w:left w:val="single" w:color="auto" w:sz="4" w:space="0"/>
              <w:bottom w:val="single" w:color="auto" w:sz="4" w:space="0"/>
              <w:right w:val="single" w:color="auto" w:sz="4" w:space="0"/>
            </w:tcBorders>
          </w:tcPr>
          <w:p>
            <w:pPr>
              <w:pStyle w:val="35"/>
              <w:spacing w:before="13"/>
              <w:ind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财政拨款</w:t>
            </w:r>
          </w:p>
        </w:tc>
        <w:tc>
          <w:tcPr>
            <w:tcW w:w="435" w:type="dxa"/>
            <w:tcBorders>
              <w:top w:val="single" w:color="auto" w:sz="4" w:space="0"/>
              <w:left w:val="single" w:color="auto" w:sz="4" w:space="0"/>
              <w:bottom w:val="single" w:color="auto" w:sz="4" w:space="0"/>
              <w:right w:val="single" w:color="auto" w:sz="4" w:space="0"/>
            </w:tcBorders>
          </w:tcPr>
          <w:p>
            <w:pPr>
              <w:pStyle w:val="35"/>
              <w:spacing w:before="13"/>
              <w:ind w:left="48"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其他资金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1106" w:type="dxa"/>
            <w:gridSpan w:val="2"/>
            <w:tcBorders>
              <w:top w:val="single" w:color="auto" w:sz="4" w:space="0"/>
              <w:left w:val="single" w:color="auto" w:sz="4" w:space="0"/>
              <w:bottom w:val="single" w:color="auto" w:sz="4" w:space="0"/>
              <w:right w:val="single" w:color="auto" w:sz="4" w:space="0"/>
            </w:tcBorders>
            <w:vAlign w:val="center"/>
          </w:tcPr>
          <w:p>
            <w:pPr>
              <w:pStyle w:val="35"/>
              <w:spacing w:before="59" w:line="242" w:lineRule="auto"/>
              <w:ind w:left="23" w:right="123"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人员经费及日常公用经费</w:t>
            </w:r>
            <w:r>
              <w:rPr>
                <w:rFonts w:hint="eastAsia" w:cs="Times New Roman" w:asciiTheme="minorEastAsia" w:hAnsiTheme="minorEastAsia" w:eastAsiaTheme="minorEastAsia"/>
                <w:color w:val="auto"/>
                <w:spacing w:val="1"/>
              </w:rPr>
              <w:t xml:space="preserve"> </w:t>
            </w:r>
            <w:r>
              <w:rPr>
                <w:rFonts w:hint="eastAsia" w:cs="Times New Roman" w:asciiTheme="minorEastAsia" w:hAnsiTheme="minorEastAsia" w:eastAsiaTheme="minorEastAsia"/>
                <w:color w:val="auto"/>
                <w:spacing w:val="3"/>
              </w:rPr>
              <w:t>（含追加）</w:t>
            </w:r>
          </w:p>
        </w:tc>
        <w:tc>
          <w:tcPr>
            <w:tcW w:w="1614" w:type="dxa"/>
            <w:tcBorders>
              <w:top w:val="single" w:color="auto" w:sz="4" w:space="0"/>
              <w:left w:val="single" w:color="auto" w:sz="4" w:space="0"/>
              <w:bottom w:val="single" w:color="auto" w:sz="4" w:space="0"/>
              <w:right w:val="single" w:color="auto" w:sz="4" w:space="0"/>
            </w:tcBorders>
            <w:vAlign w:val="center"/>
          </w:tcPr>
          <w:p>
            <w:pPr>
              <w:pStyle w:val="35"/>
              <w:spacing w:before="15"/>
              <w:ind w:left="17" w:right="17"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主要用于在职职工的工资发放和在职职工</w:t>
            </w:r>
            <w:r>
              <w:rPr>
                <w:rFonts w:hint="eastAsia" w:cs="Times New Roman" w:asciiTheme="minorEastAsia" w:hAnsiTheme="minorEastAsia" w:eastAsiaTheme="minorEastAsia"/>
                <w:color w:val="auto"/>
                <w:spacing w:val="5"/>
              </w:rPr>
              <w:t xml:space="preserve"> </w:t>
            </w:r>
            <w:r>
              <w:rPr>
                <w:rFonts w:hint="eastAsia" w:cs="Times New Roman" w:asciiTheme="minorEastAsia" w:hAnsiTheme="minorEastAsia" w:eastAsiaTheme="minorEastAsia"/>
                <w:color w:val="auto"/>
                <w:spacing w:val="7"/>
              </w:rPr>
              <w:t>各项保险等的支付；以及保证机关工作、</w:t>
            </w:r>
            <w:r>
              <w:rPr>
                <w:rFonts w:hint="eastAsia" w:cs="Times New Roman" w:asciiTheme="minorEastAsia" w:hAnsiTheme="minorEastAsia" w:eastAsiaTheme="minorEastAsia"/>
                <w:color w:val="auto"/>
                <w:spacing w:val="6"/>
              </w:rPr>
              <w:t xml:space="preserve"> 党建工作、工会等工作正常开展。</w:t>
            </w:r>
          </w:p>
        </w:tc>
        <w:tc>
          <w:tcPr>
            <w:tcW w:w="1030" w:type="dxa"/>
            <w:tcBorders>
              <w:top w:val="single" w:color="auto" w:sz="4" w:space="0"/>
              <w:left w:val="single" w:color="auto" w:sz="4" w:space="0"/>
              <w:bottom w:val="single" w:color="auto" w:sz="4" w:space="0"/>
              <w:right w:val="single" w:color="auto" w:sz="4" w:space="0"/>
            </w:tcBorders>
            <w:vAlign w:val="center"/>
          </w:tcPr>
          <w:p>
            <w:pPr>
              <w:pStyle w:val="35"/>
              <w:spacing w:before="126"/>
              <w:ind w:right="338" w:firstLine="164" w:firstLineChars="10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2"/>
              </w:rPr>
              <w:t>168.97</w:t>
            </w:r>
          </w:p>
        </w:tc>
        <w:tc>
          <w:tcPr>
            <w:tcW w:w="1392" w:type="dxa"/>
            <w:gridSpan w:val="2"/>
            <w:tcBorders>
              <w:top w:val="single" w:color="auto" w:sz="4" w:space="0"/>
              <w:left w:val="single" w:color="auto" w:sz="4" w:space="0"/>
              <w:bottom w:val="single" w:color="auto" w:sz="4" w:space="0"/>
              <w:right w:val="single" w:color="auto" w:sz="4" w:space="0"/>
            </w:tcBorders>
            <w:vAlign w:val="center"/>
          </w:tcPr>
          <w:p>
            <w:pPr>
              <w:pStyle w:val="35"/>
              <w:spacing w:before="126"/>
              <w:ind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2"/>
              </w:rPr>
              <w:t>168.97</w:t>
            </w:r>
          </w:p>
        </w:tc>
        <w:tc>
          <w:tcPr>
            <w:tcW w:w="461"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ind w:firstLine="320"/>
              <w:textAlignment w:val="baseline"/>
              <w:rPr>
                <w:rFonts w:cs="Arial" w:asciiTheme="minorEastAsia" w:hAnsiTheme="minorEastAsia" w:eastAsiaTheme="minorEastAsia"/>
                <w:color w:val="auto"/>
                <w:sz w:val="16"/>
                <w:szCs w:val="16"/>
              </w:rPr>
            </w:pPr>
          </w:p>
        </w:tc>
        <w:tc>
          <w:tcPr>
            <w:tcW w:w="950" w:type="dxa"/>
            <w:gridSpan w:val="2"/>
            <w:tcBorders>
              <w:top w:val="single" w:color="auto" w:sz="4" w:space="0"/>
              <w:left w:val="single" w:color="auto" w:sz="4" w:space="0"/>
              <w:bottom w:val="single" w:color="auto" w:sz="4" w:space="0"/>
              <w:right w:val="single" w:color="auto" w:sz="4" w:space="0"/>
            </w:tcBorders>
            <w:vAlign w:val="center"/>
          </w:tcPr>
          <w:p>
            <w:pPr>
              <w:pStyle w:val="35"/>
              <w:spacing w:before="126"/>
              <w:ind w:left="347"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207.63</w:t>
            </w:r>
          </w:p>
        </w:tc>
        <w:tc>
          <w:tcPr>
            <w:tcW w:w="924" w:type="dxa"/>
            <w:gridSpan w:val="2"/>
            <w:tcBorders>
              <w:top w:val="single" w:color="auto" w:sz="4" w:space="0"/>
              <w:left w:val="single" w:color="auto" w:sz="4" w:space="0"/>
              <w:bottom w:val="single" w:color="auto" w:sz="4" w:space="0"/>
              <w:right w:val="single" w:color="auto" w:sz="4" w:space="0"/>
            </w:tcBorders>
            <w:vAlign w:val="center"/>
          </w:tcPr>
          <w:p>
            <w:pPr>
              <w:pStyle w:val="35"/>
              <w:spacing w:before="126"/>
              <w:ind w:left="336"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207.63</w:t>
            </w:r>
          </w:p>
        </w:tc>
        <w:tc>
          <w:tcPr>
            <w:tcW w:w="435"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ind w:firstLine="320"/>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1106" w:type="dxa"/>
            <w:gridSpan w:val="2"/>
            <w:tcBorders>
              <w:top w:val="single" w:color="auto" w:sz="4" w:space="0"/>
              <w:left w:val="single" w:color="auto" w:sz="4" w:space="0"/>
              <w:bottom w:val="single" w:color="auto" w:sz="4" w:space="0"/>
              <w:right w:val="single" w:color="auto" w:sz="4" w:space="0"/>
            </w:tcBorders>
            <w:vAlign w:val="center"/>
          </w:tcPr>
          <w:p>
            <w:pPr>
              <w:spacing w:line="264" w:lineRule="auto"/>
              <w:ind w:firstLine="320"/>
              <w:jc w:val="center"/>
              <w:rPr>
                <w:rFonts w:cs="Arial" w:asciiTheme="minorEastAsia" w:hAnsiTheme="minorEastAsia" w:eastAsiaTheme="minorEastAsia"/>
                <w:color w:val="auto"/>
                <w:sz w:val="16"/>
                <w:szCs w:val="16"/>
              </w:rPr>
            </w:pPr>
          </w:p>
          <w:p>
            <w:pPr>
              <w:spacing w:line="264" w:lineRule="auto"/>
              <w:ind w:firstLine="320"/>
              <w:jc w:val="center"/>
              <w:rPr>
                <w:rFonts w:asciiTheme="minorEastAsia" w:hAnsiTheme="minorEastAsia" w:eastAsiaTheme="minorEastAsia"/>
                <w:color w:val="auto"/>
                <w:sz w:val="16"/>
                <w:szCs w:val="16"/>
              </w:rPr>
            </w:pPr>
          </w:p>
          <w:p>
            <w:pPr>
              <w:pStyle w:val="35"/>
              <w:spacing w:before="26" w:line="242" w:lineRule="auto"/>
              <w:ind w:left="17" w:right="36"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各类会展、贸易投资促进活</w:t>
            </w:r>
            <w:r>
              <w:rPr>
                <w:rFonts w:hint="eastAsia" w:cs="Times New Roman" w:asciiTheme="minorEastAsia" w:hAnsiTheme="minorEastAsia" w:eastAsiaTheme="minorEastAsia"/>
                <w:color w:val="auto"/>
              </w:rPr>
              <w:t xml:space="preserve"> </w:t>
            </w:r>
            <w:r>
              <w:rPr>
                <w:rFonts w:hint="eastAsia" w:cs="Times New Roman" w:asciiTheme="minorEastAsia" w:hAnsiTheme="minorEastAsia" w:eastAsiaTheme="minorEastAsia"/>
                <w:color w:val="auto"/>
                <w:spacing w:val="6"/>
              </w:rPr>
              <w:t>动经费</w:t>
            </w:r>
          </w:p>
        </w:tc>
        <w:tc>
          <w:tcPr>
            <w:tcW w:w="1614" w:type="dxa"/>
            <w:tcBorders>
              <w:top w:val="single" w:color="auto" w:sz="4" w:space="0"/>
              <w:left w:val="single" w:color="auto" w:sz="4" w:space="0"/>
              <w:bottom w:val="single" w:color="auto" w:sz="4" w:space="0"/>
              <w:right w:val="single" w:color="auto" w:sz="4" w:space="0"/>
            </w:tcBorders>
            <w:vAlign w:val="center"/>
          </w:tcPr>
          <w:p>
            <w:pPr>
              <w:pStyle w:val="35"/>
              <w:spacing w:before="14" w:line="247" w:lineRule="auto"/>
              <w:ind w:left="17" w:right="17"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对接“一带一路</w:t>
            </w:r>
            <w:r>
              <w:rPr>
                <w:rFonts w:hint="eastAsia" w:cs="Times New Roman" w:asciiTheme="minorEastAsia" w:hAnsiTheme="minorEastAsia" w:eastAsiaTheme="minorEastAsia"/>
                <w:color w:val="auto"/>
                <w:spacing w:val="-17"/>
              </w:rPr>
              <w:t xml:space="preserve"> </w:t>
            </w:r>
            <w:r>
              <w:rPr>
                <w:rFonts w:hint="eastAsia" w:cs="Times New Roman" w:asciiTheme="minorEastAsia" w:hAnsiTheme="minorEastAsia" w:eastAsiaTheme="minorEastAsia"/>
                <w:color w:val="auto"/>
                <w:spacing w:val="6"/>
              </w:rPr>
              <w:t>”建设和省上“万企出国</w:t>
            </w:r>
            <w:r>
              <w:rPr>
                <w:rFonts w:hint="eastAsia" w:cs="Times New Roman" w:asciiTheme="minorEastAsia" w:hAnsiTheme="minorEastAsia" w:eastAsiaTheme="minorEastAsia"/>
                <w:color w:val="auto"/>
              </w:rPr>
              <w:t xml:space="preserve"> </w:t>
            </w:r>
            <w:r>
              <w:rPr>
                <w:rFonts w:hint="eastAsia" w:cs="Times New Roman" w:asciiTheme="minorEastAsia" w:hAnsiTheme="minorEastAsia" w:eastAsiaTheme="minorEastAsia"/>
                <w:color w:val="auto"/>
                <w:spacing w:val="6"/>
              </w:rPr>
              <w:t>门</w:t>
            </w:r>
            <w:r>
              <w:rPr>
                <w:rFonts w:hint="eastAsia" w:cs="Times New Roman" w:asciiTheme="minorEastAsia" w:hAnsiTheme="minorEastAsia" w:eastAsiaTheme="minorEastAsia"/>
                <w:color w:val="auto"/>
                <w:spacing w:val="-16"/>
              </w:rPr>
              <w:t xml:space="preserve"> </w:t>
            </w:r>
            <w:r>
              <w:rPr>
                <w:rFonts w:hint="eastAsia" w:cs="Times New Roman" w:asciiTheme="minorEastAsia" w:hAnsiTheme="minorEastAsia" w:eastAsiaTheme="minorEastAsia"/>
                <w:color w:val="auto"/>
                <w:spacing w:val="6"/>
              </w:rPr>
              <w:t>”和“川货全国行”活动，充分发挥贸</w:t>
            </w:r>
            <w:r>
              <w:rPr>
                <w:rFonts w:hint="eastAsia" w:cs="Times New Roman" w:asciiTheme="minorEastAsia" w:hAnsiTheme="minorEastAsia" w:eastAsiaTheme="minorEastAsia"/>
                <w:color w:val="auto"/>
              </w:rPr>
              <w:t xml:space="preserve"> </w:t>
            </w:r>
            <w:r>
              <w:rPr>
                <w:rFonts w:hint="eastAsia" w:cs="Times New Roman" w:asciiTheme="minorEastAsia" w:hAnsiTheme="minorEastAsia" w:eastAsiaTheme="minorEastAsia"/>
                <w:color w:val="auto"/>
                <w:spacing w:val="6"/>
              </w:rPr>
              <w:t>促优势，邀请国（境）</w:t>
            </w:r>
            <w:r>
              <w:rPr>
                <w:rFonts w:hint="eastAsia" w:cs="Times New Roman" w:asciiTheme="minorEastAsia" w:hAnsiTheme="minorEastAsia" w:eastAsiaTheme="minorEastAsia"/>
                <w:color w:val="auto"/>
                <w:spacing w:val="-17"/>
              </w:rPr>
              <w:t xml:space="preserve"> </w:t>
            </w:r>
            <w:r>
              <w:rPr>
                <w:rFonts w:hint="eastAsia" w:cs="Times New Roman" w:asciiTheme="minorEastAsia" w:hAnsiTheme="minorEastAsia" w:eastAsiaTheme="minorEastAsia"/>
                <w:color w:val="auto"/>
                <w:spacing w:val="6"/>
              </w:rPr>
              <w:t>内外商协会、经贸</w:t>
            </w:r>
            <w:r>
              <w:rPr>
                <w:rFonts w:hint="eastAsia" w:cs="Times New Roman" w:asciiTheme="minorEastAsia" w:hAnsiTheme="minorEastAsia" w:eastAsiaTheme="minorEastAsia"/>
                <w:color w:val="auto"/>
              </w:rPr>
              <w:t xml:space="preserve"> </w:t>
            </w:r>
            <w:r>
              <w:rPr>
                <w:rFonts w:hint="eastAsia" w:cs="Times New Roman" w:asciiTheme="minorEastAsia" w:hAnsiTheme="minorEastAsia" w:eastAsiaTheme="minorEastAsia"/>
                <w:color w:val="auto"/>
                <w:spacing w:val="6"/>
              </w:rPr>
              <w:t>促进组织、企业来广考察3-5批次，引进</w:t>
            </w:r>
            <w:r>
              <w:rPr>
                <w:rFonts w:hint="eastAsia" w:cs="Times New Roman" w:asciiTheme="minorEastAsia" w:hAnsiTheme="minorEastAsia" w:eastAsiaTheme="minorEastAsia"/>
                <w:color w:val="auto"/>
                <w:spacing w:val="8"/>
              </w:rPr>
              <w:t xml:space="preserve">  </w:t>
            </w:r>
            <w:r>
              <w:rPr>
                <w:rFonts w:hint="eastAsia" w:cs="Times New Roman" w:asciiTheme="minorEastAsia" w:hAnsiTheme="minorEastAsia" w:eastAsiaTheme="minorEastAsia"/>
                <w:color w:val="auto"/>
                <w:spacing w:val="6"/>
              </w:rPr>
              <w:t>招商项目1个，组织广元本地企业3-5家参</w:t>
            </w:r>
            <w:r>
              <w:rPr>
                <w:rFonts w:hint="eastAsia" w:cs="Times New Roman" w:asciiTheme="minorEastAsia" w:hAnsiTheme="minorEastAsia" w:eastAsiaTheme="minorEastAsia"/>
                <w:color w:val="auto"/>
                <w:spacing w:val="13"/>
              </w:rPr>
              <w:t xml:space="preserve"> </w:t>
            </w:r>
            <w:r>
              <w:rPr>
                <w:rFonts w:hint="eastAsia" w:cs="Times New Roman" w:asciiTheme="minorEastAsia" w:hAnsiTheme="minorEastAsia" w:eastAsiaTheme="minorEastAsia"/>
                <w:color w:val="auto"/>
                <w:spacing w:val="7"/>
              </w:rPr>
              <w:t>加国（境）外线上线下会展活动、经贸对</w:t>
            </w:r>
            <w:r>
              <w:rPr>
                <w:rFonts w:hint="eastAsia" w:cs="Times New Roman" w:asciiTheme="minorEastAsia" w:hAnsiTheme="minorEastAsia" w:eastAsiaTheme="minorEastAsia"/>
                <w:color w:val="auto"/>
                <w:spacing w:val="6"/>
              </w:rPr>
              <w:t xml:space="preserve"> 接活动3-5次；积极组织广元本地企业参</w:t>
            </w:r>
            <w:r>
              <w:rPr>
                <w:rFonts w:hint="eastAsia" w:cs="Times New Roman" w:asciiTheme="minorEastAsia" w:hAnsiTheme="minorEastAsia" w:eastAsiaTheme="minorEastAsia"/>
                <w:color w:val="auto"/>
                <w:spacing w:val="8"/>
              </w:rPr>
              <w:t xml:space="preserve">  </w:t>
            </w:r>
            <w:r>
              <w:rPr>
                <w:rFonts w:hint="eastAsia" w:cs="Times New Roman" w:asciiTheme="minorEastAsia" w:hAnsiTheme="minorEastAsia" w:eastAsiaTheme="minorEastAsia"/>
                <w:color w:val="auto"/>
                <w:spacing w:val="7"/>
              </w:rPr>
              <w:t>加成都汽配展、成都智博会、融洽会、西</w:t>
            </w:r>
            <w:r>
              <w:rPr>
                <w:rFonts w:hint="eastAsia" w:cs="Times New Roman" w:asciiTheme="minorEastAsia" w:hAnsiTheme="minorEastAsia" w:eastAsiaTheme="minorEastAsia"/>
                <w:color w:val="auto"/>
                <w:spacing w:val="6"/>
              </w:rPr>
              <w:t xml:space="preserve"> </w:t>
            </w:r>
            <w:r>
              <w:rPr>
                <w:rFonts w:hint="eastAsia" w:cs="Times New Roman" w:asciiTheme="minorEastAsia" w:hAnsiTheme="minorEastAsia" w:eastAsiaTheme="minorEastAsia"/>
                <w:color w:val="auto"/>
                <w:spacing w:val="7"/>
              </w:rPr>
              <w:t>博会等省内外线上线下会展、经贸活动以</w:t>
            </w:r>
            <w:r>
              <w:rPr>
                <w:rFonts w:hint="eastAsia" w:cs="Times New Roman" w:asciiTheme="minorEastAsia" w:hAnsiTheme="minorEastAsia" w:eastAsiaTheme="minorEastAsia"/>
                <w:color w:val="auto"/>
                <w:spacing w:val="6"/>
              </w:rPr>
              <w:t xml:space="preserve"> </w:t>
            </w:r>
            <w:r>
              <w:rPr>
                <w:rFonts w:hint="eastAsia" w:cs="Times New Roman" w:asciiTheme="minorEastAsia" w:hAnsiTheme="minorEastAsia" w:eastAsiaTheme="minorEastAsia"/>
                <w:color w:val="auto"/>
                <w:spacing w:val="7"/>
              </w:rPr>
              <w:t>及“一带一路”西部贸促联盟举办展会、 经贸促进活动20余次，筛选并组织广元本</w:t>
            </w:r>
            <w:r>
              <w:rPr>
                <w:rFonts w:hint="eastAsia" w:cs="Times New Roman" w:asciiTheme="minorEastAsia" w:hAnsiTheme="minorEastAsia" w:eastAsiaTheme="minorEastAsia"/>
                <w:color w:val="auto"/>
              </w:rPr>
              <w:t xml:space="preserve"> </w:t>
            </w:r>
            <w:r>
              <w:rPr>
                <w:rFonts w:hint="eastAsia" w:cs="Times New Roman" w:asciiTheme="minorEastAsia" w:hAnsiTheme="minorEastAsia" w:eastAsiaTheme="minorEastAsia"/>
                <w:color w:val="auto"/>
                <w:spacing w:val="7"/>
              </w:rPr>
              <w:t>地企业50余家参展参会，开拓市场、寻求</w:t>
            </w:r>
          </w:p>
        </w:tc>
        <w:tc>
          <w:tcPr>
            <w:tcW w:w="1030" w:type="dxa"/>
            <w:tcBorders>
              <w:top w:val="single" w:color="auto" w:sz="4" w:space="0"/>
              <w:left w:val="single" w:color="auto" w:sz="4" w:space="0"/>
              <w:bottom w:val="single" w:color="auto" w:sz="4" w:space="0"/>
              <w:right w:val="single" w:color="auto" w:sz="4" w:space="0"/>
            </w:tcBorders>
            <w:vAlign w:val="center"/>
          </w:tcPr>
          <w:p>
            <w:pPr>
              <w:spacing w:line="297" w:lineRule="auto"/>
              <w:ind w:firstLine="320"/>
              <w:rPr>
                <w:rFonts w:cs="Arial" w:asciiTheme="minorEastAsia" w:hAnsiTheme="minorEastAsia" w:eastAsiaTheme="minorEastAsia"/>
                <w:color w:val="auto"/>
                <w:sz w:val="16"/>
                <w:szCs w:val="16"/>
              </w:rPr>
            </w:pPr>
          </w:p>
          <w:p>
            <w:pPr>
              <w:spacing w:line="297" w:lineRule="auto"/>
              <w:ind w:firstLine="320"/>
              <w:rPr>
                <w:rFonts w:asciiTheme="minorEastAsia" w:hAnsiTheme="minorEastAsia" w:eastAsiaTheme="minorEastAsia"/>
                <w:color w:val="auto"/>
                <w:sz w:val="16"/>
                <w:szCs w:val="16"/>
              </w:rPr>
            </w:pPr>
          </w:p>
          <w:p>
            <w:pPr>
              <w:pStyle w:val="35"/>
              <w:spacing w:before="26"/>
              <w:ind w:left="168" w:firstLine="328"/>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2"/>
              </w:rPr>
              <w:t>6.6</w:t>
            </w:r>
          </w:p>
        </w:tc>
        <w:tc>
          <w:tcPr>
            <w:tcW w:w="1392" w:type="dxa"/>
            <w:gridSpan w:val="2"/>
            <w:tcBorders>
              <w:top w:val="single" w:color="auto" w:sz="4" w:space="0"/>
              <w:left w:val="single" w:color="auto" w:sz="4" w:space="0"/>
              <w:bottom w:val="single" w:color="auto" w:sz="4" w:space="0"/>
              <w:right w:val="single" w:color="auto" w:sz="4" w:space="0"/>
            </w:tcBorders>
            <w:vAlign w:val="center"/>
          </w:tcPr>
          <w:p>
            <w:pPr>
              <w:spacing w:line="297" w:lineRule="auto"/>
              <w:ind w:firstLine="320"/>
              <w:rPr>
                <w:rFonts w:cs="Arial" w:asciiTheme="minorEastAsia" w:hAnsiTheme="minorEastAsia" w:eastAsiaTheme="minorEastAsia"/>
                <w:color w:val="auto"/>
                <w:sz w:val="16"/>
                <w:szCs w:val="16"/>
              </w:rPr>
            </w:pPr>
          </w:p>
          <w:p>
            <w:pPr>
              <w:spacing w:line="297" w:lineRule="auto"/>
              <w:ind w:firstLine="320"/>
              <w:rPr>
                <w:rFonts w:asciiTheme="minorEastAsia" w:hAnsiTheme="minorEastAsia" w:eastAsiaTheme="minorEastAsia"/>
                <w:color w:val="auto"/>
                <w:sz w:val="16"/>
                <w:szCs w:val="16"/>
              </w:rPr>
            </w:pPr>
          </w:p>
          <w:p>
            <w:pPr>
              <w:pStyle w:val="35"/>
              <w:spacing w:before="26"/>
              <w:ind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2"/>
              </w:rPr>
              <w:t>6.6</w:t>
            </w:r>
          </w:p>
        </w:tc>
        <w:tc>
          <w:tcPr>
            <w:tcW w:w="461"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ind w:firstLine="0" w:firstLineChars="0"/>
              <w:textAlignment w:val="baseline"/>
              <w:rPr>
                <w:rFonts w:cs="Arial" w:asciiTheme="minorEastAsia" w:hAnsiTheme="minorEastAsia" w:eastAsiaTheme="minorEastAsia"/>
                <w:color w:val="auto"/>
                <w:sz w:val="16"/>
                <w:szCs w:val="16"/>
              </w:rPr>
            </w:pPr>
          </w:p>
        </w:tc>
        <w:tc>
          <w:tcPr>
            <w:tcW w:w="950" w:type="dxa"/>
            <w:gridSpan w:val="2"/>
            <w:tcBorders>
              <w:top w:val="single" w:color="auto" w:sz="4" w:space="0"/>
              <w:left w:val="single" w:color="auto" w:sz="4" w:space="0"/>
              <w:bottom w:val="single" w:color="auto" w:sz="4" w:space="0"/>
              <w:right w:val="single" w:color="auto" w:sz="4" w:space="0"/>
            </w:tcBorders>
            <w:vAlign w:val="center"/>
          </w:tcPr>
          <w:p>
            <w:pPr>
              <w:spacing w:line="297" w:lineRule="auto"/>
              <w:ind w:firstLine="320"/>
              <w:rPr>
                <w:rFonts w:cs="Arial" w:asciiTheme="minorEastAsia" w:hAnsiTheme="minorEastAsia" w:eastAsiaTheme="minorEastAsia"/>
                <w:color w:val="auto"/>
                <w:sz w:val="16"/>
                <w:szCs w:val="16"/>
              </w:rPr>
            </w:pPr>
          </w:p>
          <w:p>
            <w:pPr>
              <w:spacing w:line="297" w:lineRule="auto"/>
              <w:ind w:firstLine="320"/>
              <w:rPr>
                <w:rFonts w:asciiTheme="minorEastAsia" w:hAnsiTheme="minorEastAsia" w:eastAsiaTheme="minorEastAsia"/>
                <w:color w:val="auto"/>
                <w:sz w:val="16"/>
                <w:szCs w:val="16"/>
              </w:rPr>
            </w:pPr>
          </w:p>
          <w:p>
            <w:pPr>
              <w:pStyle w:val="35"/>
              <w:spacing w:before="26"/>
              <w:ind w:left="420"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1"/>
              </w:rPr>
              <w:t>1.5</w:t>
            </w:r>
          </w:p>
        </w:tc>
        <w:tc>
          <w:tcPr>
            <w:tcW w:w="924" w:type="dxa"/>
            <w:gridSpan w:val="2"/>
            <w:tcBorders>
              <w:top w:val="single" w:color="auto" w:sz="4" w:space="0"/>
              <w:left w:val="single" w:color="auto" w:sz="4" w:space="0"/>
              <w:bottom w:val="single" w:color="auto" w:sz="4" w:space="0"/>
              <w:right w:val="single" w:color="auto" w:sz="4" w:space="0"/>
            </w:tcBorders>
            <w:vAlign w:val="center"/>
          </w:tcPr>
          <w:p>
            <w:pPr>
              <w:spacing w:line="297" w:lineRule="auto"/>
              <w:ind w:firstLine="320"/>
              <w:rPr>
                <w:rFonts w:cs="Arial" w:asciiTheme="minorEastAsia" w:hAnsiTheme="minorEastAsia" w:eastAsiaTheme="minorEastAsia"/>
                <w:color w:val="auto"/>
                <w:sz w:val="16"/>
                <w:szCs w:val="16"/>
              </w:rPr>
            </w:pPr>
          </w:p>
          <w:p>
            <w:pPr>
              <w:spacing w:line="297" w:lineRule="auto"/>
              <w:ind w:firstLine="320"/>
              <w:rPr>
                <w:rFonts w:asciiTheme="minorEastAsia" w:hAnsiTheme="minorEastAsia" w:eastAsiaTheme="minorEastAsia"/>
                <w:color w:val="auto"/>
                <w:sz w:val="16"/>
                <w:szCs w:val="16"/>
              </w:rPr>
            </w:pPr>
          </w:p>
          <w:p>
            <w:pPr>
              <w:pStyle w:val="35"/>
              <w:spacing w:before="26"/>
              <w:ind w:left="409"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1"/>
              </w:rPr>
              <w:t>1.5</w:t>
            </w:r>
          </w:p>
        </w:tc>
        <w:tc>
          <w:tcPr>
            <w:tcW w:w="435"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ind w:firstLine="320"/>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1106" w:type="dxa"/>
            <w:gridSpan w:val="2"/>
            <w:tcBorders>
              <w:top w:val="single" w:color="auto" w:sz="4" w:space="0"/>
              <w:left w:val="single" w:color="auto" w:sz="4" w:space="0"/>
              <w:bottom w:val="single" w:color="auto" w:sz="4" w:space="0"/>
              <w:right w:val="single" w:color="auto" w:sz="4" w:space="0"/>
            </w:tcBorders>
            <w:vAlign w:val="center"/>
          </w:tcPr>
          <w:p>
            <w:pPr>
              <w:pStyle w:val="35"/>
              <w:spacing w:before="60"/>
              <w:ind w:left="21"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乡村振兴工作经费</w:t>
            </w:r>
          </w:p>
        </w:tc>
        <w:tc>
          <w:tcPr>
            <w:tcW w:w="1614" w:type="dxa"/>
            <w:tcBorders>
              <w:top w:val="single" w:color="auto" w:sz="4" w:space="0"/>
              <w:left w:val="single" w:color="auto" w:sz="4" w:space="0"/>
              <w:bottom w:val="single" w:color="auto" w:sz="4" w:space="0"/>
              <w:right w:val="single" w:color="auto" w:sz="4" w:space="0"/>
            </w:tcBorders>
            <w:vAlign w:val="center"/>
          </w:tcPr>
          <w:p>
            <w:pPr>
              <w:pStyle w:val="35"/>
              <w:spacing w:before="17"/>
              <w:ind w:left="17" w:right="18"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根据精准脱贫、定点帮扶的规定，完成我</w:t>
            </w:r>
            <w:r>
              <w:rPr>
                <w:rFonts w:hint="eastAsia" w:cs="Times New Roman" w:asciiTheme="minorEastAsia" w:hAnsiTheme="minorEastAsia" w:eastAsiaTheme="minorEastAsia"/>
                <w:color w:val="auto"/>
                <w:spacing w:val="6"/>
              </w:rPr>
              <w:t xml:space="preserve"> 会昭化太公镇黄金村定点帮扶工作</w:t>
            </w:r>
          </w:p>
        </w:tc>
        <w:tc>
          <w:tcPr>
            <w:tcW w:w="1030" w:type="dxa"/>
            <w:tcBorders>
              <w:top w:val="single" w:color="auto" w:sz="4" w:space="0"/>
              <w:left w:val="single" w:color="auto" w:sz="4" w:space="0"/>
              <w:bottom w:val="single" w:color="auto" w:sz="4" w:space="0"/>
              <w:right w:val="single" w:color="auto" w:sz="4" w:space="0"/>
            </w:tcBorders>
            <w:vAlign w:val="center"/>
          </w:tcPr>
          <w:p>
            <w:pPr>
              <w:pStyle w:val="35"/>
              <w:spacing w:before="74"/>
              <w:ind w:left="152" w:firstLine="324"/>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1"/>
              </w:rPr>
              <w:t>1.82</w:t>
            </w:r>
          </w:p>
        </w:tc>
        <w:tc>
          <w:tcPr>
            <w:tcW w:w="1392" w:type="dxa"/>
            <w:gridSpan w:val="2"/>
            <w:tcBorders>
              <w:top w:val="single" w:color="auto" w:sz="4" w:space="0"/>
              <w:left w:val="single" w:color="auto" w:sz="4" w:space="0"/>
              <w:bottom w:val="single" w:color="auto" w:sz="4" w:space="0"/>
              <w:right w:val="single" w:color="auto" w:sz="4" w:space="0"/>
            </w:tcBorders>
            <w:vAlign w:val="center"/>
          </w:tcPr>
          <w:p>
            <w:pPr>
              <w:pStyle w:val="35"/>
              <w:spacing w:before="74"/>
              <w:ind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1"/>
              </w:rPr>
              <w:t>1.82</w:t>
            </w:r>
          </w:p>
        </w:tc>
        <w:tc>
          <w:tcPr>
            <w:tcW w:w="461"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195" w:lineRule="exact"/>
              <w:ind w:firstLine="320"/>
              <w:textAlignment w:val="baseline"/>
              <w:rPr>
                <w:rFonts w:cs="Arial" w:asciiTheme="minorEastAsia" w:hAnsiTheme="minorEastAsia" w:eastAsiaTheme="minorEastAsia"/>
                <w:color w:val="auto"/>
                <w:sz w:val="16"/>
                <w:szCs w:val="16"/>
              </w:rPr>
            </w:pPr>
          </w:p>
        </w:tc>
        <w:tc>
          <w:tcPr>
            <w:tcW w:w="950" w:type="dxa"/>
            <w:gridSpan w:val="2"/>
            <w:tcBorders>
              <w:top w:val="single" w:color="auto" w:sz="4" w:space="0"/>
              <w:left w:val="single" w:color="auto" w:sz="4" w:space="0"/>
              <w:bottom w:val="single" w:color="auto" w:sz="4" w:space="0"/>
              <w:right w:val="single" w:color="auto" w:sz="4" w:space="0"/>
            </w:tcBorders>
            <w:vAlign w:val="center"/>
          </w:tcPr>
          <w:p>
            <w:pPr>
              <w:pStyle w:val="35"/>
              <w:spacing w:before="74"/>
              <w:ind w:left="399"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1"/>
              </w:rPr>
              <w:t>1.82</w:t>
            </w:r>
          </w:p>
        </w:tc>
        <w:tc>
          <w:tcPr>
            <w:tcW w:w="924" w:type="dxa"/>
            <w:gridSpan w:val="2"/>
            <w:tcBorders>
              <w:top w:val="single" w:color="auto" w:sz="4" w:space="0"/>
              <w:left w:val="single" w:color="auto" w:sz="4" w:space="0"/>
              <w:bottom w:val="single" w:color="auto" w:sz="4" w:space="0"/>
              <w:right w:val="single" w:color="auto" w:sz="4" w:space="0"/>
            </w:tcBorders>
            <w:vAlign w:val="center"/>
          </w:tcPr>
          <w:p>
            <w:pPr>
              <w:pStyle w:val="35"/>
              <w:spacing w:before="74"/>
              <w:ind w:left="387"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1"/>
              </w:rPr>
              <w:t>1.82</w:t>
            </w:r>
          </w:p>
        </w:tc>
        <w:tc>
          <w:tcPr>
            <w:tcW w:w="435"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195" w:lineRule="exact"/>
              <w:ind w:firstLine="320"/>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1106" w:type="dxa"/>
            <w:gridSpan w:val="2"/>
            <w:tcBorders>
              <w:top w:val="single" w:color="auto" w:sz="4" w:space="0"/>
              <w:left w:val="single" w:color="auto" w:sz="4" w:space="0"/>
              <w:bottom w:val="single" w:color="auto" w:sz="4" w:space="0"/>
              <w:right w:val="single" w:color="auto" w:sz="4" w:space="0"/>
            </w:tcBorders>
            <w:vAlign w:val="center"/>
          </w:tcPr>
          <w:p>
            <w:pPr>
              <w:pStyle w:val="35"/>
              <w:spacing w:before="120" w:line="242" w:lineRule="auto"/>
              <w:ind w:left="20" w:right="53"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5"/>
              </w:rPr>
              <w:t>经贸摩擦预警、产地签证、</w:t>
            </w:r>
            <w:r>
              <w:rPr>
                <w:rFonts w:hint="eastAsia" w:cs="Times New Roman" w:asciiTheme="minorEastAsia" w:hAnsiTheme="minorEastAsia" w:eastAsiaTheme="minorEastAsia"/>
                <w:color w:val="auto"/>
                <w:spacing w:val="8"/>
              </w:rPr>
              <w:t xml:space="preserve"> </w:t>
            </w:r>
            <w:r>
              <w:rPr>
                <w:rFonts w:hint="eastAsia" w:cs="Times New Roman" w:asciiTheme="minorEastAsia" w:hAnsiTheme="minorEastAsia" w:eastAsiaTheme="minorEastAsia"/>
                <w:color w:val="auto"/>
                <w:spacing w:val="6"/>
              </w:rPr>
              <w:t>营商环境监测经费</w:t>
            </w:r>
          </w:p>
        </w:tc>
        <w:tc>
          <w:tcPr>
            <w:tcW w:w="1614" w:type="dxa"/>
            <w:tcBorders>
              <w:top w:val="single" w:color="auto" w:sz="4" w:space="0"/>
              <w:left w:val="single" w:color="auto" w:sz="4" w:space="0"/>
              <w:bottom w:val="single" w:color="auto" w:sz="4" w:space="0"/>
              <w:right w:val="single" w:color="auto" w:sz="4" w:space="0"/>
            </w:tcBorders>
            <w:vAlign w:val="center"/>
          </w:tcPr>
          <w:p>
            <w:pPr>
              <w:pStyle w:val="35"/>
              <w:spacing w:before="18"/>
              <w:ind w:left="17" w:right="18"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开展经贸预警的调研、分析，为企业提供</w:t>
            </w:r>
            <w:r>
              <w:rPr>
                <w:rFonts w:hint="eastAsia" w:cs="Times New Roman" w:asciiTheme="minorEastAsia" w:hAnsiTheme="minorEastAsia" w:eastAsiaTheme="minorEastAsia"/>
                <w:color w:val="auto"/>
                <w:spacing w:val="5"/>
              </w:rPr>
              <w:t xml:space="preserve"> </w:t>
            </w:r>
            <w:r>
              <w:rPr>
                <w:rFonts w:hint="eastAsia" w:cs="Times New Roman" w:asciiTheme="minorEastAsia" w:hAnsiTheme="minorEastAsia" w:eastAsiaTheme="minorEastAsia"/>
                <w:color w:val="auto"/>
                <w:spacing w:val="7"/>
              </w:rPr>
              <w:t>预警信息等服务，办理产地签证、开展营</w:t>
            </w:r>
            <w:r>
              <w:rPr>
                <w:rFonts w:hint="eastAsia" w:cs="Times New Roman" w:asciiTheme="minorEastAsia" w:hAnsiTheme="minorEastAsia" w:eastAsiaTheme="minorEastAsia"/>
                <w:color w:val="auto"/>
                <w:spacing w:val="6"/>
              </w:rPr>
              <w:t xml:space="preserve"> </w:t>
            </w:r>
            <w:r>
              <w:rPr>
                <w:rFonts w:hint="eastAsia" w:cs="Times New Roman" w:asciiTheme="minorEastAsia" w:hAnsiTheme="minorEastAsia" w:eastAsiaTheme="minorEastAsia"/>
                <w:color w:val="auto"/>
                <w:spacing w:val="7"/>
              </w:rPr>
              <w:t>商环境监测调解中心办事处相关工作，并</w:t>
            </w:r>
            <w:r>
              <w:rPr>
                <w:rFonts w:hint="eastAsia" w:cs="Times New Roman" w:asciiTheme="minorEastAsia" w:hAnsiTheme="minorEastAsia" w:eastAsiaTheme="minorEastAsia"/>
                <w:color w:val="auto"/>
                <w:spacing w:val="6"/>
              </w:rPr>
              <w:t xml:space="preserve"> </w:t>
            </w:r>
            <w:r>
              <w:rPr>
                <w:rFonts w:hint="eastAsia" w:cs="Times New Roman" w:asciiTheme="minorEastAsia" w:hAnsiTheme="minorEastAsia" w:eastAsiaTheme="minorEastAsia"/>
                <w:color w:val="auto"/>
                <w:spacing w:val="5"/>
              </w:rPr>
              <w:t>做好宣传。</w:t>
            </w:r>
          </w:p>
        </w:tc>
        <w:tc>
          <w:tcPr>
            <w:tcW w:w="1030" w:type="dxa"/>
            <w:tcBorders>
              <w:top w:val="single" w:color="auto" w:sz="4" w:space="0"/>
              <w:left w:val="single" w:color="auto" w:sz="4" w:space="0"/>
              <w:bottom w:val="single" w:color="auto" w:sz="4" w:space="0"/>
              <w:right w:val="single" w:color="auto" w:sz="4" w:space="0"/>
            </w:tcBorders>
            <w:vAlign w:val="center"/>
          </w:tcPr>
          <w:p>
            <w:pPr>
              <w:pStyle w:val="35"/>
              <w:spacing w:before="187"/>
              <w:ind w:left="212" w:firstLine="32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5</w:t>
            </w:r>
          </w:p>
        </w:tc>
        <w:tc>
          <w:tcPr>
            <w:tcW w:w="1392" w:type="dxa"/>
            <w:gridSpan w:val="2"/>
            <w:tcBorders>
              <w:top w:val="single" w:color="auto" w:sz="4" w:space="0"/>
              <w:left w:val="single" w:color="auto" w:sz="4" w:space="0"/>
              <w:bottom w:val="single" w:color="auto" w:sz="4" w:space="0"/>
              <w:right w:val="single" w:color="auto" w:sz="4" w:space="0"/>
            </w:tcBorders>
            <w:vAlign w:val="center"/>
          </w:tcPr>
          <w:p>
            <w:pPr>
              <w:pStyle w:val="35"/>
              <w:spacing w:before="187"/>
              <w:ind w:firstLineChars="125"/>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5</w:t>
            </w:r>
          </w:p>
        </w:tc>
        <w:tc>
          <w:tcPr>
            <w:tcW w:w="461"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ind w:firstLine="320"/>
              <w:textAlignment w:val="baseline"/>
              <w:rPr>
                <w:rFonts w:cs="Arial" w:asciiTheme="minorEastAsia" w:hAnsiTheme="minorEastAsia" w:eastAsiaTheme="minorEastAsia"/>
                <w:color w:val="auto"/>
                <w:sz w:val="16"/>
                <w:szCs w:val="16"/>
              </w:rPr>
            </w:pPr>
          </w:p>
        </w:tc>
        <w:tc>
          <w:tcPr>
            <w:tcW w:w="950" w:type="dxa"/>
            <w:gridSpan w:val="2"/>
            <w:tcBorders>
              <w:top w:val="single" w:color="auto" w:sz="4" w:space="0"/>
              <w:left w:val="single" w:color="auto" w:sz="4" w:space="0"/>
              <w:bottom w:val="single" w:color="auto" w:sz="4" w:space="0"/>
              <w:right w:val="single" w:color="auto" w:sz="4" w:space="0"/>
            </w:tcBorders>
            <w:vAlign w:val="center"/>
          </w:tcPr>
          <w:p>
            <w:pPr>
              <w:pStyle w:val="35"/>
              <w:spacing w:before="186"/>
              <w:ind w:left="393"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2.91</w:t>
            </w:r>
          </w:p>
        </w:tc>
        <w:tc>
          <w:tcPr>
            <w:tcW w:w="924" w:type="dxa"/>
            <w:gridSpan w:val="2"/>
            <w:tcBorders>
              <w:top w:val="single" w:color="auto" w:sz="4" w:space="0"/>
              <w:left w:val="single" w:color="auto" w:sz="4" w:space="0"/>
              <w:bottom w:val="single" w:color="auto" w:sz="4" w:space="0"/>
              <w:right w:val="single" w:color="auto" w:sz="4" w:space="0"/>
            </w:tcBorders>
            <w:vAlign w:val="center"/>
          </w:tcPr>
          <w:p>
            <w:pPr>
              <w:pStyle w:val="35"/>
              <w:spacing w:before="186"/>
              <w:ind w:left="382"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2.91</w:t>
            </w:r>
          </w:p>
        </w:tc>
        <w:tc>
          <w:tcPr>
            <w:tcW w:w="435"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ind w:firstLine="320"/>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1106" w:type="dxa"/>
            <w:gridSpan w:val="2"/>
            <w:tcBorders>
              <w:top w:val="single" w:color="auto" w:sz="4" w:space="0"/>
              <w:left w:val="single" w:color="auto" w:sz="4" w:space="0"/>
              <w:bottom w:val="single" w:color="auto" w:sz="4" w:space="0"/>
              <w:right w:val="single" w:color="auto" w:sz="4" w:space="0"/>
            </w:tcBorders>
            <w:vAlign w:val="center"/>
          </w:tcPr>
          <w:p>
            <w:pPr>
              <w:pStyle w:val="35"/>
              <w:spacing w:before="165" w:line="242" w:lineRule="auto"/>
              <w:ind w:left="17" w:right="33"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2022第十一届秦巴山区年货</w:t>
            </w:r>
            <w:r>
              <w:rPr>
                <w:rFonts w:hint="eastAsia" w:cs="Times New Roman" w:asciiTheme="minorEastAsia" w:hAnsiTheme="minorEastAsia" w:eastAsiaTheme="minorEastAsia"/>
                <w:color w:val="auto"/>
                <w:spacing w:val="4"/>
              </w:rPr>
              <w:t xml:space="preserve"> </w:t>
            </w:r>
            <w:r>
              <w:rPr>
                <w:rFonts w:hint="eastAsia" w:cs="Times New Roman" w:asciiTheme="minorEastAsia" w:hAnsiTheme="minorEastAsia" w:eastAsiaTheme="minorEastAsia"/>
                <w:color w:val="auto"/>
                <w:spacing w:val="7"/>
              </w:rPr>
              <w:t>节筹办经费</w:t>
            </w:r>
          </w:p>
        </w:tc>
        <w:tc>
          <w:tcPr>
            <w:tcW w:w="1614" w:type="dxa"/>
            <w:tcBorders>
              <w:top w:val="single" w:color="auto" w:sz="4" w:space="0"/>
              <w:left w:val="single" w:color="auto" w:sz="4" w:space="0"/>
              <w:bottom w:val="single" w:color="auto" w:sz="4" w:space="0"/>
              <w:right w:val="single" w:color="auto" w:sz="4" w:space="0"/>
            </w:tcBorders>
            <w:vAlign w:val="center"/>
          </w:tcPr>
          <w:p>
            <w:pPr>
              <w:pStyle w:val="35"/>
              <w:spacing w:before="16"/>
              <w:ind w:left="18" w:right="14"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认真落实市委打造“</w:t>
            </w:r>
            <w:r>
              <w:rPr>
                <w:rFonts w:hint="eastAsia" w:cs="Times New Roman" w:asciiTheme="minorEastAsia" w:hAnsiTheme="minorEastAsia" w:eastAsiaTheme="minorEastAsia"/>
                <w:color w:val="auto"/>
                <w:spacing w:val="-17"/>
              </w:rPr>
              <w:t xml:space="preserve"> </w:t>
            </w:r>
            <w:r>
              <w:rPr>
                <w:rFonts w:hint="eastAsia" w:cs="Times New Roman" w:asciiTheme="minorEastAsia" w:hAnsiTheme="minorEastAsia" w:eastAsiaTheme="minorEastAsia"/>
                <w:color w:val="auto"/>
                <w:spacing w:val="6"/>
              </w:rPr>
              <w:t>四川北向东出桥头堡</w:t>
            </w:r>
            <w:r>
              <w:rPr>
                <w:rFonts w:hint="eastAsia" w:cs="Times New Roman" w:asciiTheme="minorEastAsia" w:hAnsiTheme="minorEastAsia" w:eastAsiaTheme="minorEastAsia"/>
                <w:color w:val="auto"/>
              </w:rPr>
              <w:t xml:space="preserve"> </w:t>
            </w:r>
            <w:r>
              <w:rPr>
                <w:rFonts w:hint="eastAsia" w:cs="Times New Roman" w:asciiTheme="minorEastAsia" w:hAnsiTheme="minorEastAsia" w:eastAsiaTheme="minorEastAsia"/>
                <w:color w:val="auto"/>
                <w:spacing w:val="6"/>
              </w:rPr>
              <w:t>”决策部署，承办2022年第十一届秦巴山</w:t>
            </w:r>
            <w:r>
              <w:rPr>
                <w:rFonts w:hint="eastAsia" w:cs="Times New Roman" w:asciiTheme="minorEastAsia" w:hAnsiTheme="minorEastAsia" w:eastAsiaTheme="minorEastAsia"/>
                <w:color w:val="auto"/>
                <w:spacing w:val="13"/>
              </w:rPr>
              <w:t xml:space="preserve"> </w:t>
            </w:r>
            <w:r>
              <w:rPr>
                <w:rFonts w:hint="eastAsia" w:cs="Times New Roman" w:asciiTheme="minorEastAsia" w:hAnsiTheme="minorEastAsia" w:eastAsiaTheme="minorEastAsia"/>
                <w:color w:val="auto"/>
                <w:spacing w:val="7"/>
              </w:rPr>
              <w:t>区年货节，充分发挥贸促优势，邀请省内</w:t>
            </w:r>
            <w:r>
              <w:rPr>
                <w:rFonts w:hint="eastAsia" w:cs="Times New Roman" w:asciiTheme="minorEastAsia" w:hAnsiTheme="minorEastAsia" w:eastAsiaTheme="minorEastAsia"/>
                <w:color w:val="auto"/>
                <w:spacing w:val="2"/>
              </w:rPr>
              <w:t xml:space="preserve"> </w:t>
            </w:r>
            <w:r>
              <w:rPr>
                <w:rFonts w:hint="eastAsia" w:cs="Times New Roman" w:asciiTheme="minorEastAsia" w:hAnsiTheme="minorEastAsia" w:eastAsiaTheme="minorEastAsia"/>
                <w:color w:val="auto"/>
                <w:spacing w:val="7"/>
              </w:rPr>
              <w:t>外商协会、企业来广参会参展，积极开拓</w:t>
            </w:r>
            <w:r>
              <w:rPr>
                <w:rFonts w:hint="eastAsia" w:cs="Times New Roman" w:asciiTheme="minorEastAsia" w:hAnsiTheme="minorEastAsia" w:eastAsiaTheme="minorEastAsia"/>
                <w:color w:val="auto"/>
                <w:spacing w:val="2"/>
              </w:rPr>
              <w:t xml:space="preserve"> </w:t>
            </w:r>
            <w:r>
              <w:rPr>
                <w:rFonts w:hint="eastAsia" w:cs="Times New Roman" w:asciiTheme="minorEastAsia" w:hAnsiTheme="minorEastAsia" w:eastAsiaTheme="minorEastAsia"/>
                <w:color w:val="auto"/>
                <w:spacing w:val="5"/>
              </w:rPr>
              <w:t>市场、寻求合作。</w:t>
            </w:r>
          </w:p>
        </w:tc>
        <w:tc>
          <w:tcPr>
            <w:tcW w:w="1030" w:type="dxa"/>
            <w:tcBorders>
              <w:top w:val="single" w:color="auto" w:sz="4" w:space="0"/>
              <w:left w:val="single" w:color="auto" w:sz="4" w:space="0"/>
              <w:bottom w:val="single" w:color="auto" w:sz="4" w:space="0"/>
              <w:right w:val="single" w:color="auto" w:sz="4" w:space="0"/>
            </w:tcBorders>
            <w:vAlign w:val="center"/>
          </w:tcPr>
          <w:p>
            <w:pPr>
              <w:pStyle w:val="35"/>
              <w:spacing w:before="234"/>
              <w:ind w:left="128" w:firstLine="328"/>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2"/>
              </w:rPr>
              <w:t>11.85</w:t>
            </w:r>
          </w:p>
        </w:tc>
        <w:tc>
          <w:tcPr>
            <w:tcW w:w="1392" w:type="dxa"/>
            <w:gridSpan w:val="2"/>
            <w:tcBorders>
              <w:top w:val="single" w:color="auto" w:sz="4" w:space="0"/>
              <w:left w:val="single" w:color="auto" w:sz="4" w:space="0"/>
              <w:bottom w:val="single" w:color="auto" w:sz="4" w:space="0"/>
              <w:right w:val="single" w:color="auto" w:sz="4" w:space="0"/>
            </w:tcBorders>
            <w:vAlign w:val="center"/>
          </w:tcPr>
          <w:p>
            <w:pPr>
              <w:pStyle w:val="35"/>
              <w:spacing w:before="234"/>
              <w:ind w:left="883"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2"/>
              </w:rPr>
              <w:t>11.85</w:t>
            </w:r>
          </w:p>
        </w:tc>
        <w:tc>
          <w:tcPr>
            <w:tcW w:w="461"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ind w:firstLine="320"/>
              <w:jc w:val="center"/>
              <w:textAlignment w:val="baseline"/>
              <w:rPr>
                <w:rFonts w:cs="Arial" w:asciiTheme="minorEastAsia" w:hAnsiTheme="minorEastAsia" w:eastAsiaTheme="minorEastAsia"/>
                <w:color w:val="auto"/>
                <w:sz w:val="16"/>
                <w:szCs w:val="16"/>
              </w:rPr>
            </w:pPr>
          </w:p>
        </w:tc>
        <w:tc>
          <w:tcPr>
            <w:tcW w:w="950" w:type="dxa"/>
            <w:gridSpan w:val="2"/>
            <w:tcBorders>
              <w:top w:val="single" w:color="auto" w:sz="4" w:space="0"/>
              <w:left w:val="single" w:color="auto" w:sz="4" w:space="0"/>
              <w:bottom w:val="single" w:color="auto" w:sz="4" w:space="0"/>
              <w:right w:val="single" w:color="auto" w:sz="4" w:space="0"/>
            </w:tcBorders>
            <w:vAlign w:val="center"/>
          </w:tcPr>
          <w:p>
            <w:pPr>
              <w:pStyle w:val="35"/>
              <w:spacing w:before="234"/>
              <w:ind w:left="377"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2"/>
              </w:rPr>
              <w:t>11.85</w:t>
            </w:r>
          </w:p>
        </w:tc>
        <w:tc>
          <w:tcPr>
            <w:tcW w:w="924" w:type="dxa"/>
            <w:gridSpan w:val="2"/>
            <w:tcBorders>
              <w:top w:val="single" w:color="auto" w:sz="4" w:space="0"/>
              <w:left w:val="single" w:color="auto" w:sz="4" w:space="0"/>
              <w:bottom w:val="single" w:color="auto" w:sz="4" w:space="0"/>
              <w:right w:val="single" w:color="auto" w:sz="4" w:space="0"/>
            </w:tcBorders>
            <w:vAlign w:val="center"/>
          </w:tcPr>
          <w:p>
            <w:pPr>
              <w:pStyle w:val="35"/>
              <w:spacing w:before="234"/>
              <w:ind w:left="363"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2"/>
              </w:rPr>
              <w:t>11.85</w:t>
            </w:r>
          </w:p>
        </w:tc>
        <w:tc>
          <w:tcPr>
            <w:tcW w:w="435"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ind w:firstLine="320"/>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538" w:type="dxa"/>
            <w:vMerge w:val="continue"/>
            <w:tcBorders>
              <w:top w:val="single" w:color="auto" w:sz="4" w:space="0"/>
              <w:left w:val="single" w:color="000000" w:sz="2" w:space="0"/>
              <w:bottom w:val="nil"/>
              <w:right w:val="single" w:color="000000" w:sz="2" w:space="0"/>
            </w:tcBorders>
            <w:vAlign w:val="center"/>
          </w:tcPr>
          <w:p>
            <w:pPr>
              <w:ind w:firstLine="320"/>
              <w:rPr>
                <w:rFonts w:asciiTheme="minorEastAsia" w:hAnsiTheme="minorEastAsia" w:eastAsiaTheme="minorEastAsia"/>
                <w:color w:val="auto"/>
                <w:sz w:val="16"/>
                <w:szCs w:val="16"/>
              </w:rPr>
            </w:pPr>
          </w:p>
        </w:tc>
        <w:tc>
          <w:tcPr>
            <w:tcW w:w="1106" w:type="dxa"/>
            <w:gridSpan w:val="2"/>
            <w:tcBorders>
              <w:top w:val="single" w:color="auto" w:sz="4" w:space="0"/>
              <w:left w:val="single" w:color="000000" w:sz="2" w:space="0"/>
              <w:bottom w:val="single" w:color="000000" w:sz="2" w:space="0"/>
              <w:right w:val="single" w:color="000000" w:sz="2" w:space="0"/>
            </w:tcBorders>
          </w:tcPr>
          <w:p>
            <w:pPr>
              <w:pStyle w:val="35"/>
              <w:spacing w:before="57" w:line="247" w:lineRule="auto"/>
              <w:ind w:left="17" w:right="35"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广元参加第八届成都国际汽</w:t>
            </w:r>
            <w:r>
              <w:rPr>
                <w:rFonts w:hint="eastAsia" w:cs="Times New Roman" w:asciiTheme="minorEastAsia" w:hAnsiTheme="minorEastAsia" w:eastAsiaTheme="minorEastAsia"/>
                <w:color w:val="auto"/>
                <w:spacing w:val="3"/>
              </w:rPr>
              <w:t xml:space="preserve"> </w:t>
            </w:r>
            <w:r>
              <w:rPr>
                <w:rFonts w:hint="eastAsia" w:cs="Times New Roman" w:asciiTheme="minorEastAsia" w:hAnsiTheme="minorEastAsia" w:eastAsiaTheme="minorEastAsia"/>
                <w:color w:val="auto"/>
                <w:spacing w:val="7"/>
              </w:rPr>
              <w:t>车零配件及售后服务展览会</w:t>
            </w:r>
            <w:r>
              <w:rPr>
                <w:rFonts w:hint="eastAsia" w:cs="Times New Roman" w:asciiTheme="minorEastAsia" w:hAnsiTheme="minorEastAsia" w:eastAsiaTheme="minorEastAsia"/>
                <w:color w:val="auto"/>
                <w:spacing w:val="2"/>
              </w:rPr>
              <w:t xml:space="preserve"> </w:t>
            </w:r>
            <w:r>
              <w:rPr>
                <w:rFonts w:hint="eastAsia" w:cs="Times New Roman" w:asciiTheme="minorEastAsia" w:hAnsiTheme="minorEastAsia" w:eastAsiaTheme="minorEastAsia"/>
                <w:color w:val="auto"/>
                <w:spacing w:val="5"/>
              </w:rPr>
              <w:t>经费</w:t>
            </w:r>
          </w:p>
        </w:tc>
        <w:tc>
          <w:tcPr>
            <w:tcW w:w="1614" w:type="dxa"/>
            <w:tcBorders>
              <w:top w:val="single" w:color="auto" w:sz="4" w:space="0"/>
              <w:left w:val="single" w:color="000000" w:sz="2" w:space="0"/>
              <w:bottom w:val="single" w:color="000000" w:sz="2" w:space="0"/>
              <w:right w:val="single" w:color="000000" w:sz="2" w:space="0"/>
            </w:tcBorders>
            <w:vAlign w:val="center"/>
          </w:tcPr>
          <w:p>
            <w:pPr>
              <w:pStyle w:val="35"/>
              <w:spacing w:before="16"/>
              <w:ind w:left="17" w:right="17"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认真组织参加第八届成都国际汽车零配件</w:t>
            </w:r>
            <w:r>
              <w:rPr>
                <w:rFonts w:hint="eastAsia" w:cs="Times New Roman" w:asciiTheme="minorEastAsia" w:hAnsiTheme="minorEastAsia" w:eastAsiaTheme="minorEastAsia"/>
                <w:color w:val="auto"/>
                <w:spacing w:val="6"/>
              </w:rPr>
              <w:t xml:space="preserve"> </w:t>
            </w:r>
            <w:r>
              <w:rPr>
                <w:rFonts w:hint="eastAsia" w:cs="Times New Roman" w:asciiTheme="minorEastAsia" w:hAnsiTheme="minorEastAsia" w:eastAsiaTheme="minorEastAsia"/>
                <w:color w:val="auto"/>
                <w:spacing w:val="7"/>
              </w:rPr>
              <w:t>及售后服务展览会，开展宣传推介、展览</w:t>
            </w:r>
            <w:r>
              <w:rPr>
                <w:rFonts w:hint="eastAsia" w:cs="Times New Roman" w:asciiTheme="minorEastAsia" w:hAnsiTheme="minorEastAsia" w:eastAsiaTheme="minorEastAsia"/>
                <w:color w:val="auto"/>
                <w:spacing w:val="5"/>
              </w:rPr>
              <w:t xml:space="preserve"> </w:t>
            </w:r>
            <w:r>
              <w:rPr>
                <w:rFonts w:hint="eastAsia" w:cs="Times New Roman" w:asciiTheme="minorEastAsia" w:hAnsiTheme="minorEastAsia" w:eastAsiaTheme="minorEastAsia"/>
                <w:color w:val="auto"/>
                <w:spacing w:val="7"/>
              </w:rPr>
              <w:t>展示、经贸合作、品牌推广等活动，推介</w:t>
            </w:r>
            <w:r>
              <w:rPr>
                <w:rFonts w:hint="eastAsia" w:cs="Times New Roman" w:asciiTheme="minorEastAsia" w:hAnsiTheme="minorEastAsia" w:eastAsiaTheme="minorEastAsia"/>
                <w:color w:val="auto"/>
                <w:spacing w:val="5"/>
              </w:rPr>
              <w:t xml:space="preserve"> </w:t>
            </w:r>
            <w:r>
              <w:rPr>
                <w:rFonts w:hint="eastAsia" w:cs="Times New Roman" w:asciiTheme="minorEastAsia" w:hAnsiTheme="minorEastAsia" w:eastAsiaTheme="minorEastAsia"/>
                <w:color w:val="auto"/>
                <w:spacing w:val="6"/>
              </w:rPr>
              <w:t>项目，寻求合作。</w:t>
            </w:r>
          </w:p>
        </w:tc>
        <w:tc>
          <w:tcPr>
            <w:tcW w:w="1030" w:type="dxa"/>
            <w:tcBorders>
              <w:top w:val="single" w:color="auto" w:sz="4" w:space="0"/>
              <w:left w:val="single" w:color="000000" w:sz="2" w:space="0"/>
              <w:bottom w:val="single" w:color="000000" w:sz="2" w:space="0"/>
              <w:right w:val="single" w:color="000000" w:sz="2" w:space="0"/>
            </w:tcBorders>
            <w:vAlign w:val="center"/>
          </w:tcPr>
          <w:p>
            <w:pPr>
              <w:pStyle w:val="35"/>
              <w:spacing w:before="179"/>
              <w:ind w:left="211" w:firstLine="32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8</w:t>
            </w:r>
          </w:p>
        </w:tc>
        <w:tc>
          <w:tcPr>
            <w:tcW w:w="1392" w:type="dxa"/>
            <w:gridSpan w:val="2"/>
            <w:tcBorders>
              <w:top w:val="single" w:color="auto" w:sz="4" w:space="0"/>
              <w:left w:val="single" w:color="000000" w:sz="2" w:space="0"/>
              <w:bottom w:val="single" w:color="000000" w:sz="2" w:space="0"/>
              <w:right w:val="single" w:color="000000" w:sz="2" w:space="0"/>
            </w:tcBorders>
            <w:vAlign w:val="center"/>
          </w:tcPr>
          <w:p>
            <w:pPr>
              <w:pStyle w:val="35"/>
              <w:spacing w:before="179"/>
              <w:ind w:firstLineChars="125"/>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8</w:t>
            </w:r>
          </w:p>
        </w:tc>
        <w:tc>
          <w:tcPr>
            <w:tcW w:w="461" w:type="dxa"/>
            <w:tcBorders>
              <w:top w:val="single" w:color="auto" w:sz="4" w:space="0"/>
              <w:left w:val="single" w:color="000000" w:sz="2" w:space="0"/>
              <w:bottom w:val="single" w:color="000000" w:sz="2" w:space="0"/>
              <w:right w:val="single" w:color="000000" w:sz="2" w:space="0"/>
            </w:tcBorders>
            <w:vAlign w:val="center"/>
          </w:tcPr>
          <w:p>
            <w:pPr>
              <w:kinsoku w:val="0"/>
              <w:autoSpaceDE w:val="0"/>
              <w:autoSpaceDN w:val="0"/>
              <w:adjustRightInd w:val="0"/>
              <w:snapToGrid w:val="0"/>
              <w:ind w:firstLine="320"/>
              <w:jc w:val="center"/>
              <w:textAlignment w:val="baseline"/>
              <w:rPr>
                <w:rFonts w:cs="Arial" w:asciiTheme="minorEastAsia" w:hAnsiTheme="minorEastAsia" w:eastAsiaTheme="minorEastAsia"/>
                <w:color w:val="auto"/>
                <w:sz w:val="16"/>
                <w:szCs w:val="16"/>
              </w:rPr>
            </w:pPr>
          </w:p>
        </w:tc>
        <w:tc>
          <w:tcPr>
            <w:tcW w:w="950" w:type="dxa"/>
            <w:gridSpan w:val="2"/>
            <w:tcBorders>
              <w:top w:val="single" w:color="auto" w:sz="4" w:space="0"/>
              <w:left w:val="single" w:color="000000" w:sz="2" w:space="0"/>
              <w:bottom w:val="single" w:color="000000" w:sz="2" w:space="0"/>
              <w:right w:val="single" w:color="000000" w:sz="2" w:space="0"/>
            </w:tcBorders>
            <w:vAlign w:val="center"/>
          </w:tcPr>
          <w:p>
            <w:pPr>
              <w:pStyle w:val="35"/>
              <w:spacing w:before="179"/>
              <w:ind w:firstLineChars="125"/>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8</w:t>
            </w:r>
          </w:p>
        </w:tc>
        <w:tc>
          <w:tcPr>
            <w:tcW w:w="924" w:type="dxa"/>
            <w:gridSpan w:val="2"/>
            <w:tcBorders>
              <w:top w:val="single" w:color="auto" w:sz="4" w:space="0"/>
              <w:left w:val="single" w:color="000000" w:sz="2" w:space="0"/>
              <w:bottom w:val="single" w:color="000000" w:sz="2" w:space="0"/>
              <w:right w:val="single" w:color="000000" w:sz="2" w:space="0"/>
            </w:tcBorders>
            <w:vAlign w:val="center"/>
          </w:tcPr>
          <w:p>
            <w:pPr>
              <w:pStyle w:val="35"/>
              <w:spacing w:before="179"/>
              <w:ind w:firstLineChars="125"/>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8</w:t>
            </w:r>
          </w:p>
        </w:tc>
        <w:tc>
          <w:tcPr>
            <w:tcW w:w="435" w:type="dxa"/>
            <w:tcBorders>
              <w:top w:val="single" w:color="auto" w:sz="4" w:space="0"/>
              <w:left w:val="single" w:color="000000" w:sz="2" w:space="0"/>
              <w:bottom w:val="single" w:color="000000" w:sz="2" w:space="0"/>
              <w:right w:val="single" w:color="000000" w:sz="2" w:space="0"/>
            </w:tcBorders>
          </w:tcPr>
          <w:p>
            <w:pPr>
              <w:kinsoku w:val="0"/>
              <w:autoSpaceDE w:val="0"/>
              <w:autoSpaceDN w:val="0"/>
              <w:adjustRightInd w:val="0"/>
              <w:snapToGrid w:val="0"/>
              <w:ind w:firstLine="320"/>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538" w:type="dxa"/>
            <w:vMerge w:val="continue"/>
            <w:tcBorders>
              <w:top w:val="nil"/>
              <w:left w:val="single" w:color="000000" w:sz="2" w:space="0"/>
              <w:bottom w:val="nil"/>
              <w:right w:val="single" w:color="000000" w:sz="2" w:space="0"/>
            </w:tcBorders>
            <w:vAlign w:val="center"/>
          </w:tcPr>
          <w:p>
            <w:pPr>
              <w:ind w:firstLine="320"/>
              <w:rPr>
                <w:rFonts w:asciiTheme="minorEastAsia" w:hAnsiTheme="minorEastAsia" w:eastAsiaTheme="minorEastAsia"/>
                <w:color w:val="auto"/>
                <w:sz w:val="16"/>
                <w:szCs w:val="16"/>
              </w:rPr>
            </w:pPr>
          </w:p>
        </w:tc>
        <w:tc>
          <w:tcPr>
            <w:tcW w:w="1106" w:type="dxa"/>
            <w:gridSpan w:val="2"/>
            <w:tcBorders>
              <w:top w:val="single" w:color="000000" w:sz="2" w:space="0"/>
              <w:left w:val="single" w:color="000000" w:sz="2" w:space="0"/>
              <w:bottom w:val="single" w:color="000000" w:sz="2" w:space="0"/>
              <w:right w:val="single" w:color="000000" w:sz="2" w:space="0"/>
            </w:tcBorders>
          </w:tcPr>
          <w:p>
            <w:pPr>
              <w:pStyle w:val="35"/>
              <w:spacing w:before="61"/>
              <w:ind w:left="20" w:right="36"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广元参加第七届（成都）智</w:t>
            </w:r>
            <w:r>
              <w:rPr>
                <w:rFonts w:hint="eastAsia" w:cs="Times New Roman" w:asciiTheme="minorEastAsia" w:hAnsiTheme="minorEastAsia" w:eastAsiaTheme="minorEastAsia"/>
                <w:color w:val="auto"/>
                <w:spacing w:val="2"/>
              </w:rPr>
              <w:t xml:space="preserve"> </w:t>
            </w:r>
            <w:r>
              <w:rPr>
                <w:rFonts w:hint="eastAsia" w:cs="Times New Roman" w:asciiTheme="minorEastAsia" w:hAnsiTheme="minorEastAsia" w:eastAsiaTheme="minorEastAsia"/>
                <w:color w:val="auto"/>
                <w:spacing w:val="6"/>
              </w:rPr>
              <w:t>慧产业国际博览会经费</w:t>
            </w:r>
          </w:p>
        </w:tc>
        <w:tc>
          <w:tcPr>
            <w:tcW w:w="1614" w:type="dxa"/>
            <w:tcBorders>
              <w:top w:val="single" w:color="000000" w:sz="2" w:space="0"/>
              <w:left w:val="single" w:color="000000" w:sz="2" w:space="0"/>
              <w:bottom w:val="single" w:color="000000" w:sz="2" w:space="0"/>
              <w:right w:val="single" w:color="000000" w:sz="2" w:space="0"/>
            </w:tcBorders>
            <w:vAlign w:val="center"/>
          </w:tcPr>
          <w:p>
            <w:pPr>
              <w:pStyle w:val="35"/>
              <w:spacing w:before="17"/>
              <w:ind w:left="17" w:right="18"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组织参加第七届（成都）智慧产业国际博</w:t>
            </w:r>
            <w:r>
              <w:rPr>
                <w:rFonts w:hint="eastAsia" w:cs="Times New Roman" w:asciiTheme="minorEastAsia" w:hAnsiTheme="minorEastAsia" w:eastAsiaTheme="minorEastAsia"/>
                <w:color w:val="auto"/>
                <w:spacing w:val="5"/>
              </w:rPr>
              <w:t xml:space="preserve"> </w:t>
            </w:r>
            <w:r>
              <w:rPr>
                <w:rFonts w:hint="eastAsia" w:cs="Times New Roman" w:asciiTheme="minorEastAsia" w:hAnsiTheme="minorEastAsia" w:eastAsiaTheme="minorEastAsia"/>
                <w:color w:val="auto"/>
                <w:spacing w:val="7"/>
              </w:rPr>
              <w:t>览会，开展展览展示、经贸合作、品牌推</w:t>
            </w:r>
            <w:r>
              <w:rPr>
                <w:rFonts w:hint="eastAsia" w:cs="Times New Roman" w:asciiTheme="minorEastAsia" w:hAnsiTheme="minorEastAsia" w:eastAsiaTheme="minorEastAsia"/>
                <w:color w:val="auto"/>
                <w:spacing w:val="6"/>
              </w:rPr>
              <w:t xml:space="preserve"> 广等活动，推介项目，寻求合作。</w:t>
            </w:r>
          </w:p>
        </w:tc>
        <w:tc>
          <w:tcPr>
            <w:tcW w:w="1030" w:type="dxa"/>
            <w:tcBorders>
              <w:top w:val="single" w:color="000000" w:sz="2" w:space="0"/>
              <w:left w:val="single" w:color="000000" w:sz="2" w:space="0"/>
              <w:bottom w:val="single" w:color="000000" w:sz="2" w:space="0"/>
              <w:right w:val="single" w:color="000000" w:sz="2" w:space="0"/>
            </w:tcBorders>
            <w:vAlign w:val="center"/>
          </w:tcPr>
          <w:p>
            <w:pPr>
              <w:pStyle w:val="35"/>
              <w:spacing w:before="127"/>
              <w:ind w:left="211" w:firstLine="32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8</w:t>
            </w:r>
          </w:p>
        </w:tc>
        <w:tc>
          <w:tcPr>
            <w:tcW w:w="1392" w:type="dxa"/>
            <w:gridSpan w:val="2"/>
            <w:tcBorders>
              <w:top w:val="single" w:color="000000" w:sz="2" w:space="0"/>
              <w:left w:val="single" w:color="000000" w:sz="2" w:space="0"/>
              <w:bottom w:val="single" w:color="000000" w:sz="2" w:space="0"/>
              <w:right w:val="single" w:color="000000" w:sz="2" w:space="0"/>
            </w:tcBorders>
            <w:vAlign w:val="center"/>
          </w:tcPr>
          <w:p>
            <w:pPr>
              <w:pStyle w:val="35"/>
              <w:spacing w:before="127"/>
              <w:ind w:firstLineChars="125"/>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8</w:t>
            </w:r>
          </w:p>
        </w:tc>
        <w:tc>
          <w:tcPr>
            <w:tcW w:w="461" w:type="dxa"/>
            <w:tcBorders>
              <w:top w:val="single" w:color="000000" w:sz="2" w:space="0"/>
              <w:left w:val="single" w:color="000000" w:sz="2" w:space="0"/>
              <w:bottom w:val="single" w:color="000000" w:sz="2" w:space="0"/>
              <w:right w:val="single" w:color="000000" w:sz="2" w:space="0"/>
            </w:tcBorders>
            <w:vAlign w:val="center"/>
          </w:tcPr>
          <w:p>
            <w:pPr>
              <w:kinsoku w:val="0"/>
              <w:autoSpaceDE w:val="0"/>
              <w:autoSpaceDN w:val="0"/>
              <w:adjustRightInd w:val="0"/>
              <w:snapToGrid w:val="0"/>
              <w:ind w:firstLine="320"/>
              <w:jc w:val="center"/>
              <w:textAlignment w:val="baseline"/>
              <w:rPr>
                <w:rFonts w:cs="Arial" w:asciiTheme="minorEastAsia" w:hAnsiTheme="minorEastAsia" w:eastAsiaTheme="minorEastAsia"/>
                <w:color w:val="auto"/>
                <w:sz w:val="16"/>
                <w:szCs w:val="16"/>
              </w:rPr>
            </w:pPr>
          </w:p>
        </w:tc>
        <w:tc>
          <w:tcPr>
            <w:tcW w:w="950" w:type="dxa"/>
            <w:gridSpan w:val="2"/>
            <w:tcBorders>
              <w:top w:val="single" w:color="000000" w:sz="2" w:space="0"/>
              <w:left w:val="single" w:color="000000" w:sz="2" w:space="0"/>
              <w:bottom w:val="single" w:color="000000" w:sz="2" w:space="0"/>
              <w:right w:val="single" w:color="000000" w:sz="2" w:space="0"/>
            </w:tcBorders>
            <w:vAlign w:val="center"/>
          </w:tcPr>
          <w:p>
            <w:pPr>
              <w:pStyle w:val="35"/>
              <w:spacing w:before="127"/>
              <w:ind w:firstLineChars="125"/>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8</w:t>
            </w:r>
          </w:p>
        </w:tc>
        <w:tc>
          <w:tcPr>
            <w:tcW w:w="924" w:type="dxa"/>
            <w:gridSpan w:val="2"/>
            <w:tcBorders>
              <w:top w:val="single" w:color="000000" w:sz="2" w:space="0"/>
              <w:left w:val="single" w:color="000000" w:sz="2" w:space="0"/>
              <w:bottom w:val="single" w:color="000000" w:sz="2" w:space="0"/>
              <w:right w:val="single" w:color="000000" w:sz="2" w:space="0"/>
            </w:tcBorders>
            <w:vAlign w:val="center"/>
          </w:tcPr>
          <w:p>
            <w:pPr>
              <w:pStyle w:val="35"/>
              <w:spacing w:before="127"/>
              <w:ind w:firstLineChars="125"/>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8</w:t>
            </w:r>
          </w:p>
        </w:tc>
        <w:tc>
          <w:tcPr>
            <w:tcW w:w="435"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ind w:firstLine="320"/>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 w:hRule="atLeast"/>
        </w:trPr>
        <w:tc>
          <w:tcPr>
            <w:tcW w:w="538" w:type="dxa"/>
            <w:vMerge w:val="continue"/>
            <w:tcBorders>
              <w:top w:val="nil"/>
              <w:left w:val="single" w:color="000000" w:sz="2" w:space="0"/>
              <w:bottom w:val="nil"/>
              <w:right w:val="single" w:color="000000" w:sz="2" w:space="0"/>
            </w:tcBorders>
            <w:vAlign w:val="center"/>
          </w:tcPr>
          <w:p>
            <w:pPr>
              <w:ind w:firstLine="320"/>
              <w:rPr>
                <w:rFonts w:asciiTheme="minorEastAsia" w:hAnsiTheme="minorEastAsia" w:eastAsiaTheme="minorEastAsia"/>
                <w:color w:val="auto"/>
                <w:sz w:val="16"/>
                <w:szCs w:val="16"/>
              </w:rPr>
            </w:pPr>
          </w:p>
        </w:tc>
        <w:tc>
          <w:tcPr>
            <w:tcW w:w="1106" w:type="dxa"/>
            <w:gridSpan w:val="2"/>
            <w:tcBorders>
              <w:top w:val="single" w:color="000000" w:sz="2" w:space="0"/>
              <w:left w:val="single" w:color="000000" w:sz="2" w:space="0"/>
              <w:bottom w:val="single" w:color="000000" w:sz="2" w:space="0"/>
              <w:right w:val="single" w:color="000000" w:sz="2" w:space="0"/>
            </w:tcBorders>
          </w:tcPr>
          <w:p>
            <w:pPr>
              <w:pStyle w:val="35"/>
              <w:spacing w:before="10"/>
              <w:ind w:left="23" w:right="77"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广元参2022遇见巴蜀</w:t>
            </w:r>
            <w:r>
              <w:rPr>
                <w:rFonts w:hint="eastAsia" w:asciiTheme="minorEastAsia" w:hAnsiTheme="minorEastAsia" w:eastAsiaTheme="minorEastAsia"/>
                <w:color w:val="auto"/>
                <w:spacing w:val="6"/>
              </w:rPr>
              <w:t>•</w:t>
            </w:r>
            <w:r>
              <w:rPr>
                <w:rFonts w:hint="eastAsia" w:cs="仿宋_GB2312" w:asciiTheme="minorEastAsia" w:hAnsiTheme="minorEastAsia" w:eastAsiaTheme="minorEastAsia"/>
                <w:color w:val="auto"/>
                <w:spacing w:val="6"/>
              </w:rPr>
              <w:t>国</w:t>
            </w:r>
            <w:r>
              <w:rPr>
                <w:rFonts w:hint="eastAsia" w:cs="Times New Roman" w:asciiTheme="minorEastAsia" w:hAnsiTheme="minorEastAsia" w:eastAsiaTheme="minorEastAsia"/>
                <w:color w:val="auto"/>
                <w:spacing w:val="1"/>
              </w:rPr>
              <w:t xml:space="preserve"> </w:t>
            </w:r>
            <w:r>
              <w:rPr>
                <w:rFonts w:hint="eastAsia" w:cs="Times New Roman" w:asciiTheme="minorEastAsia" w:hAnsiTheme="minorEastAsia" w:eastAsiaTheme="minorEastAsia"/>
                <w:color w:val="auto"/>
                <w:spacing w:val="6"/>
              </w:rPr>
              <w:t>际融合采洽会经费</w:t>
            </w:r>
          </w:p>
        </w:tc>
        <w:tc>
          <w:tcPr>
            <w:tcW w:w="1614" w:type="dxa"/>
            <w:tcBorders>
              <w:top w:val="single" w:color="000000" w:sz="2" w:space="0"/>
              <w:left w:val="single" w:color="000000" w:sz="2" w:space="0"/>
              <w:bottom w:val="single" w:color="000000" w:sz="2" w:space="0"/>
              <w:right w:val="single" w:color="000000" w:sz="2" w:space="0"/>
            </w:tcBorders>
            <w:vAlign w:val="center"/>
          </w:tcPr>
          <w:p>
            <w:pPr>
              <w:pStyle w:val="35"/>
              <w:spacing w:before="17"/>
              <w:ind w:left="17" w:right="19"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组织参加会期展览展示、经贸合作、品牌</w:t>
            </w:r>
            <w:r>
              <w:rPr>
                <w:rFonts w:hint="eastAsia" w:cs="Times New Roman" w:asciiTheme="minorEastAsia" w:hAnsiTheme="minorEastAsia" w:eastAsiaTheme="minorEastAsia"/>
                <w:color w:val="auto"/>
                <w:spacing w:val="3"/>
              </w:rPr>
              <w:t xml:space="preserve"> </w:t>
            </w:r>
            <w:r>
              <w:rPr>
                <w:rFonts w:hint="eastAsia" w:cs="Times New Roman" w:asciiTheme="minorEastAsia" w:hAnsiTheme="minorEastAsia" w:eastAsiaTheme="minorEastAsia"/>
                <w:color w:val="auto"/>
                <w:spacing w:val="6"/>
              </w:rPr>
              <w:t>推广等活动，推介项目，寻求合作。</w:t>
            </w:r>
          </w:p>
        </w:tc>
        <w:tc>
          <w:tcPr>
            <w:tcW w:w="1030" w:type="dxa"/>
            <w:tcBorders>
              <w:top w:val="single" w:color="000000" w:sz="2" w:space="0"/>
              <w:left w:val="single" w:color="000000" w:sz="2" w:space="0"/>
              <w:bottom w:val="single" w:color="000000" w:sz="2" w:space="0"/>
              <w:right w:val="single" w:color="000000" w:sz="2" w:space="0"/>
            </w:tcBorders>
            <w:vAlign w:val="center"/>
          </w:tcPr>
          <w:p>
            <w:pPr>
              <w:pStyle w:val="35"/>
              <w:spacing w:before="74"/>
              <w:ind w:left="212" w:firstLine="32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2</w:t>
            </w:r>
          </w:p>
        </w:tc>
        <w:tc>
          <w:tcPr>
            <w:tcW w:w="1392" w:type="dxa"/>
            <w:gridSpan w:val="2"/>
            <w:tcBorders>
              <w:top w:val="single" w:color="000000" w:sz="2" w:space="0"/>
              <w:left w:val="single" w:color="000000" w:sz="2" w:space="0"/>
              <w:bottom w:val="single" w:color="000000" w:sz="2" w:space="0"/>
              <w:right w:val="single" w:color="000000" w:sz="2" w:space="0"/>
            </w:tcBorders>
            <w:vAlign w:val="center"/>
          </w:tcPr>
          <w:p>
            <w:pPr>
              <w:pStyle w:val="35"/>
              <w:spacing w:before="74"/>
              <w:ind w:firstLineChars="125"/>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2</w:t>
            </w:r>
          </w:p>
        </w:tc>
        <w:tc>
          <w:tcPr>
            <w:tcW w:w="461" w:type="dxa"/>
            <w:tcBorders>
              <w:top w:val="single" w:color="000000" w:sz="2" w:space="0"/>
              <w:left w:val="single" w:color="000000" w:sz="2" w:space="0"/>
              <w:bottom w:val="single" w:color="000000" w:sz="2" w:space="0"/>
              <w:right w:val="single" w:color="000000" w:sz="2" w:space="0"/>
            </w:tcBorders>
            <w:vAlign w:val="center"/>
          </w:tcPr>
          <w:p>
            <w:pPr>
              <w:kinsoku w:val="0"/>
              <w:autoSpaceDE w:val="0"/>
              <w:autoSpaceDN w:val="0"/>
              <w:adjustRightInd w:val="0"/>
              <w:snapToGrid w:val="0"/>
              <w:spacing w:line="195" w:lineRule="exact"/>
              <w:ind w:firstLine="320"/>
              <w:jc w:val="center"/>
              <w:textAlignment w:val="baseline"/>
              <w:rPr>
                <w:rFonts w:cs="Arial" w:asciiTheme="minorEastAsia" w:hAnsiTheme="minorEastAsia" w:eastAsiaTheme="minorEastAsia"/>
                <w:color w:val="auto"/>
                <w:sz w:val="16"/>
                <w:szCs w:val="16"/>
              </w:rPr>
            </w:pPr>
          </w:p>
        </w:tc>
        <w:tc>
          <w:tcPr>
            <w:tcW w:w="950" w:type="dxa"/>
            <w:gridSpan w:val="2"/>
            <w:tcBorders>
              <w:top w:val="single" w:color="000000" w:sz="2" w:space="0"/>
              <w:left w:val="single" w:color="000000" w:sz="2" w:space="0"/>
              <w:bottom w:val="single" w:color="000000" w:sz="2" w:space="0"/>
              <w:right w:val="single" w:color="000000" w:sz="2" w:space="0"/>
            </w:tcBorders>
            <w:vAlign w:val="center"/>
          </w:tcPr>
          <w:p>
            <w:pPr>
              <w:pStyle w:val="35"/>
              <w:spacing w:before="74"/>
              <w:ind w:firstLineChars="125"/>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2</w:t>
            </w:r>
          </w:p>
        </w:tc>
        <w:tc>
          <w:tcPr>
            <w:tcW w:w="924" w:type="dxa"/>
            <w:gridSpan w:val="2"/>
            <w:tcBorders>
              <w:top w:val="single" w:color="000000" w:sz="2" w:space="0"/>
              <w:left w:val="single" w:color="000000" w:sz="2" w:space="0"/>
              <w:bottom w:val="single" w:color="000000" w:sz="2" w:space="0"/>
              <w:right w:val="single" w:color="000000" w:sz="2" w:space="0"/>
            </w:tcBorders>
            <w:vAlign w:val="center"/>
          </w:tcPr>
          <w:p>
            <w:pPr>
              <w:pStyle w:val="35"/>
              <w:spacing w:before="74"/>
              <w:ind w:firstLineChars="125"/>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2</w:t>
            </w:r>
          </w:p>
        </w:tc>
        <w:tc>
          <w:tcPr>
            <w:tcW w:w="435"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195" w:lineRule="exact"/>
              <w:ind w:firstLine="320"/>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538" w:type="dxa"/>
            <w:vMerge w:val="continue"/>
            <w:tcBorders>
              <w:top w:val="nil"/>
              <w:left w:val="single" w:color="000000" w:sz="2" w:space="0"/>
              <w:bottom w:val="nil"/>
              <w:right w:val="single" w:color="000000" w:sz="2" w:space="0"/>
            </w:tcBorders>
            <w:vAlign w:val="center"/>
          </w:tcPr>
          <w:p>
            <w:pPr>
              <w:ind w:firstLine="320"/>
              <w:rPr>
                <w:rFonts w:asciiTheme="minorEastAsia" w:hAnsiTheme="minorEastAsia" w:eastAsiaTheme="minorEastAsia"/>
                <w:color w:val="auto"/>
                <w:sz w:val="16"/>
                <w:szCs w:val="16"/>
              </w:rPr>
            </w:pPr>
          </w:p>
        </w:tc>
        <w:tc>
          <w:tcPr>
            <w:tcW w:w="1106" w:type="dxa"/>
            <w:gridSpan w:val="2"/>
            <w:tcBorders>
              <w:top w:val="single" w:color="000000" w:sz="2" w:space="0"/>
              <w:left w:val="single" w:color="000000" w:sz="2" w:space="0"/>
              <w:bottom w:val="single" w:color="000000" w:sz="2" w:space="0"/>
              <w:right w:val="single" w:color="000000" w:sz="2" w:space="0"/>
            </w:tcBorders>
          </w:tcPr>
          <w:p>
            <w:pPr>
              <w:pStyle w:val="35"/>
              <w:spacing w:before="17"/>
              <w:ind w:left="29"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我市组织参加2020年迪拜世</w:t>
            </w:r>
          </w:p>
          <w:p>
            <w:pPr>
              <w:pStyle w:val="35"/>
              <w:spacing w:before="4"/>
              <w:ind w:right="348"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博会中国馆“</w:t>
            </w:r>
            <w:r>
              <w:rPr>
                <w:rFonts w:hint="eastAsia" w:cs="Times New Roman" w:asciiTheme="minorEastAsia" w:hAnsiTheme="minorEastAsia" w:eastAsiaTheme="minorEastAsia"/>
                <w:color w:val="auto"/>
                <w:spacing w:val="-26"/>
              </w:rPr>
              <w:t xml:space="preserve"> </w:t>
            </w:r>
            <w:r>
              <w:rPr>
                <w:rFonts w:hint="eastAsia" w:cs="Times New Roman" w:asciiTheme="minorEastAsia" w:hAnsiTheme="minorEastAsia" w:eastAsiaTheme="minorEastAsia"/>
                <w:color w:val="auto"/>
                <w:spacing w:val="7"/>
              </w:rPr>
              <w:t>四川活动日</w:t>
            </w:r>
            <w:r>
              <w:rPr>
                <w:rFonts w:hint="eastAsia" w:cs="Times New Roman" w:asciiTheme="minorEastAsia" w:hAnsiTheme="minorEastAsia" w:eastAsiaTheme="minorEastAsia"/>
                <w:color w:val="auto"/>
                <w:spacing w:val="-28"/>
              </w:rPr>
              <w:t xml:space="preserve"> </w:t>
            </w:r>
            <w:r>
              <w:rPr>
                <w:rFonts w:hint="eastAsia" w:cs="Times New Roman" w:asciiTheme="minorEastAsia" w:hAnsiTheme="minorEastAsia" w:eastAsiaTheme="minorEastAsia"/>
                <w:color w:val="auto"/>
                <w:spacing w:val="7"/>
              </w:rPr>
              <w:t>”</w:t>
            </w:r>
            <w:r>
              <w:rPr>
                <w:rFonts w:hint="eastAsia" w:cs="Times New Roman" w:asciiTheme="minorEastAsia" w:hAnsiTheme="minorEastAsia" w:eastAsiaTheme="minorEastAsia"/>
                <w:color w:val="auto"/>
                <w:spacing w:val="6"/>
              </w:rPr>
              <w:t>工作经费</w:t>
            </w:r>
          </w:p>
        </w:tc>
        <w:tc>
          <w:tcPr>
            <w:tcW w:w="1614" w:type="dxa"/>
            <w:tcBorders>
              <w:top w:val="single" w:color="000000" w:sz="2" w:space="0"/>
              <w:left w:val="single" w:color="000000" w:sz="2" w:space="0"/>
              <w:bottom w:val="single" w:color="000000" w:sz="2" w:space="0"/>
              <w:right w:val="single" w:color="000000" w:sz="2" w:space="0"/>
            </w:tcBorders>
            <w:vAlign w:val="center"/>
          </w:tcPr>
          <w:p>
            <w:pPr>
              <w:pStyle w:val="35"/>
              <w:spacing w:before="17" w:line="244" w:lineRule="auto"/>
              <w:ind w:left="17" w:right="18"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组织广元企业参展，同步参加会期系列活</w:t>
            </w:r>
            <w:r>
              <w:rPr>
                <w:rFonts w:hint="eastAsia" w:cs="Times New Roman" w:asciiTheme="minorEastAsia" w:hAnsiTheme="minorEastAsia" w:eastAsiaTheme="minorEastAsia"/>
                <w:color w:val="auto"/>
                <w:spacing w:val="2"/>
              </w:rPr>
              <w:t>动。</w:t>
            </w:r>
          </w:p>
        </w:tc>
        <w:tc>
          <w:tcPr>
            <w:tcW w:w="1030" w:type="dxa"/>
            <w:tcBorders>
              <w:top w:val="single" w:color="000000" w:sz="2" w:space="0"/>
              <w:left w:val="single" w:color="000000" w:sz="2" w:space="0"/>
              <w:bottom w:val="single" w:color="000000" w:sz="2" w:space="0"/>
              <w:right w:val="single" w:color="000000" w:sz="2" w:space="0"/>
            </w:tcBorders>
            <w:vAlign w:val="center"/>
          </w:tcPr>
          <w:p>
            <w:pPr>
              <w:pStyle w:val="35"/>
              <w:spacing w:before="139"/>
              <w:ind w:left="147" w:firstLine="332"/>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3.55</w:t>
            </w:r>
          </w:p>
        </w:tc>
        <w:tc>
          <w:tcPr>
            <w:tcW w:w="1392" w:type="dxa"/>
            <w:gridSpan w:val="2"/>
            <w:tcBorders>
              <w:top w:val="single" w:color="000000" w:sz="2" w:space="0"/>
              <w:left w:val="single" w:color="000000" w:sz="2" w:space="0"/>
              <w:bottom w:val="single" w:color="000000" w:sz="2" w:space="0"/>
              <w:right w:val="single" w:color="000000" w:sz="2" w:space="0"/>
            </w:tcBorders>
            <w:vAlign w:val="center"/>
          </w:tcPr>
          <w:p>
            <w:pPr>
              <w:pStyle w:val="35"/>
              <w:spacing w:before="139"/>
              <w:ind w:left="899"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3.55</w:t>
            </w:r>
          </w:p>
        </w:tc>
        <w:tc>
          <w:tcPr>
            <w:tcW w:w="461" w:type="dxa"/>
            <w:tcBorders>
              <w:top w:val="single" w:color="000000" w:sz="2" w:space="0"/>
              <w:left w:val="single" w:color="000000" w:sz="2" w:space="0"/>
              <w:bottom w:val="single" w:color="000000" w:sz="2" w:space="0"/>
              <w:right w:val="single" w:color="000000" w:sz="2" w:space="0"/>
            </w:tcBorders>
            <w:vAlign w:val="center"/>
          </w:tcPr>
          <w:p>
            <w:pPr>
              <w:kinsoku w:val="0"/>
              <w:autoSpaceDE w:val="0"/>
              <w:autoSpaceDN w:val="0"/>
              <w:adjustRightInd w:val="0"/>
              <w:snapToGrid w:val="0"/>
              <w:ind w:firstLine="320"/>
              <w:jc w:val="center"/>
              <w:textAlignment w:val="baseline"/>
              <w:rPr>
                <w:rFonts w:cs="Arial" w:asciiTheme="minorEastAsia" w:hAnsiTheme="minorEastAsia" w:eastAsiaTheme="minorEastAsia"/>
                <w:color w:val="auto"/>
                <w:sz w:val="16"/>
                <w:szCs w:val="16"/>
              </w:rPr>
            </w:pPr>
          </w:p>
        </w:tc>
        <w:tc>
          <w:tcPr>
            <w:tcW w:w="950" w:type="dxa"/>
            <w:gridSpan w:val="2"/>
            <w:tcBorders>
              <w:top w:val="single" w:color="000000" w:sz="2" w:space="0"/>
              <w:left w:val="single" w:color="000000" w:sz="2" w:space="0"/>
              <w:bottom w:val="single" w:color="000000" w:sz="2" w:space="0"/>
              <w:right w:val="single" w:color="000000" w:sz="2" w:space="0"/>
            </w:tcBorders>
            <w:vAlign w:val="center"/>
          </w:tcPr>
          <w:p>
            <w:pPr>
              <w:pStyle w:val="35"/>
              <w:spacing w:before="139"/>
              <w:ind w:left="394"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3.55</w:t>
            </w:r>
          </w:p>
        </w:tc>
        <w:tc>
          <w:tcPr>
            <w:tcW w:w="924" w:type="dxa"/>
            <w:gridSpan w:val="2"/>
            <w:tcBorders>
              <w:top w:val="single" w:color="000000" w:sz="2" w:space="0"/>
              <w:left w:val="single" w:color="000000" w:sz="2" w:space="0"/>
              <w:bottom w:val="single" w:color="000000" w:sz="2" w:space="0"/>
              <w:right w:val="single" w:color="000000" w:sz="2" w:space="0"/>
            </w:tcBorders>
            <w:vAlign w:val="center"/>
          </w:tcPr>
          <w:p>
            <w:pPr>
              <w:pStyle w:val="35"/>
              <w:spacing w:before="139"/>
              <w:ind w:left="382"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3.55</w:t>
            </w:r>
          </w:p>
        </w:tc>
        <w:tc>
          <w:tcPr>
            <w:tcW w:w="435"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ind w:firstLine="320"/>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538" w:type="dxa"/>
            <w:vMerge w:val="continue"/>
            <w:tcBorders>
              <w:top w:val="nil"/>
              <w:left w:val="single" w:color="000000" w:sz="2" w:space="0"/>
              <w:bottom w:val="nil"/>
              <w:right w:val="single" w:color="000000" w:sz="2" w:space="0"/>
            </w:tcBorders>
            <w:vAlign w:val="center"/>
          </w:tcPr>
          <w:p>
            <w:pPr>
              <w:ind w:firstLine="320"/>
              <w:rPr>
                <w:rFonts w:asciiTheme="minorEastAsia" w:hAnsiTheme="minorEastAsia" w:eastAsiaTheme="minorEastAsia"/>
                <w:color w:val="auto"/>
                <w:sz w:val="16"/>
                <w:szCs w:val="16"/>
              </w:rPr>
            </w:pPr>
          </w:p>
        </w:tc>
        <w:tc>
          <w:tcPr>
            <w:tcW w:w="1106" w:type="dxa"/>
            <w:gridSpan w:val="2"/>
            <w:tcBorders>
              <w:top w:val="single" w:color="000000" w:sz="2" w:space="0"/>
              <w:left w:val="single" w:color="000000" w:sz="2" w:space="0"/>
              <w:bottom w:val="single" w:color="auto" w:sz="4" w:space="0"/>
              <w:right w:val="single" w:color="000000" w:sz="2" w:space="0"/>
            </w:tcBorders>
          </w:tcPr>
          <w:p>
            <w:pPr>
              <w:pStyle w:val="35"/>
              <w:spacing w:before="70"/>
              <w:ind w:left="72"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广元经贸摩擦预警点运行</w:t>
            </w:r>
          </w:p>
          <w:p>
            <w:pPr>
              <w:pStyle w:val="35"/>
              <w:spacing w:before="7"/>
              <w:ind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（2021年结余）</w:t>
            </w:r>
          </w:p>
        </w:tc>
        <w:tc>
          <w:tcPr>
            <w:tcW w:w="1614" w:type="dxa"/>
            <w:tcBorders>
              <w:top w:val="single" w:color="000000" w:sz="2" w:space="0"/>
              <w:left w:val="single" w:color="000000" w:sz="2" w:space="0"/>
              <w:bottom w:val="single" w:color="auto" w:sz="4" w:space="0"/>
              <w:right w:val="single" w:color="000000" w:sz="2" w:space="0"/>
            </w:tcBorders>
            <w:vAlign w:val="center"/>
          </w:tcPr>
          <w:p>
            <w:pPr>
              <w:pStyle w:val="35"/>
              <w:spacing w:before="18" w:line="242" w:lineRule="auto"/>
              <w:ind w:left="18" w:right="18"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发布预警信息，宣传推广预警点，维持预</w:t>
            </w:r>
            <w:r>
              <w:rPr>
                <w:rFonts w:hint="eastAsia" w:cs="Times New Roman" w:asciiTheme="minorEastAsia" w:hAnsiTheme="minorEastAsia" w:eastAsiaTheme="minorEastAsia"/>
                <w:color w:val="auto"/>
                <w:spacing w:val="4"/>
              </w:rPr>
              <w:t xml:space="preserve"> </w:t>
            </w:r>
            <w:r>
              <w:rPr>
                <w:rFonts w:hint="eastAsia" w:cs="Times New Roman" w:asciiTheme="minorEastAsia" w:hAnsiTheme="minorEastAsia" w:eastAsiaTheme="minorEastAsia"/>
                <w:color w:val="auto"/>
                <w:spacing w:val="6"/>
              </w:rPr>
              <w:t>警点运行，开展线上线下培训。</w:t>
            </w:r>
          </w:p>
        </w:tc>
        <w:tc>
          <w:tcPr>
            <w:tcW w:w="1030" w:type="dxa"/>
            <w:tcBorders>
              <w:top w:val="single" w:color="000000" w:sz="2" w:space="0"/>
              <w:left w:val="single" w:color="000000" w:sz="2" w:space="0"/>
              <w:bottom w:val="single" w:color="auto" w:sz="4" w:space="0"/>
              <w:right w:val="single" w:color="000000" w:sz="2" w:space="0"/>
            </w:tcBorders>
            <w:vAlign w:val="center"/>
          </w:tcPr>
          <w:p>
            <w:pPr>
              <w:pStyle w:val="35"/>
              <w:spacing w:before="139"/>
              <w:ind w:left="146" w:firstLine="332"/>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0.65</w:t>
            </w:r>
          </w:p>
        </w:tc>
        <w:tc>
          <w:tcPr>
            <w:tcW w:w="1392" w:type="dxa"/>
            <w:gridSpan w:val="2"/>
            <w:tcBorders>
              <w:top w:val="single" w:color="000000" w:sz="2" w:space="0"/>
              <w:left w:val="single" w:color="000000" w:sz="2" w:space="0"/>
              <w:bottom w:val="single" w:color="auto" w:sz="4" w:space="0"/>
              <w:right w:val="single" w:color="000000" w:sz="2" w:space="0"/>
            </w:tcBorders>
            <w:vAlign w:val="center"/>
          </w:tcPr>
          <w:p>
            <w:pPr>
              <w:pStyle w:val="35"/>
              <w:spacing w:before="139"/>
              <w:ind w:left="898"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0.65</w:t>
            </w:r>
          </w:p>
        </w:tc>
        <w:tc>
          <w:tcPr>
            <w:tcW w:w="461" w:type="dxa"/>
            <w:tcBorders>
              <w:top w:val="single" w:color="000000" w:sz="2" w:space="0"/>
              <w:left w:val="single" w:color="000000" w:sz="2" w:space="0"/>
              <w:bottom w:val="single" w:color="auto" w:sz="4" w:space="0"/>
              <w:right w:val="single" w:color="000000" w:sz="2" w:space="0"/>
            </w:tcBorders>
            <w:vAlign w:val="center"/>
          </w:tcPr>
          <w:p>
            <w:pPr>
              <w:kinsoku w:val="0"/>
              <w:autoSpaceDE w:val="0"/>
              <w:autoSpaceDN w:val="0"/>
              <w:adjustRightInd w:val="0"/>
              <w:snapToGrid w:val="0"/>
              <w:ind w:firstLine="320"/>
              <w:jc w:val="center"/>
              <w:textAlignment w:val="baseline"/>
              <w:rPr>
                <w:rFonts w:cs="Arial" w:asciiTheme="minorEastAsia" w:hAnsiTheme="minorEastAsia" w:eastAsiaTheme="minorEastAsia"/>
                <w:color w:val="auto"/>
                <w:sz w:val="16"/>
                <w:szCs w:val="16"/>
              </w:rPr>
            </w:pPr>
          </w:p>
        </w:tc>
        <w:tc>
          <w:tcPr>
            <w:tcW w:w="950" w:type="dxa"/>
            <w:gridSpan w:val="2"/>
            <w:tcBorders>
              <w:top w:val="single" w:color="000000" w:sz="2" w:space="0"/>
              <w:left w:val="single" w:color="000000" w:sz="2" w:space="0"/>
              <w:bottom w:val="single" w:color="auto" w:sz="4" w:space="0"/>
              <w:right w:val="single" w:color="000000" w:sz="2" w:space="0"/>
            </w:tcBorders>
            <w:vAlign w:val="center"/>
          </w:tcPr>
          <w:p>
            <w:pPr>
              <w:pStyle w:val="35"/>
              <w:spacing w:before="139"/>
              <w:ind w:left="393"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0.65</w:t>
            </w:r>
          </w:p>
        </w:tc>
        <w:tc>
          <w:tcPr>
            <w:tcW w:w="924" w:type="dxa"/>
            <w:gridSpan w:val="2"/>
            <w:tcBorders>
              <w:top w:val="single" w:color="000000" w:sz="2" w:space="0"/>
              <w:left w:val="single" w:color="000000" w:sz="2" w:space="0"/>
              <w:bottom w:val="single" w:color="auto" w:sz="4" w:space="0"/>
              <w:right w:val="single" w:color="000000" w:sz="2" w:space="0"/>
            </w:tcBorders>
            <w:vAlign w:val="center"/>
          </w:tcPr>
          <w:p>
            <w:pPr>
              <w:pStyle w:val="35"/>
              <w:spacing w:before="139"/>
              <w:ind w:left="381"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0.65</w:t>
            </w:r>
          </w:p>
        </w:tc>
        <w:tc>
          <w:tcPr>
            <w:tcW w:w="435" w:type="dxa"/>
            <w:tcBorders>
              <w:top w:val="single" w:color="000000" w:sz="2" w:space="0"/>
              <w:left w:val="single" w:color="000000" w:sz="2" w:space="0"/>
              <w:bottom w:val="single" w:color="auto" w:sz="4" w:space="0"/>
              <w:right w:val="single" w:color="000000" w:sz="2" w:space="0"/>
            </w:tcBorders>
          </w:tcPr>
          <w:p>
            <w:pPr>
              <w:kinsoku w:val="0"/>
              <w:autoSpaceDE w:val="0"/>
              <w:autoSpaceDN w:val="0"/>
              <w:adjustRightInd w:val="0"/>
              <w:snapToGrid w:val="0"/>
              <w:ind w:firstLine="320"/>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1" w:hRule="atLeast"/>
        </w:trPr>
        <w:tc>
          <w:tcPr>
            <w:tcW w:w="538" w:type="dxa"/>
            <w:vMerge w:val="continue"/>
            <w:tcBorders>
              <w:top w:val="nil"/>
              <w:left w:val="single" w:color="000000" w:sz="2" w:space="0"/>
              <w:bottom w:val="nil"/>
              <w:right w:val="single" w:color="auto" w:sz="4" w:space="0"/>
            </w:tcBorders>
            <w:vAlign w:val="center"/>
          </w:tcPr>
          <w:p>
            <w:pPr>
              <w:ind w:firstLine="320"/>
              <w:rPr>
                <w:rFonts w:asciiTheme="minorEastAsia" w:hAnsiTheme="minorEastAsia" w:eastAsiaTheme="minorEastAsia"/>
                <w:color w:val="auto"/>
                <w:sz w:val="16"/>
                <w:szCs w:val="16"/>
              </w:rPr>
            </w:pPr>
          </w:p>
        </w:tc>
        <w:tc>
          <w:tcPr>
            <w:tcW w:w="1106" w:type="dxa"/>
            <w:gridSpan w:val="2"/>
            <w:tcBorders>
              <w:top w:val="single" w:color="auto" w:sz="4" w:space="0"/>
              <w:left w:val="single" w:color="auto" w:sz="4" w:space="0"/>
              <w:bottom w:val="single" w:color="auto" w:sz="4" w:space="0"/>
              <w:right w:val="single" w:color="auto" w:sz="4" w:space="0"/>
            </w:tcBorders>
          </w:tcPr>
          <w:p>
            <w:pPr>
              <w:spacing w:line="271" w:lineRule="auto"/>
              <w:ind w:firstLine="320"/>
              <w:rPr>
                <w:rFonts w:cs="Arial" w:asciiTheme="minorEastAsia" w:hAnsiTheme="minorEastAsia" w:eastAsiaTheme="minorEastAsia"/>
                <w:color w:val="auto"/>
                <w:sz w:val="16"/>
                <w:szCs w:val="16"/>
              </w:rPr>
            </w:pPr>
          </w:p>
          <w:p>
            <w:pPr>
              <w:spacing w:line="271" w:lineRule="auto"/>
              <w:ind w:firstLine="320"/>
              <w:rPr>
                <w:rFonts w:asciiTheme="minorEastAsia" w:hAnsiTheme="minorEastAsia" w:eastAsiaTheme="minorEastAsia"/>
                <w:color w:val="auto"/>
                <w:sz w:val="16"/>
                <w:szCs w:val="16"/>
              </w:rPr>
            </w:pPr>
          </w:p>
          <w:p>
            <w:pPr>
              <w:pStyle w:val="35"/>
              <w:spacing w:before="26" w:line="242" w:lineRule="auto"/>
              <w:ind w:left="115" w:right="22" w:firstLine="0" w:firstLineChars="0"/>
              <w:rPr>
                <w:rFonts w:cs="Times New Roman" w:asciiTheme="minorEastAsia" w:hAnsiTheme="minorEastAsia" w:eastAsiaTheme="minorEastAsia"/>
                <w:color w:val="auto"/>
                <w:spacing w:val="5"/>
              </w:rPr>
            </w:pPr>
            <w:r>
              <w:rPr>
                <w:rFonts w:hint="eastAsia" w:cs="Times New Roman" w:asciiTheme="minorEastAsia" w:hAnsiTheme="minorEastAsia" w:eastAsiaTheme="minorEastAsia"/>
                <w:color w:val="auto"/>
                <w:spacing w:val="7"/>
              </w:rPr>
              <w:t>各类会展、贸易投资促进活</w:t>
            </w:r>
            <w:r>
              <w:rPr>
                <w:rFonts w:hint="eastAsia" w:cs="Times New Roman" w:asciiTheme="minorEastAsia" w:hAnsiTheme="minorEastAsia" w:eastAsiaTheme="minorEastAsia"/>
                <w:color w:val="auto"/>
                <w:spacing w:val="3"/>
              </w:rPr>
              <w:t xml:space="preserve"> </w:t>
            </w:r>
            <w:r>
              <w:rPr>
                <w:rFonts w:hint="eastAsia" w:cs="Times New Roman" w:asciiTheme="minorEastAsia" w:hAnsiTheme="minorEastAsia" w:eastAsiaTheme="minorEastAsia"/>
                <w:color w:val="auto"/>
                <w:spacing w:val="5"/>
              </w:rPr>
              <w:t>动经费</w:t>
            </w:r>
          </w:p>
          <w:p>
            <w:pPr>
              <w:pStyle w:val="35"/>
              <w:spacing w:before="26" w:line="242" w:lineRule="auto"/>
              <w:ind w:left="115" w:right="22"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5"/>
              </w:rPr>
              <w:t>（2021年结余）</w:t>
            </w:r>
          </w:p>
        </w:tc>
        <w:tc>
          <w:tcPr>
            <w:tcW w:w="1614" w:type="dxa"/>
            <w:tcBorders>
              <w:top w:val="single" w:color="auto" w:sz="4" w:space="0"/>
              <w:left w:val="single" w:color="auto" w:sz="4" w:space="0"/>
              <w:bottom w:val="single" w:color="auto" w:sz="4" w:space="0"/>
              <w:right w:val="single" w:color="auto" w:sz="4" w:space="0"/>
            </w:tcBorders>
            <w:vAlign w:val="center"/>
          </w:tcPr>
          <w:p>
            <w:pPr>
              <w:pStyle w:val="35"/>
              <w:spacing w:before="21" w:line="247" w:lineRule="auto"/>
              <w:ind w:left="17" w:right="17"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对接“一带一路</w:t>
            </w:r>
            <w:r>
              <w:rPr>
                <w:rFonts w:hint="eastAsia" w:cs="Times New Roman" w:asciiTheme="minorEastAsia" w:hAnsiTheme="minorEastAsia" w:eastAsiaTheme="minorEastAsia"/>
                <w:color w:val="auto"/>
                <w:spacing w:val="-17"/>
              </w:rPr>
              <w:t xml:space="preserve"> </w:t>
            </w:r>
            <w:r>
              <w:rPr>
                <w:rFonts w:hint="eastAsia" w:cs="Times New Roman" w:asciiTheme="minorEastAsia" w:hAnsiTheme="minorEastAsia" w:eastAsiaTheme="minorEastAsia"/>
                <w:color w:val="auto"/>
                <w:spacing w:val="6"/>
              </w:rPr>
              <w:t>”建设和省上“万企出国</w:t>
            </w:r>
            <w:r>
              <w:rPr>
                <w:rFonts w:hint="eastAsia" w:cs="Times New Roman" w:asciiTheme="minorEastAsia" w:hAnsiTheme="minorEastAsia" w:eastAsiaTheme="minorEastAsia"/>
                <w:color w:val="auto"/>
              </w:rPr>
              <w:t xml:space="preserve"> </w:t>
            </w:r>
            <w:r>
              <w:rPr>
                <w:rFonts w:hint="eastAsia" w:cs="Times New Roman" w:asciiTheme="minorEastAsia" w:hAnsiTheme="minorEastAsia" w:eastAsiaTheme="minorEastAsia"/>
                <w:color w:val="auto"/>
                <w:spacing w:val="6"/>
              </w:rPr>
              <w:t>门</w:t>
            </w:r>
            <w:r>
              <w:rPr>
                <w:rFonts w:hint="eastAsia" w:cs="Times New Roman" w:asciiTheme="minorEastAsia" w:hAnsiTheme="minorEastAsia" w:eastAsiaTheme="minorEastAsia"/>
                <w:color w:val="auto"/>
                <w:spacing w:val="-16"/>
              </w:rPr>
              <w:t xml:space="preserve"> </w:t>
            </w:r>
            <w:r>
              <w:rPr>
                <w:rFonts w:hint="eastAsia" w:cs="Times New Roman" w:asciiTheme="minorEastAsia" w:hAnsiTheme="minorEastAsia" w:eastAsiaTheme="minorEastAsia"/>
                <w:color w:val="auto"/>
                <w:spacing w:val="6"/>
              </w:rPr>
              <w:t>”和“川货全国行”活动，充分发挥贸</w:t>
            </w:r>
            <w:r>
              <w:rPr>
                <w:rFonts w:hint="eastAsia" w:cs="Times New Roman" w:asciiTheme="minorEastAsia" w:hAnsiTheme="minorEastAsia" w:eastAsiaTheme="minorEastAsia"/>
                <w:color w:val="auto"/>
              </w:rPr>
              <w:t xml:space="preserve"> </w:t>
            </w:r>
            <w:r>
              <w:rPr>
                <w:rFonts w:hint="eastAsia" w:cs="Times New Roman" w:asciiTheme="minorEastAsia" w:hAnsiTheme="minorEastAsia" w:eastAsiaTheme="minorEastAsia"/>
                <w:color w:val="auto"/>
                <w:spacing w:val="6"/>
              </w:rPr>
              <w:t>促优势，邀请国（境）</w:t>
            </w:r>
            <w:r>
              <w:rPr>
                <w:rFonts w:hint="eastAsia" w:cs="Times New Roman" w:asciiTheme="minorEastAsia" w:hAnsiTheme="minorEastAsia" w:eastAsiaTheme="minorEastAsia"/>
                <w:color w:val="auto"/>
                <w:spacing w:val="-17"/>
              </w:rPr>
              <w:t xml:space="preserve"> </w:t>
            </w:r>
            <w:r>
              <w:rPr>
                <w:rFonts w:hint="eastAsia" w:cs="Times New Roman" w:asciiTheme="minorEastAsia" w:hAnsiTheme="minorEastAsia" w:eastAsiaTheme="minorEastAsia"/>
                <w:color w:val="auto"/>
                <w:spacing w:val="6"/>
              </w:rPr>
              <w:t>内外商协会、经贸</w:t>
            </w:r>
            <w:r>
              <w:rPr>
                <w:rFonts w:hint="eastAsia" w:cs="Times New Roman" w:asciiTheme="minorEastAsia" w:hAnsiTheme="minorEastAsia" w:eastAsiaTheme="minorEastAsia"/>
                <w:color w:val="auto"/>
              </w:rPr>
              <w:t xml:space="preserve"> </w:t>
            </w:r>
            <w:r>
              <w:rPr>
                <w:rFonts w:hint="eastAsia" w:cs="Times New Roman" w:asciiTheme="minorEastAsia" w:hAnsiTheme="minorEastAsia" w:eastAsiaTheme="minorEastAsia"/>
                <w:color w:val="auto"/>
                <w:spacing w:val="6"/>
              </w:rPr>
              <w:t>促进组织、企业来广考察3-5批次，引进</w:t>
            </w:r>
            <w:r>
              <w:rPr>
                <w:rFonts w:hint="eastAsia" w:cs="Times New Roman" w:asciiTheme="minorEastAsia" w:hAnsiTheme="minorEastAsia" w:eastAsiaTheme="minorEastAsia"/>
                <w:color w:val="auto"/>
                <w:spacing w:val="8"/>
              </w:rPr>
              <w:t xml:space="preserve">  </w:t>
            </w:r>
            <w:r>
              <w:rPr>
                <w:rFonts w:hint="eastAsia" w:cs="Times New Roman" w:asciiTheme="minorEastAsia" w:hAnsiTheme="minorEastAsia" w:eastAsiaTheme="minorEastAsia"/>
                <w:color w:val="auto"/>
                <w:spacing w:val="6"/>
              </w:rPr>
              <w:t>招商项目1个，组织广元本地企业3-5家参</w:t>
            </w:r>
            <w:r>
              <w:rPr>
                <w:rFonts w:hint="eastAsia" w:cs="Times New Roman" w:asciiTheme="minorEastAsia" w:hAnsiTheme="minorEastAsia" w:eastAsiaTheme="minorEastAsia"/>
                <w:color w:val="auto"/>
                <w:spacing w:val="13"/>
              </w:rPr>
              <w:t xml:space="preserve"> </w:t>
            </w:r>
            <w:r>
              <w:rPr>
                <w:rFonts w:hint="eastAsia" w:cs="Times New Roman" w:asciiTheme="minorEastAsia" w:hAnsiTheme="minorEastAsia" w:eastAsiaTheme="minorEastAsia"/>
                <w:color w:val="auto"/>
                <w:spacing w:val="7"/>
              </w:rPr>
              <w:t>加国（境）外线上线下会展活动、经贸对</w:t>
            </w:r>
            <w:r>
              <w:rPr>
                <w:rFonts w:hint="eastAsia" w:cs="Times New Roman" w:asciiTheme="minorEastAsia" w:hAnsiTheme="minorEastAsia" w:eastAsiaTheme="minorEastAsia"/>
                <w:color w:val="auto"/>
                <w:spacing w:val="6"/>
              </w:rPr>
              <w:t xml:space="preserve"> 接活动3-5次；积极组织广元本地企业参</w:t>
            </w:r>
            <w:r>
              <w:rPr>
                <w:rFonts w:hint="eastAsia" w:cs="Times New Roman" w:asciiTheme="minorEastAsia" w:hAnsiTheme="minorEastAsia" w:eastAsiaTheme="minorEastAsia"/>
                <w:color w:val="auto"/>
                <w:spacing w:val="8"/>
              </w:rPr>
              <w:t xml:space="preserve">  </w:t>
            </w:r>
            <w:r>
              <w:rPr>
                <w:rFonts w:hint="eastAsia" w:cs="Times New Roman" w:asciiTheme="minorEastAsia" w:hAnsiTheme="minorEastAsia" w:eastAsiaTheme="minorEastAsia"/>
                <w:color w:val="auto"/>
                <w:spacing w:val="7"/>
              </w:rPr>
              <w:t>加成都汽配展、成都智博会、融洽会、西</w:t>
            </w:r>
            <w:r>
              <w:rPr>
                <w:rFonts w:hint="eastAsia" w:cs="Times New Roman" w:asciiTheme="minorEastAsia" w:hAnsiTheme="minorEastAsia" w:eastAsiaTheme="minorEastAsia"/>
                <w:color w:val="auto"/>
                <w:spacing w:val="6"/>
              </w:rPr>
              <w:t xml:space="preserve"> </w:t>
            </w:r>
            <w:r>
              <w:rPr>
                <w:rFonts w:hint="eastAsia" w:cs="Times New Roman" w:asciiTheme="minorEastAsia" w:hAnsiTheme="minorEastAsia" w:eastAsiaTheme="minorEastAsia"/>
                <w:color w:val="auto"/>
                <w:spacing w:val="7"/>
              </w:rPr>
              <w:t>博会等省内外线上线下会展、经贸活动以</w:t>
            </w:r>
            <w:r>
              <w:rPr>
                <w:rFonts w:hint="eastAsia" w:cs="Times New Roman" w:asciiTheme="minorEastAsia" w:hAnsiTheme="minorEastAsia" w:eastAsiaTheme="minorEastAsia"/>
                <w:color w:val="auto"/>
                <w:spacing w:val="6"/>
              </w:rPr>
              <w:t xml:space="preserve"> </w:t>
            </w:r>
            <w:r>
              <w:rPr>
                <w:rFonts w:hint="eastAsia" w:cs="Times New Roman" w:asciiTheme="minorEastAsia" w:hAnsiTheme="minorEastAsia" w:eastAsiaTheme="minorEastAsia"/>
                <w:color w:val="auto"/>
                <w:spacing w:val="7"/>
              </w:rPr>
              <w:t>及“一带一路”西部贸促联盟举办展会、 经贸促进活动20余次，筛选并组织广元本</w:t>
            </w:r>
            <w:r>
              <w:rPr>
                <w:rFonts w:hint="eastAsia" w:cs="Times New Roman" w:asciiTheme="minorEastAsia" w:hAnsiTheme="minorEastAsia" w:eastAsiaTheme="minorEastAsia"/>
                <w:color w:val="auto"/>
              </w:rPr>
              <w:t xml:space="preserve"> </w:t>
            </w:r>
            <w:r>
              <w:rPr>
                <w:rFonts w:hint="eastAsia" w:cs="Times New Roman" w:asciiTheme="minorEastAsia" w:hAnsiTheme="minorEastAsia" w:eastAsiaTheme="minorEastAsia"/>
                <w:color w:val="auto"/>
                <w:spacing w:val="7"/>
              </w:rPr>
              <w:t>地企业50余家参展参会，开拓市场、寻求</w:t>
            </w:r>
            <w:r>
              <w:rPr>
                <w:rFonts w:hint="eastAsia" w:cs="Times New Roman" w:asciiTheme="minorEastAsia" w:hAnsiTheme="minorEastAsia" w:eastAsiaTheme="minorEastAsia"/>
                <w:color w:val="auto"/>
                <w:spacing w:val="6"/>
              </w:rPr>
              <w:t>合作</w:t>
            </w:r>
          </w:p>
        </w:tc>
        <w:tc>
          <w:tcPr>
            <w:tcW w:w="1030" w:type="dxa"/>
            <w:tcBorders>
              <w:top w:val="single" w:color="auto" w:sz="4" w:space="0"/>
              <w:left w:val="single" w:color="auto" w:sz="4" w:space="0"/>
              <w:bottom w:val="single" w:color="auto" w:sz="4" w:space="0"/>
              <w:right w:val="single" w:color="auto" w:sz="4" w:space="0"/>
            </w:tcBorders>
            <w:vAlign w:val="center"/>
          </w:tcPr>
          <w:p>
            <w:pPr>
              <w:spacing w:line="304" w:lineRule="auto"/>
              <w:ind w:firstLine="320"/>
              <w:jc w:val="center"/>
              <w:rPr>
                <w:rFonts w:cs="Arial" w:asciiTheme="minorEastAsia" w:hAnsiTheme="minorEastAsia" w:eastAsiaTheme="minorEastAsia"/>
                <w:color w:val="auto"/>
                <w:sz w:val="16"/>
                <w:szCs w:val="16"/>
              </w:rPr>
            </w:pPr>
          </w:p>
          <w:p>
            <w:pPr>
              <w:spacing w:line="304" w:lineRule="auto"/>
              <w:ind w:firstLine="320"/>
              <w:jc w:val="center"/>
              <w:rPr>
                <w:rFonts w:asciiTheme="minorEastAsia" w:hAnsiTheme="minorEastAsia" w:eastAsiaTheme="minorEastAsia"/>
                <w:color w:val="auto"/>
                <w:sz w:val="16"/>
                <w:szCs w:val="16"/>
              </w:rPr>
            </w:pPr>
          </w:p>
          <w:p>
            <w:pPr>
              <w:pStyle w:val="35"/>
              <w:spacing w:before="26"/>
              <w:ind w:left="146" w:firstLine="332"/>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0.71</w:t>
            </w:r>
          </w:p>
        </w:tc>
        <w:tc>
          <w:tcPr>
            <w:tcW w:w="1392" w:type="dxa"/>
            <w:gridSpan w:val="2"/>
            <w:tcBorders>
              <w:top w:val="single" w:color="auto" w:sz="4" w:space="0"/>
              <w:left w:val="single" w:color="auto" w:sz="4" w:space="0"/>
              <w:bottom w:val="single" w:color="auto" w:sz="4" w:space="0"/>
              <w:right w:val="single" w:color="auto" w:sz="4" w:space="0"/>
            </w:tcBorders>
            <w:vAlign w:val="center"/>
          </w:tcPr>
          <w:p>
            <w:pPr>
              <w:spacing w:line="304" w:lineRule="auto"/>
              <w:ind w:firstLine="320"/>
              <w:jc w:val="center"/>
              <w:rPr>
                <w:rFonts w:cs="Arial" w:asciiTheme="minorEastAsia" w:hAnsiTheme="minorEastAsia" w:eastAsiaTheme="minorEastAsia"/>
                <w:color w:val="auto"/>
                <w:sz w:val="16"/>
                <w:szCs w:val="16"/>
              </w:rPr>
            </w:pPr>
          </w:p>
          <w:p>
            <w:pPr>
              <w:spacing w:line="304" w:lineRule="auto"/>
              <w:ind w:firstLine="320"/>
              <w:jc w:val="center"/>
              <w:rPr>
                <w:rFonts w:asciiTheme="minorEastAsia" w:hAnsiTheme="minorEastAsia" w:eastAsiaTheme="minorEastAsia"/>
                <w:color w:val="auto"/>
                <w:sz w:val="16"/>
                <w:szCs w:val="16"/>
              </w:rPr>
            </w:pPr>
          </w:p>
          <w:p>
            <w:pPr>
              <w:pStyle w:val="35"/>
              <w:spacing w:before="26"/>
              <w:ind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0.71</w:t>
            </w:r>
          </w:p>
        </w:tc>
        <w:tc>
          <w:tcPr>
            <w:tcW w:w="461"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ind w:firstLine="320"/>
              <w:jc w:val="center"/>
              <w:textAlignment w:val="baseline"/>
              <w:rPr>
                <w:rFonts w:cs="Arial" w:asciiTheme="minorEastAsia" w:hAnsiTheme="minorEastAsia" w:eastAsiaTheme="minorEastAsia"/>
                <w:color w:val="auto"/>
                <w:sz w:val="16"/>
                <w:szCs w:val="16"/>
              </w:rPr>
            </w:pPr>
          </w:p>
        </w:tc>
        <w:tc>
          <w:tcPr>
            <w:tcW w:w="950" w:type="dxa"/>
            <w:gridSpan w:val="2"/>
            <w:tcBorders>
              <w:top w:val="single" w:color="auto" w:sz="4" w:space="0"/>
              <w:left w:val="single" w:color="auto" w:sz="4" w:space="0"/>
              <w:bottom w:val="single" w:color="auto" w:sz="4" w:space="0"/>
              <w:right w:val="single" w:color="auto" w:sz="4" w:space="0"/>
            </w:tcBorders>
            <w:vAlign w:val="center"/>
          </w:tcPr>
          <w:p>
            <w:pPr>
              <w:spacing w:line="304" w:lineRule="auto"/>
              <w:ind w:firstLine="320"/>
              <w:jc w:val="center"/>
              <w:rPr>
                <w:rFonts w:cs="Arial" w:asciiTheme="minorEastAsia" w:hAnsiTheme="minorEastAsia" w:eastAsiaTheme="minorEastAsia"/>
                <w:color w:val="auto"/>
                <w:sz w:val="16"/>
                <w:szCs w:val="16"/>
              </w:rPr>
            </w:pPr>
          </w:p>
          <w:p>
            <w:pPr>
              <w:spacing w:line="304" w:lineRule="auto"/>
              <w:ind w:firstLine="320"/>
              <w:jc w:val="center"/>
              <w:rPr>
                <w:rFonts w:asciiTheme="minorEastAsia" w:hAnsiTheme="minorEastAsia" w:eastAsiaTheme="minorEastAsia"/>
                <w:color w:val="auto"/>
                <w:sz w:val="16"/>
                <w:szCs w:val="16"/>
              </w:rPr>
            </w:pPr>
          </w:p>
          <w:p>
            <w:pPr>
              <w:pStyle w:val="35"/>
              <w:spacing w:before="26"/>
              <w:ind w:left="393"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0.71</w:t>
            </w:r>
          </w:p>
        </w:tc>
        <w:tc>
          <w:tcPr>
            <w:tcW w:w="924" w:type="dxa"/>
            <w:gridSpan w:val="2"/>
            <w:tcBorders>
              <w:top w:val="single" w:color="auto" w:sz="4" w:space="0"/>
              <w:left w:val="single" w:color="auto" w:sz="4" w:space="0"/>
              <w:bottom w:val="single" w:color="auto" w:sz="4" w:space="0"/>
              <w:right w:val="single" w:color="auto" w:sz="4" w:space="0"/>
            </w:tcBorders>
            <w:vAlign w:val="center"/>
          </w:tcPr>
          <w:p>
            <w:pPr>
              <w:spacing w:line="304" w:lineRule="auto"/>
              <w:ind w:firstLine="320"/>
              <w:jc w:val="center"/>
              <w:rPr>
                <w:rFonts w:cs="Arial" w:asciiTheme="minorEastAsia" w:hAnsiTheme="minorEastAsia" w:eastAsiaTheme="minorEastAsia"/>
                <w:color w:val="auto"/>
                <w:sz w:val="16"/>
                <w:szCs w:val="16"/>
              </w:rPr>
            </w:pPr>
          </w:p>
          <w:p>
            <w:pPr>
              <w:spacing w:line="304" w:lineRule="auto"/>
              <w:ind w:firstLine="320"/>
              <w:jc w:val="center"/>
              <w:rPr>
                <w:rFonts w:asciiTheme="minorEastAsia" w:hAnsiTheme="minorEastAsia" w:eastAsiaTheme="minorEastAsia"/>
                <w:color w:val="auto"/>
                <w:sz w:val="16"/>
                <w:szCs w:val="16"/>
              </w:rPr>
            </w:pPr>
          </w:p>
          <w:p>
            <w:pPr>
              <w:pStyle w:val="35"/>
              <w:spacing w:before="26"/>
              <w:ind w:left="381"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0.71</w:t>
            </w:r>
          </w:p>
        </w:tc>
        <w:tc>
          <w:tcPr>
            <w:tcW w:w="435" w:type="dxa"/>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ind w:firstLine="320"/>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trPr>
        <w:tc>
          <w:tcPr>
            <w:tcW w:w="538" w:type="dxa"/>
            <w:vMerge w:val="continue"/>
            <w:tcBorders>
              <w:top w:val="nil"/>
              <w:left w:val="single" w:color="000000" w:sz="2"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2720" w:type="dxa"/>
            <w:gridSpan w:val="3"/>
            <w:tcBorders>
              <w:top w:val="single" w:color="auto" w:sz="4" w:space="0"/>
              <w:left w:val="single" w:color="auto" w:sz="4" w:space="0"/>
              <w:bottom w:val="single" w:color="auto" w:sz="4" w:space="0"/>
              <w:right w:val="single" w:color="auto" w:sz="4" w:space="0"/>
            </w:tcBorders>
          </w:tcPr>
          <w:p>
            <w:pPr>
              <w:pStyle w:val="35"/>
              <w:ind w:left="1123" w:firstLine="320"/>
              <w:rPr>
                <w:rFonts w:cs="Times New Roman" w:asciiTheme="minorEastAsia" w:hAnsiTheme="minorEastAsia" w:eastAsiaTheme="minorEastAsia"/>
                <w:color w:val="auto"/>
              </w:rPr>
            </w:pPr>
          </w:p>
        </w:tc>
        <w:tc>
          <w:tcPr>
            <w:tcW w:w="1030" w:type="dxa"/>
            <w:tcBorders>
              <w:top w:val="single" w:color="auto" w:sz="4" w:space="0"/>
              <w:left w:val="single" w:color="auto" w:sz="4" w:space="0"/>
              <w:bottom w:val="single" w:color="auto" w:sz="4" w:space="0"/>
              <w:right w:val="single" w:color="auto" w:sz="4" w:space="0"/>
            </w:tcBorders>
          </w:tcPr>
          <w:p>
            <w:pPr>
              <w:pStyle w:val="35"/>
              <w:spacing w:before="32"/>
              <w:ind w:right="10" w:firstLine="332"/>
              <w:jc w:val="right"/>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217.15</w:t>
            </w:r>
          </w:p>
        </w:tc>
        <w:tc>
          <w:tcPr>
            <w:tcW w:w="1392" w:type="dxa"/>
            <w:gridSpan w:val="2"/>
            <w:tcBorders>
              <w:top w:val="single" w:color="auto" w:sz="4" w:space="0"/>
              <w:left w:val="single" w:color="auto" w:sz="4" w:space="0"/>
              <w:bottom w:val="single" w:color="auto" w:sz="4" w:space="0"/>
              <w:right w:val="single" w:color="auto" w:sz="4" w:space="0"/>
            </w:tcBorders>
          </w:tcPr>
          <w:p>
            <w:pPr>
              <w:pStyle w:val="35"/>
              <w:spacing w:before="32"/>
              <w:ind w:right="6" w:firstLine="332"/>
              <w:jc w:val="right"/>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217.15</w:t>
            </w:r>
          </w:p>
        </w:tc>
        <w:tc>
          <w:tcPr>
            <w:tcW w:w="461" w:type="dxa"/>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10" w:lineRule="exact"/>
              <w:ind w:firstLine="320"/>
              <w:textAlignment w:val="baseline"/>
              <w:rPr>
                <w:rFonts w:cs="Arial" w:asciiTheme="minorEastAsia" w:hAnsiTheme="minorEastAsia" w:eastAsiaTheme="minorEastAsia"/>
                <w:color w:val="auto"/>
                <w:sz w:val="16"/>
                <w:szCs w:val="16"/>
              </w:rPr>
            </w:pPr>
          </w:p>
        </w:tc>
        <w:tc>
          <w:tcPr>
            <w:tcW w:w="950" w:type="dxa"/>
            <w:gridSpan w:val="2"/>
            <w:tcBorders>
              <w:top w:val="single" w:color="auto" w:sz="4" w:space="0"/>
              <w:left w:val="single" w:color="auto" w:sz="4" w:space="0"/>
              <w:bottom w:val="single" w:color="auto" w:sz="4" w:space="0"/>
              <w:right w:val="single" w:color="auto" w:sz="4" w:space="0"/>
            </w:tcBorders>
          </w:tcPr>
          <w:p>
            <w:pPr>
              <w:pStyle w:val="35"/>
              <w:spacing w:before="32"/>
              <w:ind w:right="6" w:firstLine="332"/>
              <w:jc w:val="right"/>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248.62</w:t>
            </w:r>
          </w:p>
        </w:tc>
        <w:tc>
          <w:tcPr>
            <w:tcW w:w="924" w:type="dxa"/>
            <w:gridSpan w:val="2"/>
            <w:tcBorders>
              <w:top w:val="single" w:color="auto" w:sz="4" w:space="0"/>
              <w:left w:val="single" w:color="auto" w:sz="4" w:space="0"/>
              <w:bottom w:val="single" w:color="auto" w:sz="4" w:space="0"/>
              <w:right w:val="single" w:color="auto" w:sz="4" w:space="0"/>
            </w:tcBorders>
          </w:tcPr>
          <w:p>
            <w:pPr>
              <w:pStyle w:val="35"/>
              <w:spacing w:before="32"/>
              <w:ind w:right="6" w:firstLine="332"/>
              <w:jc w:val="right"/>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248.62</w:t>
            </w:r>
          </w:p>
        </w:tc>
        <w:tc>
          <w:tcPr>
            <w:tcW w:w="435" w:type="dxa"/>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10" w:lineRule="exact"/>
              <w:ind w:firstLine="320"/>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trPr>
        <w:tc>
          <w:tcPr>
            <w:tcW w:w="538" w:type="dxa"/>
            <w:vMerge w:val="restart"/>
            <w:tcBorders>
              <w:top w:val="single" w:color="auto" w:sz="4" w:space="0"/>
              <w:left w:val="single" w:color="auto" w:sz="4" w:space="0"/>
              <w:bottom w:val="single" w:color="auto" w:sz="4" w:space="0"/>
              <w:right w:val="single" w:color="auto" w:sz="4" w:space="0"/>
            </w:tcBorders>
          </w:tcPr>
          <w:p>
            <w:pPr>
              <w:pStyle w:val="35"/>
              <w:spacing w:before="237" w:line="110" w:lineRule="exact"/>
              <w:ind w:left="186" w:firstLine="344"/>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position w:val="2"/>
              </w:rPr>
              <w:t>年度</w:t>
            </w:r>
          </w:p>
          <w:p>
            <w:pPr>
              <w:pStyle w:val="35"/>
              <w:ind w:left="186" w:firstLine="34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5"/>
              </w:rPr>
              <w:t>总体</w:t>
            </w:r>
          </w:p>
          <w:p>
            <w:pPr>
              <w:pStyle w:val="35"/>
              <w:spacing w:before="3"/>
              <w:ind w:left="202" w:firstLine="308"/>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目标</w:t>
            </w:r>
          </w:p>
        </w:tc>
        <w:tc>
          <w:tcPr>
            <w:tcW w:w="3750" w:type="dxa"/>
            <w:gridSpan w:val="4"/>
            <w:tcBorders>
              <w:top w:val="single" w:color="auto" w:sz="4" w:space="0"/>
              <w:left w:val="single" w:color="auto" w:sz="4" w:space="0"/>
              <w:bottom w:val="single" w:color="auto" w:sz="4" w:space="0"/>
              <w:right w:val="single" w:color="auto" w:sz="4" w:space="0"/>
            </w:tcBorders>
          </w:tcPr>
          <w:p>
            <w:pPr>
              <w:pStyle w:val="35"/>
              <w:spacing w:before="19"/>
              <w:ind w:left="1419" w:firstLine="344"/>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预期目标</w:t>
            </w:r>
          </w:p>
        </w:tc>
        <w:tc>
          <w:tcPr>
            <w:tcW w:w="4162" w:type="dxa"/>
            <w:gridSpan w:val="8"/>
            <w:tcBorders>
              <w:top w:val="single" w:color="auto" w:sz="4" w:space="0"/>
              <w:left w:val="single" w:color="auto" w:sz="4" w:space="0"/>
              <w:bottom w:val="single" w:color="auto" w:sz="4" w:space="0"/>
              <w:right w:val="single" w:color="auto" w:sz="4" w:space="0"/>
            </w:tcBorders>
          </w:tcPr>
          <w:p>
            <w:pPr>
              <w:pStyle w:val="35"/>
              <w:spacing w:before="19"/>
              <w:ind w:firstLineChars="116"/>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实际完成目标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3750" w:type="dxa"/>
            <w:gridSpan w:val="4"/>
            <w:tcBorders>
              <w:top w:val="single" w:color="auto" w:sz="4" w:space="0"/>
              <w:left w:val="single" w:color="auto" w:sz="4" w:space="0"/>
              <w:bottom w:val="single" w:color="auto" w:sz="4" w:space="0"/>
              <w:right w:val="single" w:color="auto" w:sz="4" w:space="0"/>
            </w:tcBorders>
          </w:tcPr>
          <w:p>
            <w:pPr>
              <w:pStyle w:val="35"/>
              <w:spacing w:before="126"/>
              <w:ind w:left="34" w:firstLine="34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5"/>
              </w:rPr>
              <w:t>目标1：完成2022年度各项工作任务;</w:t>
            </w:r>
          </w:p>
          <w:p>
            <w:pPr>
              <w:pStyle w:val="35"/>
              <w:spacing w:before="6" w:line="242" w:lineRule="auto"/>
              <w:ind w:left="26" w:right="7" w:firstLine="348"/>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目标2：完成乡村振兴、经贸摩擦预警点运行及各类经贸会展等活动</w:t>
            </w:r>
            <w:r>
              <w:rPr>
                <w:rFonts w:hint="eastAsia" w:cs="Times New Roman" w:asciiTheme="minorEastAsia" w:hAnsiTheme="minorEastAsia" w:eastAsiaTheme="minorEastAsia"/>
                <w:color w:val="auto"/>
                <w:spacing w:val="6"/>
              </w:rPr>
              <w:t>,帮助企业拓展</w:t>
            </w:r>
            <w:r>
              <w:rPr>
                <w:rFonts w:hint="eastAsia" w:cs="Times New Roman" w:asciiTheme="minorEastAsia" w:hAnsiTheme="minorEastAsia" w:eastAsiaTheme="minorEastAsia"/>
                <w:color w:val="auto"/>
              </w:rPr>
              <w:t xml:space="preserve"> </w:t>
            </w:r>
            <w:r>
              <w:rPr>
                <w:rFonts w:hint="eastAsia" w:cs="Times New Roman" w:asciiTheme="minorEastAsia" w:hAnsiTheme="minorEastAsia" w:eastAsiaTheme="minorEastAsia"/>
                <w:color w:val="auto"/>
                <w:spacing w:val="6"/>
              </w:rPr>
              <w:t>国内外市场，持续提升广元本地企业外向发展能力水平。</w:t>
            </w:r>
          </w:p>
          <w:p>
            <w:pPr>
              <w:pStyle w:val="35"/>
              <w:spacing w:before="4"/>
              <w:ind w:left="18" w:right="52" w:firstLine="348"/>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目标3：完成招商引资、开拓市场、服务企</w:t>
            </w:r>
            <w:r>
              <w:rPr>
                <w:rFonts w:hint="eastAsia" w:cs="Times New Roman" w:asciiTheme="minorEastAsia" w:hAnsiTheme="minorEastAsia" w:eastAsiaTheme="minorEastAsia"/>
                <w:color w:val="auto"/>
                <w:spacing w:val="6"/>
              </w:rPr>
              <w:t>业，积极助推“广元造</w:t>
            </w:r>
            <w:r>
              <w:rPr>
                <w:rFonts w:hint="eastAsia" w:cs="Times New Roman" w:asciiTheme="minorEastAsia" w:hAnsiTheme="minorEastAsia" w:eastAsiaTheme="minorEastAsia"/>
                <w:color w:val="auto"/>
                <w:spacing w:val="-28"/>
              </w:rPr>
              <w:t xml:space="preserve"> </w:t>
            </w:r>
            <w:r>
              <w:rPr>
                <w:rFonts w:hint="eastAsia" w:cs="Times New Roman" w:asciiTheme="minorEastAsia" w:hAnsiTheme="minorEastAsia" w:eastAsiaTheme="minorEastAsia"/>
                <w:color w:val="auto"/>
                <w:spacing w:val="6"/>
              </w:rPr>
              <w:t>”特色产品走出</w:t>
            </w:r>
            <w:r>
              <w:rPr>
                <w:rFonts w:hint="eastAsia" w:cs="Times New Roman" w:asciiTheme="minorEastAsia" w:hAnsiTheme="minorEastAsia" w:eastAsiaTheme="minorEastAsia"/>
                <w:color w:val="auto"/>
              </w:rPr>
              <w:t xml:space="preserve"> </w:t>
            </w:r>
            <w:r>
              <w:rPr>
                <w:rFonts w:hint="eastAsia" w:cs="Times New Roman" w:asciiTheme="minorEastAsia" w:hAnsiTheme="minorEastAsia" w:eastAsiaTheme="minorEastAsia"/>
                <w:color w:val="auto"/>
                <w:spacing w:val="1"/>
              </w:rPr>
              <w:t>去。</w:t>
            </w:r>
          </w:p>
        </w:tc>
        <w:tc>
          <w:tcPr>
            <w:tcW w:w="4162" w:type="dxa"/>
            <w:gridSpan w:val="8"/>
            <w:tcBorders>
              <w:top w:val="single" w:color="auto" w:sz="4" w:space="0"/>
              <w:left w:val="single" w:color="auto" w:sz="4" w:space="0"/>
              <w:bottom w:val="single" w:color="auto" w:sz="4" w:space="0"/>
              <w:right w:val="single" w:color="auto" w:sz="4" w:space="0"/>
            </w:tcBorders>
          </w:tcPr>
          <w:p>
            <w:pPr>
              <w:pStyle w:val="35"/>
              <w:spacing w:before="126"/>
              <w:ind w:left="36" w:firstLine="344"/>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目标1：完成2022年度各项工作任务;</w:t>
            </w:r>
          </w:p>
          <w:p>
            <w:pPr>
              <w:pStyle w:val="35"/>
              <w:spacing w:before="6" w:line="242" w:lineRule="auto"/>
              <w:ind w:left="20" w:right="69" w:firstLine="348"/>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目标2：完成乡村、经贸摩擦预警点运行及各类经贸会展等活动,帮助企业拓展国内外市场，持续提升广元本地企业外向发</w:t>
            </w:r>
            <w:r>
              <w:rPr>
                <w:rFonts w:hint="eastAsia" w:cs="Times New Roman" w:asciiTheme="minorEastAsia" w:hAnsiTheme="minorEastAsia" w:eastAsiaTheme="minorEastAsia"/>
                <w:color w:val="auto"/>
                <w:spacing w:val="1"/>
              </w:rPr>
              <w:t xml:space="preserve"> </w:t>
            </w:r>
            <w:r>
              <w:rPr>
                <w:rFonts w:hint="eastAsia" w:cs="Times New Roman" w:asciiTheme="minorEastAsia" w:hAnsiTheme="minorEastAsia" w:eastAsiaTheme="minorEastAsia"/>
                <w:color w:val="auto"/>
                <w:spacing w:val="5"/>
              </w:rPr>
              <w:t>展能力水平。</w:t>
            </w:r>
          </w:p>
          <w:p>
            <w:pPr>
              <w:pStyle w:val="35"/>
              <w:spacing w:before="4"/>
              <w:ind w:left="36" w:firstLine="344"/>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目标3：完成招商引资、开拓市场、服务企业，积极助推“广元造</w:t>
            </w:r>
            <w:r>
              <w:rPr>
                <w:rFonts w:hint="eastAsia" w:cs="Times New Roman" w:asciiTheme="minorEastAsia" w:hAnsiTheme="minorEastAsia" w:eastAsiaTheme="minorEastAsia"/>
                <w:color w:val="auto"/>
                <w:spacing w:val="-13"/>
              </w:rPr>
              <w:t xml:space="preserve"> </w:t>
            </w:r>
            <w:r>
              <w:rPr>
                <w:rFonts w:hint="eastAsia" w:cs="Times New Roman" w:asciiTheme="minorEastAsia" w:hAnsiTheme="minorEastAsia" w:eastAsiaTheme="minorEastAsia"/>
                <w:color w:val="auto"/>
                <w:spacing w:val="6"/>
              </w:rPr>
              <w:t>”特色产品走出去。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538" w:type="dxa"/>
            <w:vMerge w:val="restart"/>
            <w:tcBorders>
              <w:top w:val="single" w:color="auto" w:sz="4" w:space="0"/>
              <w:left w:val="single" w:color="auto" w:sz="4" w:space="0"/>
              <w:bottom w:val="single" w:color="auto" w:sz="4" w:space="0"/>
              <w:right w:val="single" w:color="auto" w:sz="4" w:space="0"/>
            </w:tcBorders>
          </w:tcPr>
          <w:p>
            <w:pPr>
              <w:pStyle w:val="35"/>
              <w:spacing w:before="219"/>
              <w:ind w:left="2068" w:firstLine="352"/>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8"/>
              </w:rPr>
              <w:t>年</w:t>
            </w:r>
            <w:r>
              <w:rPr>
                <w:rFonts w:hint="eastAsia" w:cs="Times New Roman" w:asciiTheme="minorEastAsia" w:hAnsiTheme="minorEastAsia" w:eastAsiaTheme="minorEastAsia"/>
                <w:color w:val="auto"/>
                <w:spacing w:val="-18"/>
              </w:rPr>
              <w:t xml:space="preserve"> </w:t>
            </w:r>
            <w:r>
              <w:rPr>
                <w:rFonts w:hint="eastAsia" w:cs="Times New Roman" w:asciiTheme="minorEastAsia" w:hAnsiTheme="minorEastAsia" w:eastAsiaTheme="minorEastAsia"/>
                <w:color w:val="auto"/>
                <w:spacing w:val="8"/>
              </w:rPr>
              <w:t>度</w:t>
            </w:r>
            <w:r>
              <w:rPr>
                <w:rFonts w:hint="eastAsia" w:cs="Times New Roman" w:asciiTheme="minorEastAsia" w:hAnsiTheme="minorEastAsia" w:eastAsiaTheme="minorEastAsia"/>
                <w:color w:val="auto"/>
                <w:spacing w:val="-21"/>
              </w:rPr>
              <w:t xml:space="preserve"> </w:t>
            </w:r>
            <w:r>
              <w:rPr>
                <w:rFonts w:hint="eastAsia" w:cs="Times New Roman" w:asciiTheme="minorEastAsia" w:hAnsiTheme="minorEastAsia" w:eastAsiaTheme="minorEastAsia"/>
                <w:color w:val="auto"/>
                <w:spacing w:val="8"/>
              </w:rPr>
              <w:t>绩</w:t>
            </w:r>
            <w:r>
              <w:rPr>
                <w:rFonts w:hint="eastAsia" w:cs="Times New Roman" w:asciiTheme="minorEastAsia" w:hAnsiTheme="minorEastAsia" w:eastAsiaTheme="minorEastAsia"/>
                <w:color w:val="auto"/>
                <w:spacing w:val="-20"/>
              </w:rPr>
              <w:t xml:space="preserve"> </w:t>
            </w:r>
            <w:r>
              <w:rPr>
                <w:rFonts w:hint="eastAsia" w:cs="Times New Roman" w:asciiTheme="minorEastAsia" w:hAnsiTheme="minorEastAsia" w:eastAsiaTheme="minorEastAsia"/>
                <w:color w:val="auto"/>
                <w:spacing w:val="8"/>
              </w:rPr>
              <w:t>效</w:t>
            </w:r>
            <w:r>
              <w:rPr>
                <w:rFonts w:hint="eastAsia" w:cs="Times New Roman" w:asciiTheme="minorEastAsia" w:hAnsiTheme="minorEastAsia" w:eastAsiaTheme="minorEastAsia"/>
                <w:color w:val="auto"/>
                <w:spacing w:val="-18"/>
              </w:rPr>
              <w:t xml:space="preserve"> </w:t>
            </w:r>
            <w:r>
              <w:rPr>
                <w:rFonts w:hint="eastAsia" w:cs="Times New Roman" w:asciiTheme="minorEastAsia" w:hAnsiTheme="minorEastAsia" w:eastAsiaTheme="minorEastAsia"/>
                <w:color w:val="auto"/>
                <w:spacing w:val="8"/>
              </w:rPr>
              <w:t>指</w:t>
            </w:r>
            <w:r>
              <w:rPr>
                <w:rFonts w:hint="eastAsia" w:cs="Times New Roman" w:asciiTheme="minorEastAsia" w:hAnsiTheme="minorEastAsia" w:eastAsiaTheme="minorEastAsia"/>
                <w:color w:val="auto"/>
                <w:spacing w:val="-21"/>
              </w:rPr>
              <w:t xml:space="preserve"> </w:t>
            </w:r>
            <w:r>
              <w:rPr>
                <w:rFonts w:hint="eastAsia" w:cs="Times New Roman" w:asciiTheme="minorEastAsia" w:hAnsiTheme="minorEastAsia" w:eastAsiaTheme="minorEastAsia"/>
                <w:color w:val="auto"/>
                <w:spacing w:val="8"/>
              </w:rPr>
              <w:t>标</w:t>
            </w:r>
          </w:p>
        </w:tc>
        <w:tc>
          <w:tcPr>
            <w:tcW w:w="595" w:type="dxa"/>
            <w:tcBorders>
              <w:top w:val="single" w:color="auto" w:sz="4" w:space="0"/>
              <w:left w:val="single" w:color="auto" w:sz="4" w:space="0"/>
              <w:bottom w:val="single" w:color="auto" w:sz="4" w:space="0"/>
              <w:right w:val="single" w:color="auto" w:sz="4" w:space="0"/>
            </w:tcBorders>
          </w:tcPr>
          <w:p>
            <w:pPr>
              <w:pStyle w:val="35"/>
              <w:spacing w:before="153"/>
              <w:ind w:left="126"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一级指标</w:t>
            </w:r>
          </w:p>
        </w:tc>
        <w:tc>
          <w:tcPr>
            <w:tcW w:w="2125" w:type="dxa"/>
            <w:gridSpan w:val="2"/>
            <w:tcBorders>
              <w:top w:val="single" w:color="auto" w:sz="4" w:space="0"/>
              <w:left w:val="single" w:color="auto" w:sz="4" w:space="0"/>
              <w:bottom w:val="single" w:color="auto" w:sz="4" w:space="0"/>
              <w:right w:val="single" w:color="auto" w:sz="4" w:space="0"/>
            </w:tcBorders>
          </w:tcPr>
          <w:p>
            <w:pPr>
              <w:pStyle w:val="35"/>
              <w:spacing w:before="153"/>
              <w:ind w:firstLineChars="116"/>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二级指标</w:t>
            </w:r>
          </w:p>
        </w:tc>
        <w:tc>
          <w:tcPr>
            <w:tcW w:w="1614" w:type="dxa"/>
            <w:gridSpan w:val="2"/>
            <w:tcBorders>
              <w:top w:val="single" w:color="auto" w:sz="4" w:space="0"/>
              <w:left w:val="single" w:color="auto" w:sz="4" w:space="0"/>
              <w:bottom w:val="single" w:color="auto" w:sz="4" w:space="0"/>
              <w:right w:val="single" w:color="auto" w:sz="4" w:space="0"/>
            </w:tcBorders>
          </w:tcPr>
          <w:p>
            <w:pPr>
              <w:pStyle w:val="35"/>
              <w:spacing w:before="153"/>
              <w:ind w:left="635"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三级指标</w:t>
            </w:r>
          </w:p>
        </w:tc>
        <w:tc>
          <w:tcPr>
            <w:tcW w:w="808" w:type="dxa"/>
            <w:tcBorders>
              <w:top w:val="single" w:color="auto" w:sz="4" w:space="0"/>
              <w:left w:val="single" w:color="auto" w:sz="4" w:space="0"/>
              <w:bottom w:val="single" w:color="auto" w:sz="4" w:space="0"/>
              <w:right w:val="single" w:color="auto" w:sz="4" w:space="0"/>
            </w:tcBorders>
          </w:tcPr>
          <w:p>
            <w:pPr>
              <w:pStyle w:val="35"/>
              <w:spacing w:before="97" w:line="244" w:lineRule="auto"/>
              <w:ind w:left="144" w:right="46"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指标值（包含数字</w:t>
            </w:r>
            <w:r>
              <w:rPr>
                <w:rFonts w:hint="eastAsia" w:cs="Times New Roman" w:asciiTheme="minorEastAsia" w:hAnsiTheme="minorEastAsia" w:eastAsiaTheme="minorEastAsia"/>
                <w:color w:val="auto"/>
              </w:rPr>
              <w:t xml:space="preserve"> </w:t>
            </w:r>
            <w:r>
              <w:rPr>
                <w:rFonts w:hint="eastAsia" w:cs="Times New Roman" w:asciiTheme="minorEastAsia" w:hAnsiTheme="minorEastAsia" w:eastAsiaTheme="minorEastAsia"/>
                <w:color w:val="auto"/>
                <w:spacing w:val="5"/>
              </w:rPr>
              <w:t>及文字描述）</w:t>
            </w:r>
          </w:p>
        </w:tc>
        <w:tc>
          <w:tcPr>
            <w:tcW w:w="936" w:type="dxa"/>
            <w:gridSpan w:val="2"/>
            <w:tcBorders>
              <w:top w:val="single" w:color="auto" w:sz="4" w:space="0"/>
              <w:left w:val="single" w:color="auto" w:sz="4" w:space="0"/>
              <w:bottom w:val="single" w:color="auto" w:sz="4" w:space="0"/>
              <w:right w:val="single" w:color="auto" w:sz="4" w:space="0"/>
            </w:tcBorders>
          </w:tcPr>
          <w:p>
            <w:pPr>
              <w:pStyle w:val="35"/>
              <w:spacing w:before="97" w:line="244" w:lineRule="auto"/>
              <w:ind w:left="124" w:right="22"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实际完成指标值（包含</w:t>
            </w:r>
            <w:r>
              <w:rPr>
                <w:rFonts w:hint="eastAsia" w:cs="Times New Roman" w:asciiTheme="minorEastAsia" w:hAnsiTheme="minorEastAsia" w:eastAsiaTheme="minorEastAsia"/>
                <w:color w:val="auto"/>
              </w:rPr>
              <w:t xml:space="preserve"> </w:t>
            </w:r>
            <w:r>
              <w:rPr>
                <w:rFonts w:hint="eastAsia" w:cs="Times New Roman" w:asciiTheme="minorEastAsia" w:hAnsiTheme="minorEastAsia" w:eastAsiaTheme="minorEastAsia"/>
                <w:color w:val="auto"/>
                <w:spacing w:val="6"/>
              </w:rPr>
              <w:t>数字及文字描述）</w:t>
            </w:r>
          </w:p>
        </w:tc>
        <w:tc>
          <w:tcPr>
            <w:tcW w:w="475" w:type="dxa"/>
            <w:tcBorders>
              <w:top w:val="single" w:color="auto" w:sz="4" w:space="0"/>
              <w:left w:val="single" w:color="auto" w:sz="4" w:space="0"/>
              <w:bottom w:val="single" w:color="auto" w:sz="4" w:space="0"/>
              <w:right w:val="single" w:color="auto" w:sz="4" w:space="0"/>
            </w:tcBorders>
          </w:tcPr>
          <w:p>
            <w:pPr>
              <w:pStyle w:val="35"/>
              <w:spacing w:before="97" w:line="244" w:lineRule="auto"/>
              <w:ind w:right="11"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部门自评得</w:t>
            </w:r>
            <w:r>
              <w:rPr>
                <w:rFonts w:hint="eastAsia" w:cs="Times New Roman" w:asciiTheme="minorEastAsia" w:hAnsiTheme="minorEastAsia" w:eastAsiaTheme="minorEastAsia"/>
                <w:color w:val="auto"/>
                <w:spacing w:val="3"/>
              </w:rPr>
              <w:t>分</w:t>
            </w:r>
          </w:p>
        </w:tc>
        <w:tc>
          <w:tcPr>
            <w:tcW w:w="475" w:type="dxa"/>
            <w:tcBorders>
              <w:top w:val="single" w:color="auto" w:sz="4" w:space="0"/>
              <w:left w:val="single" w:color="auto" w:sz="4" w:space="0"/>
              <w:bottom w:val="single" w:color="auto" w:sz="4" w:space="0"/>
              <w:right w:val="single" w:color="auto" w:sz="4" w:space="0"/>
            </w:tcBorders>
          </w:tcPr>
          <w:p>
            <w:pPr>
              <w:pStyle w:val="35"/>
              <w:spacing w:before="97" w:line="244" w:lineRule="auto"/>
              <w:ind w:left="24" w:right="11"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财政部门科</w:t>
            </w:r>
            <w:r>
              <w:rPr>
                <w:rFonts w:hint="eastAsia" w:cs="Times New Roman" w:asciiTheme="minorEastAsia" w:hAnsiTheme="minorEastAsia" w:eastAsiaTheme="minorEastAsia"/>
                <w:color w:val="auto"/>
                <w:spacing w:val="3"/>
              </w:rPr>
              <w:t xml:space="preserve"> </w:t>
            </w:r>
            <w:r>
              <w:rPr>
                <w:rFonts w:hint="eastAsia" w:cs="Times New Roman" w:asciiTheme="minorEastAsia" w:hAnsiTheme="minorEastAsia" w:eastAsiaTheme="minorEastAsia"/>
                <w:color w:val="auto"/>
                <w:spacing w:val="6"/>
              </w:rPr>
              <w:t>室复评得分</w:t>
            </w:r>
          </w:p>
        </w:tc>
        <w:tc>
          <w:tcPr>
            <w:tcW w:w="884" w:type="dxa"/>
            <w:gridSpan w:val="2"/>
            <w:tcBorders>
              <w:top w:val="single" w:color="auto" w:sz="4" w:space="0"/>
              <w:left w:val="single" w:color="auto" w:sz="4" w:space="0"/>
              <w:bottom w:val="single" w:color="auto" w:sz="4" w:space="0"/>
              <w:right w:val="single" w:color="auto" w:sz="4" w:space="0"/>
            </w:tcBorders>
          </w:tcPr>
          <w:p>
            <w:pPr>
              <w:pStyle w:val="35"/>
              <w:spacing w:before="97" w:line="244" w:lineRule="auto"/>
              <w:ind w:right="19"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未完成原因及改进措</w:t>
            </w:r>
            <w:r>
              <w:rPr>
                <w:rFonts w:hint="eastAsia" w:cs="Times New Roman" w:asciiTheme="minorEastAsia" w:hAnsiTheme="minorEastAsia" w:eastAsiaTheme="minorEastAsia"/>
                <w:color w:val="auto"/>
                <w:spacing w:val="5"/>
              </w:rPr>
              <w:t>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restart"/>
            <w:tcBorders>
              <w:top w:val="single" w:color="auto" w:sz="4" w:space="0"/>
              <w:left w:val="single" w:color="auto" w:sz="4" w:space="0"/>
              <w:bottom w:val="single" w:color="auto" w:sz="4" w:space="0"/>
              <w:right w:val="single" w:color="auto" w:sz="4" w:space="0"/>
            </w:tcBorders>
          </w:tcPr>
          <w:p>
            <w:pPr>
              <w:spacing w:line="304" w:lineRule="auto"/>
              <w:ind w:firstLine="320"/>
              <w:rPr>
                <w:rFonts w:cs="Arial" w:asciiTheme="minorEastAsia" w:hAnsiTheme="minorEastAsia" w:eastAsiaTheme="minorEastAsia"/>
                <w:color w:val="auto"/>
                <w:sz w:val="16"/>
                <w:szCs w:val="16"/>
              </w:rPr>
            </w:pPr>
          </w:p>
          <w:p>
            <w:pPr>
              <w:spacing w:line="307" w:lineRule="auto"/>
              <w:ind w:firstLine="320"/>
              <w:rPr>
                <w:rFonts w:asciiTheme="minorEastAsia" w:hAnsiTheme="minorEastAsia" w:eastAsiaTheme="minorEastAsia"/>
                <w:color w:val="auto"/>
                <w:sz w:val="16"/>
                <w:szCs w:val="16"/>
              </w:rPr>
            </w:pPr>
          </w:p>
          <w:p>
            <w:pPr>
              <w:spacing w:line="307" w:lineRule="auto"/>
              <w:ind w:firstLine="320"/>
              <w:rPr>
                <w:rFonts w:asciiTheme="minorEastAsia" w:hAnsiTheme="minorEastAsia" w:eastAsiaTheme="minorEastAsia"/>
                <w:color w:val="auto"/>
                <w:sz w:val="16"/>
                <w:szCs w:val="16"/>
              </w:rPr>
            </w:pPr>
          </w:p>
          <w:p>
            <w:pPr>
              <w:pStyle w:val="35"/>
              <w:spacing w:before="26"/>
              <w:ind w:left="125"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产出指标</w:t>
            </w:r>
          </w:p>
        </w:tc>
        <w:tc>
          <w:tcPr>
            <w:tcW w:w="2125" w:type="dxa"/>
            <w:gridSpan w:val="2"/>
            <w:vMerge w:val="restart"/>
            <w:tcBorders>
              <w:top w:val="single" w:color="auto" w:sz="4" w:space="0"/>
              <w:left w:val="single" w:color="auto" w:sz="4" w:space="0"/>
              <w:bottom w:val="single" w:color="auto" w:sz="4" w:space="0"/>
              <w:right w:val="single" w:color="auto" w:sz="4" w:space="0"/>
            </w:tcBorders>
          </w:tcPr>
          <w:p>
            <w:pPr>
              <w:spacing w:line="266" w:lineRule="auto"/>
              <w:ind w:firstLine="320"/>
              <w:jc w:val="center"/>
              <w:rPr>
                <w:rFonts w:cs="Arial" w:asciiTheme="minorEastAsia" w:hAnsiTheme="minorEastAsia" w:eastAsiaTheme="minorEastAsia"/>
                <w:color w:val="auto"/>
                <w:sz w:val="16"/>
                <w:szCs w:val="16"/>
              </w:rPr>
            </w:pPr>
          </w:p>
          <w:p>
            <w:pPr>
              <w:spacing w:line="266" w:lineRule="auto"/>
              <w:ind w:firstLine="320"/>
              <w:jc w:val="center"/>
              <w:rPr>
                <w:rFonts w:asciiTheme="minorEastAsia" w:hAnsiTheme="minorEastAsia" w:eastAsiaTheme="minorEastAsia"/>
                <w:color w:val="auto"/>
                <w:sz w:val="16"/>
                <w:szCs w:val="16"/>
              </w:rPr>
            </w:pPr>
          </w:p>
          <w:p>
            <w:pPr>
              <w:spacing w:line="266" w:lineRule="auto"/>
              <w:ind w:firstLine="0" w:firstLineChars="0"/>
              <w:jc w:val="center"/>
              <w:rPr>
                <w:rFonts w:asciiTheme="minorEastAsia" w:hAnsiTheme="minorEastAsia" w:eastAsiaTheme="minorEastAsia"/>
                <w:color w:val="auto"/>
                <w:sz w:val="16"/>
                <w:szCs w:val="16"/>
              </w:rPr>
            </w:pPr>
          </w:p>
          <w:p>
            <w:pPr>
              <w:pStyle w:val="35"/>
              <w:spacing w:before="26"/>
              <w:ind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数量指标</w:t>
            </w:r>
          </w:p>
        </w:tc>
        <w:tc>
          <w:tcPr>
            <w:tcW w:w="1614" w:type="dxa"/>
            <w:gridSpan w:val="2"/>
            <w:tcBorders>
              <w:top w:val="single" w:color="auto" w:sz="4" w:space="0"/>
              <w:left w:val="single" w:color="auto" w:sz="4" w:space="0"/>
              <w:bottom w:val="single" w:color="auto" w:sz="4" w:space="0"/>
              <w:right w:val="single" w:color="auto" w:sz="4" w:space="0"/>
            </w:tcBorders>
          </w:tcPr>
          <w:p>
            <w:pPr>
              <w:pStyle w:val="35"/>
              <w:spacing w:before="33"/>
              <w:ind w:left="17"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指标1：举办市内展会次数</w:t>
            </w:r>
          </w:p>
        </w:tc>
        <w:tc>
          <w:tcPr>
            <w:tcW w:w="808" w:type="dxa"/>
            <w:tcBorders>
              <w:top w:val="single" w:color="auto" w:sz="4" w:space="0"/>
              <w:left w:val="single" w:color="auto" w:sz="4" w:space="0"/>
              <w:bottom w:val="single" w:color="auto" w:sz="4" w:space="0"/>
              <w:right w:val="single" w:color="auto" w:sz="4" w:space="0"/>
            </w:tcBorders>
          </w:tcPr>
          <w:p>
            <w:pPr>
              <w:pStyle w:val="35"/>
              <w:spacing w:before="33"/>
              <w:ind w:left="348"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2"/>
              </w:rPr>
              <w:t>1次</w:t>
            </w:r>
          </w:p>
        </w:tc>
        <w:tc>
          <w:tcPr>
            <w:tcW w:w="936" w:type="dxa"/>
            <w:gridSpan w:val="2"/>
            <w:tcBorders>
              <w:top w:val="single" w:color="auto" w:sz="4" w:space="0"/>
              <w:left w:val="single" w:color="auto" w:sz="4" w:space="0"/>
              <w:bottom w:val="single" w:color="auto" w:sz="4" w:space="0"/>
              <w:right w:val="single" w:color="auto" w:sz="4" w:space="0"/>
            </w:tcBorders>
          </w:tcPr>
          <w:p>
            <w:pPr>
              <w:pStyle w:val="35"/>
              <w:spacing w:before="33"/>
              <w:ind w:left="413"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2"/>
              </w:rPr>
              <w:t>1次</w:t>
            </w:r>
          </w:p>
        </w:tc>
        <w:tc>
          <w:tcPr>
            <w:tcW w:w="475" w:type="dxa"/>
            <w:tcBorders>
              <w:top w:val="single" w:color="auto" w:sz="4" w:space="0"/>
              <w:left w:val="single" w:color="auto" w:sz="4" w:space="0"/>
              <w:bottom w:val="single" w:color="auto" w:sz="4" w:space="0"/>
              <w:right w:val="single" w:color="auto" w:sz="4" w:space="0"/>
            </w:tcBorders>
          </w:tcPr>
          <w:p>
            <w:pPr>
              <w:pStyle w:val="35"/>
              <w:spacing w:before="47"/>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2</w:t>
            </w:r>
          </w:p>
        </w:tc>
        <w:tc>
          <w:tcPr>
            <w:tcW w:w="475" w:type="dxa"/>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35"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35"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2125"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320"/>
              <w:jc w:val="center"/>
              <w:rPr>
                <w:rFonts w:asciiTheme="minorEastAsia" w:hAnsiTheme="minorEastAsia" w:eastAsiaTheme="minorEastAsia"/>
                <w:color w:val="auto"/>
                <w:sz w:val="16"/>
                <w:szCs w:val="16"/>
              </w:rPr>
            </w:pPr>
          </w:p>
        </w:tc>
        <w:tc>
          <w:tcPr>
            <w:tcW w:w="1614" w:type="dxa"/>
            <w:gridSpan w:val="2"/>
            <w:tcBorders>
              <w:top w:val="single" w:color="auto" w:sz="4" w:space="0"/>
              <w:left w:val="single" w:color="auto" w:sz="4" w:space="0"/>
              <w:bottom w:val="single" w:color="auto" w:sz="4" w:space="0"/>
              <w:right w:val="single" w:color="auto" w:sz="4" w:space="0"/>
            </w:tcBorders>
          </w:tcPr>
          <w:p>
            <w:pPr>
              <w:pStyle w:val="35"/>
              <w:spacing w:before="33"/>
              <w:ind w:left="17"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指标2：参展企业数量</w:t>
            </w:r>
          </w:p>
        </w:tc>
        <w:tc>
          <w:tcPr>
            <w:tcW w:w="808" w:type="dxa"/>
            <w:tcBorders>
              <w:top w:val="single" w:color="auto" w:sz="4" w:space="0"/>
              <w:left w:val="single" w:color="auto" w:sz="4" w:space="0"/>
              <w:bottom w:val="single" w:color="auto" w:sz="4" w:space="0"/>
              <w:right w:val="single" w:color="auto" w:sz="4" w:space="0"/>
            </w:tcBorders>
          </w:tcPr>
          <w:p>
            <w:pPr>
              <w:pStyle w:val="35"/>
              <w:spacing w:before="33"/>
              <w:ind w:left="321"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50家</w:t>
            </w:r>
          </w:p>
        </w:tc>
        <w:tc>
          <w:tcPr>
            <w:tcW w:w="936" w:type="dxa"/>
            <w:gridSpan w:val="2"/>
            <w:tcBorders>
              <w:top w:val="single" w:color="auto" w:sz="4" w:space="0"/>
              <w:left w:val="single" w:color="auto" w:sz="4" w:space="0"/>
              <w:bottom w:val="single" w:color="auto" w:sz="4" w:space="0"/>
              <w:right w:val="single" w:color="auto" w:sz="4" w:space="0"/>
            </w:tcBorders>
          </w:tcPr>
          <w:p>
            <w:pPr>
              <w:pStyle w:val="35"/>
              <w:spacing w:before="33"/>
              <w:ind w:left="344"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50余家</w:t>
            </w:r>
          </w:p>
        </w:tc>
        <w:tc>
          <w:tcPr>
            <w:tcW w:w="475" w:type="dxa"/>
            <w:tcBorders>
              <w:top w:val="single" w:color="auto" w:sz="4" w:space="0"/>
              <w:left w:val="single" w:color="auto" w:sz="4" w:space="0"/>
              <w:bottom w:val="single" w:color="auto" w:sz="4" w:space="0"/>
              <w:right w:val="single" w:color="auto" w:sz="4" w:space="0"/>
            </w:tcBorders>
          </w:tcPr>
          <w:p>
            <w:pPr>
              <w:pStyle w:val="35"/>
              <w:spacing w:before="47"/>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2</w:t>
            </w:r>
          </w:p>
        </w:tc>
        <w:tc>
          <w:tcPr>
            <w:tcW w:w="475" w:type="dxa"/>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35"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35"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2125"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320"/>
              <w:jc w:val="center"/>
              <w:rPr>
                <w:rFonts w:asciiTheme="minorEastAsia" w:hAnsiTheme="minorEastAsia" w:eastAsiaTheme="minorEastAsia"/>
                <w:color w:val="auto"/>
                <w:sz w:val="16"/>
                <w:szCs w:val="16"/>
              </w:rPr>
            </w:pPr>
          </w:p>
        </w:tc>
        <w:tc>
          <w:tcPr>
            <w:tcW w:w="1614" w:type="dxa"/>
            <w:gridSpan w:val="2"/>
            <w:tcBorders>
              <w:top w:val="single" w:color="auto" w:sz="4" w:space="0"/>
              <w:left w:val="single" w:color="auto" w:sz="4" w:space="0"/>
              <w:bottom w:val="single" w:color="auto" w:sz="4" w:space="0"/>
              <w:right w:val="single" w:color="auto" w:sz="4" w:space="0"/>
            </w:tcBorders>
          </w:tcPr>
          <w:p>
            <w:pPr>
              <w:pStyle w:val="35"/>
              <w:spacing w:before="26"/>
              <w:ind w:left="16" w:right="60"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指标3：组织广元企业参加（国）境外各</w:t>
            </w:r>
            <w:r>
              <w:rPr>
                <w:rFonts w:hint="eastAsia" w:cs="Times New Roman" w:asciiTheme="minorEastAsia" w:hAnsiTheme="minorEastAsia" w:eastAsiaTheme="minorEastAsia"/>
                <w:color w:val="auto"/>
                <w:spacing w:val="4"/>
              </w:rPr>
              <w:t xml:space="preserve"> </w:t>
            </w:r>
            <w:r>
              <w:rPr>
                <w:rFonts w:hint="eastAsia" w:cs="Times New Roman" w:asciiTheme="minorEastAsia" w:hAnsiTheme="minorEastAsia" w:eastAsiaTheme="minorEastAsia"/>
                <w:color w:val="auto"/>
                <w:spacing w:val="7"/>
              </w:rPr>
              <w:t>类展会、经贸促进活动</w:t>
            </w:r>
          </w:p>
        </w:tc>
        <w:tc>
          <w:tcPr>
            <w:tcW w:w="808" w:type="dxa"/>
            <w:tcBorders>
              <w:top w:val="single" w:color="auto" w:sz="4" w:space="0"/>
              <w:left w:val="single" w:color="auto" w:sz="4" w:space="0"/>
              <w:bottom w:val="single" w:color="auto" w:sz="4" w:space="0"/>
              <w:right w:val="single" w:color="auto" w:sz="4" w:space="0"/>
            </w:tcBorders>
          </w:tcPr>
          <w:p>
            <w:pPr>
              <w:pStyle w:val="35"/>
              <w:spacing w:before="79"/>
              <w:ind w:left="300"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3-5次</w:t>
            </w:r>
          </w:p>
        </w:tc>
        <w:tc>
          <w:tcPr>
            <w:tcW w:w="936" w:type="dxa"/>
            <w:gridSpan w:val="2"/>
            <w:tcBorders>
              <w:top w:val="single" w:color="auto" w:sz="4" w:space="0"/>
              <w:left w:val="single" w:color="auto" w:sz="4" w:space="0"/>
              <w:bottom w:val="single" w:color="auto" w:sz="4" w:space="0"/>
              <w:right w:val="single" w:color="auto" w:sz="4" w:space="0"/>
            </w:tcBorders>
          </w:tcPr>
          <w:p>
            <w:pPr>
              <w:pStyle w:val="35"/>
              <w:spacing w:before="79"/>
              <w:ind w:left="408"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5次</w:t>
            </w:r>
          </w:p>
        </w:tc>
        <w:tc>
          <w:tcPr>
            <w:tcW w:w="475" w:type="dxa"/>
            <w:tcBorders>
              <w:top w:val="single" w:color="auto" w:sz="4" w:space="0"/>
              <w:left w:val="single" w:color="auto" w:sz="4" w:space="0"/>
              <w:bottom w:val="single" w:color="auto" w:sz="4" w:space="0"/>
              <w:right w:val="single" w:color="auto" w:sz="4" w:space="0"/>
            </w:tcBorders>
          </w:tcPr>
          <w:p>
            <w:pPr>
              <w:pStyle w:val="35"/>
              <w:spacing w:before="93"/>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2</w:t>
            </w:r>
          </w:p>
        </w:tc>
        <w:tc>
          <w:tcPr>
            <w:tcW w:w="475" w:type="dxa"/>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230"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230"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2125"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320"/>
              <w:jc w:val="center"/>
              <w:rPr>
                <w:rFonts w:asciiTheme="minorEastAsia" w:hAnsiTheme="minorEastAsia" w:eastAsiaTheme="minorEastAsia"/>
                <w:color w:val="auto"/>
                <w:sz w:val="16"/>
                <w:szCs w:val="16"/>
              </w:rPr>
            </w:pPr>
          </w:p>
        </w:tc>
        <w:tc>
          <w:tcPr>
            <w:tcW w:w="1614" w:type="dxa"/>
            <w:gridSpan w:val="2"/>
            <w:tcBorders>
              <w:top w:val="single" w:color="auto" w:sz="4" w:space="0"/>
              <w:left w:val="single" w:color="auto" w:sz="4" w:space="0"/>
              <w:bottom w:val="single" w:color="auto" w:sz="4" w:space="0"/>
              <w:right w:val="single" w:color="auto" w:sz="4" w:space="0"/>
            </w:tcBorders>
          </w:tcPr>
          <w:p>
            <w:pPr>
              <w:pStyle w:val="35"/>
              <w:spacing w:before="33"/>
              <w:ind w:left="17"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指标:4：调研企业次数</w:t>
            </w:r>
          </w:p>
        </w:tc>
        <w:tc>
          <w:tcPr>
            <w:tcW w:w="808" w:type="dxa"/>
            <w:tcBorders>
              <w:top w:val="single" w:color="auto" w:sz="4" w:space="0"/>
              <w:left w:val="single" w:color="auto" w:sz="4" w:space="0"/>
              <w:bottom w:val="single" w:color="auto" w:sz="4" w:space="0"/>
              <w:right w:val="single" w:color="auto" w:sz="4" w:space="0"/>
            </w:tcBorders>
          </w:tcPr>
          <w:p>
            <w:pPr>
              <w:pStyle w:val="35"/>
              <w:spacing w:before="33"/>
              <w:ind w:left="326"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2"/>
              </w:rPr>
              <w:t>10家</w:t>
            </w:r>
          </w:p>
        </w:tc>
        <w:tc>
          <w:tcPr>
            <w:tcW w:w="936" w:type="dxa"/>
            <w:gridSpan w:val="2"/>
            <w:tcBorders>
              <w:top w:val="single" w:color="auto" w:sz="4" w:space="0"/>
              <w:left w:val="single" w:color="auto" w:sz="4" w:space="0"/>
              <w:bottom w:val="single" w:color="auto" w:sz="4" w:space="0"/>
              <w:right w:val="single" w:color="auto" w:sz="4" w:space="0"/>
            </w:tcBorders>
          </w:tcPr>
          <w:p>
            <w:pPr>
              <w:pStyle w:val="35"/>
              <w:spacing w:before="33"/>
              <w:ind w:left="392"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2"/>
              </w:rPr>
              <w:t>15家</w:t>
            </w:r>
          </w:p>
        </w:tc>
        <w:tc>
          <w:tcPr>
            <w:tcW w:w="475" w:type="dxa"/>
            <w:tcBorders>
              <w:top w:val="single" w:color="auto" w:sz="4" w:space="0"/>
              <w:left w:val="single" w:color="auto" w:sz="4" w:space="0"/>
              <w:bottom w:val="single" w:color="auto" w:sz="4" w:space="0"/>
              <w:right w:val="single" w:color="auto" w:sz="4" w:space="0"/>
            </w:tcBorders>
          </w:tcPr>
          <w:p>
            <w:pPr>
              <w:pStyle w:val="35"/>
              <w:spacing w:before="47"/>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2</w:t>
            </w:r>
          </w:p>
        </w:tc>
        <w:tc>
          <w:tcPr>
            <w:tcW w:w="475" w:type="dxa"/>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35"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35"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2125"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320"/>
              <w:jc w:val="center"/>
              <w:rPr>
                <w:rFonts w:asciiTheme="minorEastAsia" w:hAnsiTheme="minorEastAsia" w:eastAsiaTheme="minorEastAsia"/>
                <w:color w:val="auto"/>
                <w:sz w:val="16"/>
                <w:szCs w:val="16"/>
              </w:rPr>
            </w:pPr>
          </w:p>
        </w:tc>
        <w:tc>
          <w:tcPr>
            <w:tcW w:w="1614" w:type="dxa"/>
            <w:gridSpan w:val="2"/>
            <w:tcBorders>
              <w:top w:val="single" w:color="auto" w:sz="4" w:space="0"/>
              <w:left w:val="single" w:color="auto" w:sz="4" w:space="0"/>
              <w:bottom w:val="single" w:color="auto" w:sz="4" w:space="0"/>
              <w:right w:val="single" w:color="auto" w:sz="4" w:space="0"/>
            </w:tcBorders>
          </w:tcPr>
          <w:p>
            <w:pPr>
              <w:pStyle w:val="35"/>
              <w:spacing w:before="33"/>
              <w:ind w:left="17"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指标5：走访脱贫户次数</w:t>
            </w:r>
          </w:p>
        </w:tc>
        <w:tc>
          <w:tcPr>
            <w:tcW w:w="808" w:type="dxa"/>
            <w:tcBorders>
              <w:top w:val="single" w:color="auto" w:sz="4" w:space="0"/>
              <w:left w:val="single" w:color="auto" w:sz="4" w:space="0"/>
              <w:bottom w:val="single" w:color="auto" w:sz="4" w:space="0"/>
              <w:right w:val="single" w:color="auto" w:sz="4" w:space="0"/>
            </w:tcBorders>
          </w:tcPr>
          <w:p>
            <w:pPr>
              <w:pStyle w:val="35"/>
              <w:spacing w:before="33"/>
              <w:ind w:left="342"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5"/>
              </w:rPr>
              <w:t>6次</w:t>
            </w:r>
          </w:p>
        </w:tc>
        <w:tc>
          <w:tcPr>
            <w:tcW w:w="936" w:type="dxa"/>
            <w:gridSpan w:val="2"/>
            <w:tcBorders>
              <w:top w:val="single" w:color="auto" w:sz="4" w:space="0"/>
              <w:left w:val="single" w:color="auto" w:sz="4" w:space="0"/>
              <w:bottom w:val="single" w:color="auto" w:sz="4" w:space="0"/>
              <w:right w:val="single" w:color="auto" w:sz="4" w:space="0"/>
            </w:tcBorders>
          </w:tcPr>
          <w:p>
            <w:pPr>
              <w:pStyle w:val="35"/>
              <w:spacing w:before="33"/>
              <w:ind w:left="407"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5"/>
              </w:rPr>
              <w:t>6次</w:t>
            </w:r>
          </w:p>
        </w:tc>
        <w:tc>
          <w:tcPr>
            <w:tcW w:w="475" w:type="dxa"/>
            <w:tcBorders>
              <w:top w:val="single" w:color="auto" w:sz="4" w:space="0"/>
              <w:left w:val="single" w:color="auto" w:sz="4" w:space="0"/>
              <w:bottom w:val="single" w:color="auto" w:sz="4" w:space="0"/>
              <w:right w:val="single" w:color="auto" w:sz="4" w:space="0"/>
            </w:tcBorders>
          </w:tcPr>
          <w:p>
            <w:pPr>
              <w:pStyle w:val="35"/>
              <w:spacing w:before="47"/>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2</w:t>
            </w:r>
          </w:p>
        </w:tc>
        <w:tc>
          <w:tcPr>
            <w:tcW w:w="475" w:type="dxa"/>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35"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35"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2125"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320"/>
              <w:jc w:val="center"/>
              <w:rPr>
                <w:rFonts w:asciiTheme="minorEastAsia" w:hAnsiTheme="minorEastAsia" w:eastAsiaTheme="minorEastAsia"/>
                <w:color w:val="auto"/>
                <w:sz w:val="16"/>
                <w:szCs w:val="16"/>
              </w:rPr>
            </w:pPr>
          </w:p>
        </w:tc>
        <w:tc>
          <w:tcPr>
            <w:tcW w:w="1614" w:type="dxa"/>
            <w:gridSpan w:val="2"/>
            <w:tcBorders>
              <w:top w:val="single" w:color="auto" w:sz="4" w:space="0"/>
              <w:left w:val="single" w:color="auto" w:sz="4" w:space="0"/>
              <w:bottom w:val="single" w:color="auto" w:sz="4" w:space="0"/>
              <w:right w:val="single" w:color="auto" w:sz="4" w:space="0"/>
            </w:tcBorders>
          </w:tcPr>
          <w:p>
            <w:pPr>
              <w:pStyle w:val="35"/>
              <w:spacing w:before="33"/>
              <w:ind w:left="17"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指标6：慰问脱贫户，解决实际困难</w:t>
            </w:r>
          </w:p>
        </w:tc>
        <w:tc>
          <w:tcPr>
            <w:tcW w:w="808" w:type="dxa"/>
            <w:tcBorders>
              <w:top w:val="single" w:color="auto" w:sz="4" w:space="0"/>
              <w:left w:val="single" w:color="auto" w:sz="4" w:space="0"/>
              <w:bottom w:val="single" w:color="auto" w:sz="4" w:space="0"/>
              <w:right w:val="single" w:color="auto" w:sz="4" w:space="0"/>
            </w:tcBorders>
          </w:tcPr>
          <w:p>
            <w:pPr>
              <w:pStyle w:val="35"/>
              <w:spacing w:before="33"/>
              <w:ind w:left="343"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3户</w:t>
            </w:r>
          </w:p>
        </w:tc>
        <w:tc>
          <w:tcPr>
            <w:tcW w:w="936" w:type="dxa"/>
            <w:gridSpan w:val="2"/>
            <w:tcBorders>
              <w:top w:val="single" w:color="auto" w:sz="4" w:space="0"/>
              <w:left w:val="single" w:color="auto" w:sz="4" w:space="0"/>
              <w:bottom w:val="single" w:color="auto" w:sz="4" w:space="0"/>
              <w:right w:val="single" w:color="auto" w:sz="4" w:space="0"/>
            </w:tcBorders>
          </w:tcPr>
          <w:p>
            <w:pPr>
              <w:pStyle w:val="35"/>
              <w:spacing w:before="33"/>
              <w:ind w:left="408"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3户</w:t>
            </w:r>
          </w:p>
        </w:tc>
        <w:tc>
          <w:tcPr>
            <w:tcW w:w="475" w:type="dxa"/>
            <w:tcBorders>
              <w:top w:val="single" w:color="auto" w:sz="4" w:space="0"/>
              <w:left w:val="single" w:color="auto" w:sz="4" w:space="0"/>
              <w:bottom w:val="single" w:color="auto" w:sz="4" w:space="0"/>
              <w:right w:val="single" w:color="auto" w:sz="4" w:space="0"/>
            </w:tcBorders>
          </w:tcPr>
          <w:p>
            <w:pPr>
              <w:pStyle w:val="35"/>
              <w:spacing w:before="47"/>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1</w:t>
            </w:r>
          </w:p>
        </w:tc>
        <w:tc>
          <w:tcPr>
            <w:tcW w:w="475" w:type="dxa"/>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35"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35"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2125"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320"/>
              <w:jc w:val="center"/>
              <w:rPr>
                <w:rFonts w:asciiTheme="minorEastAsia" w:hAnsiTheme="minorEastAsia" w:eastAsiaTheme="minorEastAsia"/>
                <w:color w:val="auto"/>
                <w:sz w:val="16"/>
                <w:szCs w:val="16"/>
              </w:rPr>
            </w:pPr>
          </w:p>
        </w:tc>
        <w:tc>
          <w:tcPr>
            <w:tcW w:w="1614" w:type="dxa"/>
            <w:gridSpan w:val="2"/>
            <w:tcBorders>
              <w:top w:val="single" w:color="auto" w:sz="4" w:space="0"/>
              <w:left w:val="single" w:color="auto" w:sz="4" w:space="0"/>
              <w:bottom w:val="single" w:color="auto" w:sz="4" w:space="0"/>
              <w:right w:val="single" w:color="auto" w:sz="4" w:space="0"/>
            </w:tcBorders>
          </w:tcPr>
          <w:p>
            <w:pPr>
              <w:pStyle w:val="35"/>
              <w:spacing w:before="34"/>
              <w:ind w:left="17"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指标7：举办培训次数（线上线下）</w:t>
            </w:r>
          </w:p>
        </w:tc>
        <w:tc>
          <w:tcPr>
            <w:tcW w:w="808" w:type="dxa"/>
            <w:tcBorders>
              <w:top w:val="single" w:color="auto" w:sz="4" w:space="0"/>
              <w:left w:val="single" w:color="auto" w:sz="4" w:space="0"/>
              <w:bottom w:val="single" w:color="auto" w:sz="4" w:space="0"/>
              <w:right w:val="single" w:color="auto" w:sz="4" w:space="0"/>
            </w:tcBorders>
          </w:tcPr>
          <w:p>
            <w:pPr>
              <w:pStyle w:val="35"/>
              <w:spacing w:before="34"/>
              <w:ind w:left="348"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2"/>
              </w:rPr>
              <w:t>1次</w:t>
            </w:r>
          </w:p>
        </w:tc>
        <w:tc>
          <w:tcPr>
            <w:tcW w:w="936" w:type="dxa"/>
            <w:gridSpan w:val="2"/>
            <w:tcBorders>
              <w:top w:val="single" w:color="auto" w:sz="4" w:space="0"/>
              <w:left w:val="single" w:color="auto" w:sz="4" w:space="0"/>
              <w:bottom w:val="single" w:color="auto" w:sz="4" w:space="0"/>
              <w:right w:val="single" w:color="auto" w:sz="4" w:space="0"/>
            </w:tcBorders>
          </w:tcPr>
          <w:p>
            <w:pPr>
              <w:pStyle w:val="35"/>
              <w:spacing w:before="34"/>
              <w:ind w:left="408"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2次</w:t>
            </w:r>
          </w:p>
        </w:tc>
        <w:tc>
          <w:tcPr>
            <w:tcW w:w="475" w:type="dxa"/>
            <w:tcBorders>
              <w:top w:val="single" w:color="auto" w:sz="4" w:space="0"/>
              <w:left w:val="single" w:color="auto" w:sz="4" w:space="0"/>
              <w:bottom w:val="single" w:color="auto" w:sz="4" w:space="0"/>
              <w:right w:val="single" w:color="auto" w:sz="4" w:space="0"/>
            </w:tcBorders>
          </w:tcPr>
          <w:p>
            <w:pPr>
              <w:pStyle w:val="35"/>
              <w:spacing w:before="48"/>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3</w:t>
            </w:r>
          </w:p>
        </w:tc>
        <w:tc>
          <w:tcPr>
            <w:tcW w:w="475" w:type="dxa"/>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35"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35"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2125"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320"/>
              <w:jc w:val="center"/>
              <w:rPr>
                <w:rFonts w:asciiTheme="minorEastAsia" w:hAnsiTheme="minorEastAsia" w:eastAsiaTheme="minorEastAsia"/>
                <w:color w:val="auto"/>
                <w:sz w:val="16"/>
                <w:szCs w:val="16"/>
              </w:rPr>
            </w:pPr>
          </w:p>
        </w:tc>
        <w:tc>
          <w:tcPr>
            <w:tcW w:w="1614" w:type="dxa"/>
            <w:gridSpan w:val="2"/>
            <w:tcBorders>
              <w:top w:val="single" w:color="auto" w:sz="4" w:space="0"/>
              <w:left w:val="single" w:color="auto" w:sz="4" w:space="0"/>
              <w:bottom w:val="single" w:color="auto" w:sz="4" w:space="0"/>
              <w:right w:val="single" w:color="auto" w:sz="4" w:space="0"/>
            </w:tcBorders>
          </w:tcPr>
          <w:p>
            <w:pPr>
              <w:pStyle w:val="35"/>
              <w:spacing w:before="34"/>
              <w:ind w:left="17"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指标8：参加相关培训</w:t>
            </w:r>
          </w:p>
        </w:tc>
        <w:tc>
          <w:tcPr>
            <w:tcW w:w="808" w:type="dxa"/>
            <w:tcBorders>
              <w:top w:val="single" w:color="auto" w:sz="4" w:space="0"/>
              <w:left w:val="single" w:color="auto" w:sz="4" w:space="0"/>
              <w:bottom w:val="single" w:color="auto" w:sz="4" w:space="0"/>
              <w:right w:val="single" w:color="auto" w:sz="4" w:space="0"/>
            </w:tcBorders>
          </w:tcPr>
          <w:p>
            <w:pPr>
              <w:pStyle w:val="35"/>
              <w:spacing w:before="34"/>
              <w:ind w:left="343"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5次</w:t>
            </w:r>
          </w:p>
        </w:tc>
        <w:tc>
          <w:tcPr>
            <w:tcW w:w="936" w:type="dxa"/>
            <w:gridSpan w:val="2"/>
            <w:tcBorders>
              <w:top w:val="single" w:color="auto" w:sz="4" w:space="0"/>
              <w:left w:val="single" w:color="auto" w:sz="4" w:space="0"/>
              <w:bottom w:val="single" w:color="auto" w:sz="4" w:space="0"/>
              <w:right w:val="single" w:color="auto" w:sz="4" w:space="0"/>
            </w:tcBorders>
          </w:tcPr>
          <w:p>
            <w:pPr>
              <w:pStyle w:val="35"/>
              <w:spacing w:before="34"/>
              <w:ind w:left="408"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5次</w:t>
            </w:r>
          </w:p>
        </w:tc>
        <w:tc>
          <w:tcPr>
            <w:tcW w:w="475" w:type="dxa"/>
            <w:tcBorders>
              <w:top w:val="single" w:color="auto" w:sz="4" w:space="0"/>
              <w:left w:val="single" w:color="auto" w:sz="4" w:space="0"/>
              <w:bottom w:val="single" w:color="auto" w:sz="4" w:space="0"/>
              <w:right w:val="single" w:color="auto" w:sz="4" w:space="0"/>
            </w:tcBorders>
          </w:tcPr>
          <w:p>
            <w:pPr>
              <w:pStyle w:val="35"/>
              <w:spacing w:before="48"/>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2</w:t>
            </w:r>
          </w:p>
        </w:tc>
        <w:tc>
          <w:tcPr>
            <w:tcW w:w="475" w:type="dxa"/>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35"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35"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2125"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320"/>
              <w:jc w:val="center"/>
              <w:rPr>
                <w:rFonts w:asciiTheme="minorEastAsia" w:hAnsiTheme="minorEastAsia" w:eastAsiaTheme="minorEastAsia"/>
                <w:color w:val="auto"/>
                <w:sz w:val="16"/>
                <w:szCs w:val="16"/>
              </w:rPr>
            </w:pPr>
          </w:p>
        </w:tc>
        <w:tc>
          <w:tcPr>
            <w:tcW w:w="1614" w:type="dxa"/>
            <w:gridSpan w:val="2"/>
            <w:tcBorders>
              <w:top w:val="single" w:color="auto" w:sz="4" w:space="0"/>
              <w:left w:val="single" w:color="auto" w:sz="4" w:space="0"/>
              <w:bottom w:val="single" w:color="auto" w:sz="4" w:space="0"/>
              <w:right w:val="single" w:color="auto" w:sz="4" w:space="0"/>
            </w:tcBorders>
          </w:tcPr>
          <w:p>
            <w:pPr>
              <w:pStyle w:val="35"/>
              <w:spacing w:before="34"/>
              <w:ind w:left="17"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指标9：营商环境监测点企业</w:t>
            </w:r>
          </w:p>
        </w:tc>
        <w:tc>
          <w:tcPr>
            <w:tcW w:w="808" w:type="dxa"/>
            <w:tcBorders>
              <w:top w:val="single" w:color="auto" w:sz="4" w:space="0"/>
              <w:left w:val="single" w:color="auto" w:sz="4" w:space="0"/>
              <w:bottom w:val="single" w:color="auto" w:sz="4" w:space="0"/>
              <w:right w:val="single" w:color="auto" w:sz="4" w:space="0"/>
            </w:tcBorders>
          </w:tcPr>
          <w:p>
            <w:pPr>
              <w:pStyle w:val="35"/>
              <w:spacing w:before="34"/>
              <w:ind w:left="326"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2"/>
              </w:rPr>
              <w:t>15家</w:t>
            </w:r>
          </w:p>
        </w:tc>
        <w:tc>
          <w:tcPr>
            <w:tcW w:w="936" w:type="dxa"/>
            <w:gridSpan w:val="2"/>
            <w:tcBorders>
              <w:top w:val="single" w:color="auto" w:sz="4" w:space="0"/>
              <w:left w:val="single" w:color="auto" w:sz="4" w:space="0"/>
              <w:bottom w:val="single" w:color="auto" w:sz="4" w:space="0"/>
              <w:right w:val="single" w:color="auto" w:sz="4" w:space="0"/>
            </w:tcBorders>
          </w:tcPr>
          <w:p>
            <w:pPr>
              <w:pStyle w:val="35"/>
              <w:spacing w:before="34"/>
              <w:ind w:left="392"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2"/>
              </w:rPr>
              <w:t>15家</w:t>
            </w:r>
          </w:p>
        </w:tc>
        <w:tc>
          <w:tcPr>
            <w:tcW w:w="475" w:type="dxa"/>
            <w:tcBorders>
              <w:top w:val="single" w:color="auto" w:sz="4" w:space="0"/>
              <w:left w:val="single" w:color="auto" w:sz="4" w:space="0"/>
              <w:bottom w:val="single" w:color="auto" w:sz="4" w:space="0"/>
              <w:right w:val="single" w:color="auto" w:sz="4" w:space="0"/>
            </w:tcBorders>
          </w:tcPr>
          <w:p>
            <w:pPr>
              <w:pStyle w:val="35"/>
              <w:spacing w:before="48"/>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3</w:t>
            </w:r>
          </w:p>
        </w:tc>
        <w:tc>
          <w:tcPr>
            <w:tcW w:w="475" w:type="dxa"/>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35"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35"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2125"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320"/>
              <w:jc w:val="center"/>
              <w:rPr>
                <w:rFonts w:asciiTheme="minorEastAsia" w:hAnsiTheme="minorEastAsia" w:eastAsiaTheme="minorEastAsia"/>
                <w:color w:val="auto"/>
                <w:sz w:val="16"/>
                <w:szCs w:val="16"/>
              </w:rPr>
            </w:pPr>
          </w:p>
        </w:tc>
        <w:tc>
          <w:tcPr>
            <w:tcW w:w="1614" w:type="dxa"/>
            <w:gridSpan w:val="2"/>
            <w:tcBorders>
              <w:top w:val="single" w:color="auto" w:sz="4" w:space="0"/>
              <w:left w:val="single" w:color="auto" w:sz="4" w:space="0"/>
              <w:bottom w:val="single" w:color="auto" w:sz="4" w:space="0"/>
              <w:right w:val="single" w:color="auto" w:sz="4" w:space="0"/>
            </w:tcBorders>
          </w:tcPr>
          <w:p>
            <w:pPr>
              <w:pStyle w:val="35"/>
              <w:spacing w:before="35"/>
              <w:ind w:left="17"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指标10：发布预警信息</w:t>
            </w:r>
          </w:p>
        </w:tc>
        <w:tc>
          <w:tcPr>
            <w:tcW w:w="808" w:type="dxa"/>
            <w:tcBorders>
              <w:top w:val="single" w:color="auto" w:sz="4" w:space="0"/>
              <w:left w:val="single" w:color="auto" w:sz="4" w:space="0"/>
              <w:bottom w:val="single" w:color="auto" w:sz="4" w:space="0"/>
              <w:right w:val="single" w:color="auto" w:sz="4" w:space="0"/>
            </w:tcBorders>
          </w:tcPr>
          <w:p>
            <w:pPr>
              <w:pStyle w:val="35"/>
              <w:spacing w:before="35"/>
              <w:ind w:left="305"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2"/>
              </w:rPr>
              <w:t>100条</w:t>
            </w:r>
          </w:p>
        </w:tc>
        <w:tc>
          <w:tcPr>
            <w:tcW w:w="936" w:type="dxa"/>
            <w:gridSpan w:val="2"/>
            <w:tcBorders>
              <w:top w:val="single" w:color="auto" w:sz="4" w:space="0"/>
              <w:left w:val="single" w:color="auto" w:sz="4" w:space="0"/>
              <w:bottom w:val="single" w:color="auto" w:sz="4" w:space="0"/>
              <w:right w:val="single" w:color="auto" w:sz="4" w:space="0"/>
            </w:tcBorders>
          </w:tcPr>
          <w:p>
            <w:pPr>
              <w:pStyle w:val="35"/>
              <w:spacing w:before="35"/>
              <w:ind w:left="325"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100余条</w:t>
            </w:r>
          </w:p>
        </w:tc>
        <w:tc>
          <w:tcPr>
            <w:tcW w:w="475" w:type="dxa"/>
            <w:tcBorders>
              <w:top w:val="single" w:color="auto" w:sz="4" w:space="0"/>
              <w:left w:val="single" w:color="auto" w:sz="4" w:space="0"/>
              <w:bottom w:val="single" w:color="auto" w:sz="4" w:space="0"/>
              <w:right w:val="single" w:color="auto" w:sz="4" w:space="0"/>
            </w:tcBorders>
          </w:tcPr>
          <w:p>
            <w:pPr>
              <w:pStyle w:val="35"/>
              <w:spacing w:before="48"/>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3</w:t>
            </w:r>
          </w:p>
        </w:tc>
        <w:tc>
          <w:tcPr>
            <w:tcW w:w="475" w:type="dxa"/>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35"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35"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2125"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320"/>
              <w:jc w:val="center"/>
              <w:rPr>
                <w:rFonts w:asciiTheme="minorEastAsia" w:hAnsiTheme="minorEastAsia" w:eastAsiaTheme="minorEastAsia"/>
                <w:color w:val="auto"/>
                <w:sz w:val="16"/>
                <w:szCs w:val="16"/>
              </w:rPr>
            </w:pPr>
          </w:p>
        </w:tc>
        <w:tc>
          <w:tcPr>
            <w:tcW w:w="1614" w:type="dxa"/>
            <w:gridSpan w:val="2"/>
            <w:tcBorders>
              <w:top w:val="single" w:color="auto" w:sz="4" w:space="0"/>
              <w:left w:val="single" w:color="auto" w:sz="4" w:space="0"/>
              <w:bottom w:val="single" w:color="auto" w:sz="4" w:space="0"/>
              <w:right w:val="single" w:color="auto" w:sz="4" w:space="0"/>
            </w:tcBorders>
          </w:tcPr>
          <w:p>
            <w:pPr>
              <w:pStyle w:val="35"/>
              <w:spacing w:before="34"/>
              <w:ind w:left="17"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指标11：展览面积</w:t>
            </w:r>
          </w:p>
        </w:tc>
        <w:tc>
          <w:tcPr>
            <w:tcW w:w="808" w:type="dxa"/>
            <w:tcBorders>
              <w:top w:val="single" w:color="auto" w:sz="4" w:space="0"/>
              <w:left w:val="single" w:color="auto" w:sz="4" w:space="0"/>
              <w:bottom w:val="single" w:color="auto" w:sz="4" w:space="0"/>
              <w:right w:val="single" w:color="auto" w:sz="4" w:space="0"/>
            </w:tcBorders>
          </w:tcPr>
          <w:p>
            <w:pPr>
              <w:pStyle w:val="35"/>
              <w:spacing w:before="34"/>
              <w:ind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1500平方米</w:t>
            </w:r>
          </w:p>
        </w:tc>
        <w:tc>
          <w:tcPr>
            <w:tcW w:w="936" w:type="dxa"/>
            <w:gridSpan w:val="2"/>
            <w:tcBorders>
              <w:top w:val="single" w:color="auto" w:sz="4" w:space="0"/>
              <w:left w:val="single" w:color="auto" w:sz="4" w:space="0"/>
              <w:bottom w:val="single" w:color="auto" w:sz="4" w:space="0"/>
              <w:right w:val="single" w:color="auto" w:sz="4" w:space="0"/>
            </w:tcBorders>
          </w:tcPr>
          <w:p>
            <w:pPr>
              <w:pStyle w:val="35"/>
              <w:spacing w:before="34"/>
              <w:ind w:left="260"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1680平方米</w:t>
            </w:r>
          </w:p>
        </w:tc>
        <w:tc>
          <w:tcPr>
            <w:tcW w:w="475" w:type="dxa"/>
            <w:tcBorders>
              <w:top w:val="single" w:color="auto" w:sz="4" w:space="0"/>
              <w:left w:val="single" w:color="auto" w:sz="4" w:space="0"/>
              <w:bottom w:val="single" w:color="auto" w:sz="4" w:space="0"/>
              <w:right w:val="single" w:color="auto" w:sz="4" w:space="0"/>
            </w:tcBorders>
          </w:tcPr>
          <w:p>
            <w:pPr>
              <w:pStyle w:val="35"/>
              <w:spacing w:before="48"/>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3</w:t>
            </w:r>
          </w:p>
        </w:tc>
        <w:tc>
          <w:tcPr>
            <w:tcW w:w="475" w:type="dxa"/>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35"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35"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2125" w:type="dxa"/>
            <w:gridSpan w:val="2"/>
            <w:tcBorders>
              <w:top w:val="single" w:color="auto" w:sz="4" w:space="0"/>
              <w:left w:val="single" w:color="auto" w:sz="4" w:space="0"/>
              <w:bottom w:val="single" w:color="auto" w:sz="4" w:space="0"/>
              <w:right w:val="single" w:color="auto" w:sz="4" w:space="0"/>
            </w:tcBorders>
          </w:tcPr>
          <w:p>
            <w:pPr>
              <w:pStyle w:val="35"/>
              <w:spacing w:before="18"/>
              <w:ind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质量指标</w:t>
            </w:r>
          </w:p>
        </w:tc>
        <w:tc>
          <w:tcPr>
            <w:tcW w:w="1614" w:type="dxa"/>
            <w:gridSpan w:val="2"/>
            <w:tcBorders>
              <w:top w:val="single" w:color="auto" w:sz="4" w:space="0"/>
              <w:left w:val="single" w:color="auto" w:sz="4" w:space="0"/>
              <w:bottom w:val="single" w:color="auto" w:sz="4" w:space="0"/>
              <w:right w:val="single" w:color="auto" w:sz="4" w:space="0"/>
            </w:tcBorders>
          </w:tcPr>
          <w:p>
            <w:pPr>
              <w:pStyle w:val="35"/>
              <w:spacing w:before="18"/>
              <w:ind w:left="62"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指标1：项目验收</w:t>
            </w:r>
          </w:p>
        </w:tc>
        <w:tc>
          <w:tcPr>
            <w:tcW w:w="808" w:type="dxa"/>
            <w:tcBorders>
              <w:top w:val="single" w:color="auto" w:sz="4" w:space="0"/>
              <w:left w:val="single" w:color="auto" w:sz="4" w:space="0"/>
              <w:bottom w:val="single" w:color="auto" w:sz="4" w:space="0"/>
              <w:right w:val="single" w:color="auto" w:sz="4" w:space="0"/>
            </w:tcBorders>
          </w:tcPr>
          <w:p>
            <w:pPr>
              <w:pStyle w:val="35"/>
              <w:spacing w:before="18"/>
              <w:ind w:left="344"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95%</w:t>
            </w:r>
          </w:p>
        </w:tc>
        <w:tc>
          <w:tcPr>
            <w:tcW w:w="936" w:type="dxa"/>
            <w:gridSpan w:val="2"/>
            <w:tcBorders>
              <w:top w:val="single" w:color="auto" w:sz="4" w:space="0"/>
              <w:left w:val="single" w:color="auto" w:sz="4" w:space="0"/>
              <w:bottom w:val="single" w:color="auto" w:sz="4" w:space="0"/>
              <w:right w:val="single" w:color="auto" w:sz="4" w:space="0"/>
            </w:tcBorders>
          </w:tcPr>
          <w:p>
            <w:pPr>
              <w:pStyle w:val="35"/>
              <w:spacing w:before="18"/>
              <w:ind w:left="407"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95%</w:t>
            </w:r>
          </w:p>
        </w:tc>
        <w:tc>
          <w:tcPr>
            <w:tcW w:w="475" w:type="dxa"/>
            <w:tcBorders>
              <w:top w:val="single" w:color="auto" w:sz="4" w:space="0"/>
              <w:left w:val="single" w:color="auto" w:sz="4" w:space="0"/>
              <w:bottom w:val="single" w:color="auto" w:sz="4" w:space="0"/>
              <w:right w:val="single" w:color="auto" w:sz="4" w:space="0"/>
            </w:tcBorders>
          </w:tcPr>
          <w:p>
            <w:pPr>
              <w:pStyle w:val="35"/>
              <w:spacing w:before="33"/>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5</w:t>
            </w:r>
          </w:p>
        </w:tc>
        <w:tc>
          <w:tcPr>
            <w:tcW w:w="475" w:type="dxa"/>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05"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05"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2125" w:type="dxa"/>
            <w:gridSpan w:val="2"/>
            <w:tcBorders>
              <w:top w:val="single" w:color="auto" w:sz="4" w:space="0"/>
              <w:left w:val="single" w:color="auto" w:sz="4" w:space="0"/>
              <w:bottom w:val="single" w:color="auto" w:sz="4" w:space="0"/>
              <w:right w:val="single" w:color="auto" w:sz="4" w:space="0"/>
            </w:tcBorders>
          </w:tcPr>
          <w:p>
            <w:pPr>
              <w:pStyle w:val="35"/>
              <w:spacing w:before="17"/>
              <w:ind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5"/>
              </w:rPr>
              <w:t>时效指标</w:t>
            </w:r>
          </w:p>
        </w:tc>
        <w:tc>
          <w:tcPr>
            <w:tcW w:w="1614" w:type="dxa"/>
            <w:gridSpan w:val="2"/>
            <w:tcBorders>
              <w:top w:val="single" w:color="auto" w:sz="4" w:space="0"/>
              <w:left w:val="single" w:color="auto" w:sz="4" w:space="0"/>
              <w:bottom w:val="single" w:color="auto" w:sz="4" w:space="0"/>
              <w:right w:val="single" w:color="auto" w:sz="4" w:space="0"/>
            </w:tcBorders>
          </w:tcPr>
          <w:p>
            <w:pPr>
              <w:pStyle w:val="35"/>
              <w:spacing w:before="17"/>
              <w:ind w:left="62"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指标1：项目完成时间</w:t>
            </w:r>
          </w:p>
        </w:tc>
        <w:tc>
          <w:tcPr>
            <w:tcW w:w="808" w:type="dxa"/>
            <w:tcBorders>
              <w:top w:val="single" w:color="auto" w:sz="4" w:space="0"/>
              <w:left w:val="single" w:color="auto" w:sz="4" w:space="0"/>
              <w:bottom w:val="single" w:color="auto" w:sz="4" w:space="0"/>
              <w:right w:val="single" w:color="auto" w:sz="4" w:space="0"/>
            </w:tcBorders>
          </w:tcPr>
          <w:p>
            <w:pPr>
              <w:pStyle w:val="35"/>
              <w:spacing w:before="17"/>
              <w:ind w:left="57"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5"/>
              </w:rPr>
              <w:t>2022年12月31日前</w:t>
            </w:r>
          </w:p>
        </w:tc>
        <w:tc>
          <w:tcPr>
            <w:tcW w:w="936" w:type="dxa"/>
            <w:gridSpan w:val="2"/>
            <w:tcBorders>
              <w:top w:val="single" w:color="auto" w:sz="4" w:space="0"/>
              <w:left w:val="single" w:color="auto" w:sz="4" w:space="0"/>
              <w:bottom w:val="single" w:color="auto" w:sz="4" w:space="0"/>
              <w:right w:val="single" w:color="auto" w:sz="4" w:space="0"/>
            </w:tcBorders>
          </w:tcPr>
          <w:p>
            <w:pPr>
              <w:pStyle w:val="35"/>
              <w:spacing w:before="17"/>
              <w:ind w:left="122"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5"/>
              </w:rPr>
              <w:t>2022年12月31日前</w:t>
            </w:r>
          </w:p>
        </w:tc>
        <w:tc>
          <w:tcPr>
            <w:tcW w:w="475" w:type="dxa"/>
            <w:tcBorders>
              <w:top w:val="single" w:color="auto" w:sz="4" w:space="0"/>
              <w:left w:val="single" w:color="auto" w:sz="4" w:space="0"/>
              <w:bottom w:val="single" w:color="auto" w:sz="4" w:space="0"/>
              <w:right w:val="single" w:color="auto" w:sz="4" w:space="0"/>
            </w:tcBorders>
          </w:tcPr>
          <w:p>
            <w:pPr>
              <w:pStyle w:val="35"/>
              <w:spacing w:before="32"/>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5</w:t>
            </w:r>
          </w:p>
        </w:tc>
        <w:tc>
          <w:tcPr>
            <w:tcW w:w="475" w:type="dxa"/>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05"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05"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restart"/>
            <w:tcBorders>
              <w:top w:val="single" w:color="auto" w:sz="4" w:space="0"/>
              <w:left w:val="single" w:color="auto" w:sz="4" w:space="0"/>
              <w:bottom w:val="single" w:color="auto" w:sz="4" w:space="0"/>
              <w:right w:val="single" w:color="auto" w:sz="4" w:space="0"/>
            </w:tcBorders>
          </w:tcPr>
          <w:p>
            <w:pPr>
              <w:spacing w:line="278" w:lineRule="auto"/>
              <w:ind w:firstLine="320"/>
              <w:rPr>
                <w:rFonts w:cs="Arial" w:asciiTheme="minorEastAsia" w:hAnsiTheme="minorEastAsia" w:eastAsiaTheme="minorEastAsia"/>
                <w:color w:val="auto"/>
                <w:sz w:val="16"/>
                <w:szCs w:val="16"/>
              </w:rPr>
            </w:pPr>
          </w:p>
          <w:p>
            <w:pPr>
              <w:spacing w:line="278" w:lineRule="auto"/>
              <w:ind w:firstLine="320"/>
              <w:rPr>
                <w:rFonts w:asciiTheme="minorEastAsia" w:hAnsiTheme="minorEastAsia" w:eastAsiaTheme="minorEastAsia"/>
                <w:color w:val="auto"/>
                <w:sz w:val="16"/>
                <w:szCs w:val="16"/>
              </w:rPr>
            </w:pPr>
          </w:p>
          <w:p>
            <w:pPr>
              <w:pStyle w:val="35"/>
              <w:spacing w:before="26"/>
              <w:ind w:left="125"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成本指标</w:t>
            </w:r>
          </w:p>
        </w:tc>
        <w:tc>
          <w:tcPr>
            <w:tcW w:w="2125"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78" w:lineRule="auto"/>
              <w:ind w:firstLine="320"/>
              <w:jc w:val="center"/>
              <w:rPr>
                <w:rFonts w:cs="Arial" w:asciiTheme="minorEastAsia" w:hAnsiTheme="minorEastAsia" w:eastAsiaTheme="minorEastAsia"/>
                <w:color w:val="auto"/>
                <w:sz w:val="16"/>
                <w:szCs w:val="16"/>
              </w:rPr>
            </w:pPr>
          </w:p>
          <w:p>
            <w:pPr>
              <w:spacing w:line="278" w:lineRule="auto"/>
              <w:ind w:firstLine="320"/>
              <w:jc w:val="center"/>
              <w:rPr>
                <w:rFonts w:asciiTheme="minorEastAsia" w:hAnsiTheme="minorEastAsia" w:eastAsiaTheme="minorEastAsia"/>
                <w:color w:val="auto"/>
                <w:sz w:val="16"/>
                <w:szCs w:val="16"/>
              </w:rPr>
            </w:pPr>
          </w:p>
          <w:p>
            <w:pPr>
              <w:pStyle w:val="35"/>
              <w:spacing w:before="26"/>
              <w:ind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成本指标</w:t>
            </w:r>
          </w:p>
        </w:tc>
        <w:tc>
          <w:tcPr>
            <w:tcW w:w="1614" w:type="dxa"/>
            <w:gridSpan w:val="2"/>
            <w:tcBorders>
              <w:top w:val="single" w:color="auto" w:sz="4" w:space="0"/>
              <w:left w:val="single" w:color="auto" w:sz="4" w:space="0"/>
              <w:bottom w:val="single" w:color="auto" w:sz="4" w:space="0"/>
              <w:right w:val="single" w:color="auto" w:sz="4" w:space="0"/>
            </w:tcBorders>
            <w:vAlign w:val="center"/>
          </w:tcPr>
          <w:p>
            <w:pPr>
              <w:pStyle w:val="35"/>
              <w:spacing w:before="18"/>
              <w:ind w:left="62"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指标1：参会参展活动经费</w:t>
            </w:r>
          </w:p>
        </w:tc>
        <w:tc>
          <w:tcPr>
            <w:tcW w:w="808" w:type="dxa"/>
            <w:tcBorders>
              <w:top w:val="single" w:color="auto" w:sz="4" w:space="0"/>
              <w:left w:val="single" w:color="auto" w:sz="4" w:space="0"/>
              <w:bottom w:val="single" w:color="auto" w:sz="4" w:space="0"/>
              <w:right w:val="single" w:color="auto" w:sz="4" w:space="0"/>
            </w:tcBorders>
            <w:vAlign w:val="center"/>
          </w:tcPr>
          <w:p>
            <w:pPr>
              <w:pStyle w:val="35"/>
              <w:spacing w:before="18"/>
              <w:ind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≤6.6万元</w:t>
            </w:r>
          </w:p>
        </w:tc>
        <w:tc>
          <w:tcPr>
            <w:tcW w:w="936" w:type="dxa"/>
            <w:gridSpan w:val="2"/>
            <w:tcBorders>
              <w:top w:val="single" w:color="auto" w:sz="4" w:space="0"/>
              <w:left w:val="single" w:color="auto" w:sz="4" w:space="0"/>
              <w:bottom w:val="single" w:color="auto" w:sz="4" w:space="0"/>
              <w:right w:val="single" w:color="auto" w:sz="4" w:space="0"/>
            </w:tcBorders>
            <w:vAlign w:val="center"/>
          </w:tcPr>
          <w:p>
            <w:pPr>
              <w:pStyle w:val="35"/>
              <w:spacing w:before="18"/>
              <w:ind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≤6.6万元</w:t>
            </w:r>
          </w:p>
        </w:tc>
        <w:tc>
          <w:tcPr>
            <w:tcW w:w="475" w:type="dxa"/>
            <w:tcBorders>
              <w:top w:val="single" w:color="auto" w:sz="4" w:space="0"/>
              <w:left w:val="single" w:color="auto" w:sz="4" w:space="0"/>
              <w:bottom w:val="single" w:color="auto" w:sz="4" w:space="0"/>
              <w:right w:val="single" w:color="auto" w:sz="4" w:space="0"/>
            </w:tcBorders>
            <w:vAlign w:val="center"/>
          </w:tcPr>
          <w:p>
            <w:pPr>
              <w:pStyle w:val="35"/>
              <w:spacing w:before="32"/>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5</w:t>
            </w:r>
          </w:p>
        </w:tc>
        <w:tc>
          <w:tcPr>
            <w:tcW w:w="475"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105"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105"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2125"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320"/>
              <w:jc w:val="center"/>
              <w:rPr>
                <w:rFonts w:asciiTheme="minorEastAsia" w:hAnsiTheme="minorEastAsia" w:eastAsiaTheme="minorEastAsia"/>
                <w:color w:val="auto"/>
                <w:sz w:val="16"/>
                <w:szCs w:val="16"/>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pStyle w:val="35"/>
              <w:spacing w:before="10"/>
              <w:ind w:left="17" w:right="16"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指标2：帮扶工作差旅费、慰问脱贫户费</w:t>
            </w:r>
            <w:r>
              <w:rPr>
                <w:rFonts w:hint="eastAsia" w:cs="Times New Roman" w:asciiTheme="minorEastAsia" w:hAnsiTheme="minorEastAsia" w:eastAsiaTheme="minorEastAsia"/>
                <w:color w:val="auto"/>
                <w:spacing w:val="2"/>
              </w:rPr>
              <w:t xml:space="preserve"> </w:t>
            </w:r>
            <w:r>
              <w:rPr>
                <w:rFonts w:hint="eastAsia" w:cs="Times New Roman" w:asciiTheme="minorEastAsia" w:hAnsiTheme="minorEastAsia" w:eastAsiaTheme="minorEastAsia"/>
                <w:color w:val="auto"/>
                <w:spacing w:val="4"/>
              </w:rPr>
              <w:t>用</w:t>
            </w:r>
          </w:p>
        </w:tc>
        <w:tc>
          <w:tcPr>
            <w:tcW w:w="808" w:type="dxa"/>
            <w:tcBorders>
              <w:top w:val="single" w:color="auto" w:sz="4" w:space="0"/>
              <w:left w:val="single" w:color="auto" w:sz="4" w:space="0"/>
              <w:bottom w:val="single" w:color="auto" w:sz="4" w:space="0"/>
              <w:right w:val="single" w:color="auto" w:sz="4" w:space="0"/>
            </w:tcBorders>
            <w:vAlign w:val="center"/>
          </w:tcPr>
          <w:p>
            <w:pPr>
              <w:pStyle w:val="35"/>
              <w:spacing w:before="59"/>
              <w:ind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≤1.82万元</w:t>
            </w:r>
          </w:p>
        </w:tc>
        <w:tc>
          <w:tcPr>
            <w:tcW w:w="936" w:type="dxa"/>
            <w:gridSpan w:val="2"/>
            <w:tcBorders>
              <w:top w:val="single" w:color="auto" w:sz="4" w:space="0"/>
              <w:left w:val="single" w:color="auto" w:sz="4" w:space="0"/>
              <w:bottom w:val="single" w:color="auto" w:sz="4" w:space="0"/>
              <w:right w:val="single" w:color="auto" w:sz="4" w:space="0"/>
            </w:tcBorders>
            <w:vAlign w:val="center"/>
          </w:tcPr>
          <w:p>
            <w:pPr>
              <w:pStyle w:val="35"/>
              <w:spacing w:before="59"/>
              <w:ind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≤1.82万元</w:t>
            </w:r>
          </w:p>
        </w:tc>
        <w:tc>
          <w:tcPr>
            <w:tcW w:w="475" w:type="dxa"/>
            <w:tcBorders>
              <w:top w:val="single" w:color="auto" w:sz="4" w:space="0"/>
              <w:left w:val="single" w:color="auto" w:sz="4" w:space="0"/>
              <w:bottom w:val="single" w:color="auto" w:sz="4" w:space="0"/>
              <w:right w:val="single" w:color="auto" w:sz="4" w:space="0"/>
            </w:tcBorders>
            <w:vAlign w:val="center"/>
          </w:tcPr>
          <w:p>
            <w:pPr>
              <w:pStyle w:val="35"/>
              <w:spacing w:before="73"/>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5</w:t>
            </w:r>
          </w:p>
        </w:tc>
        <w:tc>
          <w:tcPr>
            <w:tcW w:w="475"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184"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184"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2125"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320"/>
              <w:jc w:val="center"/>
              <w:rPr>
                <w:rFonts w:asciiTheme="minorEastAsia" w:hAnsiTheme="minorEastAsia" w:eastAsiaTheme="minorEastAsia"/>
                <w:color w:val="auto"/>
                <w:sz w:val="16"/>
                <w:szCs w:val="16"/>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pStyle w:val="35"/>
              <w:spacing w:before="18"/>
              <w:ind w:left="22" w:right="15"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指标3：宣传、差旅、运行、调研、考察</w:t>
            </w:r>
            <w:r>
              <w:rPr>
                <w:rFonts w:hint="eastAsia" w:cs="Times New Roman" w:asciiTheme="minorEastAsia" w:hAnsiTheme="minorEastAsia" w:eastAsiaTheme="minorEastAsia"/>
                <w:color w:val="auto"/>
                <w:spacing w:val="3"/>
              </w:rPr>
              <w:t xml:space="preserve"> </w:t>
            </w:r>
            <w:r>
              <w:rPr>
                <w:rFonts w:hint="eastAsia" w:cs="Times New Roman" w:asciiTheme="minorEastAsia" w:hAnsiTheme="minorEastAsia" w:eastAsiaTheme="minorEastAsia"/>
                <w:color w:val="auto"/>
                <w:spacing w:val="6"/>
              </w:rPr>
              <w:t>、培训等经费</w:t>
            </w:r>
          </w:p>
        </w:tc>
        <w:tc>
          <w:tcPr>
            <w:tcW w:w="808" w:type="dxa"/>
            <w:tcBorders>
              <w:top w:val="single" w:color="auto" w:sz="4" w:space="0"/>
              <w:left w:val="single" w:color="auto" w:sz="4" w:space="0"/>
              <w:bottom w:val="single" w:color="auto" w:sz="4" w:space="0"/>
              <w:right w:val="single" w:color="auto" w:sz="4" w:space="0"/>
            </w:tcBorders>
            <w:vAlign w:val="center"/>
          </w:tcPr>
          <w:p>
            <w:pPr>
              <w:pStyle w:val="35"/>
              <w:spacing w:before="71"/>
              <w:ind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≤5万元</w:t>
            </w:r>
          </w:p>
        </w:tc>
        <w:tc>
          <w:tcPr>
            <w:tcW w:w="936" w:type="dxa"/>
            <w:gridSpan w:val="2"/>
            <w:tcBorders>
              <w:top w:val="single" w:color="auto" w:sz="4" w:space="0"/>
              <w:left w:val="single" w:color="auto" w:sz="4" w:space="0"/>
              <w:bottom w:val="single" w:color="auto" w:sz="4" w:space="0"/>
              <w:right w:val="single" w:color="auto" w:sz="4" w:space="0"/>
            </w:tcBorders>
            <w:vAlign w:val="center"/>
          </w:tcPr>
          <w:p>
            <w:pPr>
              <w:pStyle w:val="35"/>
              <w:spacing w:before="71"/>
              <w:ind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≤5万元</w:t>
            </w:r>
          </w:p>
        </w:tc>
        <w:tc>
          <w:tcPr>
            <w:tcW w:w="475" w:type="dxa"/>
            <w:tcBorders>
              <w:top w:val="single" w:color="auto" w:sz="4" w:space="0"/>
              <w:left w:val="single" w:color="auto" w:sz="4" w:space="0"/>
              <w:bottom w:val="single" w:color="auto" w:sz="4" w:space="0"/>
              <w:right w:val="single" w:color="auto" w:sz="4" w:space="0"/>
            </w:tcBorders>
            <w:vAlign w:val="center"/>
          </w:tcPr>
          <w:p>
            <w:pPr>
              <w:pStyle w:val="35"/>
              <w:spacing w:before="86"/>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5</w:t>
            </w:r>
          </w:p>
        </w:tc>
        <w:tc>
          <w:tcPr>
            <w:tcW w:w="475"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210"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210"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2125"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320"/>
              <w:jc w:val="center"/>
              <w:rPr>
                <w:rFonts w:asciiTheme="minorEastAsia" w:hAnsiTheme="minorEastAsia" w:eastAsiaTheme="minorEastAsia"/>
                <w:color w:val="auto"/>
                <w:sz w:val="16"/>
                <w:szCs w:val="16"/>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pStyle w:val="35"/>
              <w:spacing w:before="23"/>
              <w:ind w:left="18" w:right="14"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指标4：承办2022年第十一届秦巴山区年</w:t>
            </w:r>
            <w:r>
              <w:rPr>
                <w:rFonts w:hint="eastAsia" w:cs="Times New Roman" w:asciiTheme="minorEastAsia" w:hAnsiTheme="minorEastAsia" w:eastAsiaTheme="minorEastAsia"/>
                <w:color w:val="auto"/>
                <w:spacing w:val="10"/>
              </w:rPr>
              <w:t xml:space="preserve"> </w:t>
            </w:r>
            <w:r>
              <w:rPr>
                <w:rFonts w:hint="eastAsia" w:cs="Times New Roman" w:asciiTheme="minorEastAsia" w:hAnsiTheme="minorEastAsia" w:eastAsiaTheme="minorEastAsia"/>
                <w:color w:val="auto"/>
                <w:spacing w:val="6"/>
              </w:rPr>
              <w:t>货节各项活动费用</w:t>
            </w:r>
          </w:p>
        </w:tc>
        <w:tc>
          <w:tcPr>
            <w:tcW w:w="808" w:type="dxa"/>
            <w:tcBorders>
              <w:top w:val="single" w:color="auto" w:sz="4" w:space="0"/>
              <w:left w:val="single" w:color="auto" w:sz="4" w:space="0"/>
              <w:bottom w:val="single" w:color="auto" w:sz="4" w:space="0"/>
              <w:right w:val="single" w:color="auto" w:sz="4" w:space="0"/>
            </w:tcBorders>
            <w:vAlign w:val="center"/>
          </w:tcPr>
          <w:p>
            <w:pPr>
              <w:pStyle w:val="35"/>
              <w:spacing w:before="79"/>
              <w:ind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≤11.85万元</w:t>
            </w:r>
          </w:p>
        </w:tc>
        <w:tc>
          <w:tcPr>
            <w:tcW w:w="936" w:type="dxa"/>
            <w:gridSpan w:val="2"/>
            <w:tcBorders>
              <w:top w:val="single" w:color="auto" w:sz="4" w:space="0"/>
              <w:left w:val="single" w:color="auto" w:sz="4" w:space="0"/>
              <w:bottom w:val="single" w:color="auto" w:sz="4" w:space="0"/>
              <w:right w:val="single" w:color="auto" w:sz="4" w:space="0"/>
            </w:tcBorders>
            <w:vAlign w:val="center"/>
          </w:tcPr>
          <w:p>
            <w:pPr>
              <w:pStyle w:val="35"/>
              <w:spacing w:before="79"/>
              <w:ind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≤11.85万元</w:t>
            </w:r>
          </w:p>
        </w:tc>
        <w:tc>
          <w:tcPr>
            <w:tcW w:w="475" w:type="dxa"/>
            <w:tcBorders>
              <w:top w:val="single" w:color="auto" w:sz="4" w:space="0"/>
              <w:left w:val="single" w:color="auto" w:sz="4" w:space="0"/>
              <w:bottom w:val="single" w:color="auto" w:sz="4" w:space="0"/>
              <w:right w:val="single" w:color="auto" w:sz="4" w:space="0"/>
            </w:tcBorders>
            <w:vAlign w:val="center"/>
          </w:tcPr>
          <w:p>
            <w:pPr>
              <w:pStyle w:val="35"/>
              <w:spacing w:before="93"/>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5</w:t>
            </w:r>
          </w:p>
        </w:tc>
        <w:tc>
          <w:tcPr>
            <w:tcW w:w="475"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222"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222"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2125"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320"/>
              <w:jc w:val="center"/>
              <w:rPr>
                <w:rFonts w:asciiTheme="minorEastAsia" w:hAnsiTheme="minorEastAsia" w:eastAsiaTheme="minorEastAsia"/>
                <w:color w:val="auto"/>
                <w:sz w:val="16"/>
                <w:szCs w:val="16"/>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pStyle w:val="35"/>
              <w:spacing w:before="22"/>
              <w:ind w:left="62"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指标5：承办汽配展各项活动费用</w:t>
            </w:r>
          </w:p>
        </w:tc>
        <w:tc>
          <w:tcPr>
            <w:tcW w:w="808" w:type="dxa"/>
            <w:tcBorders>
              <w:top w:val="single" w:color="auto" w:sz="4" w:space="0"/>
              <w:left w:val="single" w:color="auto" w:sz="4" w:space="0"/>
              <w:bottom w:val="single" w:color="auto" w:sz="4" w:space="0"/>
              <w:right w:val="single" w:color="auto" w:sz="4" w:space="0"/>
            </w:tcBorders>
            <w:vAlign w:val="center"/>
          </w:tcPr>
          <w:p>
            <w:pPr>
              <w:pStyle w:val="35"/>
              <w:spacing w:before="22"/>
              <w:ind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≤3.51万元</w:t>
            </w:r>
          </w:p>
        </w:tc>
        <w:tc>
          <w:tcPr>
            <w:tcW w:w="936" w:type="dxa"/>
            <w:gridSpan w:val="2"/>
            <w:tcBorders>
              <w:top w:val="single" w:color="auto" w:sz="4" w:space="0"/>
              <w:left w:val="single" w:color="auto" w:sz="4" w:space="0"/>
              <w:bottom w:val="single" w:color="auto" w:sz="4" w:space="0"/>
              <w:right w:val="single" w:color="auto" w:sz="4" w:space="0"/>
            </w:tcBorders>
            <w:vAlign w:val="center"/>
          </w:tcPr>
          <w:p>
            <w:pPr>
              <w:pStyle w:val="35"/>
              <w:spacing w:before="22"/>
              <w:ind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≤3.51万元</w:t>
            </w:r>
          </w:p>
        </w:tc>
        <w:tc>
          <w:tcPr>
            <w:tcW w:w="475" w:type="dxa"/>
            <w:tcBorders>
              <w:top w:val="single" w:color="auto" w:sz="4" w:space="0"/>
              <w:left w:val="single" w:color="auto" w:sz="4" w:space="0"/>
              <w:bottom w:val="single" w:color="auto" w:sz="4" w:space="0"/>
              <w:right w:val="single" w:color="auto" w:sz="4" w:space="0"/>
            </w:tcBorders>
            <w:vAlign w:val="center"/>
          </w:tcPr>
          <w:p>
            <w:pPr>
              <w:pStyle w:val="35"/>
              <w:spacing w:before="36"/>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5</w:t>
            </w:r>
          </w:p>
        </w:tc>
        <w:tc>
          <w:tcPr>
            <w:tcW w:w="475"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105"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105"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38" w:type="dxa"/>
            <w:vMerge w:val="continue"/>
            <w:tcBorders>
              <w:top w:val="single" w:color="auto" w:sz="4" w:space="0"/>
              <w:left w:val="single" w:color="000000" w:sz="2" w:space="0"/>
              <w:bottom w:val="nil"/>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2125"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320"/>
              <w:jc w:val="center"/>
              <w:rPr>
                <w:rFonts w:asciiTheme="minorEastAsia" w:hAnsiTheme="minorEastAsia" w:eastAsiaTheme="minorEastAsia"/>
                <w:color w:val="auto"/>
                <w:sz w:val="16"/>
                <w:szCs w:val="16"/>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pStyle w:val="35"/>
              <w:spacing w:before="19"/>
              <w:ind w:left="62"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指标6：承办智博会各项活动费用</w:t>
            </w:r>
          </w:p>
        </w:tc>
        <w:tc>
          <w:tcPr>
            <w:tcW w:w="808" w:type="dxa"/>
            <w:tcBorders>
              <w:top w:val="single" w:color="auto" w:sz="4" w:space="0"/>
              <w:left w:val="single" w:color="auto" w:sz="4" w:space="0"/>
              <w:bottom w:val="single" w:color="auto" w:sz="4" w:space="0"/>
              <w:right w:val="single" w:color="auto" w:sz="4" w:space="0"/>
            </w:tcBorders>
            <w:vAlign w:val="center"/>
          </w:tcPr>
          <w:p>
            <w:pPr>
              <w:pStyle w:val="35"/>
              <w:spacing w:before="19"/>
              <w:ind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≤8万元</w:t>
            </w:r>
          </w:p>
        </w:tc>
        <w:tc>
          <w:tcPr>
            <w:tcW w:w="936" w:type="dxa"/>
            <w:gridSpan w:val="2"/>
            <w:tcBorders>
              <w:top w:val="single" w:color="auto" w:sz="4" w:space="0"/>
              <w:left w:val="single" w:color="auto" w:sz="4" w:space="0"/>
              <w:bottom w:val="single" w:color="auto" w:sz="4" w:space="0"/>
              <w:right w:val="single" w:color="auto" w:sz="4" w:space="0"/>
            </w:tcBorders>
            <w:vAlign w:val="center"/>
          </w:tcPr>
          <w:p>
            <w:pPr>
              <w:pStyle w:val="35"/>
              <w:spacing w:before="19"/>
              <w:ind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≤8万元</w:t>
            </w:r>
          </w:p>
        </w:tc>
        <w:tc>
          <w:tcPr>
            <w:tcW w:w="475" w:type="dxa"/>
            <w:tcBorders>
              <w:top w:val="single" w:color="auto" w:sz="4" w:space="0"/>
              <w:left w:val="single" w:color="auto" w:sz="4" w:space="0"/>
              <w:bottom w:val="single" w:color="auto" w:sz="4" w:space="0"/>
              <w:right w:val="single" w:color="auto" w:sz="4" w:space="0"/>
            </w:tcBorders>
            <w:vAlign w:val="center"/>
          </w:tcPr>
          <w:p>
            <w:pPr>
              <w:pStyle w:val="35"/>
              <w:spacing w:before="34"/>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5</w:t>
            </w:r>
          </w:p>
        </w:tc>
        <w:tc>
          <w:tcPr>
            <w:tcW w:w="475"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105"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105"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38" w:type="dxa"/>
            <w:vMerge w:val="continue"/>
            <w:tcBorders>
              <w:top w:val="nil"/>
              <w:left w:val="single" w:color="000000" w:sz="2" w:space="0"/>
              <w:bottom w:val="nil"/>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2125"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320"/>
              <w:jc w:val="center"/>
              <w:rPr>
                <w:rFonts w:asciiTheme="minorEastAsia" w:hAnsiTheme="minorEastAsia" w:eastAsiaTheme="minorEastAsia"/>
                <w:color w:val="auto"/>
                <w:sz w:val="16"/>
                <w:szCs w:val="16"/>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pStyle w:val="35"/>
              <w:spacing w:before="19"/>
              <w:ind w:left="62"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指标7：承办融洽会各项活动费用</w:t>
            </w:r>
          </w:p>
        </w:tc>
        <w:tc>
          <w:tcPr>
            <w:tcW w:w="808" w:type="dxa"/>
            <w:tcBorders>
              <w:top w:val="single" w:color="auto" w:sz="4" w:space="0"/>
              <w:left w:val="single" w:color="auto" w:sz="4" w:space="0"/>
              <w:bottom w:val="single" w:color="auto" w:sz="4" w:space="0"/>
              <w:right w:val="single" w:color="auto" w:sz="4" w:space="0"/>
            </w:tcBorders>
            <w:vAlign w:val="center"/>
          </w:tcPr>
          <w:p>
            <w:pPr>
              <w:pStyle w:val="35"/>
              <w:spacing w:before="19"/>
              <w:ind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≤2万元</w:t>
            </w:r>
          </w:p>
        </w:tc>
        <w:tc>
          <w:tcPr>
            <w:tcW w:w="936" w:type="dxa"/>
            <w:gridSpan w:val="2"/>
            <w:tcBorders>
              <w:top w:val="single" w:color="auto" w:sz="4" w:space="0"/>
              <w:left w:val="single" w:color="auto" w:sz="4" w:space="0"/>
              <w:bottom w:val="single" w:color="auto" w:sz="4" w:space="0"/>
              <w:right w:val="single" w:color="auto" w:sz="4" w:space="0"/>
            </w:tcBorders>
            <w:vAlign w:val="center"/>
          </w:tcPr>
          <w:p>
            <w:pPr>
              <w:pStyle w:val="35"/>
              <w:spacing w:before="19"/>
              <w:ind w:left="326" w:firstLine="336"/>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≤2万元</w:t>
            </w:r>
          </w:p>
        </w:tc>
        <w:tc>
          <w:tcPr>
            <w:tcW w:w="475" w:type="dxa"/>
            <w:tcBorders>
              <w:top w:val="single" w:color="auto" w:sz="4" w:space="0"/>
              <w:left w:val="single" w:color="auto" w:sz="4" w:space="0"/>
              <w:bottom w:val="single" w:color="auto" w:sz="4" w:space="0"/>
              <w:right w:val="single" w:color="auto" w:sz="4" w:space="0"/>
            </w:tcBorders>
            <w:vAlign w:val="center"/>
          </w:tcPr>
          <w:p>
            <w:pPr>
              <w:pStyle w:val="35"/>
              <w:spacing w:before="34"/>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5</w:t>
            </w:r>
          </w:p>
        </w:tc>
        <w:tc>
          <w:tcPr>
            <w:tcW w:w="475"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105"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105"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38" w:type="dxa"/>
            <w:vMerge w:val="continue"/>
            <w:tcBorders>
              <w:top w:val="nil"/>
              <w:left w:val="single" w:color="000000" w:sz="2" w:space="0"/>
              <w:bottom w:val="nil"/>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2125"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320"/>
              <w:jc w:val="center"/>
              <w:rPr>
                <w:rFonts w:asciiTheme="minorEastAsia" w:hAnsiTheme="minorEastAsia" w:eastAsiaTheme="minorEastAsia"/>
                <w:color w:val="auto"/>
                <w:sz w:val="16"/>
                <w:szCs w:val="16"/>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pStyle w:val="35"/>
              <w:spacing w:before="19"/>
              <w:ind w:left="62"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指标8：承办世博会各项活动费用</w:t>
            </w:r>
          </w:p>
        </w:tc>
        <w:tc>
          <w:tcPr>
            <w:tcW w:w="808" w:type="dxa"/>
            <w:tcBorders>
              <w:top w:val="single" w:color="auto" w:sz="4" w:space="0"/>
              <w:left w:val="single" w:color="auto" w:sz="4" w:space="0"/>
              <w:bottom w:val="single" w:color="auto" w:sz="4" w:space="0"/>
              <w:right w:val="single" w:color="auto" w:sz="4" w:space="0"/>
            </w:tcBorders>
            <w:vAlign w:val="center"/>
          </w:tcPr>
          <w:p>
            <w:pPr>
              <w:pStyle w:val="35"/>
              <w:spacing w:before="19"/>
              <w:ind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≤3.55万元</w:t>
            </w:r>
          </w:p>
        </w:tc>
        <w:tc>
          <w:tcPr>
            <w:tcW w:w="936" w:type="dxa"/>
            <w:gridSpan w:val="2"/>
            <w:tcBorders>
              <w:top w:val="single" w:color="auto" w:sz="4" w:space="0"/>
              <w:left w:val="single" w:color="auto" w:sz="4" w:space="0"/>
              <w:bottom w:val="single" w:color="auto" w:sz="4" w:space="0"/>
              <w:right w:val="single" w:color="auto" w:sz="4" w:space="0"/>
            </w:tcBorders>
            <w:vAlign w:val="center"/>
          </w:tcPr>
          <w:p>
            <w:pPr>
              <w:pStyle w:val="35"/>
              <w:spacing w:before="19"/>
              <w:ind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4"/>
              </w:rPr>
              <w:t>≤3.55万元</w:t>
            </w:r>
          </w:p>
        </w:tc>
        <w:tc>
          <w:tcPr>
            <w:tcW w:w="475" w:type="dxa"/>
            <w:tcBorders>
              <w:top w:val="single" w:color="auto" w:sz="4" w:space="0"/>
              <w:left w:val="single" w:color="auto" w:sz="4" w:space="0"/>
              <w:bottom w:val="single" w:color="auto" w:sz="4" w:space="0"/>
              <w:right w:val="single" w:color="auto" w:sz="4" w:space="0"/>
            </w:tcBorders>
            <w:vAlign w:val="center"/>
          </w:tcPr>
          <w:p>
            <w:pPr>
              <w:pStyle w:val="35"/>
              <w:spacing w:before="33"/>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5</w:t>
            </w:r>
          </w:p>
        </w:tc>
        <w:tc>
          <w:tcPr>
            <w:tcW w:w="475"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105"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105"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38" w:type="dxa"/>
            <w:vMerge w:val="continue"/>
            <w:tcBorders>
              <w:top w:val="nil"/>
              <w:left w:val="single" w:color="000000" w:sz="2" w:space="0"/>
              <w:bottom w:val="nil"/>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restart"/>
            <w:tcBorders>
              <w:top w:val="single" w:color="auto" w:sz="4" w:space="0"/>
              <w:left w:val="single" w:color="auto" w:sz="4" w:space="0"/>
              <w:bottom w:val="single" w:color="auto" w:sz="4" w:space="0"/>
              <w:right w:val="single" w:color="auto" w:sz="4" w:space="0"/>
            </w:tcBorders>
          </w:tcPr>
          <w:p>
            <w:pPr>
              <w:spacing w:line="328" w:lineRule="auto"/>
              <w:ind w:firstLine="320"/>
              <w:rPr>
                <w:rFonts w:cs="Arial" w:asciiTheme="minorEastAsia" w:hAnsiTheme="minorEastAsia" w:eastAsiaTheme="minorEastAsia"/>
                <w:color w:val="auto"/>
                <w:sz w:val="16"/>
                <w:szCs w:val="16"/>
              </w:rPr>
            </w:pPr>
          </w:p>
          <w:p>
            <w:pPr>
              <w:pStyle w:val="35"/>
              <w:spacing w:before="26"/>
              <w:ind w:firstLine="86" w:firstLineChars="50"/>
              <w:rPr>
                <w:rFonts w:cs="Times New Roman" w:asciiTheme="minorEastAsia" w:hAnsiTheme="minorEastAsia" w:eastAsiaTheme="minorEastAsia"/>
                <w:color w:val="auto"/>
                <w:spacing w:val="6"/>
              </w:rPr>
            </w:pPr>
            <w:r>
              <w:rPr>
                <w:rFonts w:hint="eastAsia" w:cs="Times New Roman" w:asciiTheme="minorEastAsia" w:hAnsiTheme="minorEastAsia" w:eastAsiaTheme="minorEastAsia"/>
                <w:color w:val="auto"/>
                <w:spacing w:val="6"/>
              </w:rPr>
              <w:t>效益</w:t>
            </w:r>
          </w:p>
          <w:p>
            <w:pPr>
              <w:pStyle w:val="35"/>
              <w:spacing w:before="26"/>
              <w:ind w:firstLine="86" w:firstLineChars="5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指标</w:t>
            </w:r>
          </w:p>
        </w:tc>
        <w:tc>
          <w:tcPr>
            <w:tcW w:w="2125" w:type="dxa"/>
            <w:gridSpan w:val="2"/>
            <w:vMerge w:val="restart"/>
            <w:tcBorders>
              <w:top w:val="single" w:color="auto" w:sz="4" w:space="0"/>
              <w:left w:val="single" w:color="auto" w:sz="4" w:space="0"/>
              <w:bottom w:val="single" w:color="auto" w:sz="4" w:space="0"/>
              <w:right w:val="single" w:color="auto" w:sz="4" w:space="0"/>
            </w:tcBorders>
            <w:vAlign w:val="center"/>
          </w:tcPr>
          <w:p>
            <w:pPr>
              <w:pStyle w:val="35"/>
              <w:spacing w:before="26" w:line="108" w:lineRule="exact"/>
              <w:ind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position w:val="1"/>
              </w:rPr>
              <w:t>社会效益</w:t>
            </w:r>
            <w:r>
              <w:rPr>
                <w:rFonts w:hint="eastAsia" w:cs="Times New Roman" w:asciiTheme="minorEastAsia" w:hAnsiTheme="minorEastAsia" w:eastAsiaTheme="minorEastAsia"/>
                <w:color w:val="auto"/>
                <w:spacing w:val="5"/>
              </w:rPr>
              <w:t>指标</w:t>
            </w:r>
          </w:p>
        </w:tc>
        <w:tc>
          <w:tcPr>
            <w:tcW w:w="1614" w:type="dxa"/>
            <w:gridSpan w:val="2"/>
            <w:tcBorders>
              <w:top w:val="single" w:color="auto" w:sz="4" w:space="0"/>
              <w:left w:val="single" w:color="auto" w:sz="4" w:space="0"/>
              <w:bottom w:val="single" w:color="auto" w:sz="4" w:space="0"/>
              <w:right w:val="single" w:color="auto" w:sz="4" w:space="0"/>
            </w:tcBorders>
            <w:vAlign w:val="center"/>
          </w:tcPr>
          <w:p>
            <w:pPr>
              <w:pStyle w:val="35"/>
              <w:spacing w:before="12"/>
              <w:ind w:left="62"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指标1：持续提升广元本地企业外向展</w:t>
            </w:r>
          </w:p>
        </w:tc>
        <w:tc>
          <w:tcPr>
            <w:tcW w:w="808" w:type="dxa"/>
            <w:tcBorders>
              <w:top w:val="single" w:color="auto" w:sz="4" w:space="0"/>
              <w:left w:val="single" w:color="auto" w:sz="4" w:space="0"/>
              <w:bottom w:val="single" w:color="auto" w:sz="4" w:space="0"/>
              <w:right w:val="single" w:color="auto" w:sz="4" w:space="0"/>
            </w:tcBorders>
            <w:vAlign w:val="center"/>
          </w:tcPr>
          <w:p>
            <w:pPr>
              <w:pStyle w:val="35"/>
              <w:spacing w:before="19"/>
              <w:ind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98%</w:t>
            </w:r>
          </w:p>
        </w:tc>
        <w:tc>
          <w:tcPr>
            <w:tcW w:w="936" w:type="dxa"/>
            <w:gridSpan w:val="2"/>
            <w:tcBorders>
              <w:top w:val="single" w:color="auto" w:sz="4" w:space="0"/>
              <w:left w:val="single" w:color="auto" w:sz="4" w:space="0"/>
              <w:bottom w:val="single" w:color="auto" w:sz="4" w:space="0"/>
              <w:right w:val="single" w:color="auto" w:sz="4" w:space="0"/>
            </w:tcBorders>
            <w:vAlign w:val="center"/>
          </w:tcPr>
          <w:p>
            <w:pPr>
              <w:pStyle w:val="35"/>
              <w:spacing w:before="19"/>
              <w:ind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98%</w:t>
            </w:r>
          </w:p>
        </w:tc>
        <w:tc>
          <w:tcPr>
            <w:tcW w:w="475" w:type="dxa"/>
            <w:tcBorders>
              <w:top w:val="single" w:color="auto" w:sz="4" w:space="0"/>
              <w:left w:val="single" w:color="auto" w:sz="4" w:space="0"/>
              <w:bottom w:val="single" w:color="auto" w:sz="4" w:space="0"/>
              <w:right w:val="single" w:color="auto" w:sz="4" w:space="0"/>
            </w:tcBorders>
            <w:vAlign w:val="center"/>
          </w:tcPr>
          <w:p>
            <w:pPr>
              <w:pStyle w:val="35"/>
              <w:spacing w:before="34"/>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5</w:t>
            </w:r>
          </w:p>
        </w:tc>
        <w:tc>
          <w:tcPr>
            <w:tcW w:w="475"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105"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105"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38" w:type="dxa"/>
            <w:vMerge w:val="continue"/>
            <w:tcBorders>
              <w:top w:val="nil"/>
              <w:left w:val="single" w:color="000000" w:sz="2" w:space="0"/>
              <w:bottom w:val="nil"/>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2125"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320"/>
              <w:jc w:val="center"/>
              <w:rPr>
                <w:rFonts w:asciiTheme="minorEastAsia" w:hAnsiTheme="minorEastAsia" w:eastAsiaTheme="minorEastAsia"/>
                <w:color w:val="auto"/>
                <w:sz w:val="16"/>
                <w:szCs w:val="16"/>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pStyle w:val="35"/>
              <w:spacing w:before="31"/>
              <w:ind w:left="20" w:right="59"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指标2：持续帮扶脱贫村稳定脱贫 做好</w:t>
            </w:r>
            <w:r>
              <w:rPr>
                <w:rFonts w:hint="eastAsia" w:cs="Times New Roman" w:asciiTheme="minorEastAsia" w:hAnsiTheme="minorEastAsia" w:eastAsiaTheme="minorEastAsia"/>
                <w:color w:val="auto"/>
              </w:rPr>
              <w:t xml:space="preserve"> </w:t>
            </w:r>
            <w:r>
              <w:rPr>
                <w:rFonts w:hint="eastAsia" w:cs="Times New Roman" w:asciiTheme="minorEastAsia" w:hAnsiTheme="minorEastAsia" w:eastAsiaTheme="minorEastAsia"/>
                <w:color w:val="auto"/>
                <w:spacing w:val="6"/>
              </w:rPr>
              <w:t>乡村振兴有效衔接</w:t>
            </w:r>
          </w:p>
        </w:tc>
        <w:tc>
          <w:tcPr>
            <w:tcW w:w="808" w:type="dxa"/>
            <w:tcBorders>
              <w:top w:val="single" w:color="auto" w:sz="4" w:space="0"/>
              <w:left w:val="single" w:color="auto" w:sz="4" w:space="0"/>
              <w:bottom w:val="single" w:color="auto" w:sz="4" w:space="0"/>
              <w:right w:val="single" w:color="auto" w:sz="4" w:space="0"/>
            </w:tcBorders>
            <w:vAlign w:val="center"/>
          </w:tcPr>
          <w:p>
            <w:pPr>
              <w:pStyle w:val="35"/>
              <w:spacing w:before="87" w:line="112" w:lineRule="exact"/>
              <w:ind w:left="344"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position w:val="1"/>
              </w:rPr>
              <w:t>98%</w:t>
            </w:r>
          </w:p>
        </w:tc>
        <w:tc>
          <w:tcPr>
            <w:tcW w:w="936" w:type="dxa"/>
            <w:gridSpan w:val="2"/>
            <w:tcBorders>
              <w:top w:val="single" w:color="auto" w:sz="4" w:space="0"/>
              <w:left w:val="single" w:color="auto" w:sz="4" w:space="0"/>
              <w:bottom w:val="single" w:color="auto" w:sz="4" w:space="0"/>
              <w:right w:val="single" w:color="auto" w:sz="4" w:space="0"/>
            </w:tcBorders>
            <w:vAlign w:val="center"/>
          </w:tcPr>
          <w:p>
            <w:pPr>
              <w:pStyle w:val="35"/>
              <w:spacing w:before="87" w:line="112" w:lineRule="exact"/>
              <w:ind w:left="407"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position w:val="1"/>
              </w:rPr>
              <w:t>98%</w:t>
            </w:r>
          </w:p>
        </w:tc>
        <w:tc>
          <w:tcPr>
            <w:tcW w:w="475" w:type="dxa"/>
            <w:tcBorders>
              <w:top w:val="single" w:color="auto" w:sz="4" w:space="0"/>
              <w:left w:val="single" w:color="auto" w:sz="4" w:space="0"/>
              <w:bottom w:val="single" w:color="auto" w:sz="4" w:space="0"/>
              <w:right w:val="single" w:color="auto" w:sz="4" w:space="0"/>
            </w:tcBorders>
            <w:vAlign w:val="center"/>
          </w:tcPr>
          <w:p>
            <w:pPr>
              <w:pStyle w:val="35"/>
              <w:spacing w:before="101"/>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2</w:t>
            </w:r>
          </w:p>
        </w:tc>
        <w:tc>
          <w:tcPr>
            <w:tcW w:w="475"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237"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237"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538" w:type="dxa"/>
            <w:vMerge w:val="continue"/>
            <w:tcBorders>
              <w:top w:val="nil"/>
              <w:left w:val="single" w:color="000000" w:sz="2" w:space="0"/>
              <w:bottom w:val="nil"/>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2125"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320"/>
              <w:jc w:val="center"/>
              <w:rPr>
                <w:rFonts w:asciiTheme="minorEastAsia" w:hAnsiTheme="minorEastAsia" w:eastAsiaTheme="minorEastAsia"/>
                <w:color w:val="auto"/>
                <w:sz w:val="16"/>
                <w:szCs w:val="16"/>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pStyle w:val="35"/>
              <w:spacing w:before="62" w:line="244" w:lineRule="auto"/>
              <w:ind w:left="16" w:right="16" w:firstLine="348"/>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指标3：持续提升广元本地企业外向发展</w:t>
            </w:r>
            <w:r>
              <w:rPr>
                <w:rFonts w:hint="eastAsia" w:cs="Times New Roman" w:asciiTheme="minorEastAsia" w:hAnsiTheme="minorEastAsia" w:eastAsiaTheme="minorEastAsia"/>
                <w:color w:val="auto"/>
                <w:spacing w:val="2"/>
              </w:rPr>
              <w:t xml:space="preserve"> </w:t>
            </w:r>
            <w:r>
              <w:rPr>
                <w:rFonts w:hint="eastAsia" w:cs="Times New Roman" w:asciiTheme="minorEastAsia" w:hAnsiTheme="minorEastAsia" w:eastAsiaTheme="minorEastAsia"/>
                <w:color w:val="auto"/>
                <w:spacing w:val="7"/>
              </w:rPr>
              <w:t>能力水平、优化营商环境、做好非优惠原</w:t>
            </w:r>
            <w:r>
              <w:rPr>
                <w:rFonts w:hint="eastAsia" w:cs="Times New Roman" w:asciiTheme="minorEastAsia" w:hAnsiTheme="minorEastAsia" w:eastAsiaTheme="minorEastAsia"/>
                <w:color w:val="auto"/>
                <w:spacing w:val="6"/>
              </w:rPr>
              <w:t xml:space="preserve"> </w:t>
            </w:r>
            <w:r>
              <w:rPr>
                <w:rFonts w:hint="eastAsia" w:cs="Times New Roman" w:asciiTheme="minorEastAsia" w:hAnsiTheme="minorEastAsia" w:eastAsiaTheme="minorEastAsia"/>
                <w:color w:val="auto"/>
                <w:spacing w:val="7"/>
              </w:rPr>
              <w:t>产地签证宣传、推广、业务开展等工作</w:t>
            </w:r>
          </w:p>
        </w:tc>
        <w:tc>
          <w:tcPr>
            <w:tcW w:w="808" w:type="dxa"/>
            <w:tcBorders>
              <w:top w:val="single" w:color="auto" w:sz="4" w:space="0"/>
              <w:left w:val="single" w:color="auto" w:sz="4" w:space="0"/>
              <w:bottom w:val="single" w:color="auto" w:sz="4" w:space="0"/>
              <w:right w:val="single" w:color="auto" w:sz="4" w:space="0"/>
            </w:tcBorders>
            <w:vAlign w:val="center"/>
          </w:tcPr>
          <w:p>
            <w:pPr>
              <w:pStyle w:val="35"/>
              <w:spacing w:before="170" w:line="113" w:lineRule="exact"/>
              <w:ind w:left="344"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position w:val="1"/>
              </w:rPr>
              <w:t>98%</w:t>
            </w:r>
          </w:p>
        </w:tc>
        <w:tc>
          <w:tcPr>
            <w:tcW w:w="936" w:type="dxa"/>
            <w:gridSpan w:val="2"/>
            <w:tcBorders>
              <w:top w:val="single" w:color="auto" w:sz="4" w:space="0"/>
              <w:left w:val="single" w:color="auto" w:sz="4" w:space="0"/>
              <w:bottom w:val="single" w:color="auto" w:sz="4" w:space="0"/>
              <w:right w:val="single" w:color="auto" w:sz="4" w:space="0"/>
            </w:tcBorders>
            <w:vAlign w:val="center"/>
          </w:tcPr>
          <w:p>
            <w:pPr>
              <w:pStyle w:val="35"/>
              <w:spacing w:before="170" w:line="113" w:lineRule="exact"/>
              <w:ind w:left="407"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position w:val="1"/>
              </w:rPr>
              <w:t>98%</w:t>
            </w:r>
          </w:p>
        </w:tc>
        <w:tc>
          <w:tcPr>
            <w:tcW w:w="475" w:type="dxa"/>
            <w:tcBorders>
              <w:top w:val="single" w:color="auto" w:sz="4" w:space="0"/>
              <w:left w:val="single" w:color="auto" w:sz="4" w:space="0"/>
              <w:bottom w:val="single" w:color="auto" w:sz="4" w:space="0"/>
              <w:right w:val="single" w:color="auto" w:sz="4" w:space="0"/>
            </w:tcBorders>
            <w:vAlign w:val="center"/>
          </w:tcPr>
          <w:p>
            <w:pPr>
              <w:pStyle w:val="35"/>
              <w:spacing w:before="184"/>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2</w:t>
            </w:r>
          </w:p>
        </w:tc>
        <w:tc>
          <w:tcPr>
            <w:tcW w:w="475"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 w:hRule="atLeast"/>
        </w:trPr>
        <w:tc>
          <w:tcPr>
            <w:tcW w:w="538" w:type="dxa"/>
            <w:vMerge w:val="continue"/>
            <w:tcBorders>
              <w:top w:val="nil"/>
              <w:left w:val="single" w:color="000000" w:sz="2" w:space="0"/>
              <w:bottom w:val="nil"/>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restart"/>
            <w:tcBorders>
              <w:top w:val="single" w:color="auto" w:sz="4" w:space="0"/>
              <w:left w:val="single" w:color="auto" w:sz="4" w:space="0"/>
              <w:bottom w:val="single" w:color="auto" w:sz="4" w:space="0"/>
              <w:right w:val="single" w:color="auto" w:sz="4" w:space="0"/>
            </w:tcBorders>
          </w:tcPr>
          <w:p>
            <w:pPr>
              <w:pStyle w:val="35"/>
              <w:spacing w:before="65"/>
              <w:ind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满意度</w:t>
            </w:r>
            <w:r>
              <w:rPr>
                <w:rFonts w:hint="eastAsia" w:cs="Times New Roman" w:asciiTheme="minorEastAsia" w:hAnsiTheme="minorEastAsia" w:eastAsiaTheme="minorEastAsia"/>
                <w:color w:val="auto"/>
                <w:spacing w:val="5"/>
              </w:rPr>
              <w:t>指标</w:t>
            </w:r>
          </w:p>
        </w:tc>
        <w:tc>
          <w:tcPr>
            <w:tcW w:w="2125" w:type="dxa"/>
            <w:gridSpan w:val="2"/>
            <w:vMerge w:val="restart"/>
            <w:tcBorders>
              <w:top w:val="single" w:color="auto" w:sz="4" w:space="0"/>
              <w:left w:val="single" w:color="auto" w:sz="4" w:space="0"/>
              <w:bottom w:val="single" w:color="auto" w:sz="4" w:space="0"/>
              <w:right w:val="single" w:color="auto" w:sz="4" w:space="0"/>
            </w:tcBorders>
            <w:vAlign w:val="center"/>
          </w:tcPr>
          <w:p>
            <w:pPr>
              <w:pStyle w:val="35"/>
              <w:spacing w:before="120"/>
              <w:ind w:left="845" w:firstLine="348"/>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满意度指标</w:t>
            </w:r>
          </w:p>
        </w:tc>
        <w:tc>
          <w:tcPr>
            <w:tcW w:w="1614" w:type="dxa"/>
            <w:gridSpan w:val="2"/>
            <w:tcBorders>
              <w:top w:val="single" w:color="auto" w:sz="4" w:space="0"/>
              <w:left w:val="single" w:color="auto" w:sz="4" w:space="0"/>
              <w:bottom w:val="single" w:color="auto" w:sz="4" w:space="0"/>
              <w:right w:val="single" w:color="auto" w:sz="4" w:space="0"/>
            </w:tcBorders>
            <w:vAlign w:val="center"/>
          </w:tcPr>
          <w:p>
            <w:pPr>
              <w:pStyle w:val="35"/>
              <w:spacing w:before="60"/>
              <w:ind w:left="62" w:firstLine="344"/>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指标1：帮扶群众满意度</w:t>
            </w:r>
          </w:p>
        </w:tc>
        <w:tc>
          <w:tcPr>
            <w:tcW w:w="808" w:type="dxa"/>
            <w:tcBorders>
              <w:top w:val="single" w:color="auto" w:sz="4" w:space="0"/>
              <w:left w:val="single" w:color="auto" w:sz="4" w:space="0"/>
              <w:bottom w:val="single" w:color="auto" w:sz="4" w:space="0"/>
              <w:right w:val="single" w:color="auto" w:sz="4" w:space="0"/>
            </w:tcBorders>
            <w:vAlign w:val="center"/>
          </w:tcPr>
          <w:p>
            <w:pPr>
              <w:pStyle w:val="35"/>
              <w:spacing w:before="60" w:line="113" w:lineRule="exact"/>
              <w:ind w:left="344"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position w:val="1"/>
              </w:rPr>
              <w:t>98%</w:t>
            </w:r>
          </w:p>
        </w:tc>
        <w:tc>
          <w:tcPr>
            <w:tcW w:w="936" w:type="dxa"/>
            <w:gridSpan w:val="2"/>
            <w:tcBorders>
              <w:top w:val="single" w:color="auto" w:sz="4" w:space="0"/>
              <w:left w:val="single" w:color="auto" w:sz="4" w:space="0"/>
              <w:bottom w:val="single" w:color="auto" w:sz="4" w:space="0"/>
              <w:right w:val="single" w:color="auto" w:sz="4" w:space="0"/>
            </w:tcBorders>
            <w:vAlign w:val="center"/>
          </w:tcPr>
          <w:p>
            <w:pPr>
              <w:pStyle w:val="35"/>
              <w:spacing w:before="60" w:line="113" w:lineRule="exact"/>
              <w:ind w:left="407"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position w:val="1"/>
              </w:rPr>
              <w:t>98%</w:t>
            </w:r>
          </w:p>
        </w:tc>
        <w:tc>
          <w:tcPr>
            <w:tcW w:w="475" w:type="dxa"/>
            <w:tcBorders>
              <w:top w:val="single" w:color="auto" w:sz="4" w:space="0"/>
              <w:left w:val="single" w:color="auto" w:sz="4" w:space="0"/>
              <w:bottom w:val="single" w:color="auto" w:sz="4" w:space="0"/>
              <w:right w:val="single" w:color="auto" w:sz="4" w:space="0"/>
            </w:tcBorders>
            <w:vAlign w:val="center"/>
          </w:tcPr>
          <w:p>
            <w:pPr>
              <w:pStyle w:val="35"/>
              <w:spacing w:before="74"/>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2</w:t>
            </w:r>
          </w:p>
        </w:tc>
        <w:tc>
          <w:tcPr>
            <w:tcW w:w="475"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183"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183"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38" w:type="dxa"/>
            <w:vMerge w:val="continue"/>
            <w:tcBorders>
              <w:top w:val="nil"/>
              <w:left w:val="single" w:color="000000" w:sz="2" w:space="0"/>
              <w:bottom w:val="nil"/>
              <w:right w:val="single" w:color="auto" w:sz="4" w:space="0"/>
            </w:tcBorders>
            <w:vAlign w:val="center"/>
          </w:tcPr>
          <w:p>
            <w:pPr>
              <w:ind w:firstLine="320"/>
              <w:rPr>
                <w:rFonts w:asciiTheme="minorEastAsia" w:hAnsiTheme="minorEastAsia" w:eastAsiaTheme="minorEastAsia"/>
                <w:color w:val="auto"/>
                <w:sz w:val="16"/>
                <w:szCs w:val="16"/>
              </w:rPr>
            </w:pPr>
          </w:p>
        </w:tc>
        <w:tc>
          <w:tcPr>
            <w:tcW w:w="595" w:type="dxa"/>
            <w:vMerge w:val="continue"/>
            <w:tcBorders>
              <w:top w:val="single" w:color="auto" w:sz="4" w:space="0"/>
              <w:left w:val="single" w:color="auto" w:sz="4" w:space="0"/>
              <w:bottom w:val="single" w:color="auto" w:sz="4" w:space="0"/>
              <w:right w:val="single" w:color="auto" w:sz="4" w:space="0"/>
            </w:tcBorders>
            <w:vAlign w:val="center"/>
          </w:tcPr>
          <w:p>
            <w:pPr>
              <w:ind w:firstLine="320"/>
              <w:rPr>
                <w:rFonts w:asciiTheme="minorEastAsia" w:hAnsiTheme="minorEastAsia" w:eastAsiaTheme="minorEastAsia"/>
                <w:color w:val="auto"/>
                <w:sz w:val="16"/>
                <w:szCs w:val="16"/>
              </w:rPr>
            </w:pPr>
          </w:p>
        </w:tc>
        <w:tc>
          <w:tcPr>
            <w:tcW w:w="2125"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320"/>
              <w:jc w:val="center"/>
              <w:rPr>
                <w:rFonts w:asciiTheme="minorEastAsia" w:hAnsiTheme="minorEastAsia" w:eastAsiaTheme="minorEastAsia"/>
                <w:color w:val="auto"/>
                <w:sz w:val="16"/>
                <w:szCs w:val="16"/>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pStyle w:val="35"/>
              <w:spacing w:before="20"/>
              <w:ind w:left="62" w:firstLine="344"/>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指标2：企业满意度度</w:t>
            </w:r>
          </w:p>
        </w:tc>
        <w:tc>
          <w:tcPr>
            <w:tcW w:w="808" w:type="dxa"/>
            <w:tcBorders>
              <w:top w:val="single" w:color="auto" w:sz="4" w:space="0"/>
              <w:left w:val="single" w:color="auto" w:sz="4" w:space="0"/>
              <w:bottom w:val="single" w:color="auto" w:sz="4" w:space="0"/>
              <w:right w:val="single" w:color="auto" w:sz="4" w:space="0"/>
            </w:tcBorders>
            <w:vAlign w:val="center"/>
          </w:tcPr>
          <w:p>
            <w:pPr>
              <w:pStyle w:val="35"/>
              <w:spacing w:before="20"/>
              <w:ind w:left="344"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98%</w:t>
            </w:r>
          </w:p>
        </w:tc>
        <w:tc>
          <w:tcPr>
            <w:tcW w:w="936" w:type="dxa"/>
            <w:gridSpan w:val="2"/>
            <w:tcBorders>
              <w:top w:val="single" w:color="auto" w:sz="4" w:space="0"/>
              <w:left w:val="single" w:color="auto" w:sz="4" w:space="0"/>
              <w:bottom w:val="single" w:color="auto" w:sz="4" w:space="0"/>
              <w:right w:val="single" w:color="auto" w:sz="4" w:space="0"/>
            </w:tcBorders>
            <w:vAlign w:val="center"/>
          </w:tcPr>
          <w:p>
            <w:pPr>
              <w:pStyle w:val="35"/>
              <w:spacing w:before="20"/>
              <w:ind w:left="407" w:firstLine="0" w:firstLineChars="0"/>
              <w:jc w:val="center"/>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3"/>
              </w:rPr>
              <w:t>98%</w:t>
            </w:r>
          </w:p>
        </w:tc>
        <w:tc>
          <w:tcPr>
            <w:tcW w:w="475" w:type="dxa"/>
            <w:tcBorders>
              <w:top w:val="single" w:color="auto" w:sz="4" w:space="0"/>
              <w:left w:val="single" w:color="auto" w:sz="4" w:space="0"/>
              <w:bottom w:val="single" w:color="auto" w:sz="4" w:space="0"/>
              <w:right w:val="single" w:color="auto" w:sz="4" w:space="0"/>
            </w:tcBorders>
            <w:vAlign w:val="center"/>
          </w:tcPr>
          <w:p>
            <w:pPr>
              <w:pStyle w:val="35"/>
              <w:spacing w:before="33"/>
              <w:ind w:firstLineChars="125"/>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2</w:t>
            </w:r>
          </w:p>
        </w:tc>
        <w:tc>
          <w:tcPr>
            <w:tcW w:w="475"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105" w:lineRule="exact"/>
              <w:ind w:firstLine="320"/>
              <w:jc w:val="center"/>
              <w:textAlignment w:val="baseline"/>
              <w:rPr>
                <w:rFonts w:cs="Arial" w:asciiTheme="minorEastAsia" w:hAnsiTheme="minorEastAsia" w:eastAsiaTheme="minorEastAsia"/>
                <w:color w:val="auto"/>
                <w:sz w:val="16"/>
                <w:szCs w:val="16"/>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spacing w:line="105" w:lineRule="exact"/>
              <w:ind w:firstLine="320"/>
              <w:jc w:val="center"/>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 w:hRule="atLeast"/>
        </w:trPr>
        <w:tc>
          <w:tcPr>
            <w:tcW w:w="538" w:type="dxa"/>
            <w:tcBorders>
              <w:top w:val="single" w:color="000000" w:sz="2" w:space="0"/>
              <w:left w:val="single" w:color="000000" w:sz="2" w:space="0"/>
              <w:bottom w:val="single" w:color="000000" w:sz="2" w:space="0"/>
              <w:right w:val="single" w:color="auto" w:sz="4" w:space="0"/>
            </w:tcBorders>
          </w:tcPr>
          <w:p>
            <w:pPr>
              <w:pStyle w:val="35"/>
              <w:spacing w:before="13"/>
              <w:ind w:right="44"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部门（单</w:t>
            </w:r>
            <w:r>
              <w:rPr>
                <w:rFonts w:hint="eastAsia" w:cs="Times New Roman" w:asciiTheme="minorEastAsia" w:hAnsiTheme="minorEastAsia" w:eastAsiaTheme="minorEastAsia"/>
                <w:color w:val="auto"/>
              </w:rPr>
              <w:t xml:space="preserve">  </w:t>
            </w:r>
            <w:r>
              <w:rPr>
                <w:rFonts w:hint="eastAsia" w:cs="Times New Roman" w:asciiTheme="minorEastAsia" w:hAnsiTheme="minorEastAsia" w:eastAsiaTheme="minorEastAsia"/>
                <w:color w:val="auto"/>
                <w:spacing w:val="2"/>
              </w:rPr>
              <w:t>位）</w:t>
            </w:r>
            <w:r>
              <w:rPr>
                <w:rFonts w:hint="eastAsia" w:cs="Times New Roman" w:asciiTheme="minorEastAsia" w:hAnsiTheme="minorEastAsia" w:eastAsiaTheme="minorEastAsia"/>
                <w:color w:val="auto"/>
                <w:spacing w:val="-16"/>
              </w:rPr>
              <w:t xml:space="preserve"> </w:t>
            </w:r>
            <w:r>
              <w:rPr>
                <w:rFonts w:hint="eastAsia" w:cs="Times New Roman" w:asciiTheme="minorEastAsia" w:hAnsiTheme="minorEastAsia" w:eastAsiaTheme="minorEastAsia"/>
                <w:color w:val="auto"/>
                <w:spacing w:val="2"/>
              </w:rPr>
              <w:t>自评结论</w:t>
            </w:r>
          </w:p>
        </w:tc>
        <w:tc>
          <w:tcPr>
            <w:tcW w:w="7912" w:type="dxa"/>
            <w:gridSpan w:val="12"/>
            <w:tcBorders>
              <w:top w:val="single" w:color="auto" w:sz="4" w:space="0"/>
              <w:left w:val="single" w:color="auto" w:sz="4" w:space="0"/>
              <w:bottom w:val="single" w:color="auto" w:sz="4" w:space="0"/>
              <w:right w:val="single" w:color="auto" w:sz="4" w:space="0"/>
            </w:tcBorders>
          </w:tcPr>
          <w:p>
            <w:pPr>
              <w:pStyle w:val="35"/>
              <w:spacing w:before="13"/>
              <w:ind w:left="25" w:right="12"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8"/>
              </w:rPr>
              <w:t>部门整体支出绩效自评98分。我会高标准、高质量完成了绩效目标制定。做到了绩效</w:t>
            </w:r>
            <w:r>
              <w:rPr>
                <w:rFonts w:hint="eastAsia" w:cs="Times New Roman" w:asciiTheme="minorEastAsia" w:hAnsiTheme="minorEastAsia" w:eastAsiaTheme="minorEastAsia"/>
                <w:color w:val="auto"/>
                <w:spacing w:val="7"/>
              </w:rPr>
              <w:t>目标制定规范、完整无漏项，单位编制、人员情况与供养人员横向联网系统数据吻合，项目名称、绩效指标、项目内容说</w:t>
            </w:r>
            <w:r>
              <w:rPr>
                <w:rFonts w:hint="eastAsia" w:cs="Times New Roman" w:asciiTheme="minorEastAsia" w:hAnsiTheme="minorEastAsia" w:eastAsiaTheme="minorEastAsia"/>
                <w:color w:val="auto"/>
                <w:spacing w:val="4"/>
              </w:rPr>
              <w:t>明等符合规范。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 w:hRule="atLeast"/>
        </w:trPr>
        <w:tc>
          <w:tcPr>
            <w:tcW w:w="538" w:type="dxa"/>
            <w:tcBorders>
              <w:top w:val="single" w:color="000000" w:sz="2" w:space="0"/>
              <w:left w:val="single" w:color="000000" w:sz="2" w:space="0"/>
              <w:bottom w:val="single" w:color="000000" w:sz="2" w:space="0"/>
              <w:right w:val="single" w:color="auto" w:sz="4" w:space="0"/>
            </w:tcBorders>
          </w:tcPr>
          <w:p>
            <w:pPr>
              <w:pStyle w:val="35"/>
              <w:spacing w:before="13"/>
              <w:ind w:left="53" w:right="44"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部门（单</w:t>
            </w:r>
            <w:r>
              <w:rPr>
                <w:rFonts w:hint="eastAsia" w:cs="Times New Roman" w:asciiTheme="minorEastAsia" w:hAnsiTheme="minorEastAsia" w:eastAsiaTheme="minorEastAsia"/>
                <w:color w:val="auto"/>
              </w:rPr>
              <w:t xml:space="preserve">  </w:t>
            </w:r>
            <w:r>
              <w:rPr>
                <w:rFonts w:hint="eastAsia" w:cs="Times New Roman" w:asciiTheme="minorEastAsia" w:hAnsiTheme="minorEastAsia" w:eastAsiaTheme="minorEastAsia"/>
                <w:color w:val="auto"/>
                <w:spacing w:val="2"/>
              </w:rPr>
              <w:t>位）自评存在问题</w:t>
            </w:r>
          </w:p>
        </w:tc>
        <w:tc>
          <w:tcPr>
            <w:tcW w:w="7912" w:type="dxa"/>
            <w:gridSpan w:val="12"/>
            <w:tcBorders>
              <w:top w:val="single" w:color="auto" w:sz="4" w:space="0"/>
              <w:left w:val="single" w:color="auto" w:sz="4" w:space="0"/>
              <w:bottom w:val="single" w:color="auto" w:sz="4" w:space="0"/>
              <w:right w:val="single" w:color="auto" w:sz="4" w:space="0"/>
            </w:tcBorders>
          </w:tcPr>
          <w:p>
            <w:pPr>
              <w:pStyle w:val="35"/>
              <w:spacing w:before="13"/>
              <w:ind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1.预算绩效目标设置不够细化。</w:t>
            </w:r>
          </w:p>
          <w:p>
            <w:pPr>
              <w:pStyle w:val="35"/>
              <w:spacing w:before="7"/>
              <w:ind w:left="18"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8"/>
              </w:rPr>
              <w:t>2.部分专项资金年初预算不够准确。我会部门项目</w:t>
            </w:r>
            <w:r>
              <w:rPr>
                <w:rFonts w:hint="eastAsia" w:cs="Times New Roman" w:asciiTheme="minorEastAsia" w:hAnsiTheme="minorEastAsia" w:eastAsiaTheme="minorEastAsia"/>
                <w:color w:val="auto"/>
                <w:spacing w:val="7"/>
              </w:rPr>
              <w:t>因年初无法确定内容，如企业参展数量、展会面积、疫情影响等具体情况，无法确定年初预算，存在及时追加、调整预算情况。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538" w:type="dxa"/>
            <w:tcBorders>
              <w:top w:val="single" w:color="000000" w:sz="2" w:space="0"/>
              <w:left w:val="single" w:color="000000" w:sz="2" w:space="0"/>
              <w:bottom w:val="single" w:color="000000" w:sz="2" w:space="0"/>
              <w:right w:val="single" w:color="auto" w:sz="4" w:space="0"/>
            </w:tcBorders>
          </w:tcPr>
          <w:p>
            <w:pPr>
              <w:pStyle w:val="35"/>
              <w:spacing w:before="94"/>
              <w:ind w:firstLine="0" w:firstLineChars="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部门（单</w:t>
            </w:r>
            <w:r>
              <w:rPr>
                <w:rFonts w:hint="eastAsia" w:cs="Times New Roman" w:asciiTheme="minorEastAsia" w:hAnsiTheme="minorEastAsia" w:eastAsiaTheme="minorEastAsia"/>
                <w:color w:val="auto"/>
                <w:spacing w:val="2"/>
              </w:rPr>
              <w:t>位）</w:t>
            </w:r>
            <w:r>
              <w:rPr>
                <w:rFonts w:hint="eastAsia" w:cs="Times New Roman" w:asciiTheme="minorEastAsia" w:hAnsiTheme="minorEastAsia" w:eastAsiaTheme="minorEastAsia"/>
                <w:color w:val="auto"/>
                <w:spacing w:val="-16"/>
              </w:rPr>
              <w:t xml:space="preserve"> </w:t>
            </w:r>
            <w:r>
              <w:rPr>
                <w:rFonts w:hint="eastAsia" w:cs="Times New Roman" w:asciiTheme="minorEastAsia" w:hAnsiTheme="minorEastAsia" w:eastAsiaTheme="minorEastAsia"/>
                <w:color w:val="auto"/>
                <w:spacing w:val="2"/>
              </w:rPr>
              <w:t>自评改</w:t>
            </w:r>
            <w:r>
              <w:rPr>
                <w:rFonts w:hint="eastAsia" w:cs="Times New Roman" w:asciiTheme="minorEastAsia" w:hAnsiTheme="minorEastAsia" w:eastAsiaTheme="minorEastAsia"/>
                <w:color w:val="auto"/>
                <w:spacing w:val="6"/>
              </w:rPr>
              <w:t>进措施</w:t>
            </w:r>
          </w:p>
        </w:tc>
        <w:tc>
          <w:tcPr>
            <w:tcW w:w="7912" w:type="dxa"/>
            <w:gridSpan w:val="12"/>
            <w:tcBorders>
              <w:top w:val="single" w:color="auto" w:sz="4" w:space="0"/>
              <w:left w:val="single" w:color="auto" w:sz="4" w:space="0"/>
              <w:bottom w:val="single" w:color="auto" w:sz="4" w:space="0"/>
              <w:right w:val="single" w:color="auto" w:sz="4" w:space="0"/>
            </w:tcBorders>
          </w:tcPr>
          <w:p>
            <w:pPr>
              <w:pStyle w:val="35"/>
              <w:spacing w:before="39"/>
              <w:ind w:left="23" w:firstLine="348"/>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1.细化预算编制工作。进一步加强内部预算管理意识，提高预算编制的科学性、合理性、严谨性和可控性。</w:t>
            </w:r>
          </w:p>
          <w:p>
            <w:pPr>
              <w:pStyle w:val="35"/>
              <w:spacing w:before="6"/>
              <w:ind w:left="18" w:firstLine="348"/>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2.加强预算执行管理。对于临时追加的相关工作所需费用，严格按照.程序，逐级申报报批，有效降低预算控制率。</w:t>
            </w:r>
          </w:p>
          <w:p>
            <w:pPr>
              <w:pStyle w:val="35"/>
              <w:spacing w:before="4"/>
              <w:ind w:left="19" w:firstLine="352"/>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8"/>
              </w:rPr>
              <w:t>3.保障预算执行进度。加快项目实施进度的推进，加强项目开</w:t>
            </w:r>
            <w:r>
              <w:rPr>
                <w:rFonts w:hint="eastAsia" w:cs="Times New Roman" w:asciiTheme="minorEastAsia" w:hAnsiTheme="minorEastAsia" w:eastAsiaTheme="minorEastAsia"/>
                <w:color w:val="auto"/>
                <w:spacing w:val="7"/>
              </w:rPr>
              <w:t>展进度的跟踪，及时开展项目绩效评价，确保项目绩效目标的完成，发挥资金的使用效益，压减年末结余资金规模，提高预算完成率。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538" w:type="dxa"/>
            <w:tcBorders>
              <w:top w:val="single" w:color="000000" w:sz="2" w:space="0"/>
              <w:left w:val="single" w:color="000000" w:sz="2" w:space="0"/>
              <w:bottom w:val="single" w:color="000000" w:sz="2" w:space="0"/>
              <w:right w:val="single" w:color="auto" w:sz="4" w:space="0"/>
            </w:tcBorders>
          </w:tcPr>
          <w:p>
            <w:pPr>
              <w:pStyle w:val="35"/>
              <w:spacing w:before="13"/>
              <w:ind w:left="55" w:right="44" w:firstLine="0" w:firstLineChars="0"/>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财政部门对</w:t>
            </w:r>
            <w:r>
              <w:rPr>
                <w:rFonts w:hint="eastAsia" w:cs="Times New Roman" w:asciiTheme="minorEastAsia" w:hAnsiTheme="minorEastAsia" w:eastAsiaTheme="minorEastAsia"/>
                <w:color w:val="auto"/>
                <w:spacing w:val="3"/>
              </w:rPr>
              <w:t xml:space="preserve"> </w:t>
            </w:r>
            <w:r>
              <w:rPr>
                <w:rFonts w:hint="eastAsia" w:cs="Times New Roman" w:asciiTheme="minorEastAsia" w:hAnsiTheme="minorEastAsia" w:eastAsiaTheme="minorEastAsia"/>
                <w:color w:val="auto"/>
                <w:spacing w:val="6"/>
              </w:rPr>
              <w:t>口科室复评</w:t>
            </w:r>
            <w:r>
              <w:rPr>
                <w:rFonts w:hint="eastAsia" w:cs="Times New Roman" w:asciiTheme="minorEastAsia" w:hAnsiTheme="minorEastAsia" w:eastAsiaTheme="minorEastAsia"/>
                <w:color w:val="auto"/>
                <w:spacing w:val="2"/>
              </w:rPr>
              <w:t xml:space="preserve"> </w:t>
            </w:r>
            <w:r>
              <w:rPr>
                <w:rFonts w:hint="eastAsia" w:cs="Times New Roman" w:asciiTheme="minorEastAsia" w:hAnsiTheme="minorEastAsia" w:eastAsiaTheme="minorEastAsia"/>
                <w:color w:val="auto"/>
                <w:spacing w:val="6"/>
              </w:rPr>
              <w:t>结论及整改要求</w:t>
            </w:r>
          </w:p>
        </w:tc>
        <w:tc>
          <w:tcPr>
            <w:tcW w:w="7912" w:type="dxa"/>
            <w:gridSpan w:val="12"/>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ind w:firstLine="320"/>
              <w:textAlignment w:val="baseline"/>
              <w:rPr>
                <w:rFonts w:cs="Arial" w:asciiTheme="minorEastAsia" w:hAnsiTheme="minorEastAsia" w:eastAsiaTheme="minorEastAsia"/>
                <w:color w:val="auto"/>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4872" w:type="dxa"/>
            <w:gridSpan w:val="6"/>
            <w:tcBorders>
              <w:top w:val="single" w:color="auto" w:sz="4" w:space="0"/>
              <w:left w:val="single" w:color="auto" w:sz="4" w:space="0"/>
              <w:bottom w:val="single" w:color="auto" w:sz="4" w:space="0"/>
              <w:right w:val="single" w:color="auto" w:sz="4" w:space="0"/>
            </w:tcBorders>
          </w:tcPr>
          <w:p>
            <w:pPr>
              <w:pStyle w:val="35"/>
              <w:spacing w:before="20"/>
              <w:ind w:left="20" w:firstLine="348"/>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单位项目负责人：邓克、王陇花</w:t>
            </w:r>
          </w:p>
        </w:tc>
        <w:tc>
          <w:tcPr>
            <w:tcW w:w="3578" w:type="dxa"/>
            <w:gridSpan w:val="7"/>
            <w:tcBorders>
              <w:top w:val="single" w:color="auto" w:sz="4" w:space="0"/>
              <w:left w:val="single" w:color="auto" w:sz="4" w:space="0"/>
              <w:bottom w:val="single" w:color="auto" w:sz="4" w:space="0"/>
              <w:right w:val="single" w:color="auto" w:sz="4" w:space="0"/>
            </w:tcBorders>
          </w:tcPr>
          <w:p>
            <w:pPr>
              <w:pStyle w:val="35"/>
              <w:spacing w:before="20"/>
              <w:ind w:left="18" w:firstLine="348"/>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7"/>
              </w:rPr>
              <w:t>单位财务负责人：胡永军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4872" w:type="dxa"/>
            <w:gridSpan w:val="6"/>
            <w:tcBorders>
              <w:top w:val="single" w:color="auto" w:sz="4" w:space="0"/>
              <w:left w:val="single" w:color="auto" w:sz="4" w:space="0"/>
              <w:bottom w:val="single" w:color="auto" w:sz="4" w:space="0"/>
              <w:right w:val="single" w:color="auto" w:sz="4" w:space="0"/>
            </w:tcBorders>
          </w:tcPr>
          <w:p>
            <w:pPr>
              <w:pStyle w:val="35"/>
              <w:spacing w:before="20"/>
              <w:ind w:left="20" w:firstLine="344"/>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部门项目负责人：</w:t>
            </w:r>
          </w:p>
        </w:tc>
        <w:tc>
          <w:tcPr>
            <w:tcW w:w="3578" w:type="dxa"/>
            <w:gridSpan w:val="7"/>
            <w:tcBorders>
              <w:top w:val="single" w:color="auto" w:sz="4" w:space="0"/>
              <w:left w:val="single" w:color="auto" w:sz="4" w:space="0"/>
              <w:bottom w:val="single" w:color="auto" w:sz="4" w:space="0"/>
              <w:right w:val="single" w:color="auto" w:sz="4" w:space="0"/>
            </w:tcBorders>
          </w:tcPr>
          <w:p>
            <w:pPr>
              <w:pStyle w:val="35"/>
              <w:spacing w:before="20"/>
              <w:ind w:left="18" w:firstLine="344"/>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部门财务负责人：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 w:hRule="atLeast"/>
        </w:trPr>
        <w:tc>
          <w:tcPr>
            <w:tcW w:w="8015" w:type="dxa"/>
            <w:gridSpan w:val="12"/>
            <w:tcBorders>
              <w:top w:val="single" w:color="auto" w:sz="4" w:space="0"/>
              <w:left w:val="single" w:color="auto" w:sz="4" w:space="0"/>
              <w:bottom w:val="single" w:color="auto" w:sz="4" w:space="0"/>
              <w:right w:val="single" w:color="auto" w:sz="4" w:space="0"/>
            </w:tcBorders>
          </w:tcPr>
          <w:p>
            <w:pPr>
              <w:pStyle w:val="35"/>
              <w:spacing w:before="20"/>
              <w:ind w:left="20" w:firstLine="344"/>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6"/>
              </w:rPr>
              <w:t>财政部门科室负责人：</w:t>
            </w:r>
          </w:p>
        </w:tc>
        <w:tc>
          <w:tcPr>
            <w:tcW w:w="435" w:type="dxa"/>
            <w:tcBorders>
              <w:top w:val="single" w:color="auto" w:sz="4" w:space="0"/>
              <w:left w:val="single" w:color="auto" w:sz="4" w:space="0"/>
              <w:bottom w:val="single" w:color="auto" w:sz="4" w:space="0"/>
              <w:right w:val="single" w:color="auto" w:sz="4" w:space="0"/>
            </w:tcBorders>
          </w:tcPr>
          <w:p>
            <w:pPr>
              <w:kinsoku w:val="0"/>
              <w:autoSpaceDE w:val="0"/>
              <w:autoSpaceDN w:val="0"/>
              <w:adjustRightInd w:val="0"/>
              <w:snapToGrid w:val="0"/>
              <w:spacing w:line="108" w:lineRule="exact"/>
              <w:ind w:firstLine="320"/>
              <w:textAlignment w:val="baseline"/>
              <w:rPr>
                <w:rFonts w:cs="Arial" w:asciiTheme="minorEastAsia" w:hAnsiTheme="minorEastAsia" w:eastAsiaTheme="minorEastAsia"/>
                <w:color w:val="auto"/>
                <w:sz w:val="16"/>
                <w:szCs w:val="16"/>
              </w:rPr>
            </w:pPr>
          </w:p>
        </w:tc>
      </w:tr>
    </w:tbl>
    <w:p>
      <w:pPr>
        <w:spacing w:before="162"/>
        <w:ind w:left="25" w:firstLine="180"/>
        <w:rPr>
          <w:rFonts w:cs="Arial" w:asciiTheme="minorEastAsia" w:hAnsiTheme="minorEastAsia" w:eastAsiaTheme="minorEastAsia"/>
          <w:color w:val="auto"/>
          <w:sz w:val="9"/>
          <w:szCs w:val="9"/>
        </w:rPr>
      </w:pPr>
    </w:p>
    <w:p>
      <w:pPr>
        <w:pStyle w:val="14"/>
        <w:spacing w:line="560" w:lineRule="exact"/>
        <w:ind w:left="0" w:leftChars="0" w:firstLine="640"/>
        <w:rPr>
          <w:rFonts w:hAnsi="仿宋_GB2312" w:cs="仿宋_GB2312"/>
          <w:color w:val="auto"/>
        </w:rPr>
      </w:pPr>
    </w:p>
    <w:p>
      <w:pPr>
        <w:pStyle w:val="14"/>
        <w:spacing w:line="560" w:lineRule="exact"/>
        <w:ind w:left="0" w:leftChars="0" w:firstLine="0" w:firstLineChars="0"/>
        <w:rPr>
          <w:rFonts w:hAnsi="仿宋_GB2312" w:cs="仿宋_GB2312"/>
          <w:color w:val="auto"/>
        </w:rPr>
        <w:sectPr>
          <w:pgSz w:w="11905" w:h="16838"/>
          <w:pgMar w:top="2098" w:right="1474" w:bottom="1984" w:left="1587" w:header="850" w:footer="1417" w:gutter="0"/>
          <w:pgNumType w:start="1"/>
          <w:cols w:space="0" w:num="1"/>
          <w:docGrid w:linePitch="286" w:charSpace="0"/>
        </w:sectPr>
      </w:pPr>
      <w:r>
        <w:rPr>
          <w:rFonts w:hint="eastAsia" w:hAnsi="仿宋_GB2312" w:cs="仿宋_GB2312"/>
          <w:color w:val="auto"/>
          <w:lang w:val="zh-CN"/>
        </w:rPr>
        <w:t>附表：</w:t>
      </w:r>
      <w:r>
        <w:rPr>
          <w:rFonts w:hint="eastAsia" w:hAnsi="仿宋_GB2312" w:cs="仿宋_GB2312"/>
          <w:color w:val="auto"/>
        </w:rPr>
        <w:t>部门预算项目支出绩效自评表（2022年度）</w:t>
      </w: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部门预算项目支出绩效自评表(2022年度)</w:t>
      </w:r>
    </w:p>
    <w:tbl>
      <w:tblPr>
        <w:tblStyle w:val="36"/>
        <w:tblW w:w="1438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1"/>
        <w:gridCol w:w="1453"/>
        <w:gridCol w:w="1177"/>
        <w:gridCol w:w="1218"/>
        <w:gridCol w:w="1177"/>
        <w:gridCol w:w="1028"/>
        <w:gridCol w:w="434"/>
        <w:gridCol w:w="906"/>
        <w:gridCol w:w="645"/>
        <w:gridCol w:w="793"/>
        <w:gridCol w:w="969"/>
        <w:gridCol w:w="31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2864"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项目名称</w:t>
            </w:r>
          </w:p>
        </w:tc>
        <w:tc>
          <w:tcPr>
            <w:tcW w:w="11518" w:type="dxa"/>
            <w:gridSpan w:val="10"/>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第十一届秦巴山区年货节筹办经费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2864"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主管部门（盖章）</w:t>
            </w:r>
          </w:p>
        </w:tc>
        <w:tc>
          <w:tcPr>
            <w:tcW w:w="5034" w:type="dxa"/>
            <w:gridSpan w:val="5"/>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实施单位</w:t>
            </w:r>
          </w:p>
          <w:p>
            <w:pPr>
              <w:pStyle w:val="35"/>
              <w:ind w:firstLine="0" w:firstLineChars="0"/>
              <w:rPr>
                <w:rFonts w:cs="Times New Roman" w:eastAsiaTheme="minorEastAsia"/>
                <w:color w:val="auto"/>
                <w:spacing w:val="2"/>
              </w:rPr>
            </w:pPr>
            <w:r>
              <w:rPr>
                <w:rFonts w:hint="eastAsia" w:cs="Times New Roman" w:eastAsiaTheme="minorEastAsia"/>
                <w:color w:val="auto"/>
                <w:spacing w:val="2"/>
              </w:rPr>
              <w:t>（盖章）</w:t>
            </w:r>
          </w:p>
        </w:tc>
        <w:tc>
          <w:tcPr>
            <w:tcW w:w="5578" w:type="dxa"/>
            <w:gridSpan w:val="4"/>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中国国际贸易促进委员会广元市委员会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项目基本情况</w:t>
            </w:r>
          </w:p>
        </w:tc>
        <w:tc>
          <w:tcPr>
            <w:tcW w:w="1453" w:type="dxa"/>
            <w:vMerge w:val="restart"/>
            <w:tcBorders>
              <w:top w:val="nil"/>
              <w:left w:val="single" w:color="auto" w:sz="4" w:space="0"/>
              <w:bottom w:val="nil"/>
              <w:right w:val="single" w:color="000000" w:sz="6"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1.项目年度目标完成情况</w:t>
            </w:r>
          </w:p>
        </w:tc>
        <w:tc>
          <w:tcPr>
            <w:tcW w:w="5034" w:type="dxa"/>
            <w:gridSpan w:val="5"/>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项目年度目标</w:t>
            </w:r>
          </w:p>
        </w:tc>
        <w:tc>
          <w:tcPr>
            <w:tcW w:w="6484" w:type="dxa"/>
            <w:gridSpan w:val="5"/>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年度目标完成情况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00" w:type="dxa"/>
            <w:vMerge w:val="continue"/>
            <w:tcBorders>
              <w:top w:val="nil"/>
              <w:left w:val="single" w:color="auto" w:sz="4" w:space="0"/>
              <w:bottom w:val="nil"/>
              <w:right w:val="single" w:color="000000" w:sz="6" w:space="0"/>
            </w:tcBorders>
            <w:vAlign w:val="center"/>
          </w:tcPr>
          <w:p>
            <w:pPr>
              <w:pStyle w:val="35"/>
              <w:ind w:firstLine="328"/>
              <w:jc w:val="center"/>
              <w:rPr>
                <w:rFonts w:cs="Times New Roman" w:eastAsiaTheme="minorEastAsia"/>
                <w:color w:val="auto"/>
                <w:spacing w:val="2"/>
              </w:rPr>
            </w:pPr>
          </w:p>
        </w:tc>
        <w:tc>
          <w:tcPr>
            <w:tcW w:w="5034" w:type="dxa"/>
            <w:gridSpan w:val="5"/>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both"/>
              <w:rPr>
                <w:rFonts w:cs="Times New Roman" w:eastAsiaTheme="minorEastAsia"/>
                <w:color w:val="auto"/>
                <w:spacing w:val="2"/>
              </w:rPr>
            </w:pPr>
            <w:r>
              <w:rPr>
                <w:rFonts w:hint="eastAsia" w:cs="Times New Roman" w:eastAsiaTheme="minorEastAsia"/>
                <w:color w:val="auto"/>
                <w:spacing w:val="2"/>
              </w:rPr>
              <w:t>认真落实市委打造“四川北向东出桥头堡”决策部署，承办2022年第十一届秦巴山区年货节，充分发挥贸促优势，邀请省内外商协会、企业来广参会参展，积极开拓市场、寻求合作。</w:t>
            </w:r>
          </w:p>
        </w:tc>
        <w:tc>
          <w:tcPr>
            <w:tcW w:w="6484" w:type="dxa"/>
            <w:gridSpan w:val="5"/>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both"/>
              <w:rPr>
                <w:rFonts w:cs="Times New Roman" w:eastAsiaTheme="minorEastAsia"/>
                <w:color w:val="auto"/>
                <w:spacing w:val="2"/>
              </w:rPr>
            </w:pPr>
            <w:r>
              <w:rPr>
                <w:rFonts w:hint="eastAsia" w:cs="Times New Roman" w:eastAsiaTheme="minorEastAsia"/>
                <w:color w:val="auto"/>
                <w:spacing w:val="2"/>
              </w:rPr>
              <w:t>成功承办2022年第十一届秦巴山区年货节，充分发挥贸促优势，邀请60余家省内外商协会、企业来广参会参展，线上线下实现销售额18614万元。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000000" w:sz="6" w:space="0"/>
              <w:left w:val="single" w:color="auto" w:sz="4"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2.项目实施内容及过程概述</w:t>
            </w:r>
          </w:p>
        </w:tc>
        <w:tc>
          <w:tcPr>
            <w:tcW w:w="11518" w:type="dxa"/>
            <w:gridSpan w:val="10"/>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both"/>
              <w:rPr>
                <w:rFonts w:cs="Times New Roman" w:eastAsiaTheme="minorEastAsia"/>
                <w:color w:val="auto"/>
                <w:spacing w:val="2"/>
              </w:rPr>
            </w:pPr>
            <w:r>
              <w:rPr>
                <w:rFonts w:hint="eastAsia" w:cs="Times New Roman" w:eastAsiaTheme="minorEastAsia"/>
                <w:color w:val="auto"/>
                <w:spacing w:val="2"/>
              </w:rPr>
              <w:t>展览面积1500平方米，广元60余家企业现场参展，59家市内外企业线上参展。年货节期间同步开展了2022云上秦巴山区年货节、四川广元迎春购物月、网上年货展销、最受欢迎商品评选、送春联等系列活动。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预算执行情况（10分）</w:t>
            </w:r>
          </w:p>
        </w:tc>
        <w:tc>
          <w:tcPr>
            <w:tcW w:w="1453" w:type="dxa"/>
            <w:tcBorders>
              <w:top w:val="single" w:color="000000" w:sz="6" w:space="0"/>
              <w:left w:val="single" w:color="auto" w:sz="4"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年度预算数（万元）</w:t>
            </w:r>
          </w:p>
        </w:tc>
        <w:tc>
          <w:tcPr>
            <w:tcW w:w="117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年初预算</w:t>
            </w:r>
          </w:p>
        </w:tc>
        <w:tc>
          <w:tcPr>
            <w:tcW w:w="121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调整后预算数</w:t>
            </w:r>
          </w:p>
        </w:tc>
        <w:tc>
          <w:tcPr>
            <w:tcW w:w="2639" w:type="dxa"/>
            <w:gridSpan w:val="3"/>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预算执行数</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预算执行率</w:t>
            </w: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权重%</w:t>
            </w:r>
          </w:p>
        </w:tc>
        <w:tc>
          <w:tcPr>
            <w:tcW w:w="79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部门自评得分</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财政部门科室复评得分</w:t>
            </w:r>
          </w:p>
        </w:tc>
        <w:tc>
          <w:tcPr>
            <w:tcW w:w="317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原因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000000" w:sz="6" w:space="0"/>
              <w:left w:val="single" w:color="auto" w:sz="4"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总额</w:t>
            </w:r>
          </w:p>
        </w:tc>
        <w:tc>
          <w:tcPr>
            <w:tcW w:w="117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11.85</w:t>
            </w:r>
          </w:p>
        </w:tc>
        <w:tc>
          <w:tcPr>
            <w:tcW w:w="121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11.85</w:t>
            </w:r>
          </w:p>
        </w:tc>
        <w:tc>
          <w:tcPr>
            <w:tcW w:w="2639" w:type="dxa"/>
            <w:gridSpan w:val="3"/>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11.85</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100.00%</w:t>
            </w: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vMerge w:val="restart"/>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1.预算执行率=预算执行数/调整后预算数，预算执行率未达到90%的需说明原因（100字以内）；2.年中发生预算调整的（追加或调减），应单独说明理由；3.其他资金包括、社会投入资金、银行贷款.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000000" w:sz="6" w:space="0"/>
              <w:left w:val="single" w:color="auto" w:sz="4"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其中：财政资金</w:t>
            </w:r>
          </w:p>
        </w:tc>
        <w:tc>
          <w:tcPr>
            <w:tcW w:w="117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11.85</w:t>
            </w:r>
          </w:p>
        </w:tc>
        <w:tc>
          <w:tcPr>
            <w:tcW w:w="121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11.85</w:t>
            </w:r>
          </w:p>
        </w:tc>
        <w:tc>
          <w:tcPr>
            <w:tcW w:w="2639" w:type="dxa"/>
            <w:gridSpan w:val="3"/>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11.85</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79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000000" w:sz="6" w:space="0"/>
              <w:left w:val="single" w:color="auto" w:sz="4"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财政专户管理资金</w:t>
            </w:r>
          </w:p>
        </w:tc>
        <w:tc>
          <w:tcPr>
            <w:tcW w:w="117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121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2639" w:type="dxa"/>
            <w:gridSpan w:val="3"/>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79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000000" w:sz="6" w:space="0"/>
              <w:left w:val="single" w:color="auto" w:sz="4"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单位资金</w:t>
            </w:r>
          </w:p>
        </w:tc>
        <w:tc>
          <w:tcPr>
            <w:tcW w:w="117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121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2639" w:type="dxa"/>
            <w:gridSpan w:val="3"/>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79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000000" w:sz="6" w:space="0"/>
              <w:left w:val="single" w:color="auto" w:sz="4"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其他资金</w:t>
            </w:r>
          </w:p>
        </w:tc>
        <w:tc>
          <w:tcPr>
            <w:tcW w:w="1177" w:type="dxa"/>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p>
        </w:tc>
        <w:tc>
          <w:tcPr>
            <w:tcW w:w="1218" w:type="dxa"/>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p>
        </w:tc>
        <w:tc>
          <w:tcPr>
            <w:tcW w:w="2639" w:type="dxa"/>
            <w:gridSpan w:val="3"/>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p>
        </w:tc>
        <w:tc>
          <w:tcPr>
            <w:tcW w:w="906" w:type="dxa"/>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p>
        </w:tc>
        <w:tc>
          <w:tcPr>
            <w:tcW w:w="645" w:type="dxa"/>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p>
        </w:tc>
        <w:tc>
          <w:tcPr>
            <w:tcW w:w="793" w:type="dxa"/>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p>
        </w:tc>
        <w:tc>
          <w:tcPr>
            <w:tcW w:w="969" w:type="dxa"/>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nil"/>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绩效指标（90分）</w:t>
            </w: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一级指标</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二级指标</w:t>
            </w:r>
          </w:p>
        </w:tc>
        <w:tc>
          <w:tcPr>
            <w:tcW w:w="121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三级指标</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指标性质</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指标值</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度量单位</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完成值</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权重</w:t>
            </w:r>
          </w:p>
        </w:tc>
        <w:tc>
          <w:tcPr>
            <w:tcW w:w="79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部门自评得分</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财政部门科室复评得分</w:t>
            </w: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未完成原因分析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产出指标</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数量指标</w:t>
            </w:r>
          </w:p>
        </w:tc>
        <w:tc>
          <w:tcPr>
            <w:tcW w:w="121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参展企业数量</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60</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家</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60家</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79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7"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质量指标</w:t>
            </w:r>
          </w:p>
        </w:tc>
        <w:tc>
          <w:tcPr>
            <w:tcW w:w="121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拓展国内外市场，引进国内外客商来广投资</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数量指标</w:t>
            </w:r>
          </w:p>
        </w:tc>
        <w:tc>
          <w:tcPr>
            <w:tcW w:w="121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展览面积</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1500</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平方米</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1500平方米</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时效指标</w:t>
            </w:r>
          </w:p>
        </w:tc>
        <w:tc>
          <w:tcPr>
            <w:tcW w:w="121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完成时间</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项目完成时间</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12月%</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12月底前</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bl>
    <w:p>
      <w:pPr>
        <w:pStyle w:val="35"/>
        <w:ind w:firstLine="328"/>
        <w:jc w:val="center"/>
        <w:rPr>
          <w:rFonts w:cs="Times New Roman" w:eastAsiaTheme="minorEastAsia"/>
          <w:color w:val="auto"/>
          <w:spacing w:val="2"/>
        </w:rPr>
        <w:sectPr>
          <w:pgSz w:w="16837" w:h="11905"/>
          <w:pgMar w:top="1011" w:right="1227" w:bottom="650" w:left="1211" w:header="0" w:footer="454" w:gutter="0"/>
          <w:cols w:space="720" w:num="1"/>
          <w:docGrid w:linePitch="286" w:charSpace="0"/>
        </w:sectPr>
      </w:pPr>
    </w:p>
    <w:p>
      <w:pPr>
        <w:pStyle w:val="35"/>
        <w:ind w:firstLine="328"/>
        <w:jc w:val="center"/>
        <w:rPr>
          <w:rFonts w:cs="Times New Roman" w:eastAsiaTheme="minorEastAsia"/>
          <w:color w:val="auto"/>
          <w:spacing w:val="2"/>
        </w:rPr>
      </w:pPr>
    </w:p>
    <w:tbl>
      <w:tblPr>
        <w:tblStyle w:val="36"/>
        <w:tblW w:w="14382"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1"/>
        <w:gridCol w:w="1453"/>
        <w:gridCol w:w="1177"/>
        <w:gridCol w:w="1218"/>
        <w:gridCol w:w="1177"/>
        <w:gridCol w:w="1028"/>
        <w:gridCol w:w="434"/>
        <w:gridCol w:w="906"/>
        <w:gridCol w:w="645"/>
        <w:gridCol w:w="793"/>
        <w:gridCol w:w="969"/>
        <w:gridCol w:w="3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1411" w:type="dxa"/>
            <w:vMerge w:val="restart"/>
            <w:vAlign w:val="center"/>
          </w:tcPr>
          <w:p>
            <w:pPr>
              <w:pStyle w:val="35"/>
              <w:ind w:firstLine="328"/>
              <w:jc w:val="center"/>
              <w:rPr>
                <w:rFonts w:cs="Times New Roman" w:eastAsiaTheme="minorEastAsia"/>
                <w:color w:val="auto"/>
                <w:spacing w:val="2"/>
              </w:rPr>
            </w:pPr>
          </w:p>
        </w:tc>
        <w:tc>
          <w:tcPr>
            <w:tcW w:w="1453" w:type="dxa"/>
            <w:vAlign w:val="center"/>
          </w:tcPr>
          <w:p>
            <w:pPr>
              <w:pStyle w:val="35"/>
              <w:ind w:firstLine="328"/>
              <w:jc w:val="center"/>
              <w:rPr>
                <w:rFonts w:cs="Times New Roman" w:eastAsiaTheme="minorEastAsia"/>
                <w:color w:val="auto"/>
                <w:spacing w:val="2"/>
              </w:rPr>
            </w:pPr>
          </w:p>
        </w:tc>
        <w:tc>
          <w:tcPr>
            <w:tcW w:w="1177"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数量指标</w:t>
            </w:r>
          </w:p>
        </w:tc>
        <w:tc>
          <w:tcPr>
            <w:tcW w:w="1218"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线上线下销售额</w:t>
            </w:r>
          </w:p>
        </w:tc>
        <w:tc>
          <w:tcPr>
            <w:tcW w:w="1177"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8000%</w:t>
            </w:r>
          </w:p>
        </w:tc>
        <w:tc>
          <w:tcPr>
            <w:tcW w:w="434" w:type="dxa"/>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万元</w:t>
            </w:r>
          </w:p>
        </w:tc>
        <w:tc>
          <w:tcPr>
            <w:tcW w:w="906"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18614万元</w:t>
            </w:r>
          </w:p>
        </w:tc>
        <w:tc>
          <w:tcPr>
            <w:tcW w:w="645"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3"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vAlign w:val="center"/>
          </w:tcPr>
          <w:p>
            <w:pPr>
              <w:pStyle w:val="35"/>
              <w:ind w:firstLine="328"/>
              <w:jc w:val="center"/>
              <w:rPr>
                <w:rFonts w:cs="Times New Roman" w:eastAsiaTheme="minorEastAsia"/>
                <w:color w:val="auto"/>
                <w:spacing w:val="2"/>
              </w:rPr>
            </w:pPr>
          </w:p>
        </w:tc>
        <w:tc>
          <w:tcPr>
            <w:tcW w:w="3171" w:type="dxa"/>
            <w:vAlign w:val="center"/>
          </w:tcPr>
          <w:p>
            <w:pPr>
              <w:pStyle w:val="35"/>
              <w:ind w:firstLine="328"/>
              <w:jc w:val="center"/>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1411" w:type="dxa"/>
            <w:vMerge w:val="continue"/>
            <w:vAlign w:val="center"/>
          </w:tcPr>
          <w:p>
            <w:pPr>
              <w:pStyle w:val="35"/>
              <w:ind w:firstLine="328"/>
              <w:jc w:val="center"/>
              <w:rPr>
                <w:rFonts w:cs="Times New Roman" w:eastAsiaTheme="minorEastAsia"/>
                <w:color w:val="auto"/>
                <w:spacing w:val="2"/>
              </w:rPr>
            </w:pPr>
          </w:p>
        </w:tc>
        <w:tc>
          <w:tcPr>
            <w:tcW w:w="1453"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成本指标</w:t>
            </w:r>
          </w:p>
        </w:tc>
        <w:tc>
          <w:tcPr>
            <w:tcW w:w="1177"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成本指标</w:t>
            </w:r>
          </w:p>
        </w:tc>
        <w:tc>
          <w:tcPr>
            <w:tcW w:w="1218"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承办2022年第十一届秦巴山区年货节各项活动费用</w:t>
            </w:r>
          </w:p>
        </w:tc>
        <w:tc>
          <w:tcPr>
            <w:tcW w:w="1177"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11.85</w:t>
            </w:r>
          </w:p>
        </w:tc>
        <w:tc>
          <w:tcPr>
            <w:tcW w:w="434" w:type="dxa"/>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万元</w:t>
            </w:r>
          </w:p>
        </w:tc>
        <w:tc>
          <w:tcPr>
            <w:tcW w:w="906"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11.85万元</w:t>
            </w:r>
          </w:p>
        </w:tc>
        <w:tc>
          <w:tcPr>
            <w:tcW w:w="645" w:type="dxa"/>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3" w:type="dxa"/>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vAlign w:val="center"/>
          </w:tcPr>
          <w:p>
            <w:pPr>
              <w:pStyle w:val="35"/>
              <w:ind w:firstLine="328"/>
              <w:jc w:val="center"/>
              <w:rPr>
                <w:rFonts w:cs="Times New Roman" w:eastAsiaTheme="minorEastAsia"/>
                <w:color w:val="auto"/>
                <w:spacing w:val="2"/>
              </w:rPr>
            </w:pPr>
          </w:p>
        </w:tc>
        <w:tc>
          <w:tcPr>
            <w:tcW w:w="3171" w:type="dxa"/>
            <w:vAlign w:val="center"/>
          </w:tcPr>
          <w:p>
            <w:pPr>
              <w:pStyle w:val="35"/>
              <w:ind w:firstLine="328"/>
              <w:jc w:val="center"/>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trPr>
        <w:tc>
          <w:tcPr>
            <w:tcW w:w="1411" w:type="dxa"/>
            <w:vMerge w:val="continue"/>
            <w:vAlign w:val="center"/>
          </w:tcPr>
          <w:p>
            <w:pPr>
              <w:pStyle w:val="35"/>
              <w:ind w:firstLine="328"/>
              <w:jc w:val="center"/>
              <w:rPr>
                <w:rFonts w:cs="Times New Roman" w:eastAsiaTheme="minorEastAsia"/>
                <w:color w:val="auto"/>
                <w:spacing w:val="2"/>
              </w:rPr>
            </w:pPr>
          </w:p>
        </w:tc>
        <w:tc>
          <w:tcPr>
            <w:tcW w:w="1453"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效益指标</w:t>
            </w:r>
          </w:p>
        </w:tc>
        <w:tc>
          <w:tcPr>
            <w:tcW w:w="1177"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社会效益指标</w:t>
            </w:r>
          </w:p>
        </w:tc>
        <w:tc>
          <w:tcPr>
            <w:tcW w:w="1218"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持续提升广元本地企业外向发展能力水平</w:t>
            </w:r>
          </w:p>
        </w:tc>
        <w:tc>
          <w:tcPr>
            <w:tcW w:w="1177"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434"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906"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645"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3"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vAlign w:val="center"/>
          </w:tcPr>
          <w:p>
            <w:pPr>
              <w:pStyle w:val="35"/>
              <w:ind w:firstLine="328"/>
              <w:jc w:val="center"/>
              <w:rPr>
                <w:rFonts w:cs="Times New Roman" w:eastAsiaTheme="minorEastAsia"/>
                <w:color w:val="auto"/>
                <w:spacing w:val="2"/>
              </w:rPr>
            </w:pPr>
          </w:p>
        </w:tc>
        <w:tc>
          <w:tcPr>
            <w:tcW w:w="3171" w:type="dxa"/>
            <w:vAlign w:val="center"/>
          </w:tcPr>
          <w:p>
            <w:pPr>
              <w:pStyle w:val="35"/>
              <w:ind w:firstLine="328"/>
              <w:jc w:val="center"/>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411" w:type="dxa"/>
            <w:vMerge w:val="continue"/>
            <w:vAlign w:val="center"/>
          </w:tcPr>
          <w:p>
            <w:pPr>
              <w:pStyle w:val="35"/>
              <w:ind w:firstLine="328"/>
              <w:jc w:val="center"/>
              <w:rPr>
                <w:rFonts w:cs="Times New Roman" w:eastAsiaTheme="minorEastAsia"/>
                <w:color w:val="auto"/>
                <w:spacing w:val="2"/>
              </w:rPr>
            </w:pPr>
          </w:p>
        </w:tc>
        <w:tc>
          <w:tcPr>
            <w:tcW w:w="1453"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满意度指标</w:t>
            </w:r>
          </w:p>
        </w:tc>
        <w:tc>
          <w:tcPr>
            <w:tcW w:w="1177"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服务对象满意度指标</w:t>
            </w:r>
          </w:p>
        </w:tc>
        <w:tc>
          <w:tcPr>
            <w:tcW w:w="1218"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参会参展企业满意度</w:t>
            </w:r>
          </w:p>
        </w:tc>
        <w:tc>
          <w:tcPr>
            <w:tcW w:w="1177"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434"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906"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645"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3"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vAlign w:val="center"/>
          </w:tcPr>
          <w:p>
            <w:pPr>
              <w:pStyle w:val="35"/>
              <w:ind w:firstLine="328"/>
              <w:jc w:val="center"/>
              <w:rPr>
                <w:rFonts w:cs="Times New Roman" w:eastAsiaTheme="minorEastAsia"/>
                <w:color w:val="auto"/>
                <w:spacing w:val="2"/>
              </w:rPr>
            </w:pPr>
          </w:p>
        </w:tc>
        <w:tc>
          <w:tcPr>
            <w:tcW w:w="3171" w:type="dxa"/>
            <w:vAlign w:val="center"/>
          </w:tcPr>
          <w:p>
            <w:pPr>
              <w:pStyle w:val="35"/>
              <w:ind w:firstLine="328"/>
              <w:jc w:val="center"/>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8804" w:type="dxa"/>
            <w:gridSpan w:val="8"/>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合计</w:t>
            </w:r>
          </w:p>
        </w:tc>
        <w:tc>
          <w:tcPr>
            <w:tcW w:w="645"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100</w:t>
            </w:r>
          </w:p>
        </w:tc>
        <w:tc>
          <w:tcPr>
            <w:tcW w:w="793"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100</w:t>
            </w:r>
          </w:p>
        </w:tc>
        <w:tc>
          <w:tcPr>
            <w:tcW w:w="969" w:type="dxa"/>
            <w:vAlign w:val="center"/>
          </w:tcPr>
          <w:p>
            <w:pPr>
              <w:pStyle w:val="35"/>
              <w:ind w:firstLine="328"/>
              <w:jc w:val="center"/>
              <w:rPr>
                <w:rFonts w:cs="Times New Roman" w:eastAsiaTheme="minorEastAsia"/>
                <w:color w:val="auto"/>
                <w:spacing w:val="2"/>
              </w:rPr>
            </w:pPr>
          </w:p>
        </w:tc>
        <w:tc>
          <w:tcPr>
            <w:tcW w:w="3171" w:type="dxa"/>
            <w:vAlign w:val="center"/>
          </w:tcPr>
          <w:p>
            <w:pPr>
              <w:pStyle w:val="35"/>
              <w:ind w:firstLine="328"/>
              <w:jc w:val="center"/>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trPr>
        <w:tc>
          <w:tcPr>
            <w:tcW w:w="1411"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部门（单位）自评结论</w:t>
            </w:r>
          </w:p>
        </w:tc>
        <w:tc>
          <w:tcPr>
            <w:tcW w:w="12971" w:type="dxa"/>
            <w:gridSpan w:val="11"/>
            <w:vAlign w:val="center"/>
          </w:tcPr>
          <w:p>
            <w:pPr>
              <w:pStyle w:val="35"/>
              <w:ind w:firstLine="328"/>
              <w:jc w:val="both"/>
              <w:rPr>
                <w:rFonts w:cs="Times New Roman" w:eastAsiaTheme="minorEastAsia"/>
                <w:color w:val="auto"/>
                <w:spacing w:val="2"/>
              </w:rPr>
            </w:pPr>
            <w:r>
              <w:rPr>
                <w:rFonts w:hint="eastAsia" w:cs="Times New Roman" w:eastAsiaTheme="minorEastAsia"/>
                <w:color w:val="auto"/>
                <w:spacing w:val="2"/>
              </w:rPr>
              <w:t>本项目自评分为100分。年货节是我市每年春节前固定举办展会，2022年预算数11.85万元，展览面积1500平方米，广元60余家企业、1000余种优质年货产品现场参展，线上线下实现销售额18614万元，达到预期效果。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rPr>
        <w:tc>
          <w:tcPr>
            <w:tcW w:w="1411"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部门（单位）自评存在问题</w:t>
            </w:r>
          </w:p>
        </w:tc>
        <w:tc>
          <w:tcPr>
            <w:tcW w:w="12971" w:type="dxa"/>
            <w:gridSpan w:val="11"/>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1411"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部门（单位）自评改进措施</w:t>
            </w:r>
          </w:p>
        </w:tc>
        <w:tc>
          <w:tcPr>
            <w:tcW w:w="12971" w:type="dxa"/>
            <w:gridSpan w:val="11"/>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1411"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财政部门对口科室复评结论及整改要</w:t>
            </w:r>
          </w:p>
          <w:p>
            <w:pPr>
              <w:pStyle w:val="35"/>
              <w:ind w:firstLine="328"/>
              <w:jc w:val="center"/>
              <w:rPr>
                <w:rFonts w:cs="Times New Roman" w:eastAsiaTheme="minorEastAsia"/>
                <w:color w:val="auto"/>
                <w:spacing w:val="2"/>
              </w:rPr>
            </w:pPr>
            <w:r>
              <w:rPr>
                <w:rFonts w:hint="eastAsia" w:cs="Times New Roman" w:eastAsiaTheme="minorEastAsia"/>
                <w:color w:val="auto"/>
                <w:spacing w:val="2"/>
              </w:rPr>
              <w:t>求</w:t>
            </w:r>
          </w:p>
        </w:tc>
        <w:tc>
          <w:tcPr>
            <w:tcW w:w="12971" w:type="dxa"/>
            <w:gridSpan w:val="11"/>
            <w:vAlign w:val="center"/>
          </w:tcPr>
          <w:p>
            <w:pPr>
              <w:pStyle w:val="35"/>
              <w:ind w:firstLine="328"/>
              <w:jc w:val="center"/>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6436" w:type="dxa"/>
            <w:gridSpan w:val="5"/>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单位项目负责人：邓克</w:t>
            </w:r>
          </w:p>
        </w:tc>
        <w:tc>
          <w:tcPr>
            <w:tcW w:w="7946" w:type="dxa"/>
            <w:gridSpan w:val="7"/>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单位财务负责人：胡永军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6436" w:type="dxa"/>
            <w:gridSpan w:val="5"/>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部门项目负责人：</w:t>
            </w:r>
          </w:p>
        </w:tc>
        <w:tc>
          <w:tcPr>
            <w:tcW w:w="7946" w:type="dxa"/>
            <w:gridSpan w:val="7"/>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部门财务负责人：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trPr>
        <w:tc>
          <w:tcPr>
            <w:tcW w:w="14382" w:type="dxa"/>
            <w:gridSpan w:val="12"/>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财政部门科室负责人：</w:t>
            </w:r>
          </w:p>
        </w:tc>
      </w:tr>
    </w:tbl>
    <w:p>
      <w:pPr>
        <w:ind w:firstLine="640"/>
        <w:rPr>
          <w:rFonts w:ascii="Arial" w:hAnsi="Arial" w:cs="Arial"/>
          <w:color w:val="auto"/>
          <w:szCs w:val="21"/>
        </w:rPr>
      </w:pPr>
    </w:p>
    <w:p>
      <w:pPr>
        <w:pStyle w:val="14"/>
        <w:spacing w:line="560" w:lineRule="exact"/>
        <w:ind w:left="0" w:leftChars="0" w:firstLine="0" w:firstLineChars="0"/>
        <w:rPr>
          <w:color w:val="auto"/>
        </w:rPr>
      </w:pPr>
    </w:p>
    <w:p>
      <w:pPr>
        <w:pStyle w:val="14"/>
        <w:spacing w:line="560" w:lineRule="exact"/>
        <w:ind w:left="0" w:leftChars="0" w:firstLine="0" w:firstLineChars="0"/>
        <w:rPr>
          <w:color w:val="auto"/>
        </w:rPr>
      </w:pPr>
    </w:p>
    <w:p>
      <w:pPr>
        <w:pStyle w:val="14"/>
        <w:spacing w:line="560" w:lineRule="exact"/>
        <w:ind w:left="0" w:leftChars="0" w:firstLine="0" w:firstLineChars="0"/>
        <w:rPr>
          <w:color w:val="auto"/>
        </w:rPr>
      </w:pPr>
    </w:p>
    <w:p>
      <w:pPr>
        <w:spacing w:before="5" w:line="396" w:lineRule="exact"/>
        <w:ind w:left="1826" w:firstLine="800"/>
        <w:outlineLvl w:val="0"/>
        <w:rPr>
          <w:rFonts w:ascii="微软雅黑" w:hAnsi="微软雅黑" w:eastAsia="微软雅黑"/>
          <w:color w:val="auto"/>
          <w:spacing w:val="5"/>
          <w:position w:val="-1"/>
          <w:sz w:val="39"/>
          <w:szCs w:val="39"/>
        </w:rPr>
      </w:pPr>
    </w:p>
    <w:p>
      <w:pPr>
        <w:spacing w:before="5" w:line="396" w:lineRule="exact"/>
        <w:ind w:left="1826" w:firstLine="800"/>
        <w:outlineLvl w:val="0"/>
        <w:rPr>
          <w:rFonts w:ascii="微软雅黑" w:hAnsi="微软雅黑" w:eastAsia="微软雅黑"/>
          <w:color w:val="auto"/>
          <w:spacing w:val="5"/>
          <w:position w:val="-1"/>
          <w:sz w:val="39"/>
          <w:szCs w:val="39"/>
        </w:rPr>
      </w:pPr>
    </w:p>
    <w:p>
      <w:pPr>
        <w:spacing w:before="5" w:line="396" w:lineRule="exact"/>
        <w:ind w:left="1826" w:firstLine="800"/>
        <w:outlineLvl w:val="0"/>
        <w:rPr>
          <w:rFonts w:ascii="微软雅黑" w:hAnsi="微软雅黑" w:eastAsia="微软雅黑"/>
          <w:color w:val="auto"/>
          <w:spacing w:val="5"/>
          <w:position w:val="-1"/>
          <w:sz w:val="39"/>
          <w:szCs w:val="39"/>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部门预算项目支出绩效自评表(2022年度)</w:t>
      </w:r>
    </w:p>
    <w:p>
      <w:pPr>
        <w:spacing w:line="69" w:lineRule="exact"/>
        <w:ind w:firstLine="640"/>
        <w:rPr>
          <w:rFonts w:ascii="Arial" w:hAnsi="Arial"/>
          <w:color w:val="auto"/>
          <w:szCs w:val="21"/>
        </w:rPr>
      </w:pPr>
    </w:p>
    <w:tbl>
      <w:tblPr>
        <w:tblStyle w:val="36"/>
        <w:tblW w:w="14692" w:type="dxa"/>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1"/>
        <w:gridCol w:w="1453"/>
        <w:gridCol w:w="1278"/>
        <w:gridCol w:w="1426"/>
        <w:gridCol w:w="1177"/>
        <w:gridCol w:w="1028"/>
        <w:gridCol w:w="434"/>
        <w:gridCol w:w="906"/>
        <w:gridCol w:w="645"/>
        <w:gridCol w:w="794"/>
        <w:gridCol w:w="969"/>
        <w:gridCol w:w="31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8" w:hRule="atLeast"/>
        </w:trPr>
        <w:tc>
          <w:tcPr>
            <w:tcW w:w="2864"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项目名称</w:t>
            </w:r>
          </w:p>
        </w:tc>
        <w:tc>
          <w:tcPr>
            <w:tcW w:w="11828" w:type="dxa"/>
            <w:gridSpan w:val="10"/>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各类会展、贸易投资促进活动经费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2864"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主管部门（盖章）</w:t>
            </w:r>
          </w:p>
        </w:tc>
        <w:tc>
          <w:tcPr>
            <w:tcW w:w="5343" w:type="dxa"/>
            <w:gridSpan w:val="5"/>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实施单位（盖章）</w:t>
            </w:r>
          </w:p>
        </w:tc>
        <w:tc>
          <w:tcPr>
            <w:tcW w:w="5579" w:type="dxa"/>
            <w:gridSpan w:val="4"/>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中国国际贸易促进委员会广元市委员会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项目基本情况</w:t>
            </w:r>
          </w:p>
        </w:tc>
        <w:tc>
          <w:tcPr>
            <w:tcW w:w="1453" w:type="dxa"/>
            <w:vMerge w:val="restart"/>
            <w:tcBorders>
              <w:top w:val="nil"/>
              <w:left w:val="single" w:color="auto" w:sz="4" w:space="0"/>
              <w:bottom w:val="nil"/>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1.项目年度目标完成情况</w:t>
            </w:r>
          </w:p>
        </w:tc>
        <w:tc>
          <w:tcPr>
            <w:tcW w:w="5343" w:type="dxa"/>
            <w:gridSpan w:val="5"/>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项目年度目标</w:t>
            </w:r>
          </w:p>
        </w:tc>
        <w:tc>
          <w:tcPr>
            <w:tcW w:w="6485" w:type="dxa"/>
            <w:gridSpan w:val="5"/>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年度目标完成情况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4"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00" w:type="dxa"/>
            <w:vMerge w:val="continue"/>
            <w:tcBorders>
              <w:top w:val="nil"/>
              <w:left w:val="single" w:color="auto" w:sz="4" w:space="0"/>
              <w:bottom w:val="nil"/>
              <w:right w:val="single" w:color="000000" w:sz="6" w:space="0"/>
            </w:tcBorders>
            <w:vAlign w:val="center"/>
          </w:tcPr>
          <w:p>
            <w:pPr>
              <w:pStyle w:val="35"/>
              <w:ind w:firstLine="328"/>
              <w:jc w:val="center"/>
              <w:rPr>
                <w:rFonts w:cs="Times New Roman" w:eastAsiaTheme="minorEastAsia"/>
                <w:color w:val="auto"/>
                <w:spacing w:val="2"/>
              </w:rPr>
            </w:pPr>
          </w:p>
        </w:tc>
        <w:tc>
          <w:tcPr>
            <w:tcW w:w="5343" w:type="dxa"/>
            <w:gridSpan w:val="5"/>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1.邀请国（境）内外商协会、经贸促进组织、企业来广考察3-5批次；2.引进招商项目1个，组织广元本地企业3-5家参加国（境）外线上线下会展活动、经贸对接活动3-5次；3.积极组织广元本地企业参加成都汽配展、成都智博会、融洽会、西博会等省内外线上线下会展、经贸活动以及“一带一路”西部贸促联盟举办展会、经贸促进活动20余次，筛选并组织广元本地企业50余家参展参会，开拓市场、寻求合作。</w:t>
            </w:r>
          </w:p>
        </w:tc>
        <w:tc>
          <w:tcPr>
            <w:tcW w:w="6485" w:type="dxa"/>
            <w:gridSpan w:val="5"/>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1.对接“一带一路”建设和省上“万企出国门”和“川货全国行”活动，邀请国（境）内外商协会、经贸促进组织、企业来广考察3-5批次；2.引进招商项目1个，组织广元本地企业3-5家参加国（境）外线上线下会展活动、经贸对接活动3-5次；3.积极组织广元本地企业参加成都汽配展、成都智博会、融洽会、西博会等省内外线上线下会展、经贸活动以及“一带一路”西部贸促联盟举办展会、经贸促进活动20余次，筛选并组织广元本地企业50余家参展参会，开拓市场、寻求合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3"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000000" w:sz="6" w:space="0"/>
              <w:left w:val="single" w:color="auto" w:sz="4"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2.项目实施内容及过程概述</w:t>
            </w:r>
          </w:p>
        </w:tc>
        <w:tc>
          <w:tcPr>
            <w:tcW w:w="11828" w:type="dxa"/>
            <w:gridSpan w:val="10"/>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1.通过邀请国（境）内外商协会、经贸促进组织、企业来广考察3-5批次；2.引进招商项目1个，组织广元本地企业3-5家参加国（境）外线上线下会展活动、经贸对接活动3-5次；3.积极组织广元本地企业参加成都汽配展、成都智博会、融洽会、西博会等省内外线上线下会展、经贸活动以及“一带一路”西部贸促联盟举办展会、经贸促进活动20余次，筛选并组织广元本地企业50余家参展参会，开拓市场、寻求合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5" w:hRule="atLeast"/>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预算执行情况（10分）</w:t>
            </w:r>
          </w:p>
        </w:tc>
        <w:tc>
          <w:tcPr>
            <w:tcW w:w="1453" w:type="dxa"/>
            <w:tcBorders>
              <w:top w:val="single" w:color="000000" w:sz="6" w:space="0"/>
              <w:left w:val="single" w:color="auto" w:sz="4"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年度预算数（万元）</w:t>
            </w:r>
          </w:p>
        </w:tc>
        <w:tc>
          <w:tcPr>
            <w:tcW w:w="127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年初预算</w:t>
            </w:r>
          </w:p>
        </w:tc>
        <w:tc>
          <w:tcPr>
            <w:tcW w:w="142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调整后预算数</w:t>
            </w:r>
          </w:p>
        </w:tc>
        <w:tc>
          <w:tcPr>
            <w:tcW w:w="2639" w:type="dxa"/>
            <w:gridSpan w:val="3"/>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预算执行数</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预算执行率</w:t>
            </w: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权重%</w:t>
            </w:r>
          </w:p>
        </w:tc>
        <w:tc>
          <w:tcPr>
            <w:tcW w:w="794"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部门自评得分</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财政部门科室复评得分</w:t>
            </w:r>
          </w:p>
        </w:tc>
        <w:tc>
          <w:tcPr>
            <w:tcW w:w="317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原因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000000" w:sz="6" w:space="0"/>
              <w:left w:val="single" w:color="auto" w:sz="4"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总额</w:t>
            </w:r>
          </w:p>
        </w:tc>
        <w:tc>
          <w:tcPr>
            <w:tcW w:w="127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6.60</w:t>
            </w:r>
          </w:p>
        </w:tc>
        <w:tc>
          <w:tcPr>
            <w:tcW w:w="142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6.60</w:t>
            </w:r>
          </w:p>
        </w:tc>
        <w:tc>
          <w:tcPr>
            <w:tcW w:w="2639" w:type="dxa"/>
            <w:gridSpan w:val="3"/>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1.50</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22.73%</w:t>
            </w: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8</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vMerge w:val="restart"/>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1.预算执行率=预算执行数/调整后预算数，预算执行率未达到90%的需说明原因（100字以内）；2.年中发生预算调整的（追加或调减），应单独说明理由；3.其他资金包括、社会投入资金、银行贷款.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000000" w:sz="6" w:space="0"/>
              <w:left w:val="single" w:color="auto" w:sz="4"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其中：财政资金</w:t>
            </w:r>
          </w:p>
        </w:tc>
        <w:tc>
          <w:tcPr>
            <w:tcW w:w="127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6.60</w:t>
            </w:r>
          </w:p>
        </w:tc>
        <w:tc>
          <w:tcPr>
            <w:tcW w:w="142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6.60</w:t>
            </w:r>
          </w:p>
        </w:tc>
        <w:tc>
          <w:tcPr>
            <w:tcW w:w="2639" w:type="dxa"/>
            <w:gridSpan w:val="3"/>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1.50</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794"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000000" w:sz="6" w:space="0"/>
              <w:left w:val="single" w:color="auto" w:sz="4"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财政专户管理资金</w:t>
            </w:r>
          </w:p>
        </w:tc>
        <w:tc>
          <w:tcPr>
            <w:tcW w:w="127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142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2639" w:type="dxa"/>
            <w:gridSpan w:val="3"/>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794"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000000" w:sz="6" w:space="0"/>
              <w:left w:val="single" w:color="auto" w:sz="4"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单位资金</w:t>
            </w:r>
          </w:p>
        </w:tc>
        <w:tc>
          <w:tcPr>
            <w:tcW w:w="127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142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2639" w:type="dxa"/>
            <w:gridSpan w:val="3"/>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794"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000000" w:sz="6" w:space="0"/>
              <w:left w:val="single" w:color="auto" w:sz="4"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其他资金</w:t>
            </w:r>
          </w:p>
        </w:tc>
        <w:tc>
          <w:tcPr>
            <w:tcW w:w="1278" w:type="dxa"/>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p>
        </w:tc>
        <w:tc>
          <w:tcPr>
            <w:tcW w:w="1426" w:type="dxa"/>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p>
        </w:tc>
        <w:tc>
          <w:tcPr>
            <w:tcW w:w="2639" w:type="dxa"/>
            <w:gridSpan w:val="3"/>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p>
        </w:tc>
        <w:tc>
          <w:tcPr>
            <w:tcW w:w="906" w:type="dxa"/>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p>
        </w:tc>
        <w:tc>
          <w:tcPr>
            <w:tcW w:w="645" w:type="dxa"/>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p>
        </w:tc>
        <w:tc>
          <w:tcPr>
            <w:tcW w:w="794" w:type="dxa"/>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p>
        </w:tc>
        <w:tc>
          <w:tcPr>
            <w:tcW w:w="969" w:type="dxa"/>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nil"/>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绩效指标（90分）</w:t>
            </w: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一级指标</w:t>
            </w:r>
          </w:p>
        </w:tc>
        <w:tc>
          <w:tcPr>
            <w:tcW w:w="127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二级指标</w:t>
            </w:r>
          </w:p>
        </w:tc>
        <w:tc>
          <w:tcPr>
            <w:tcW w:w="142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三级指标</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指标性质</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指标值</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度量单位</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完成值</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权重</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部门自评得分</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财政部门科室复评得分</w:t>
            </w: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未完成原因分析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产出指标</w:t>
            </w:r>
          </w:p>
        </w:tc>
        <w:tc>
          <w:tcPr>
            <w:tcW w:w="127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数量指标</w:t>
            </w:r>
          </w:p>
        </w:tc>
        <w:tc>
          <w:tcPr>
            <w:tcW w:w="142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调研企业数量</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5</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家</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5家</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受疫情影响，2022年经贸对接、贸易投资促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27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数量指标</w:t>
            </w:r>
          </w:p>
        </w:tc>
        <w:tc>
          <w:tcPr>
            <w:tcW w:w="142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参展企业数量</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50</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家</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30家</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8</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27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质量指标</w:t>
            </w:r>
          </w:p>
        </w:tc>
        <w:tc>
          <w:tcPr>
            <w:tcW w:w="142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拓展国内外市场，引进国内外客商来广投资</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90%</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27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时效指标</w:t>
            </w:r>
          </w:p>
        </w:tc>
        <w:tc>
          <w:tcPr>
            <w:tcW w:w="142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完成时间</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项目完成时间</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12</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月</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12月</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bl>
    <w:p>
      <w:pPr>
        <w:pStyle w:val="35"/>
        <w:ind w:firstLine="328"/>
        <w:jc w:val="center"/>
        <w:rPr>
          <w:rFonts w:cs="Times New Roman" w:eastAsiaTheme="minorEastAsia"/>
          <w:color w:val="auto"/>
          <w:spacing w:val="2"/>
        </w:rPr>
        <w:sectPr>
          <w:pgSz w:w="16837" w:h="11905"/>
          <w:pgMar w:top="1011" w:right="1072" w:bottom="650" w:left="1057" w:header="0" w:footer="454" w:gutter="0"/>
          <w:cols w:space="720" w:num="1"/>
        </w:sectPr>
      </w:pPr>
    </w:p>
    <w:p>
      <w:pPr>
        <w:pStyle w:val="35"/>
        <w:ind w:firstLine="328"/>
        <w:jc w:val="center"/>
        <w:rPr>
          <w:rFonts w:cs="Times New Roman" w:eastAsiaTheme="minorEastAsia"/>
          <w:color w:val="auto"/>
          <w:spacing w:val="2"/>
        </w:rPr>
      </w:pPr>
    </w:p>
    <w:tbl>
      <w:tblPr>
        <w:tblStyle w:val="36"/>
        <w:tblW w:w="14692"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1"/>
        <w:gridCol w:w="1453"/>
        <w:gridCol w:w="1278"/>
        <w:gridCol w:w="1426"/>
        <w:gridCol w:w="1177"/>
        <w:gridCol w:w="1028"/>
        <w:gridCol w:w="434"/>
        <w:gridCol w:w="906"/>
        <w:gridCol w:w="645"/>
        <w:gridCol w:w="794"/>
        <w:gridCol w:w="969"/>
        <w:gridCol w:w="3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1411" w:type="dxa"/>
            <w:vMerge w:val="restart"/>
            <w:vAlign w:val="center"/>
          </w:tcPr>
          <w:p>
            <w:pPr>
              <w:pStyle w:val="35"/>
              <w:ind w:firstLine="328"/>
              <w:jc w:val="center"/>
              <w:rPr>
                <w:rFonts w:cs="Times New Roman" w:eastAsiaTheme="minorEastAsia"/>
                <w:color w:val="auto"/>
                <w:spacing w:val="2"/>
              </w:rPr>
            </w:pPr>
          </w:p>
        </w:tc>
        <w:tc>
          <w:tcPr>
            <w:tcW w:w="1453"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成本指标</w:t>
            </w:r>
          </w:p>
        </w:tc>
        <w:tc>
          <w:tcPr>
            <w:tcW w:w="1278"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成本指标</w:t>
            </w:r>
          </w:p>
        </w:tc>
        <w:tc>
          <w:tcPr>
            <w:tcW w:w="1426"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参会参展活动经费</w:t>
            </w:r>
          </w:p>
        </w:tc>
        <w:tc>
          <w:tcPr>
            <w:tcW w:w="1177"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6.6</w:t>
            </w:r>
          </w:p>
        </w:tc>
        <w:tc>
          <w:tcPr>
            <w:tcW w:w="434" w:type="dxa"/>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万元</w:t>
            </w:r>
          </w:p>
        </w:tc>
        <w:tc>
          <w:tcPr>
            <w:tcW w:w="906" w:type="dxa"/>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1.5万元</w:t>
            </w:r>
          </w:p>
        </w:tc>
        <w:tc>
          <w:tcPr>
            <w:tcW w:w="645"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vAlign w:val="center"/>
          </w:tcPr>
          <w:p>
            <w:pPr>
              <w:pStyle w:val="35"/>
              <w:ind w:firstLine="328"/>
              <w:jc w:val="center"/>
              <w:rPr>
                <w:rFonts w:cs="Times New Roman" w:eastAsiaTheme="minorEastAsia"/>
                <w:color w:val="auto"/>
                <w:spacing w:val="2"/>
              </w:rPr>
            </w:pPr>
          </w:p>
        </w:tc>
        <w:tc>
          <w:tcPr>
            <w:tcW w:w="3171" w:type="dxa"/>
            <w:vMerge w:val="restart"/>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411" w:type="dxa"/>
            <w:vMerge w:val="continue"/>
            <w:vAlign w:val="center"/>
          </w:tcPr>
          <w:p>
            <w:pPr>
              <w:pStyle w:val="35"/>
              <w:ind w:firstLine="328"/>
              <w:jc w:val="center"/>
              <w:rPr>
                <w:rFonts w:cs="Times New Roman" w:eastAsiaTheme="minorEastAsia"/>
                <w:color w:val="auto"/>
                <w:spacing w:val="2"/>
              </w:rPr>
            </w:pPr>
          </w:p>
        </w:tc>
        <w:tc>
          <w:tcPr>
            <w:tcW w:w="1453"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效益指标</w:t>
            </w:r>
          </w:p>
        </w:tc>
        <w:tc>
          <w:tcPr>
            <w:tcW w:w="1278"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社会效益指标</w:t>
            </w:r>
          </w:p>
        </w:tc>
        <w:tc>
          <w:tcPr>
            <w:tcW w:w="1426"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持续提升广元本地企业外向发展能力水平</w:t>
            </w:r>
          </w:p>
        </w:tc>
        <w:tc>
          <w:tcPr>
            <w:tcW w:w="1177"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434" w:type="dxa"/>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w:t>
            </w:r>
          </w:p>
        </w:tc>
        <w:tc>
          <w:tcPr>
            <w:tcW w:w="906"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90%</w:t>
            </w:r>
          </w:p>
        </w:tc>
        <w:tc>
          <w:tcPr>
            <w:tcW w:w="645"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8</w:t>
            </w:r>
          </w:p>
        </w:tc>
        <w:tc>
          <w:tcPr>
            <w:tcW w:w="969" w:type="dxa"/>
            <w:vAlign w:val="center"/>
          </w:tcPr>
          <w:p>
            <w:pPr>
              <w:pStyle w:val="35"/>
              <w:ind w:firstLine="328"/>
              <w:jc w:val="center"/>
              <w:rPr>
                <w:rFonts w:cs="Times New Roman" w:eastAsiaTheme="minorEastAsia"/>
                <w:color w:val="auto"/>
                <w:spacing w:val="2"/>
              </w:rPr>
            </w:pPr>
          </w:p>
        </w:tc>
        <w:tc>
          <w:tcPr>
            <w:tcW w:w="3171" w:type="dxa"/>
            <w:vMerge w:val="continue"/>
            <w:vAlign w:val="center"/>
          </w:tcPr>
          <w:p>
            <w:pPr>
              <w:pStyle w:val="35"/>
              <w:ind w:firstLine="328"/>
              <w:jc w:val="center"/>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1411" w:type="dxa"/>
            <w:vMerge w:val="continue"/>
            <w:vAlign w:val="center"/>
          </w:tcPr>
          <w:p>
            <w:pPr>
              <w:pStyle w:val="35"/>
              <w:ind w:firstLine="328"/>
              <w:jc w:val="center"/>
              <w:rPr>
                <w:rFonts w:cs="Times New Roman" w:eastAsiaTheme="minorEastAsia"/>
                <w:color w:val="auto"/>
                <w:spacing w:val="2"/>
              </w:rPr>
            </w:pPr>
          </w:p>
        </w:tc>
        <w:tc>
          <w:tcPr>
            <w:tcW w:w="1453"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满意度指标</w:t>
            </w:r>
          </w:p>
        </w:tc>
        <w:tc>
          <w:tcPr>
            <w:tcW w:w="1278"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服务对象满意度指标</w:t>
            </w:r>
          </w:p>
        </w:tc>
        <w:tc>
          <w:tcPr>
            <w:tcW w:w="1426"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参会参展企业满意度</w:t>
            </w:r>
          </w:p>
        </w:tc>
        <w:tc>
          <w:tcPr>
            <w:tcW w:w="1177"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434" w:type="dxa"/>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w:t>
            </w:r>
          </w:p>
        </w:tc>
        <w:tc>
          <w:tcPr>
            <w:tcW w:w="906"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645"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794"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969" w:type="dxa"/>
            <w:vAlign w:val="center"/>
          </w:tcPr>
          <w:p>
            <w:pPr>
              <w:pStyle w:val="35"/>
              <w:ind w:firstLine="328"/>
              <w:jc w:val="center"/>
              <w:rPr>
                <w:rFonts w:cs="Times New Roman" w:eastAsiaTheme="minorEastAsia"/>
                <w:color w:val="auto"/>
                <w:spacing w:val="2"/>
              </w:rPr>
            </w:pPr>
          </w:p>
        </w:tc>
        <w:tc>
          <w:tcPr>
            <w:tcW w:w="3171" w:type="dxa"/>
            <w:vMerge w:val="continue"/>
            <w:vAlign w:val="center"/>
          </w:tcPr>
          <w:p>
            <w:pPr>
              <w:pStyle w:val="35"/>
              <w:ind w:firstLine="328"/>
              <w:jc w:val="center"/>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4142" w:type="dxa"/>
            <w:gridSpan w:val="3"/>
            <w:vAlign w:val="center"/>
          </w:tcPr>
          <w:p>
            <w:pPr>
              <w:pStyle w:val="35"/>
              <w:ind w:firstLine="328"/>
              <w:jc w:val="center"/>
              <w:rPr>
                <w:rFonts w:cs="Times New Roman" w:eastAsiaTheme="minorEastAsia"/>
                <w:color w:val="auto"/>
                <w:spacing w:val="2"/>
              </w:rPr>
            </w:pPr>
          </w:p>
        </w:tc>
        <w:tc>
          <w:tcPr>
            <w:tcW w:w="4971" w:type="dxa"/>
            <w:gridSpan w:val="5"/>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合计</w:t>
            </w:r>
          </w:p>
        </w:tc>
        <w:tc>
          <w:tcPr>
            <w:tcW w:w="645"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100</w:t>
            </w:r>
          </w:p>
        </w:tc>
        <w:tc>
          <w:tcPr>
            <w:tcW w:w="794"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93</w:t>
            </w:r>
          </w:p>
        </w:tc>
        <w:tc>
          <w:tcPr>
            <w:tcW w:w="969" w:type="dxa"/>
            <w:vAlign w:val="center"/>
          </w:tcPr>
          <w:p>
            <w:pPr>
              <w:pStyle w:val="35"/>
              <w:ind w:firstLine="328"/>
              <w:jc w:val="center"/>
              <w:rPr>
                <w:rFonts w:cs="Times New Roman" w:eastAsiaTheme="minorEastAsia"/>
                <w:color w:val="auto"/>
                <w:spacing w:val="2"/>
              </w:rPr>
            </w:pPr>
          </w:p>
        </w:tc>
        <w:tc>
          <w:tcPr>
            <w:tcW w:w="3171" w:type="dxa"/>
            <w:vAlign w:val="center"/>
          </w:tcPr>
          <w:p>
            <w:pPr>
              <w:pStyle w:val="35"/>
              <w:ind w:firstLine="328"/>
              <w:jc w:val="center"/>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trPr>
        <w:tc>
          <w:tcPr>
            <w:tcW w:w="1411"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部门（单位）自评</w:t>
            </w:r>
          </w:p>
          <w:p>
            <w:pPr>
              <w:pStyle w:val="35"/>
              <w:ind w:firstLine="328"/>
              <w:jc w:val="center"/>
              <w:rPr>
                <w:rFonts w:cs="Times New Roman" w:eastAsiaTheme="minorEastAsia"/>
                <w:color w:val="auto"/>
                <w:spacing w:val="2"/>
              </w:rPr>
            </w:pPr>
            <w:r>
              <w:rPr>
                <w:rFonts w:hint="eastAsia" w:cs="Times New Roman" w:eastAsiaTheme="minorEastAsia"/>
                <w:color w:val="auto"/>
                <w:spacing w:val="2"/>
              </w:rPr>
              <w:t>结论</w:t>
            </w:r>
          </w:p>
        </w:tc>
        <w:tc>
          <w:tcPr>
            <w:tcW w:w="13281" w:type="dxa"/>
            <w:gridSpan w:val="11"/>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本项目得分93分。受疫情影响，2022年经贸对接、贸易投资促进、调研企业等活动开展不够。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trPr>
        <w:tc>
          <w:tcPr>
            <w:tcW w:w="1411"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部门（单位）自评</w:t>
            </w:r>
          </w:p>
          <w:p>
            <w:pPr>
              <w:pStyle w:val="35"/>
              <w:ind w:firstLine="328"/>
              <w:jc w:val="center"/>
              <w:rPr>
                <w:rFonts w:cs="Times New Roman" w:eastAsiaTheme="minorEastAsia"/>
                <w:color w:val="auto"/>
                <w:spacing w:val="2"/>
              </w:rPr>
            </w:pPr>
            <w:r>
              <w:rPr>
                <w:rFonts w:hint="eastAsia" w:cs="Times New Roman" w:eastAsiaTheme="minorEastAsia"/>
                <w:color w:val="auto"/>
                <w:spacing w:val="2"/>
              </w:rPr>
              <w:t>存在问题</w:t>
            </w:r>
          </w:p>
        </w:tc>
        <w:tc>
          <w:tcPr>
            <w:tcW w:w="13281" w:type="dxa"/>
            <w:gridSpan w:val="11"/>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因疫情影响，项目资金进度缓慢，未能最大限度发挥资金效能。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trPr>
        <w:tc>
          <w:tcPr>
            <w:tcW w:w="1411"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部门（单位）自评</w:t>
            </w:r>
          </w:p>
          <w:p>
            <w:pPr>
              <w:pStyle w:val="35"/>
              <w:ind w:firstLine="328"/>
              <w:jc w:val="center"/>
              <w:rPr>
                <w:rFonts w:cs="Times New Roman" w:eastAsiaTheme="minorEastAsia"/>
                <w:color w:val="auto"/>
                <w:spacing w:val="2"/>
              </w:rPr>
            </w:pPr>
            <w:r>
              <w:rPr>
                <w:rFonts w:hint="eastAsia" w:cs="Times New Roman" w:eastAsiaTheme="minorEastAsia"/>
                <w:color w:val="auto"/>
                <w:spacing w:val="2"/>
              </w:rPr>
              <w:t>改进措施</w:t>
            </w:r>
          </w:p>
        </w:tc>
        <w:tc>
          <w:tcPr>
            <w:tcW w:w="13281" w:type="dxa"/>
            <w:gridSpan w:val="11"/>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加快项目实施进度的推进，加强项目开展进度的跟踪，及时开展项目绩效评价，确保项目绩效目标的完成，发挥资金的使用效益，压减年末结余资金规模，提高预算完成率。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trPr>
        <w:tc>
          <w:tcPr>
            <w:tcW w:w="1411"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财政部门对口科室复评结论及整改要</w:t>
            </w:r>
          </w:p>
          <w:p>
            <w:pPr>
              <w:pStyle w:val="35"/>
              <w:ind w:firstLine="328"/>
              <w:jc w:val="center"/>
              <w:rPr>
                <w:rFonts w:cs="Times New Roman" w:eastAsiaTheme="minorEastAsia"/>
                <w:color w:val="auto"/>
                <w:spacing w:val="2"/>
              </w:rPr>
            </w:pPr>
            <w:r>
              <w:rPr>
                <w:rFonts w:hint="eastAsia" w:cs="Times New Roman" w:eastAsiaTheme="minorEastAsia"/>
                <w:color w:val="auto"/>
                <w:spacing w:val="2"/>
              </w:rPr>
              <w:t>求</w:t>
            </w:r>
          </w:p>
        </w:tc>
        <w:tc>
          <w:tcPr>
            <w:tcW w:w="13281" w:type="dxa"/>
            <w:gridSpan w:val="11"/>
            <w:vAlign w:val="center"/>
          </w:tcPr>
          <w:p>
            <w:pPr>
              <w:pStyle w:val="35"/>
              <w:ind w:firstLine="328"/>
              <w:jc w:val="center"/>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6745" w:type="dxa"/>
            <w:gridSpan w:val="5"/>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单位项目负责人：邓克</w:t>
            </w:r>
          </w:p>
        </w:tc>
        <w:tc>
          <w:tcPr>
            <w:tcW w:w="7947" w:type="dxa"/>
            <w:gridSpan w:val="7"/>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单位财务负责人：胡永军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6745" w:type="dxa"/>
            <w:gridSpan w:val="5"/>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部门项目负责人：</w:t>
            </w:r>
          </w:p>
        </w:tc>
        <w:tc>
          <w:tcPr>
            <w:tcW w:w="7947" w:type="dxa"/>
            <w:gridSpan w:val="7"/>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部门财务负责人：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trPr>
        <w:tc>
          <w:tcPr>
            <w:tcW w:w="14692" w:type="dxa"/>
            <w:gridSpan w:val="12"/>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财政部门科室负责人：</w:t>
            </w:r>
          </w:p>
        </w:tc>
      </w:tr>
    </w:tbl>
    <w:p>
      <w:pPr>
        <w:ind w:firstLine="640"/>
        <w:rPr>
          <w:rFonts w:ascii="Arial" w:hAnsi="Arial" w:cs="Arial"/>
          <w:color w:val="auto"/>
          <w:szCs w:val="21"/>
        </w:rPr>
      </w:pPr>
    </w:p>
    <w:p>
      <w:pPr>
        <w:pStyle w:val="14"/>
        <w:spacing w:line="560" w:lineRule="exact"/>
        <w:ind w:left="0" w:leftChars="0" w:firstLine="0" w:firstLineChars="0"/>
        <w:rPr>
          <w:color w:val="auto"/>
        </w:rPr>
      </w:pPr>
    </w:p>
    <w:p>
      <w:pPr>
        <w:pStyle w:val="14"/>
        <w:spacing w:line="560" w:lineRule="exact"/>
        <w:ind w:left="0" w:leftChars="0" w:firstLine="0" w:firstLineChars="0"/>
        <w:rPr>
          <w:color w:val="auto"/>
        </w:rPr>
      </w:pPr>
    </w:p>
    <w:p>
      <w:pPr>
        <w:pStyle w:val="14"/>
        <w:spacing w:line="560" w:lineRule="exact"/>
        <w:ind w:left="0" w:leftChars="0" w:firstLine="0" w:firstLineChars="0"/>
        <w:rPr>
          <w:color w:val="auto"/>
        </w:rPr>
      </w:pPr>
    </w:p>
    <w:p>
      <w:pPr>
        <w:pStyle w:val="14"/>
        <w:spacing w:line="560" w:lineRule="exact"/>
        <w:ind w:left="0" w:leftChars="0" w:firstLine="0" w:firstLineChars="0"/>
        <w:rPr>
          <w:color w:val="auto"/>
        </w:rPr>
      </w:pPr>
    </w:p>
    <w:p>
      <w:pPr>
        <w:pStyle w:val="2"/>
        <w:spacing w:before="72"/>
        <w:ind w:firstLine="640"/>
        <w:rPr>
          <w:rFonts w:hAnsi="宋体" w:cs="宋体"/>
          <w:color w:val="auto"/>
          <w:sz w:val="32"/>
          <w:szCs w:val="32"/>
          <w:shd w:val="clear" w:color="auto" w:fill="FFFFFF"/>
          <w:lang w:val="zh-CN"/>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部门预算项目支出绩效自评表(2022年度)</w:t>
      </w:r>
    </w:p>
    <w:p>
      <w:pPr>
        <w:spacing w:line="69" w:lineRule="exact"/>
        <w:ind w:firstLine="640"/>
        <w:jc w:val="center"/>
        <w:rPr>
          <w:rFonts w:ascii="Arial" w:hAnsi="Arial"/>
          <w:color w:val="auto"/>
          <w:szCs w:val="21"/>
        </w:rPr>
      </w:pPr>
    </w:p>
    <w:tbl>
      <w:tblPr>
        <w:tblStyle w:val="36"/>
        <w:tblW w:w="147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1"/>
        <w:gridCol w:w="1473"/>
        <w:gridCol w:w="1278"/>
        <w:gridCol w:w="1426"/>
        <w:gridCol w:w="1177"/>
        <w:gridCol w:w="1028"/>
        <w:gridCol w:w="434"/>
        <w:gridCol w:w="906"/>
        <w:gridCol w:w="645"/>
        <w:gridCol w:w="794"/>
        <w:gridCol w:w="969"/>
        <w:gridCol w:w="31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88" w:hRule="atLeast"/>
          <w:jc w:val="center"/>
        </w:trPr>
        <w:tc>
          <w:tcPr>
            <w:tcW w:w="2884"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项目名称</w:t>
            </w:r>
          </w:p>
        </w:tc>
        <w:tc>
          <w:tcPr>
            <w:tcW w:w="11828" w:type="dxa"/>
            <w:gridSpan w:val="10"/>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color w:val="auto"/>
              </w:rPr>
            </w:pPr>
            <w:r>
              <w:rPr>
                <w:rFonts w:hint="eastAsia" w:cs="Times New Roman" w:eastAsiaTheme="minorEastAsia"/>
                <w:color w:val="auto"/>
                <w:spacing w:val="2"/>
              </w:rPr>
              <w:t>各类会展、贸易投资促进活动经费(2021年结余）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jc w:val="center"/>
        </w:trPr>
        <w:tc>
          <w:tcPr>
            <w:tcW w:w="2884"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主管部门（盖章）</w:t>
            </w:r>
          </w:p>
        </w:tc>
        <w:tc>
          <w:tcPr>
            <w:tcW w:w="5343" w:type="dxa"/>
            <w:gridSpan w:val="5"/>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实施单位（盖章）</w:t>
            </w:r>
          </w:p>
        </w:tc>
        <w:tc>
          <w:tcPr>
            <w:tcW w:w="5579" w:type="dxa"/>
            <w:gridSpan w:val="4"/>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color w:val="auto"/>
              </w:rPr>
            </w:pPr>
            <w:r>
              <w:rPr>
                <w:rFonts w:hint="eastAsia" w:cs="Times New Roman" w:eastAsiaTheme="minorEastAsia"/>
                <w:color w:val="auto"/>
                <w:spacing w:val="2"/>
              </w:rPr>
              <w:t>中国国际贸易促进委员会广元市委员会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项目基本情况</w:t>
            </w:r>
          </w:p>
        </w:tc>
        <w:tc>
          <w:tcPr>
            <w:tcW w:w="1473" w:type="dxa"/>
            <w:vMerge w:val="restart"/>
            <w:tcBorders>
              <w:top w:val="nil"/>
              <w:left w:val="single" w:color="auto" w:sz="4" w:space="0"/>
              <w:bottom w:val="nil"/>
              <w:right w:val="single" w:color="000000" w:sz="6" w:space="0"/>
            </w:tcBorders>
            <w:vAlign w:val="center"/>
          </w:tcPr>
          <w:p>
            <w:pPr>
              <w:pStyle w:val="35"/>
              <w:spacing w:before="147"/>
              <w:ind w:left="27" w:right="34" w:firstLine="328"/>
              <w:jc w:val="center"/>
              <w:rPr>
                <w:rFonts w:cs="Times New Roman" w:eastAsiaTheme="minorEastAsia"/>
                <w:color w:val="auto"/>
                <w:spacing w:val="2"/>
              </w:rPr>
            </w:pPr>
            <w:r>
              <w:rPr>
                <w:rFonts w:hint="eastAsia" w:cs="Times New Roman"/>
                <w:color w:val="auto"/>
                <w:spacing w:val="2"/>
              </w:rPr>
              <w:t>1.项目年度目标完成情</w:t>
            </w:r>
            <w:r>
              <w:rPr>
                <w:rFonts w:hint="eastAsia" w:cs="Times New Roman" w:eastAsiaTheme="minorEastAsia"/>
                <w:color w:val="auto"/>
                <w:spacing w:val="2"/>
              </w:rPr>
              <w:t>况</w:t>
            </w:r>
          </w:p>
        </w:tc>
        <w:tc>
          <w:tcPr>
            <w:tcW w:w="5343" w:type="dxa"/>
            <w:gridSpan w:val="5"/>
            <w:tcBorders>
              <w:top w:val="single" w:color="000000" w:sz="6" w:space="0"/>
              <w:left w:val="single" w:color="000000" w:sz="6" w:space="0"/>
              <w:bottom w:val="single" w:color="000000" w:sz="6" w:space="0"/>
              <w:right w:val="single" w:color="000000" w:sz="6" w:space="0"/>
            </w:tcBorders>
            <w:vAlign w:val="center"/>
          </w:tcPr>
          <w:p>
            <w:pPr>
              <w:pStyle w:val="35"/>
              <w:spacing w:before="187"/>
              <w:ind w:firstLine="1722" w:firstLineChars="1050"/>
              <w:jc w:val="center"/>
              <w:rPr>
                <w:rFonts w:cs="Times New Roman" w:eastAsiaTheme="minorEastAsia"/>
                <w:color w:val="auto"/>
              </w:rPr>
            </w:pPr>
            <w:r>
              <w:rPr>
                <w:rFonts w:hint="eastAsia" w:cs="Times New Roman" w:eastAsiaTheme="minorEastAsia"/>
                <w:color w:val="auto"/>
                <w:spacing w:val="2"/>
              </w:rPr>
              <w:t>项目年度目标</w:t>
            </w:r>
          </w:p>
        </w:tc>
        <w:tc>
          <w:tcPr>
            <w:tcW w:w="6485" w:type="dxa"/>
            <w:gridSpan w:val="5"/>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color w:val="auto"/>
              </w:rPr>
            </w:pPr>
            <w:r>
              <w:rPr>
                <w:rFonts w:hint="eastAsia" w:cs="Times New Roman" w:eastAsiaTheme="minorEastAsia"/>
                <w:color w:val="auto"/>
                <w:spacing w:val="2"/>
              </w:rPr>
              <w:t>年度目标完成情况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61"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ind w:firstLine="320"/>
              <w:jc w:val="center"/>
              <w:rPr>
                <w:rFonts w:ascii="宋体" w:hAnsi="宋体" w:eastAsia="宋体"/>
                <w:color w:val="auto"/>
                <w:sz w:val="16"/>
                <w:szCs w:val="16"/>
              </w:rPr>
            </w:pPr>
          </w:p>
        </w:tc>
        <w:tc>
          <w:tcPr>
            <w:tcW w:w="1473" w:type="dxa"/>
            <w:vMerge w:val="continue"/>
            <w:tcBorders>
              <w:top w:val="nil"/>
              <w:left w:val="single" w:color="auto" w:sz="4" w:space="0"/>
              <w:bottom w:val="nil"/>
              <w:right w:val="single" w:color="000000" w:sz="6" w:space="0"/>
            </w:tcBorders>
            <w:vAlign w:val="center"/>
          </w:tcPr>
          <w:p>
            <w:pPr>
              <w:ind w:firstLine="320"/>
              <w:jc w:val="center"/>
              <w:rPr>
                <w:rFonts w:ascii="宋体" w:hAnsi="宋体" w:eastAsia="宋体"/>
                <w:color w:val="auto"/>
                <w:sz w:val="16"/>
                <w:szCs w:val="16"/>
              </w:rPr>
            </w:pPr>
          </w:p>
        </w:tc>
        <w:tc>
          <w:tcPr>
            <w:tcW w:w="5343" w:type="dxa"/>
            <w:gridSpan w:val="5"/>
            <w:tcBorders>
              <w:top w:val="single" w:color="000000" w:sz="6" w:space="0"/>
              <w:left w:val="single" w:color="000000" w:sz="6" w:space="0"/>
              <w:bottom w:val="single" w:color="000000" w:sz="6" w:space="0"/>
              <w:right w:val="single" w:color="000000" w:sz="6" w:space="0"/>
            </w:tcBorders>
            <w:vAlign w:val="center"/>
          </w:tcPr>
          <w:p>
            <w:pPr>
              <w:pStyle w:val="35"/>
              <w:spacing w:before="147"/>
              <w:ind w:left="27" w:right="34" w:firstLine="328"/>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2"/>
              </w:rPr>
              <w:t>1.邀请国（境）内外商协会、经贸促进组织、企业来广考察3-5批次；2.引进招商项目1个，组织广元本地企业3-5家参加国（境）外线上线下会展活动、经贸对接活动3-5次；3.积极组织广元本地企业参加成都汽配展、成都智博会、融洽会、西博会等省内外线上线下会展、经贸活动以及“一带一路”西部贸促联盟举办展会、经贸促进活动20余次，筛选并组织广元本地企业50余家参展参会，开拓市场、寻求合作。</w:t>
            </w:r>
          </w:p>
        </w:tc>
        <w:tc>
          <w:tcPr>
            <w:tcW w:w="6485" w:type="dxa"/>
            <w:gridSpan w:val="5"/>
            <w:tcBorders>
              <w:top w:val="single" w:color="000000" w:sz="6" w:space="0"/>
              <w:left w:val="single" w:color="000000" w:sz="6" w:space="0"/>
              <w:bottom w:val="single" w:color="000000" w:sz="6" w:space="0"/>
              <w:right w:val="single" w:color="000000" w:sz="6" w:space="0"/>
            </w:tcBorders>
            <w:vAlign w:val="center"/>
          </w:tcPr>
          <w:p>
            <w:pPr>
              <w:pStyle w:val="35"/>
              <w:spacing w:before="147"/>
              <w:ind w:left="27" w:right="34" w:firstLine="328"/>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2"/>
              </w:rPr>
              <w:t>1.对接“一带一路”建设和省上“万企出国门”和“川货全国行”活动，邀请国（境）内外商协会、经贸促进组织、企业来广考察3-5批次；2.引进招商项目1个，组织广元本地企业3-5家参加国（境）外线上线下会展活动、经贸对接活动3-5次；3.积极组织广元本地企业参加成都汽配展、成都智博会、融洽会、西博会等省内外线上线下会展、经贸活动以及“一带一路”西部贸促联盟举办展会、经贸促进活动20余次，筛选并组织广元本地企业50余家参展参会，开拓市场、寻求合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3"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ind w:firstLine="320"/>
              <w:jc w:val="center"/>
              <w:rPr>
                <w:rFonts w:ascii="宋体" w:hAnsi="宋体" w:eastAsia="宋体"/>
                <w:color w:val="auto"/>
                <w:sz w:val="16"/>
                <w:szCs w:val="16"/>
              </w:rPr>
            </w:pPr>
          </w:p>
        </w:tc>
        <w:tc>
          <w:tcPr>
            <w:tcW w:w="1473" w:type="dxa"/>
            <w:tcBorders>
              <w:top w:val="single" w:color="000000" w:sz="6" w:space="0"/>
              <w:left w:val="single" w:color="auto" w:sz="4" w:space="0"/>
              <w:bottom w:val="single" w:color="auto" w:sz="4" w:space="0"/>
              <w:right w:val="single" w:color="000000" w:sz="6" w:space="0"/>
            </w:tcBorders>
            <w:vAlign w:val="center"/>
          </w:tcPr>
          <w:p>
            <w:pPr>
              <w:pStyle w:val="35"/>
              <w:spacing w:before="147"/>
              <w:ind w:left="27" w:right="34" w:firstLine="328"/>
              <w:jc w:val="center"/>
              <w:rPr>
                <w:rFonts w:cs="Times New Roman" w:eastAsiaTheme="minorEastAsia"/>
                <w:color w:val="auto"/>
              </w:rPr>
            </w:pPr>
            <w:r>
              <w:rPr>
                <w:rFonts w:hint="eastAsia" w:cs="Times New Roman"/>
                <w:color w:val="auto"/>
                <w:spacing w:val="2"/>
              </w:rPr>
              <w:t>2.项目实施内容及过程概述</w:t>
            </w:r>
          </w:p>
        </w:tc>
        <w:tc>
          <w:tcPr>
            <w:tcW w:w="11828" w:type="dxa"/>
            <w:gridSpan w:val="10"/>
            <w:tcBorders>
              <w:top w:val="single" w:color="000000" w:sz="6" w:space="0"/>
              <w:left w:val="single" w:color="000000" w:sz="6" w:space="0"/>
              <w:bottom w:val="single" w:color="auto" w:sz="4" w:space="0"/>
              <w:right w:val="single" w:color="000000" w:sz="6" w:space="0"/>
            </w:tcBorders>
            <w:vAlign w:val="center"/>
          </w:tcPr>
          <w:p>
            <w:pPr>
              <w:pStyle w:val="35"/>
              <w:spacing w:before="117"/>
              <w:ind w:left="31" w:right="40" w:firstLine="328"/>
              <w:jc w:val="both"/>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spacing w:val="2"/>
              </w:rPr>
              <w:t>1.通过邀请国（境）内外商协会、经贸促进组织、企业来广考察3-5批次；2.引进招商项目1个，组织广元本地企业3-5家参加</w:t>
            </w:r>
            <w:r>
              <w:rPr>
                <w:rFonts w:hint="eastAsia" w:cs="Times New Roman" w:asciiTheme="minorEastAsia" w:hAnsiTheme="minorEastAsia" w:eastAsiaTheme="minorEastAsia"/>
                <w:color w:val="auto"/>
                <w:spacing w:val="1"/>
              </w:rPr>
              <w:t>国（境）外线上线下会展活动、经贸对接</w:t>
            </w:r>
            <w:r>
              <w:rPr>
                <w:rFonts w:hint="eastAsia" w:cs="Times New Roman" w:asciiTheme="minorEastAsia" w:hAnsiTheme="minorEastAsia" w:eastAsiaTheme="minorEastAsia"/>
                <w:color w:val="auto"/>
                <w:spacing w:val="2"/>
              </w:rPr>
              <w:t>活动3-5次；3.积极组织广元本地企业参加成都汽配展、成都智博会、融洽会、西博会等省内外</w:t>
            </w:r>
            <w:r>
              <w:rPr>
                <w:rFonts w:hint="eastAsia" w:cs="Times New Roman" w:asciiTheme="minorEastAsia" w:hAnsiTheme="minorEastAsia" w:eastAsiaTheme="minorEastAsia"/>
                <w:color w:val="auto"/>
                <w:spacing w:val="1"/>
              </w:rPr>
              <w:t>线上线下会展、经贸活动以及西部贸促联盟举办展会、经</w:t>
            </w:r>
            <w:r>
              <w:rPr>
                <w:rFonts w:hint="eastAsia" w:cs="Times New Roman" w:asciiTheme="minorEastAsia" w:hAnsiTheme="minorEastAsia" w:eastAsiaTheme="minorEastAsia"/>
                <w:color w:val="auto"/>
                <w:spacing w:val="2"/>
              </w:rPr>
              <w:t>贸促进活动20余次，筛选并组织广元本地企业50余家参展参</w:t>
            </w:r>
            <w:r>
              <w:rPr>
                <w:rFonts w:hint="eastAsia" w:cs="Times New Roman" w:asciiTheme="minorEastAsia" w:hAnsiTheme="minorEastAsia" w:eastAsiaTheme="minorEastAsia"/>
                <w:color w:val="auto"/>
                <w:spacing w:val="1"/>
              </w:rPr>
              <w:t>会，开拓市场、寻求合作。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rPr>
                <w:rFonts w:cs="Times New Roman" w:eastAsiaTheme="minorEastAsia"/>
                <w:color w:val="auto"/>
                <w:spacing w:val="2"/>
              </w:rPr>
            </w:pPr>
          </w:p>
          <w:p>
            <w:pPr>
              <w:pStyle w:val="35"/>
              <w:ind w:firstLine="0" w:firstLineChars="0"/>
              <w:rPr>
                <w:rFonts w:cs="Times New Roman" w:eastAsiaTheme="minorEastAsia"/>
                <w:color w:val="auto"/>
                <w:spacing w:val="2"/>
              </w:rPr>
            </w:pPr>
            <w:r>
              <w:rPr>
                <w:rFonts w:hint="eastAsia" w:cs="Times New Roman" w:eastAsiaTheme="minorEastAsia"/>
                <w:color w:val="auto"/>
                <w:spacing w:val="2"/>
              </w:rPr>
              <w:t>预算执行情况</w:t>
            </w:r>
          </w:p>
          <w:p>
            <w:pPr>
              <w:pStyle w:val="35"/>
              <w:ind w:firstLine="0" w:firstLineChars="0"/>
              <w:rPr>
                <w:rFonts w:cs="Times New Roman" w:eastAsiaTheme="minorEastAsia"/>
                <w:color w:val="auto"/>
                <w:spacing w:val="2"/>
              </w:rPr>
            </w:pPr>
            <w:r>
              <w:rPr>
                <w:rFonts w:hint="eastAsia" w:cs="Times New Roman" w:eastAsiaTheme="minorEastAsia"/>
                <w:color w:val="auto"/>
                <w:spacing w:val="2"/>
              </w:rPr>
              <w:t>（10分）</w:t>
            </w:r>
          </w:p>
        </w:tc>
        <w:tc>
          <w:tcPr>
            <w:tcW w:w="147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年度预算数（万）</w:t>
            </w:r>
          </w:p>
        </w:tc>
        <w:tc>
          <w:tcPr>
            <w:tcW w:w="127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年初预算</w:t>
            </w:r>
          </w:p>
        </w:tc>
        <w:tc>
          <w:tcPr>
            <w:tcW w:w="142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调整后预算数</w:t>
            </w:r>
          </w:p>
        </w:tc>
        <w:tc>
          <w:tcPr>
            <w:tcW w:w="2639"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预算执行数</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预算执行率</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权重%</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部门自评得分</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财政部门科室复评得分</w:t>
            </w: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原因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7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总额</w:t>
            </w:r>
          </w:p>
        </w:tc>
        <w:tc>
          <w:tcPr>
            <w:tcW w:w="127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0.71</w:t>
            </w:r>
          </w:p>
        </w:tc>
        <w:tc>
          <w:tcPr>
            <w:tcW w:w="142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0.71</w:t>
            </w:r>
          </w:p>
        </w:tc>
        <w:tc>
          <w:tcPr>
            <w:tcW w:w="2639"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0.71</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100.00%</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1.预算执行率=预算执行数/调整后预算数，预算执行率未达到90%的需说明原因（100字以内）；2.年中发生预算调整的（追加或调减），应单独说明理由；3.其他资金包括、社会投入资金、银行贷款.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7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其中：财政资金</w:t>
            </w:r>
          </w:p>
        </w:tc>
        <w:tc>
          <w:tcPr>
            <w:tcW w:w="127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0.71</w:t>
            </w:r>
          </w:p>
        </w:tc>
        <w:tc>
          <w:tcPr>
            <w:tcW w:w="142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0.71</w:t>
            </w:r>
          </w:p>
        </w:tc>
        <w:tc>
          <w:tcPr>
            <w:tcW w:w="2639"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0.71</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7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财政专户管理资金</w:t>
            </w:r>
          </w:p>
        </w:tc>
        <w:tc>
          <w:tcPr>
            <w:tcW w:w="127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2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2639"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7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单位资金</w:t>
            </w:r>
          </w:p>
        </w:tc>
        <w:tc>
          <w:tcPr>
            <w:tcW w:w="127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2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2639"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7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其他资金</w:t>
            </w:r>
          </w:p>
        </w:tc>
        <w:tc>
          <w:tcPr>
            <w:tcW w:w="127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2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2639"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0" w:firstLineChars="0"/>
              <w:rPr>
                <w:rFonts w:cs="Times New Roman" w:eastAsiaTheme="minorEastAsia"/>
                <w:color w:val="auto"/>
                <w:spacing w:val="2"/>
              </w:rPr>
            </w:pPr>
            <w:r>
              <w:rPr>
                <w:rFonts w:hint="eastAsia" w:cs="Times New Roman" w:eastAsiaTheme="minorEastAsia"/>
                <w:color w:val="auto"/>
                <w:spacing w:val="2"/>
              </w:rPr>
              <w:t>绩效指标（90分）</w:t>
            </w:r>
          </w:p>
        </w:tc>
        <w:tc>
          <w:tcPr>
            <w:tcW w:w="147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一级指标</w:t>
            </w:r>
          </w:p>
        </w:tc>
        <w:tc>
          <w:tcPr>
            <w:tcW w:w="127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二级指标</w:t>
            </w:r>
          </w:p>
        </w:tc>
        <w:tc>
          <w:tcPr>
            <w:tcW w:w="142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三级指标</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指标性质</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指标值</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度量单位</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完成值</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权重</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部门自评得分</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财政部门科室复评得分</w:t>
            </w: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未完成原因分析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73"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27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质量指标</w:t>
            </w:r>
          </w:p>
        </w:tc>
        <w:tc>
          <w:tcPr>
            <w:tcW w:w="142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拓展国内外市场，引进国内外客商来广投</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73"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27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时效指标</w:t>
            </w:r>
          </w:p>
        </w:tc>
        <w:tc>
          <w:tcPr>
            <w:tcW w:w="142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完成时间</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项目完成时间</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12</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月</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12月</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73"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27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数量指标</w:t>
            </w:r>
          </w:p>
        </w:tc>
        <w:tc>
          <w:tcPr>
            <w:tcW w:w="142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调研企业数量</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5</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家</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5家</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7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成本指标</w:t>
            </w:r>
          </w:p>
        </w:tc>
        <w:tc>
          <w:tcPr>
            <w:tcW w:w="127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成本指标</w:t>
            </w:r>
          </w:p>
        </w:tc>
        <w:tc>
          <w:tcPr>
            <w:tcW w:w="142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差旅费</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0.71</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万元</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0.71万元</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bl>
    <w:p>
      <w:pPr>
        <w:pStyle w:val="35"/>
        <w:ind w:firstLine="328"/>
        <w:jc w:val="center"/>
        <w:rPr>
          <w:rFonts w:cs="Times New Roman" w:eastAsiaTheme="minorEastAsia"/>
          <w:color w:val="auto"/>
          <w:spacing w:val="2"/>
        </w:rPr>
        <w:sectPr>
          <w:pgSz w:w="16837" w:h="11905"/>
          <w:pgMar w:top="1011" w:right="1072" w:bottom="650" w:left="1057" w:header="0" w:footer="454" w:gutter="0"/>
          <w:cols w:space="720" w:num="1"/>
        </w:sectPr>
      </w:pPr>
    </w:p>
    <w:p>
      <w:pPr>
        <w:pStyle w:val="35"/>
        <w:ind w:firstLine="328"/>
        <w:jc w:val="center"/>
        <w:rPr>
          <w:rFonts w:cs="Times New Roman" w:eastAsiaTheme="minorEastAsia"/>
          <w:color w:val="auto"/>
          <w:spacing w:val="2"/>
        </w:rPr>
      </w:pPr>
    </w:p>
    <w:tbl>
      <w:tblPr>
        <w:tblStyle w:val="36"/>
        <w:tblW w:w="14692"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1"/>
        <w:gridCol w:w="1453"/>
        <w:gridCol w:w="1278"/>
        <w:gridCol w:w="1426"/>
        <w:gridCol w:w="1177"/>
        <w:gridCol w:w="1028"/>
        <w:gridCol w:w="434"/>
        <w:gridCol w:w="906"/>
        <w:gridCol w:w="645"/>
        <w:gridCol w:w="794"/>
        <w:gridCol w:w="969"/>
        <w:gridCol w:w="3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411" w:type="dxa"/>
            <w:vMerge w:val="restart"/>
          </w:tcPr>
          <w:p>
            <w:pPr>
              <w:pStyle w:val="35"/>
              <w:ind w:firstLine="328"/>
              <w:jc w:val="center"/>
              <w:rPr>
                <w:rFonts w:cs="Times New Roman" w:eastAsiaTheme="minorEastAsia"/>
                <w:color w:val="auto"/>
                <w:spacing w:val="2"/>
              </w:rPr>
            </w:pPr>
          </w:p>
        </w:tc>
        <w:tc>
          <w:tcPr>
            <w:tcW w:w="1453" w:type="dxa"/>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效益指标</w:t>
            </w:r>
          </w:p>
        </w:tc>
        <w:tc>
          <w:tcPr>
            <w:tcW w:w="1278" w:type="dxa"/>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社会效益指标</w:t>
            </w:r>
          </w:p>
        </w:tc>
        <w:tc>
          <w:tcPr>
            <w:tcW w:w="1426" w:type="dxa"/>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持续提升广元本地企业外向发展能力水平</w:t>
            </w:r>
          </w:p>
        </w:tc>
        <w:tc>
          <w:tcPr>
            <w:tcW w:w="1177" w:type="dxa"/>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434" w:type="dxa"/>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w:t>
            </w:r>
          </w:p>
        </w:tc>
        <w:tc>
          <w:tcPr>
            <w:tcW w:w="906" w:type="dxa"/>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645" w:type="dxa"/>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Pr>
          <w:p>
            <w:pPr>
              <w:pStyle w:val="35"/>
              <w:ind w:firstLine="328"/>
              <w:jc w:val="center"/>
              <w:rPr>
                <w:rFonts w:cs="Times New Roman" w:eastAsiaTheme="minorEastAsia"/>
                <w:color w:val="auto"/>
                <w:spacing w:val="2"/>
              </w:rPr>
            </w:pPr>
          </w:p>
        </w:tc>
        <w:tc>
          <w:tcPr>
            <w:tcW w:w="3171" w:type="dxa"/>
            <w:vMerge w:val="restart"/>
          </w:tcPr>
          <w:p>
            <w:pPr>
              <w:pStyle w:val="35"/>
              <w:ind w:firstLine="328"/>
              <w:jc w:val="center"/>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1411" w:type="dxa"/>
            <w:vMerge w:val="continue"/>
            <w:vAlign w:val="center"/>
          </w:tcPr>
          <w:p>
            <w:pPr>
              <w:pStyle w:val="35"/>
              <w:ind w:firstLine="328"/>
              <w:jc w:val="center"/>
              <w:rPr>
                <w:rFonts w:cs="Times New Roman" w:eastAsiaTheme="minorEastAsia"/>
                <w:color w:val="auto"/>
                <w:spacing w:val="2"/>
              </w:rPr>
            </w:pPr>
          </w:p>
        </w:tc>
        <w:tc>
          <w:tcPr>
            <w:tcW w:w="1453" w:type="dxa"/>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满意度指标</w:t>
            </w:r>
          </w:p>
        </w:tc>
        <w:tc>
          <w:tcPr>
            <w:tcW w:w="1278" w:type="dxa"/>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服务对象满意度指标</w:t>
            </w:r>
          </w:p>
        </w:tc>
        <w:tc>
          <w:tcPr>
            <w:tcW w:w="1426" w:type="dxa"/>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参会参展企业满意度</w:t>
            </w:r>
          </w:p>
        </w:tc>
        <w:tc>
          <w:tcPr>
            <w:tcW w:w="1177" w:type="dxa"/>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434" w:type="dxa"/>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w:t>
            </w:r>
          </w:p>
        </w:tc>
        <w:tc>
          <w:tcPr>
            <w:tcW w:w="906" w:type="dxa"/>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645" w:type="dxa"/>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794" w:type="dxa"/>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969" w:type="dxa"/>
          </w:tcPr>
          <w:p>
            <w:pPr>
              <w:pStyle w:val="35"/>
              <w:ind w:firstLine="328"/>
              <w:jc w:val="center"/>
              <w:rPr>
                <w:rFonts w:cs="Times New Roman" w:eastAsiaTheme="minorEastAsia"/>
                <w:color w:val="auto"/>
                <w:spacing w:val="2"/>
              </w:rPr>
            </w:pPr>
          </w:p>
        </w:tc>
        <w:tc>
          <w:tcPr>
            <w:tcW w:w="3171" w:type="dxa"/>
            <w:vMerge w:val="continue"/>
            <w:vAlign w:val="center"/>
          </w:tcPr>
          <w:p>
            <w:pPr>
              <w:pStyle w:val="35"/>
              <w:ind w:firstLine="328"/>
              <w:jc w:val="center"/>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4142" w:type="dxa"/>
            <w:gridSpan w:val="3"/>
          </w:tcPr>
          <w:p>
            <w:pPr>
              <w:pStyle w:val="35"/>
              <w:ind w:firstLine="328"/>
              <w:jc w:val="center"/>
              <w:rPr>
                <w:rFonts w:cs="Times New Roman" w:eastAsiaTheme="minorEastAsia"/>
                <w:color w:val="auto"/>
                <w:spacing w:val="2"/>
              </w:rPr>
            </w:pPr>
          </w:p>
        </w:tc>
        <w:tc>
          <w:tcPr>
            <w:tcW w:w="4971" w:type="dxa"/>
            <w:gridSpan w:val="5"/>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合计</w:t>
            </w:r>
          </w:p>
        </w:tc>
        <w:tc>
          <w:tcPr>
            <w:tcW w:w="645" w:type="dxa"/>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100</w:t>
            </w:r>
          </w:p>
        </w:tc>
        <w:tc>
          <w:tcPr>
            <w:tcW w:w="794" w:type="dxa"/>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100</w:t>
            </w:r>
          </w:p>
        </w:tc>
        <w:tc>
          <w:tcPr>
            <w:tcW w:w="969" w:type="dxa"/>
          </w:tcPr>
          <w:p>
            <w:pPr>
              <w:pStyle w:val="35"/>
              <w:ind w:firstLine="328"/>
              <w:jc w:val="center"/>
              <w:rPr>
                <w:rFonts w:cs="Times New Roman" w:eastAsiaTheme="minorEastAsia"/>
                <w:color w:val="auto"/>
                <w:spacing w:val="2"/>
              </w:rPr>
            </w:pPr>
          </w:p>
        </w:tc>
        <w:tc>
          <w:tcPr>
            <w:tcW w:w="3171" w:type="dxa"/>
          </w:tcPr>
          <w:p>
            <w:pPr>
              <w:pStyle w:val="35"/>
              <w:ind w:firstLine="328"/>
              <w:jc w:val="center"/>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trPr>
        <w:tc>
          <w:tcPr>
            <w:tcW w:w="1411" w:type="dxa"/>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部门（单位）自评结论</w:t>
            </w:r>
          </w:p>
        </w:tc>
        <w:tc>
          <w:tcPr>
            <w:tcW w:w="13281" w:type="dxa"/>
            <w:gridSpan w:val="11"/>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本项目自评得分100分。通过走访调研企业，充分了解企业经营状况，助力企业开展经贸对接活动。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1411" w:type="dxa"/>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部门（单位）自评存在问题</w:t>
            </w:r>
          </w:p>
        </w:tc>
        <w:tc>
          <w:tcPr>
            <w:tcW w:w="13281" w:type="dxa"/>
            <w:gridSpan w:val="11"/>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1411" w:type="dxa"/>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部门（单位）自评改进措施</w:t>
            </w:r>
          </w:p>
        </w:tc>
        <w:tc>
          <w:tcPr>
            <w:tcW w:w="13281" w:type="dxa"/>
            <w:gridSpan w:val="11"/>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trPr>
        <w:tc>
          <w:tcPr>
            <w:tcW w:w="1411" w:type="dxa"/>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财政部门对口科室复评结论及整改要</w:t>
            </w:r>
          </w:p>
          <w:p>
            <w:pPr>
              <w:pStyle w:val="35"/>
              <w:ind w:firstLine="328"/>
              <w:jc w:val="center"/>
              <w:rPr>
                <w:rFonts w:cs="Times New Roman" w:eastAsiaTheme="minorEastAsia"/>
                <w:color w:val="auto"/>
                <w:spacing w:val="2"/>
              </w:rPr>
            </w:pPr>
            <w:r>
              <w:rPr>
                <w:rFonts w:hint="eastAsia" w:cs="Times New Roman" w:eastAsiaTheme="minorEastAsia"/>
                <w:color w:val="auto"/>
                <w:spacing w:val="2"/>
              </w:rPr>
              <w:t>求</w:t>
            </w:r>
          </w:p>
        </w:tc>
        <w:tc>
          <w:tcPr>
            <w:tcW w:w="13281" w:type="dxa"/>
            <w:gridSpan w:val="11"/>
          </w:tcPr>
          <w:p>
            <w:pPr>
              <w:pStyle w:val="35"/>
              <w:ind w:firstLine="328"/>
              <w:jc w:val="center"/>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6745" w:type="dxa"/>
            <w:gridSpan w:val="5"/>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单位项目负责人：邓克</w:t>
            </w:r>
          </w:p>
        </w:tc>
        <w:tc>
          <w:tcPr>
            <w:tcW w:w="7947" w:type="dxa"/>
            <w:gridSpan w:val="7"/>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单位财务负责人：胡永军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6745" w:type="dxa"/>
            <w:gridSpan w:val="5"/>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部门项目负责人：</w:t>
            </w:r>
          </w:p>
        </w:tc>
        <w:tc>
          <w:tcPr>
            <w:tcW w:w="7947" w:type="dxa"/>
            <w:gridSpan w:val="7"/>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部门财务负责人：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trPr>
        <w:tc>
          <w:tcPr>
            <w:tcW w:w="14692" w:type="dxa"/>
            <w:gridSpan w:val="12"/>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财政部门科室负责人：</w:t>
            </w:r>
          </w:p>
        </w:tc>
      </w:tr>
    </w:tbl>
    <w:p>
      <w:pPr>
        <w:pStyle w:val="35"/>
        <w:ind w:firstLine="328"/>
        <w:jc w:val="both"/>
        <w:rPr>
          <w:rFonts w:cs="Times New Roman" w:eastAsiaTheme="minorEastAsia"/>
          <w:color w:val="auto"/>
          <w:spacing w:val="2"/>
        </w:rPr>
      </w:pPr>
    </w:p>
    <w:p>
      <w:pPr>
        <w:pStyle w:val="35"/>
        <w:ind w:firstLine="328"/>
        <w:jc w:val="both"/>
        <w:rPr>
          <w:rFonts w:cs="Times New Roman" w:eastAsiaTheme="minorEastAsia"/>
          <w:color w:val="auto"/>
          <w:spacing w:val="2"/>
        </w:rPr>
      </w:pPr>
    </w:p>
    <w:p>
      <w:pPr>
        <w:pStyle w:val="35"/>
        <w:ind w:firstLine="328"/>
        <w:jc w:val="both"/>
        <w:rPr>
          <w:rFonts w:cs="Times New Roman" w:eastAsiaTheme="minorEastAsia"/>
          <w:color w:val="auto"/>
          <w:spacing w:val="2"/>
        </w:rPr>
      </w:pPr>
    </w:p>
    <w:p>
      <w:pPr>
        <w:pStyle w:val="2"/>
        <w:spacing w:before="72"/>
        <w:ind w:firstLine="640"/>
        <w:jc w:val="center"/>
        <w:rPr>
          <w:rFonts w:hAnsi="宋体" w:cs="宋体"/>
          <w:color w:val="auto"/>
          <w:sz w:val="32"/>
          <w:szCs w:val="32"/>
          <w:shd w:val="clear" w:color="auto" w:fill="FFFFFF"/>
        </w:rPr>
      </w:pPr>
    </w:p>
    <w:p>
      <w:pPr>
        <w:pStyle w:val="2"/>
        <w:spacing w:before="72"/>
        <w:ind w:firstLine="640"/>
        <w:jc w:val="center"/>
        <w:rPr>
          <w:rFonts w:hAnsi="宋体" w:cs="宋体"/>
          <w:color w:val="auto"/>
          <w:sz w:val="32"/>
          <w:szCs w:val="32"/>
          <w:shd w:val="clear" w:color="auto" w:fill="FFFFFF"/>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部门预算项目支出绩效自评表(2022年度)</w:t>
      </w:r>
    </w:p>
    <w:p>
      <w:pPr>
        <w:spacing w:line="69" w:lineRule="exact"/>
        <w:ind w:firstLine="640"/>
        <w:jc w:val="center"/>
        <w:rPr>
          <w:rFonts w:ascii="Arial" w:hAnsi="Arial"/>
          <w:color w:val="auto"/>
          <w:szCs w:val="21"/>
        </w:rPr>
      </w:pPr>
    </w:p>
    <w:tbl>
      <w:tblPr>
        <w:tblStyle w:val="36"/>
        <w:tblW w:w="146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1"/>
        <w:gridCol w:w="1453"/>
        <w:gridCol w:w="1340"/>
        <w:gridCol w:w="1328"/>
        <w:gridCol w:w="1177"/>
        <w:gridCol w:w="1028"/>
        <w:gridCol w:w="434"/>
        <w:gridCol w:w="906"/>
        <w:gridCol w:w="645"/>
        <w:gridCol w:w="794"/>
        <w:gridCol w:w="969"/>
        <w:gridCol w:w="31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1" w:hRule="atLeast"/>
          <w:jc w:val="center"/>
        </w:trPr>
        <w:tc>
          <w:tcPr>
            <w:tcW w:w="2864"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项目名称</w:t>
            </w:r>
          </w:p>
        </w:tc>
        <w:tc>
          <w:tcPr>
            <w:tcW w:w="11792" w:type="dxa"/>
            <w:gridSpan w:val="10"/>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广元参加2022遇见巴蜀•国际融合采洽会经费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4" w:hRule="atLeast"/>
          <w:jc w:val="center"/>
        </w:trPr>
        <w:tc>
          <w:tcPr>
            <w:tcW w:w="2864" w:type="dxa"/>
            <w:gridSpan w:val="2"/>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主管部门（盖章）</w:t>
            </w:r>
          </w:p>
        </w:tc>
        <w:tc>
          <w:tcPr>
            <w:tcW w:w="5307" w:type="dxa"/>
            <w:gridSpan w:val="5"/>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p>
        </w:tc>
        <w:tc>
          <w:tcPr>
            <w:tcW w:w="906" w:type="dxa"/>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实施单位（盖章）</w:t>
            </w:r>
          </w:p>
        </w:tc>
        <w:tc>
          <w:tcPr>
            <w:tcW w:w="5579" w:type="dxa"/>
            <w:gridSpan w:val="4"/>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中国国际贸易促进委员会广元市委员会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项目基本情况</w:t>
            </w:r>
          </w:p>
        </w:tc>
        <w:tc>
          <w:tcPr>
            <w:tcW w:w="1453"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1项目年度目标完成情况</w:t>
            </w:r>
          </w:p>
        </w:tc>
        <w:tc>
          <w:tcPr>
            <w:tcW w:w="5307" w:type="dxa"/>
            <w:gridSpan w:val="5"/>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项目年度目标</w:t>
            </w:r>
          </w:p>
        </w:tc>
        <w:tc>
          <w:tcPr>
            <w:tcW w:w="6485" w:type="dxa"/>
            <w:gridSpan w:val="5"/>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年度目标完成情况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2"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5307" w:type="dxa"/>
            <w:gridSpan w:val="5"/>
            <w:tcBorders>
              <w:top w:val="single" w:color="auto" w:sz="4" w:space="0"/>
              <w:left w:val="single" w:color="auto" w:sz="4" w:space="0"/>
              <w:bottom w:val="single" w:color="auto" w:sz="4" w:space="0"/>
              <w:right w:val="single" w:color="auto" w:sz="4" w:space="0"/>
            </w:tcBorders>
            <w:vAlign w:val="center"/>
          </w:tcPr>
          <w:p>
            <w:pPr>
              <w:pStyle w:val="35"/>
              <w:spacing w:before="117"/>
              <w:ind w:left="31" w:right="40" w:firstLine="328"/>
              <w:jc w:val="both"/>
              <w:rPr>
                <w:rFonts w:cs="Times New Roman" w:asciiTheme="minorEastAsia" w:hAnsiTheme="minorEastAsia" w:eastAsiaTheme="minorEastAsia"/>
                <w:color w:val="auto"/>
                <w:spacing w:val="2"/>
              </w:rPr>
            </w:pPr>
            <w:r>
              <w:rPr>
                <w:rFonts w:hint="eastAsia" w:cs="Times New Roman" w:asciiTheme="minorEastAsia" w:hAnsiTheme="minorEastAsia" w:eastAsiaTheme="minorEastAsia"/>
                <w:color w:val="auto"/>
                <w:spacing w:val="2"/>
              </w:rPr>
              <w:t>认真组织参加第八届成都国际汽车零配件及售后服务展览会，开展宣传推介、展览展示、经贸合作、品牌推广等活动，推介项目，寻求合作。</w:t>
            </w:r>
          </w:p>
        </w:tc>
        <w:tc>
          <w:tcPr>
            <w:tcW w:w="6485" w:type="dxa"/>
            <w:gridSpan w:val="5"/>
            <w:tcBorders>
              <w:top w:val="single" w:color="auto" w:sz="4" w:space="0"/>
              <w:left w:val="single" w:color="auto" w:sz="4" w:space="0"/>
              <w:bottom w:val="single" w:color="auto" w:sz="4" w:space="0"/>
              <w:right w:val="single" w:color="auto" w:sz="4" w:space="0"/>
            </w:tcBorders>
            <w:vAlign w:val="center"/>
          </w:tcPr>
          <w:p>
            <w:pPr>
              <w:pStyle w:val="35"/>
              <w:spacing w:before="117"/>
              <w:ind w:left="31" w:right="40" w:firstLine="328"/>
              <w:jc w:val="both"/>
              <w:rPr>
                <w:rFonts w:cs="Times New Roman" w:asciiTheme="minorEastAsia" w:hAnsiTheme="minorEastAsia" w:eastAsiaTheme="minorEastAsia"/>
                <w:color w:val="auto"/>
                <w:spacing w:val="2"/>
              </w:rPr>
            </w:pPr>
            <w:r>
              <w:rPr>
                <w:rFonts w:hint="eastAsia" w:cs="Times New Roman" w:asciiTheme="minorEastAsia" w:hAnsiTheme="minorEastAsia" w:eastAsiaTheme="minorEastAsia"/>
                <w:color w:val="auto"/>
                <w:spacing w:val="2"/>
              </w:rPr>
              <w:t>认真组织参加第八届成都国际汽车零配件及售后服务展览会，开展宣传推介、展览展示、经贸合作、品牌推广等活动，推介项目，寻求合作。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3"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2.项目实施内容及过程概述</w:t>
            </w:r>
          </w:p>
        </w:tc>
        <w:tc>
          <w:tcPr>
            <w:tcW w:w="11792" w:type="dxa"/>
            <w:gridSpan w:val="10"/>
            <w:tcBorders>
              <w:top w:val="single" w:color="auto" w:sz="4" w:space="0"/>
              <w:left w:val="single" w:color="auto" w:sz="4" w:space="0"/>
              <w:bottom w:val="single" w:color="auto" w:sz="4" w:space="0"/>
              <w:right w:val="single" w:color="auto" w:sz="4" w:space="0"/>
            </w:tcBorders>
            <w:vAlign w:val="center"/>
          </w:tcPr>
          <w:p>
            <w:pPr>
              <w:pStyle w:val="35"/>
              <w:spacing w:before="117"/>
              <w:ind w:left="31" w:right="40" w:firstLine="328"/>
              <w:jc w:val="both"/>
              <w:rPr>
                <w:rFonts w:cs="Times New Roman" w:asciiTheme="minorEastAsia" w:hAnsiTheme="minorEastAsia" w:eastAsiaTheme="minorEastAsia"/>
                <w:color w:val="auto"/>
                <w:spacing w:val="2"/>
              </w:rPr>
            </w:pPr>
            <w:r>
              <w:rPr>
                <w:rFonts w:hint="eastAsia" w:cs="Times New Roman" w:asciiTheme="minorEastAsia" w:hAnsiTheme="minorEastAsia" w:eastAsiaTheme="minorEastAsia"/>
                <w:color w:val="auto"/>
                <w:spacing w:val="2"/>
              </w:rPr>
              <w:t>我市设广元展馆72平方米，组织广元供销农产品集团有限公司、四川木门茶业等8家优势企业参展，广元七绝、苍溪大米、木门黄茶等60余种特色产品参展，达成合作意向协议12个、协议金额680余万元。会期，我市还邀请2022年遇见巴蜀•国际融合采洽会抖音线上直播到广元展区进行专场直播，通过搭乘“短视频、直播+电商”新快车，推动我市特色优势企业扩大影响力、形成拉动“广元造”产品消费新优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预算执行情况（10分）</w:t>
            </w: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年度预算数（万元）</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年初预算</w:t>
            </w:r>
          </w:p>
        </w:tc>
        <w:tc>
          <w:tcPr>
            <w:tcW w:w="13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调整后预算数</w:t>
            </w:r>
          </w:p>
        </w:tc>
        <w:tc>
          <w:tcPr>
            <w:tcW w:w="2639"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预算执行数</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预算执行率</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权重%</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部门自评得分</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财政部门科室复评得分</w:t>
            </w: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原因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总额</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2.00</w:t>
            </w:r>
          </w:p>
        </w:tc>
        <w:tc>
          <w:tcPr>
            <w:tcW w:w="13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2.00</w:t>
            </w:r>
          </w:p>
        </w:tc>
        <w:tc>
          <w:tcPr>
            <w:tcW w:w="2639"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2.00</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100.00%</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1.预算执行率=预算执行数/调整后预算数，预算执行率未达到90%的需说明原因（100字以内）；2.年中发生预算调整的（追加或调减），应单独说明理由；3.其他资金包括、社会投入资金、银行贷款.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其中：财政资金</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2.00</w:t>
            </w:r>
          </w:p>
        </w:tc>
        <w:tc>
          <w:tcPr>
            <w:tcW w:w="13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2.00</w:t>
            </w:r>
          </w:p>
        </w:tc>
        <w:tc>
          <w:tcPr>
            <w:tcW w:w="2639"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2.00</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财政专户管理资金</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3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2639"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单位资金</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3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2639"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其他资金</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3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2639"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绩效指标（90分）</w:t>
            </w: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一级指标</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rPr>
                <w:rFonts w:cs="Times New Roman" w:eastAsiaTheme="minorEastAsia"/>
                <w:color w:val="auto"/>
                <w:spacing w:val="2"/>
              </w:rPr>
            </w:pPr>
            <w:r>
              <w:rPr>
                <w:rFonts w:hint="eastAsia" w:cs="Times New Roman" w:eastAsiaTheme="minorEastAsia"/>
                <w:color w:val="auto"/>
                <w:spacing w:val="2"/>
              </w:rPr>
              <w:t>二级指标</w:t>
            </w:r>
          </w:p>
        </w:tc>
        <w:tc>
          <w:tcPr>
            <w:tcW w:w="1328" w:type="dxa"/>
            <w:tcBorders>
              <w:top w:val="single" w:color="auto" w:sz="4" w:space="0"/>
              <w:left w:val="single" w:color="auto" w:sz="4" w:space="0"/>
              <w:bottom w:val="single" w:color="auto" w:sz="4" w:space="0"/>
              <w:right w:val="single" w:color="auto" w:sz="4" w:space="0"/>
            </w:tcBorders>
            <w:vAlign w:val="center"/>
          </w:tcPr>
          <w:p>
            <w:pPr>
              <w:pStyle w:val="35"/>
              <w:ind w:firstLine="328"/>
              <w:rPr>
                <w:rFonts w:cs="Times New Roman" w:eastAsiaTheme="minorEastAsia"/>
                <w:color w:val="auto"/>
                <w:spacing w:val="2"/>
              </w:rPr>
            </w:pPr>
            <w:r>
              <w:rPr>
                <w:rFonts w:hint="eastAsia" w:cs="Times New Roman" w:eastAsiaTheme="minorEastAsia"/>
                <w:color w:val="auto"/>
                <w:spacing w:val="2"/>
              </w:rPr>
              <w:t>三级指标</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指标性质</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指标值</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度量单位</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完成值</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权重</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部门自评得分</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财政部门科室复评得分</w:t>
            </w: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未完成原因分析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产出指标</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数量指标</w:t>
            </w:r>
          </w:p>
        </w:tc>
        <w:tc>
          <w:tcPr>
            <w:tcW w:w="13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参展企业数量</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5</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82" w:firstLineChars="50"/>
              <w:rPr>
                <w:rFonts w:cs="Times New Roman" w:eastAsiaTheme="minorEastAsia"/>
                <w:color w:val="auto"/>
                <w:spacing w:val="2"/>
              </w:rPr>
            </w:pPr>
            <w:r>
              <w:rPr>
                <w:rFonts w:hint="eastAsia" w:cs="Times New Roman" w:eastAsiaTheme="minorEastAsia"/>
                <w:color w:val="auto"/>
                <w:spacing w:val="2"/>
              </w:rPr>
              <w:t>家</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8家</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时效指标</w:t>
            </w:r>
          </w:p>
        </w:tc>
        <w:tc>
          <w:tcPr>
            <w:tcW w:w="13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完成时间</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项目完成时间</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12</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82" w:firstLineChars="50"/>
              <w:rPr>
                <w:rFonts w:cs="Times New Roman" w:eastAsiaTheme="minorEastAsia"/>
                <w:color w:val="auto"/>
                <w:spacing w:val="2"/>
              </w:rPr>
            </w:pPr>
            <w:r>
              <w:rPr>
                <w:rFonts w:hint="eastAsia" w:cs="Times New Roman" w:eastAsiaTheme="minorEastAsia"/>
                <w:color w:val="auto"/>
                <w:spacing w:val="2"/>
              </w:rPr>
              <w:t>月</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12月前</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数量指标</w:t>
            </w:r>
          </w:p>
        </w:tc>
        <w:tc>
          <w:tcPr>
            <w:tcW w:w="13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展览面积</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50</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平方米</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72平方米</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成本指标</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成本指标</w:t>
            </w:r>
          </w:p>
        </w:tc>
        <w:tc>
          <w:tcPr>
            <w:tcW w:w="13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承办融洽会各项活动费用</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2</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万元</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2万元</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bl>
    <w:p>
      <w:pPr>
        <w:pStyle w:val="35"/>
        <w:ind w:firstLine="328"/>
        <w:jc w:val="both"/>
        <w:rPr>
          <w:rFonts w:cs="Times New Roman" w:eastAsiaTheme="minorEastAsia"/>
          <w:color w:val="auto"/>
          <w:spacing w:val="2"/>
        </w:rPr>
        <w:sectPr>
          <w:pgSz w:w="16837" w:h="11905"/>
          <w:pgMar w:top="1011" w:right="1090" w:bottom="650" w:left="1075" w:header="0" w:footer="454" w:gutter="0"/>
          <w:cols w:space="720" w:num="1"/>
        </w:sectPr>
      </w:pPr>
    </w:p>
    <w:p>
      <w:pPr>
        <w:pStyle w:val="35"/>
        <w:ind w:firstLine="328"/>
        <w:jc w:val="both"/>
        <w:rPr>
          <w:rFonts w:cs="Times New Roman" w:eastAsiaTheme="minorEastAsia"/>
          <w:color w:val="auto"/>
          <w:spacing w:val="2"/>
        </w:rPr>
      </w:pPr>
    </w:p>
    <w:tbl>
      <w:tblPr>
        <w:tblStyle w:val="36"/>
        <w:tblW w:w="14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1"/>
        <w:gridCol w:w="1453"/>
        <w:gridCol w:w="1340"/>
        <w:gridCol w:w="1328"/>
        <w:gridCol w:w="1177"/>
        <w:gridCol w:w="1028"/>
        <w:gridCol w:w="434"/>
        <w:gridCol w:w="906"/>
        <w:gridCol w:w="645"/>
        <w:gridCol w:w="794"/>
        <w:gridCol w:w="969"/>
        <w:gridCol w:w="3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411" w:type="dxa"/>
            <w:vMerge w:val="restart"/>
            <w:vAlign w:val="center"/>
          </w:tcPr>
          <w:p>
            <w:pPr>
              <w:pStyle w:val="35"/>
              <w:ind w:firstLine="328"/>
              <w:jc w:val="center"/>
              <w:rPr>
                <w:rFonts w:cs="Times New Roman" w:eastAsiaTheme="minorEastAsia"/>
                <w:color w:val="auto"/>
                <w:spacing w:val="2"/>
              </w:rPr>
            </w:pPr>
          </w:p>
        </w:tc>
        <w:tc>
          <w:tcPr>
            <w:tcW w:w="1453"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效益指标</w:t>
            </w:r>
          </w:p>
        </w:tc>
        <w:tc>
          <w:tcPr>
            <w:tcW w:w="1340"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社会效益指标</w:t>
            </w:r>
          </w:p>
        </w:tc>
        <w:tc>
          <w:tcPr>
            <w:tcW w:w="1328"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持续提升广元本地企业外向发展能力</w:t>
            </w:r>
          </w:p>
        </w:tc>
        <w:tc>
          <w:tcPr>
            <w:tcW w:w="1177"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434"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906"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645"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vAlign w:val="center"/>
          </w:tcPr>
          <w:p>
            <w:pPr>
              <w:pStyle w:val="35"/>
              <w:ind w:firstLine="328"/>
              <w:jc w:val="center"/>
              <w:rPr>
                <w:rFonts w:cs="Times New Roman" w:eastAsiaTheme="minorEastAsia"/>
                <w:color w:val="auto"/>
                <w:spacing w:val="2"/>
              </w:rPr>
            </w:pPr>
          </w:p>
        </w:tc>
        <w:tc>
          <w:tcPr>
            <w:tcW w:w="3171" w:type="dxa"/>
            <w:vAlign w:val="center"/>
          </w:tcPr>
          <w:p>
            <w:pPr>
              <w:pStyle w:val="35"/>
              <w:ind w:firstLine="328"/>
              <w:jc w:val="center"/>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411" w:type="dxa"/>
            <w:vMerge w:val="continue"/>
            <w:vAlign w:val="center"/>
          </w:tcPr>
          <w:p>
            <w:pPr>
              <w:pStyle w:val="35"/>
              <w:ind w:firstLine="328"/>
              <w:jc w:val="center"/>
              <w:rPr>
                <w:rFonts w:cs="Times New Roman" w:eastAsiaTheme="minorEastAsia"/>
                <w:color w:val="auto"/>
                <w:spacing w:val="2"/>
              </w:rPr>
            </w:pPr>
          </w:p>
        </w:tc>
        <w:tc>
          <w:tcPr>
            <w:tcW w:w="1453"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满意度指标</w:t>
            </w:r>
          </w:p>
        </w:tc>
        <w:tc>
          <w:tcPr>
            <w:tcW w:w="1340"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服务对象满意度指标</w:t>
            </w:r>
          </w:p>
        </w:tc>
        <w:tc>
          <w:tcPr>
            <w:tcW w:w="1328"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参会参展企业满意度</w:t>
            </w:r>
          </w:p>
        </w:tc>
        <w:tc>
          <w:tcPr>
            <w:tcW w:w="1177"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434"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906"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645"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794"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969" w:type="dxa"/>
            <w:vAlign w:val="center"/>
          </w:tcPr>
          <w:p>
            <w:pPr>
              <w:pStyle w:val="35"/>
              <w:ind w:firstLine="328"/>
              <w:jc w:val="center"/>
              <w:rPr>
                <w:rFonts w:cs="Times New Roman" w:eastAsiaTheme="minorEastAsia"/>
                <w:color w:val="auto"/>
                <w:spacing w:val="2"/>
              </w:rPr>
            </w:pPr>
          </w:p>
        </w:tc>
        <w:tc>
          <w:tcPr>
            <w:tcW w:w="3171" w:type="dxa"/>
            <w:vAlign w:val="center"/>
          </w:tcPr>
          <w:p>
            <w:pPr>
              <w:pStyle w:val="35"/>
              <w:ind w:firstLine="328"/>
              <w:jc w:val="center"/>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4204" w:type="dxa"/>
            <w:gridSpan w:val="3"/>
            <w:vAlign w:val="center"/>
          </w:tcPr>
          <w:p>
            <w:pPr>
              <w:pStyle w:val="35"/>
              <w:ind w:firstLine="328"/>
              <w:jc w:val="center"/>
              <w:rPr>
                <w:rFonts w:cs="Times New Roman" w:eastAsiaTheme="minorEastAsia"/>
                <w:color w:val="auto"/>
                <w:spacing w:val="2"/>
              </w:rPr>
            </w:pPr>
          </w:p>
        </w:tc>
        <w:tc>
          <w:tcPr>
            <w:tcW w:w="4873" w:type="dxa"/>
            <w:gridSpan w:val="5"/>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合计</w:t>
            </w:r>
          </w:p>
        </w:tc>
        <w:tc>
          <w:tcPr>
            <w:tcW w:w="645"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100</w:t>
            </w:r>
          </w:p>
        </w:tc>
        <w:tc>
          <w:tcPr>
            <w:tcW w:w="794"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100</w:t>
            </w:r>
          </w:p>
        </w:tc>
        <w:tc>
          <w:tcPr>
            <w:tcW w:w="969" w:type="dxa"/>
            <w:vAlign w:val="center"/>
          </w:tcPr>
          <w:p>
            <w:pPr>
              <w:pStyle w:val="35"/>
              <w:ind w:firstLine="328"/>
              <w:jc w:val="center"/>
              <w:rPr>
                <w:rFonts w:cs="Times New Roman" w:eastAsiaTheme="minorEastAsia"/>
                <w:color w:val="auto"/>
                <w:spacing w:val="2"/>
              </w:rPr>
            </w:pPr>
          </w:p>
        </w:tc>
        <w:tc>
          <w:tcPr>
            <w:tcW w:w="3171" w:type="dxa"/>
            <w:vAlign w:val="center"/>
          </w:tcPr>
          <w:p>
            <w:pPr>
              <w:pStyle w:val="35"/>
              <w:ind w:firstLine="328"/>
              <w:jc w:val="center"/>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1411" w:type="dxa"/>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部门（单位）自评</w:t>
            </w:r>
          </w:p>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结论</w:t>
            </w:r>
          </w:p>
        </w:tc>
        <w:tc>
          <w:tcPr>
            <w:tcW w:w="13245" w:type="dxa"/>
            <w:gridSpan w:val="11"/>
            <w:vAlign w:val="center"/>
          </w:tcPr>
          <w:p>
            <w:pPr>
              <w:pStyle w:val="35"/>
              <w:ind w:firstLine="328"/>
              <w:jc w:val="both"/>
              <w:rPr>
                <w:rFonts w:cs="Times New Roman" w:eastAsiaTheme="minorEastAsia"/>
                <w:color w:val="auto"/>
                <w:spacing w:val="2"/>
              </w:rPr>
            </w:pPr>
            <w:r>
              <w:rPr>
                <w:rFonts w:hint="eastAsia" w:cs="Times New Roman" w:eastAsiaTheme="minorEastAsia"/>
                <w:color w:val="auto"/>
                <w:spacing w:val="2"/>
              </w:rPr>
              <w:t>本项目自评得分100分。我市设广元展馆72平方米，组织广元供销农产品集团有限公司、四川木门茶业等8家优势企业参展，广元七绝、苍溪大米、木门黄茶等60余种特色产品参展，达成合作意向协议12个、协议金额680余万元。会期，我市还邀请2022年遇见巴蜀•国际融合采洽会抖音线上直播到广元展区进行专场直播，通过搭乘“短视频、直播+电商”新快车，推动我市特色优势企业扩大影响力、形成拉动“广元造”产品消费新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411" w:type="dxa"/>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部门（单位）自评</w:t>
            </w:r>
          </w:p>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存在问题</w:t>
            </w:r>
          </w:p>
        </w:tc>
        <w:tc>
          <w:tcPr>
            <w:tcW w:w="13245" w:type="dxa"/>
            <w:gridSpan w:val="11"/>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1411" w:type="dxa"/>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部门（单位）自评</w:t>
            </w:r>
          </w:p>
          <w:p>
            <w:pPr>
              <w:pStyle w:val="35"/>
              <w:ind w:firstLine="0" w:firstLineChars="0"/>
              <w:rPr>
                <w:rFonts w:cs="Times New Roman" w:eastAsiaTheme="minorEastAsia"/>
                <w:color w:val="auto"/>
                <w:spacing w:val="2"/>
              </w:rPr>
            </w:pPr>
            <w:r>
              <w:rPr>
                <w:rFonts w:hint="eastAsia" w:cs="Times New Roman" w:eastAsiaTheme="minorEastAsia"/>
                <w:color w:val="auto"/>
                <w:spacing w:val="2"/>
              </w:rPr>
              <w:t>改进措施</w:t>
            </w:r>
          </w:p>
        </w:tc>
        <w:tc>
          <w:tcPr>
            <w:tcW w:w="13245" w:type="dxa"/>
            <w:gridSpan w:val="11"/>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1411" w:type="dxa"/>
            <w:vAlign w:val="center"/>
          </w:tcPr>
          <w:p>
            <w:pPr>
              <w:pStyle w:val="35"/>
              <w:ind w:firstLine="0" w:firstLineChars="0"/>
              <w:jc w:val="both"/>
              <w:rPr>
                <w:rFonts w:cs="Times New Roman" w:eastAsiaTheme="minorEastAsia"/>
                <w:color w:val="auto"/>
                <w:spacing w:val="2"/>
              </w:rPr>
            </w:pPr>
            <w:r>
              <w:rPr>
                <w:rFonts w:hint="eastAsia" w:cs="Times New Roman" w:eastAsiaTheme="minorEastAsia"/>
                <w:color w:val="auto"/>
                <w:spacing w:val="2"/>
              </w:rPr>
              <w:t>财政部门对口科室复评结论及整改要求</w:t>
            </w:r>
          </w:p>
        </w:tc>
        <w:tc>
          <w:tcPr>
            <w:tcW w:w="13245" w:type="dxa"/>
            <w:gridSpan w:val="11"/>
            <w:vAlign w:val="center"/>
          </w:tcPr>
          <w:p>
            <w:pPr>
              <w:pStyle w:val="35"/>
              <w:ind w:firstLine="328"/>
              <w:jc w:val="center"/>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6709" w:type="dxa"/>
            <w:gridSpan w:val="5"/>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单位项目负责人：邓克</w:t>
            </w:r>
          </w:p>
        </w:tc>
        <w:tc>
          <w:tcPr>
            <w:tcW w:w="7947" w:type="dxa"/>
            <w:gridSpan w:val="7"/>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单位财务负责人：胡永军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6709" w:type="dxa"/>
            <w:gridSpan w:val="5"/>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部门项目负责人：</w:t>
            </w:r>
          </w:p>
        </w:tc>
        <w:tc>
          <w:tcPr>
            <w:tcW w:w="7947" w:type="dxa"/>
            <w:gridSpan w:val="7"/>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部门财务负责人：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14656" w:type="dxa"/>
            <w:gridSpan w:val="12"/>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财政部门科室负责人：</w:t>
            </w:r>
          </w:p>
        </w:tc>
      </w:tr>
    </w:tbl>
    <w:p>
      <w:pPr>
        <w:ind w:firstLine="640"/>
        <w:jc w:val="center"/>
        <w:rPr>
          <w:rFonts w:ascii="Arial" w:hAnsi="Arial" w:cs="Arial"/>
          <w:color w:val="auto"/>
          <w:szCs w:val="21"/>
        </w:rPr>
      </w:pPr>
    </w:p>
    <w:p>
      <w:pPr>
        <w:pStyle w:val="2"/>
        <w:spacing w:before="72"/>
        <w:ind w:firstLine="640"/>
        <w:jc w:val="center"/>
        <w:rPr>
          <w:rFonts w:hAnsi="宋体" w:cs="宋体"/>
          <w:color w:val="auto"/>
          <w:sz w:val="32"/>
          <w:szCs w:val="32"/>
          <w:shd w:val="clear" w:color="auto" w:fill="FFFFFF"/>
        </w:rPr>
      </w:pPr>
    </w:p>
    <w:p>
      <w:pPr>
        <w:pStyle w:val="2"/>
        <w:spacing w:before="72"/>
        <w:ind w:firstLine="640"/>
        <w:jc w:val="center"/>
        <w:rPr>
          <w:rFonts w:hAnsi="宋体" w:cs="宋体"/>
          <w:color w:val="auto"/>
          <w:sz w:val="32"/>
          <w:szCs w:val="32"/>
          <w:shd w:val="clear" w:color="auto" w:fill="FFFFFF"/>
        </w:rPr>
      </w:pPr>
    </w:p>
    <w:p>
      <w:pPr>
        <w:pStyle w:val="2"/>
        <w:spacing w:before="72"/>
        <w:ind w:firstLine="640"/>
        <w:jc w:val="center"/>
        <w:rPr>
          <w:rFonts w:hAnsi="宋体" w:cs="宋体"/>
          <w:color w:val="auto"/>
          <w:sz w:val="32"/>
          <w:szCs w:val="32"/>
          <w:shd w:val="clear" w:color="auto" w:fill="FFFFFF"/>
        </w:rPr>
      </w:pPr>
    </w:p>
    <w:p>
      <w:pPr>
        <w:pStyle w:val="2"/>
        <w:spacing w:before="72"/>
        <w:ind w:firstLine="640"/>
        <w:jc w:val="center"/>
        <w:rPr>
          <w:rFonts w:hAnsi="宋体" w:cs="宋体"/>
          <w:color w:val="auto"/>
          <w:sz w:val="32"/>
          <w:szCs w:val="32"/>
          <w:shd w:val="clear" w:color="auto" w:fill="FFFFFF"/>
        </w:rPr>
      </w:pPr>
    </w:p>
    <w:p>
      <w:pPr>
        <w:pStyle w:val="2"/>
        <w:spacing w:before="72"/>
        <w:ind w:firstLine="640"/>
        <w:jc w:val="center"/>
        <w:rPr>
          <w:rFonts w:hAnsi="宋体" w:cs="宋体"/>
          <w:color w:val="auto"/>
          <w:sz w:val="32"/>
          <w:szCs w:val="32"/>
          <w:shd w:val="clear" w:color="auto" w:fill="FFFFFF"/>
        </w:rPr>
      </w:pPr>
    </w:p>
    <w:p>
      <w:pPr>
        <w:spacing w:before="178"/>
        <w:ind w:left="88" w:firstLine="560"/>
        <w:jc w:val="center"/>
        <w:rPr>
          <w:rFonts w:ascii="黑体" w:hAnsi="黑体" w:eastAsia="黑体"/>
          <w:color w:val="auto"/>
          <w:sz w:val="28"/>
          <w:szCs w:val="28"/>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部门预算项目支出绩效自评表(2022年度)</w:t>
      </w:r>
    </w:p>
    <w:p>
      <w:pPr>
        <w:spacing w:line="69" w:lineRule="exact"/>
        <w:ind w:firstLine="640"/>
        <w:jc w:val="center"/>
        <w:rPr>
          <w:rFonts w:ascii="Arial" w:hAnsi="Arial"/>
          <w:color w:val="auto"/>
          <w:szCs w:val="21"/>
        </w:rPr>
      </w:pPr>
    </w:p>
    <w:tbl>
      <w:tblPr>
        <w:tblStyle w:val="36"/>
        <w:tblW w:w="146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1"/>
        <w:gridCol w:w="1453"/>
        <w:gridCol w:w="1340"/>
        <w:gridCol w:w="1328"/>
        <w:gridCol w:w="1177"/>
        <w:gridCol w:w="1028"/>
        <w:gridCol w:w="434"/>
        <w:gridCol w:w="906"/>
        <w:gridCol w:w="645"/>
        <w:gridCol w:w="794"/>
        <w:gridCol w:w="969"/>
        <w:gridCol w:w="31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8" w:hRule="atLeast"/>
          <w:jc w:val="center"/>
        </w:trPr>
        <w:tc>
          <w:tcPr>
            <w:tcW w:w="2864"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项目名称</w:t>
            </w:r>
          </w:p>
        </w:tc>
        <w:tc>
          <w:tcPr>
            <w:tcW w:w="11792" w:type="dxa"/>
            <w:gridSpan w:val="10"/>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广元参加第八届成都国际汽车零配件及售后服务展览会经费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jc w:val="center"/>
        </w:trPr>
        <w:tc>
          <w:tcPr>
            <w:tcW w:w="2864" w:type="dxa"/>
            <w:gridSpan w:val="2"/>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主管部门（盖章）</w:t>
            </w:r>
          </w:p>
        </w:tc>
        <w:tc>
          <w:tcPr>
            <w:tcW w:w="5307" w:type="dxa"/>
            <w:gridSpan w:val="5"/>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p>
        </w:tc>
        <w:tc>
          <w:tcPr>
            <w:tcW w:w="906" w:type="dxa"/>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实施单位（盖章）</w:t>
            </w:r>
          </w:p>
        </w:tc>
        <w:tc>
          <w:tcPr>
            <w:tcW w:w="5579" w:type="dxa"/>
            <w:gridSpan w:val="4"/>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中国国际贸易促进委员会广元市委员会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项目基本情况</w:t>
            </w:r>
          </w:p>
        </w:tc>
        <w:tc>
          <w:tcPr>
            <w:tcW w:w="1453"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1.项目年度目标完成情况</w:t>
            </w:r>
          </w:p>
        </w:tc>
        <w:tc>
          <w:tcPr>
            <w:tcW w:w="5307" w:type="dxa"/>
            <w:gridSpan w:val="5"/>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项目年度目标</w:t>
            </w:r>
          </w:p>
        </w:tc>
        <w:tc>
          <w:tcPr>
            <w:tcW w:w="6485" w:type="dxa"/>
            <w:gridSpan w:val="5"/>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年度目标完成情况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2"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5307" w:type="dxa"/>
            <w:gridSpan w:val="5"/>
            <w:tcBorders>
              <w:top w:val="single" w:color="auto" w:sz="4" w:space="0"/>
              <w:left w:val="single" w:color="auto" w:sz="4" w:space="0"/>
              <w:bottom w:val="single" w:color="auto" w:sz="4" w:space="0"/>
              <w:right w:val="single" w:color="auto" w:sz="4" w:space="0"/>
            </w:tcBorders>
            <w:vAlign w:val="center"/>
          </w:tcPr>
          <w:p>
            <w:pPr>
              <w:pStyle w:val="35"/>
              <w:ind w:firstLine="328"/>
              <w:jc w:val="both"/>
              <w:rPr>
                <w:rFonts w:cs="Times New Roman" w:eastAsiaTheme="minorEastAsia"/>
                <w:color w:val="auto"/>
                <w:spacing w:val="2"/>
              </w:rPr>
            </w:pPr>
            <w:r>
              <w:rPr>
                <w:rFonts w:hint="eastAsia" w:cs="Times New Roman" w:eastAsiaTheme="minorEastAsia"/>
                <w:color w:val="auto"/>
                <w:spacing w:val="2"/>
              </w:rPr>
              <w:t>认真组织参加第八届成都国际汽车零配件及售后服务展览会，开展宣传推介、展览展示、经贸合作、品牌推广等活动，推介项目，寻求合作。</w:t>
            </w:r>
          </w:p>
        </w:tc>
        <w:tc>
          <w:tcPr>
            <w:tcW w:w="6485" w:type="dxa"/>
            <w:gridSpan w:val="5"/>
            <w:tcBorders>
              <w:top w:val="single" w:color="auto" w:sz="4" w:space="0"/>
              <w:left w:val="single" w:color="auto" w:sz="4" w:space="0"/>
              <w:bottom w:val="single" w:color="auto" w:sz="4" w:space="0"/>
              <w:right w:val="single" w:color="auto" w:sz="4" w:space="0"/>
            </w:tcBorders>
            <w:vAlign w:val="center"/>
          </w:tcPr>
          <w:p>
            <w:pPr>
              <w:pStyle w:val="35"/>
              <w:ind w:firstLine="328"/>
              <w:jc w:val="both"/>
              <w:rPr>
                <w:rFonts w:cs="Times New Roman" w:eastAsiaTheme="minorEastAsia"/>
                <w:color w:val="auto"/>
                <w:spacing w:val="2"/>
              </w:rPr>
            </w:pPr>
            <w:r>
              <w:rPr>
                <w:rFonts w:hint="eastAsia" w:cs="Times New Roman" w:eastAsiaTheme="minorEastAsia"/>
                <w:color w:val="auto"/>
                <w:spacing w:val="2"/>
              </w:rPr>
              <w:t>认真组织参加第八届成都国际汽车零配件及售后服务展览会，开展宣传推介、展览展示、经贸合作、品牌推广等活动，推介项目，寻求合作。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2.项目实施内容及过程概述</w:t>
            </w:r>
          </w:p>
        </w:tc>
        <w:tc>
          <w:tcPr>
            <w:tcW w:w="11792" w:type="dxa"/>
            <w:gridSpan w:val="10"/>
            <w:tcBorders>
              <w:top w:val="single" w:color="auto" w:sz="4" w:space="0"/>
              <w:left w:val="single" w:color="auto" w:sz="4" w:space="0"/>
              <w:bottom w:val="single" w:color="auto" w:sz="4" w:space="0"/>
              <w:right w:val="single" w:color="auto" w:sz="4" w:space="0"/>
            </w:tcBorders>
            <w:vAlign w:val="center"/>
          </w:tcPr>
          <w:p>
            <w:pPr>
              <w:pStyle w:val="35"/>
              <w:ind w:firstLine="328"/>
              <w:jc w:val="both"/>
              <w:rPr>
                <w:rFonts w:cs="Times New Roman" w:eastAsiaTheme="minorEastAsia"/>
                <w:color w:val="auto"/>
                <w:spacing w:val="2"/>
              </w:rPr>
            </w:pPr>
            <w:r>
              <w:rPr>
                <w:rFonts w:hint="eastAsia" w:cs="Times New Roman" w:eastAsiaTheme="minorEastAsia"/>
                <w:color w:val="auto"/>
                <w:spacing w:val="2"/>
              </w:rPr>
              <w:t>我市设54平方米的广元特装展馆，组织安驭铝合金车轮、天源机械、四川欣源设备等7家企业参展，会期达成合作意向金额1196万元，达到预期效果。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预算执行情况（10分）</w:t>
            </w: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年度预算数（万元）</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年初预算</w:t>
            </w:r>
          </w:p>
        </w:tc>
        <w:tc>
          <w:tcPr>
            <w:tcW w:w="13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调整后预算数</w:t>
            </w:r>
          </w:p>
        </w:tc>
        <w:tc>
          <w:tcPr>
            <w:tcW w:w="2639"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预算执行数</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预算执行率</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权重%</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部门自评得分</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财政部门科室复评得分</w:t>
            </w: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原因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总额</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8.00</w:t>
            </w:r>
          </w:p>
        </w:tc>
        <w:tc>
          <w:tcPr>
            <w:tcW w:w="13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8.00</w:t>
            </w:r>
          </w:p>
        </w:tc>
        <w:tc>
          <w:tcPr>
            <w:tcW w:w="2639"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8.00</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100.00%</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1.预算执行率=预算执行数/调整后预算数，预算执行率未达到90%的需说明原因（100字以内）；2.年中发生预算调整的（追加或调减），应单独说明理由；3.其他资金包括、社会投入资金、银行贷款.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其中：财政资金</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8.00</w:t>
            </w:r>
          </w:p>
        </w:tc>
        <w:tc>
          <w:tcPr>
            <w:tcW w:w="13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8.00</w:t>
            </w:r>
          </w:p>
        </w:tc>
        <w:tc>
          <w:tcPr>
            <w:tcW w:w="2639"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8.00</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财政专户管理资金</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3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2639"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单位资金</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3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2639"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其他资金</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3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2639"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绩效指标（90分）</w:t>
            </w: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一级指标</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二级指标</w:t>
            </w:r>
          </w:p>
        </w:tc>
        <w:tc>
          <w:tcPr>
            <w:tcW w:w="13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三级指标</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指标性质</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指标值</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度量单位</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完成值</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权重</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部门自评得分</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财政部门科室复评得分</w:t>
            </w: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未完成原因分析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产出指标</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数量指标</w:t>
            </w:r>
          </w:p>
        </w:tc>
        <w:tc>
          <w:tcPr>
            <w:tcW w:w="13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参展企业数量</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5</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家</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7家</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时效指标</w:t>
            </w:r>
          </w:p>
        </w:tc>
        <w:tc>
          <w:tcPr>
            <w:tcW w:w="13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完成时间</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项目完成时间</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12</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月</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12月前</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数量指标</w:t>
            </w:r>
          </w:p>
        </w:tc>
        <w:tc>
          <w:tcPr>
            <w:tcW w:w="13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展览面积</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50</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平方米</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54平方米</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成本指标</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成本指标</w:t>
            </w:r>
          </w:p>
        </w:tc>
        <w:tc>
          <w:tcPr>
            <w:tcW w:w="13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承办汽配展各项活动费用</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8</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万元</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8万元</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bl>
    <w:p>
      <w:pPr>
        <w:pStyle w:val="35"/>
        <w:ind w:firstLine="328"/>
        <w:jc w:val="both"/>
        <w:rPr>
          <w:rFonts w:cs="Times New Roman" w:eastAsiaTheme="minorEastAsia"/>
          <w:color w:val="auto"/>
          <w:spacing w:val="2"/>
        </w:rPr>
      </w:pPr>
    </w:p>
    <w:p>
      <w:pPr>
        <w:pStyle w:val="35"/>
        <w:ind w:firstLine="328"/>
        <w:jc w:val="both"/>
        <w:rPr>
          <w:rFonts w:cs="Times New Roman" w:eastAsiaTheme="minorEastAsia"/>
          <w:color w:val="auto"/>
          <w:spacing w:val="2"/>
        </w:rPr>
        <w:sectPr>
          <w:pgSz w:w="16837" w:h="11905"/>
          <w:pgMar w:top="1011" w:right="1090" w:bottom="650" w:left="1075" w:header="0" w:footer="454" w:gutter="0"/>
          <w:cols w:space="720" w:num="1"/>
        </w:sectPr>
      </w:pPr>
    </w:p>
    <w:p>
      <w:pPr>
        <w:pStyle w:val="35"/>
        <w:ind w:firstLine="328"/>
        <w:jc w:val="both"/>
        <w:rPr>
          <w:rFonts w:cs="Times New Roman" w:eastAsiaTheme="minorEastAsia"/>
          <w:color w:val="auto"/>
          <w:spacing w:val="2"/>
        </w:rPr>
      </w:pPr>
    </w:p>
    <w:tbl>
      <w:tblPr>
        <w:tblStyle w:val="36"/>
        <w:tblW w:w="14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1"/>
        <w:gridCol w:w="1453"/>
        <w:gridCol w:w="1340"/>
        <w:gridCol w:w="1328"/>
        <w:gridCol w:w="1177"/>
        <w:gridCol w:w="1028"/>
        <w:gridCol w:w="434"/>
        <w:gridCol w:w="906"/>
        <w:gridCol w:w="645"/>
        <w:gridCol w:w="794"/>
        <w:gridCol w:w="969"/>
        <w:gridCol w:w="3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411" w:type="dxa"/>
            <w:vMerge w:val="restart"/>
            <w:vAlign w:val="center"/>
          </w:tcPr>
          <w:p>
            <w:pPr>
              <w:pStyle w:val="35"/>
              <w:ind w:firstLine="328"/>
              <w:jc w:val="center"/>
              <w:rPr>
                <w:rFonts w:cs="Times New Roman" w:eastAsiaTheme="minorEastAsia"/>
                <w:color w:val="auto"/>
                <w:spacing w:val="2"/>
              </w:rPr>
            </w:pPr>
          </w:p>
        </w:tc>
        <w:tc>
          <w:tcPr>
            <w:tcW w:w="1453"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效益指标</w:t>
            </w:r>
          </w:p>
        </w:tc>
        <w:tc>
          <w:tcPr>
            <w:tcW w:w="1340"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社会效益指标</w:t>
            </w:r>
          </w:p>
        </w:tc>
        <w:tc>
          <w:tcPr>
            <w:tcW w:w="1328"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持续提升广元本地企业外向发展能力</w:t>
            </w:r>
          </w:p>
        </w:tc>
        <w:tc>
          <w:tcPr>
            <w:tcW w:w="1177"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434" w:type="dxa"/>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w:t>
            </w:r>
          </w:p>
        </w:tc>
        <w:tc>
          <w:tcPr>
            <w:tcW w:w="906"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645"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vAlign w:val="center"/>
          </w:tcPr>
          <w:p>
            <w:pPr>
              <w:pStyle w:val="35"/>
              <w:ind w:firstLine="328"/>
              <w:jc w:val="center"/>
              <w:rPr>
                <w:rFonts w:cs="Times New Roman" w:eastAsiaTheme="minorEastAsia"/>
                <w:color w:val="auto"/>
                <w:spacing w:val="2"/>
              </w:rPr>
            </w:pPr>
          </w:p>
        </w:tc>
        <w:tc>
          <w:tcPr>
            <w:tcW w:w="3171" w:type="dxa"/>
            <w:vAlign w:val="center"/>
          </w:tcPr>
          <w:p>
            <w:pPr>
              <w:pStyle w:val="35"/>
              <w:ind w:firstLine="328"/>
              <w:jc w:val="center"/>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411" w:type="dxa"/>
            <w:vMerge w:val="continue"/>
            <w:vAlign w:val="center"/>
          </w:tcPr>
          <w:p>
            <w:pPr>
              <w:pStyle w:val="35"/>
              <w:ind w:firstLine="328"/>
              <w:jc w:val="center"/>
              <w:rPr>
                <w:rFonts w:cs="Times New Roman" w:eastAsiaTheme="minorEastAsia"/>
                <w:color w:val="auto"/>
                <w:spacing w:val="2"/>
              </w:rPr>
            </w:pPr>
          </w:p>
        </w:tc>
        <w:tc>
          <w:tcPr>
            <w:tcW w:w="1453"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满意度指标</w:t>
            </w:r>
          </w:p>
        </w:tc>
        <w:tc>
          <w:tcPr>
            <w:tcW w:w="1340"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服务对象满意度指标</w:t>
            </w:r>
          </w:p>
        </w:tc>
        <w:tc>
          <w:tcPr>
            <w:tcW w:w="1328"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参会参展企业满意度</w:t>
            </w:r>
          </w:p>
        </w:tc>
        <w:tc>
          <w:tcPr>
            <w:tcW w:w="1177"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434" w:type="dxa"/>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w:t>
            </w:r>
          </w:p>
        </w:tc>
        <w:tc>
          <w:tcPr>
            <w:tcW w:w="906"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645"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794"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969" w:type="dxa"/>
            <w:vAlign w:val="center"/>
          </w:tcPr>
          <w:p>
            <w:pPr>
              <w:pStyle w:val="35"/>
              <w:ind w:firstLine="328"/>
              <w:jc w:val="center"/>
              <w:rPr>
                <w:rFonts w:cs="Times New Roman" w:eastAsiaTheme="minorEastAsia"/>
                <w:color w:val="auto"/>
                <w:spacing w:val="2"/>
              </w:rPr>
            </w:pPr>
          </w:p>
        </w:tc>
        <w:tc>
          <w:tcPr>
            <w:tcW w:w="3171" w:type="dxa"/>
            <w:vAlign w:val="center"/>
          </w:tcPr>
          <w:p>
            <w:pPr>
              <w:pStyle w:val="35"/>
              <w:ind w:firstLine="328"/>
              <w:jc w:val="center"/>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4204" w:type="dxa"/>
            <w:gridSpan w:val="3"/>
            <w:vAlign w:val="center"/>
          </w:tcPr>
          <w:p>
            <w:pPr>
              <w:pStyle w:val="35"/>
              <w:ind w:firstLine="328"/>
              <w:jc w:val="center"/>
              <w:rPr>
                <w:rFonts w:cs="Times New Roman" w:eastAsiaTheme="minorEastAsia"/>
                <w:color w:val="auto"/>
                <w:spacing w:val="2"/>
              </w:rPr>
            </w:pPr>
          </w:p>
        </w:tc>
        <w:tc>
          <w:tcPr>
            <w:tcW w:w="4873" w:type="dxa"/>
            <w:gridSpan w:val="5"/>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合计</w:t>
            </w:r>
          </w:p>
        </w:tc>
        <w:tc>
          <w:tcPr>
            <w:tcW w:w="645"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100</w:t>
            </w:r>
          </w:p>
        </w:tc>
        <w:tc>
          <w:tcPr>
            <w:tcW w:w="794"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100</w:t>
            </w:r>
          </w:p>
        </w:tc>
        <w:tc>
          <w:tcPr>
            <w:tcW w:w="969" w:type="dxa"/>
            <w:vAlign w:val="center"/>
          </w:tcPr>
          <w:p>
            <w:pPr>
              <w:pStyle w:val="35"/>
              <w:ind w:firstLine="328"/>
              <w:jc w:val="center"/>
              <w:rPr>
                <w:rFonts w:cs="Times New Roman" w:eastAsiaTheme="minorEastAsia"/>
                <w:color w:val="auto"/>
                <w:spacing w:val="2"/>
              </w:rPr>
            </w:pPr>
          </w:p>
        </w:tc>
        <w:tc>
          <w:tcPr>
            <w:tcW w:w="3171" w:type="dxa"/>
            <w:vAlign w:val="center"/>
          </w:tcPr>
          <w:p>
            <w:pPr>
              <w:pStyle w:val="35"/>
              <w:ind w:firstLine="328"/>
              <w:jc w:val="center"/>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1411"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部门（单位）自评结论</w:t>
            </w:r>
          </w:p>
        </w:tc>
        <w:tc>
          <w:tcPr>
            <w:tcW w:w="13245" w:type="dxa"/>
            <w:gridSpan w:val="11"/>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本项目自评得分100分。我市设54平方米的广元特装展馆，组织安驭铝合金车轮、天源机械、四川欣源设备等7家企业参展，会期达成合作意向金额1196万元，达到预期效果。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1411"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部门（单位）自评存在问题</w:t>
            </w:r>
          </w:p>
        </w:tc>
        <w:tc>
          <w:tcPr>
            <w:tcW w:w="13245" w:type="dxa"/>
            <w:gridSpan w:val="11"/>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1411"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部门（单位）自评改进措施</w:t>
            </w:r>
          </w:p>
        </w:tc>
        <w:tc>
          <w:tcPr>
            <w:tcW w:w="13245" w:type="dxa"/>
            <w:gridSpan w:val="11"/>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1411"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财政部门对口科室复评结论及整改要</w:t>
            </w:r>
          </w:p>
          <w:p>
            <w:pPr>
              <w:pStyle w:val="35"/>
              <w:ind w:firstLine="328"/>
              <w:jc w:val="center"/>
              <w:rPr>
                <w:rFonts w:cs="Times New Roman" w:eastAsiaTheme="minorEastAsia"/>
                <w:color w:val="auto"/>
                <w:spacing w:val="2"/>
              </w:rPr>
            </w:pPr>
            <w:r>
              <w:rPr>
                <w:rFonts w:hint="eastAsia" w:cs="Times New Roman" w:eastAsiaTheme="minorEastAsia"/>
                <w:color w:val="auto"/>
                <w:spacing w:val="2"/>
              </w:rPr>
              <w:t>求</w:t>
            </w:r>
          </w:p>
        </w:tc>
        <w:tc>
          <w:tcPr>
            <w:tcW w:w="13245" w:type="dxa"/>
            <w:gridSpan w:val="11"/>
            <w:vAlign w:val="center"/>
          </w:tcPr>
          <w:p>
            <w:pPr>
              <w:pStyle w:val="35"/>
              <w:ind w:firstLine="328"/>
              <w:jc w:val="center"/>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6709" w:type="dxa"/>
            <w:gridSpan w:val="5"/>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单位项目负责人：邓克</w:t>
            </w:r>
          </w:p>
        </w:tc>
        <w:tc>
          <w:tcPr>
            <w:tcW w:w="7947" w:type="dxa"/>
            <w:gridSpan w:val="7"/>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单位财务负责人：胡永军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6709" w:type="dxa"/>
            <w:gridSpan w:val="5"/>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部门项目负责人：</w:t>
            </w:r>
          </w:p>
        </w:tc>
        <w:tc>
          <w:tcPr>
            <w:tcW w:w="7947" w:type="dxa"/>
            <w:gridSpan w:val="7"/>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部门财务负责人：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14656" w:type="dxa"/>
            <w:gridSpan w:val="12"/>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财政部门科室负责人：</w:t>
            </w:r>
          </w:p>
        </w:tc>
      </w:tr>
    </w:tbl>
    <w:p>
      <w:pPr>
        <w:ind w:firstLine="640"/>
        <w:jc w:val="center"/>
        <w:rPr>
          <w:rFonts w:ascii="Arial" w:hAnsi="Arial" w:cs="Arial"/>
          <w:color w:val="auto"/>
          <w:szCs w:val="21"/>
        </w:rPr>
      </w:pPr>
    </w:p>
    <w:p>
      <w:pPr>
        <w:pStyle w:val="2"/>
        <w:spacing w:before="72"/>
        <w:ind w:firstLine="640"/>
        <w:jc w:val="center"/>
        <w:rPr>
          <w:rFonts w:hAnsi="宋体" w:cs="宋体"/>
          <w:color w:val="auto"/>
          <w:sz w:val="32"/>
          <w:szCs w:val="32"/>
          <w:shd w:val="clear" w:color="auto" w:fill="FFFFFF"/>
        </w:rPr>
      </w:pPr>
    </w:p>
    <w:p>
      <w:pPr>
        <w:pStyle w:val="2"/>
        <w:spacing w:before="72"/>
        <w:ind w:firstLine="640"/>
        <w:jc w:val="center"/>
        <w:rPr>
          <w:rFonts w:hAnsi="宋体" w:cs="宋体"/>
          <w:color w:val="auto"/>
          <w:sz w:val="32"/>
          <w:szCs w:val="32"/>
          <w:shd w:val="clear" w:color="auto" w:fill="FFFFFF"/>
        </w:rPr>
      </w:pPr>
    </w:p>
    <w:p>
      <w:pPr>
        <w:pStyle w:val="2"/>
        <w:spacing w:before="72"/>
        <w:ind w:firstLine="640"/>
        <w:jc w:val="center"/>
        <w:rPr>
          <w:rFonts w:hAnsi="宋体" w:cs="宋体"/>
          <w:color w:val="auto"/>
          <w:sz w:val="32"/>
          <w:szCs w:val="32"/>
          <w:shd w:val="clear" w:color="auto" w:fill="FFFFFF"/>
        </w:rPr>
      </w:pPr>
    </w:p>
    <w:p>
      <w:pPr>
        <w:pStyle w:val="2"/>
        <w:spacing w:before="72"/>
        <w:ind w:firstLine="640"/>
        <w:jc w:val="center"/>
        <w:rPr>
          <w:rFonts w:hAnsi="宋体" w:cs="宋体"/>
          <w:color w:val="auto"/>
          <w:sz w:val="32"/>
          <w:szCs w:val="32"/>
          <w:shd w:val="clear" w:color="auto" w:fill="FFFFFF"/>
        </w:rPr>
      </w:pPr>
    </w:p>
    <w:p>
      <w:pPr>
        <w:spacing w:before="5" w:line="396" w:lineRule="exact"/>
        <w:ind w:left="1857" w:firstLine="800"/>
        <w:jc w:val="center"/>
        <w:outlineLvl w:val="0"/>
        <w:rPr>
          <w:rFonts w:ascii="微软雅黑" w:hAnsi="微软雅黑" w:eastAsia="微软雅黑"/>
          <w:color w:val="auto"/>
          <w:spacing w:val="5"/>
          <w:position w:val="-1"/>
          <w:sz w:val="39"/>
          <w:szCs w:val="39"/>
        </w:rPr>
      </w:pPr>
    </w:p>
    <w:p>
      <w:pPr>
        <w:spacing w:before="5" w:line="396" w:lineRule="exact"/>
        <w:ind w:left="1857" w:firstLine="800"/>
        <w:jc w:val="center"/>
        <w:outlineLvl w:val="0"/>
        <w:rPr>
          <w:rFonts w:ascii="微软雅黑" w:hAnsi="微软雅黑" w:eastAsia="微软雅黑"/>
          <w:color w:val="auto"/>
          <w:spacing w:val="5"/>
          <w:position w:val="-1"/>
          <w:sz w:val="39"/>
          <w:szCs w:val="39"/>
        </w:rPr>
      </w:pPr>
    </w:p>
    <w:p>
      <w:pPr>
        <w:spacing w:before="5" w:line="396" w:lineRule="exact"/>
        <w:ind w:left="1857" w:firstLine="800"/>
        <w:jc w:val="center"/>
        <w:outlineLvl w:val="0"/>
        <w:rPr>
          <w:rFonts w:ascii="微软雅黑" w:hAnsi="微软雅黑" w:eastAsia="微软雅黑"/>
          <w:color w:val="auto"/>
          <w:spacing w:val="5"/>
          <w:position w:val="-1"/>
          <w:sz w:val="39"/>
          <w:szCs w:val="39"/>
        </w:rPr>
      </w:pPr>
    </w:p>
    <w:p>
      <w:pPr>
        <w:spacing w:before="5" w:line="396" w:lineRule="exact"/>
        <w:ind w:left="1857" w:firstLine="800"/>
        <w:jc w:val="center"/>
        <w:outlineLvl w:val="0"/>
        <w:rPr>
          <w:rFonts w:ascii="微软雅黑" w:hAnsi="微软雅黑" w:eastAsia="微软雅黑"/>
          <w:color w:val="auto"/>
          <w:spacing w:val="5"/>
          <w:position w:val="-1"/>
          <w:sz w:val="39"/>
          <w:szCs w:val="39"/>
        </w:rPr>
      </w:pPr>
    </w:p>
    <w:p>
      <w:pPr>
        <w:spacing w:before="5" w:line="396" w:lineRule="exact"/>
        <w:ind w:left="1857" w:firstLine="800"/>
        <w:jc w:val="center"/>
        <w:outlineLvl w:val="0"/>
        <w:rPr>
          <w:rFonts w:ascii="微软雅黑" w:hAnsi="微软雅黑" w:eastAsia="微软雅黑"/>
          <w:color w:val="auto"/>
          <w:spacing w:val="5"/>
          <w:position w:val="-1"/>
          <w:sz w:val="39"/>
          <w:szCs w:val="39"/>
        </w:rPr>
      </w:pPr>
    </w:p>
    <w:p>
      <w:pPr>
        <w:spacing w:before="5" w:line="396" w:lineRule="exact"/>
        <w:ind w:left="1857" w:firstLine="800"/>
        <w:jc w:val="center"/>
        <w:outlineLvl w:val="0"/>
        <w:rPr>
          <w:rFonts w:ascii="微软雅黑" w:hAnsi="微软雅黑" w:eastAsia="微软雅黑"/>
          <w:color w:val="auto"/>
          <w:spacing w:val="5"/>
          <w:position w:val="-1"/>
          <w:sz w:val="39"/>
          <w:szCs w:val="39"/>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部门预算项目支出绩效自评表(2022年度)</w:t>
      </w:r>
    </w:p>
    <w:p>
      <w:pPr>
        <w:spacing w:line="69" w:lineRule="exact"/>
        <w:ind w:firstLine="640"/>
        <w:jc w:val="center"/>
        <w:rPr>
          <w:rFonts w:ascii="Arial" w:hAnsi="Arial"/>
          <w:color w:val="auto"/>
          <w:szCs w:val="21"/>
        </w:rPr>
      </w:pPr>
    </w:p>
    <w:tbl>
      <w:tblPr>
        <w:tblStyle w:val="36"/>
        <w:tblW w:w="147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1"/>
        <w:gridCol w:w="1453"/>
        <w:gridCol w:w="1414"/>
        <w:gridCol w:w="1352"/>
        <w:gridCol w:w="1177"/>
        <w:gridCol w:w="1028"/>
        <w:gridCol w:w="434"/>
        <w:gridCol w:w="906"/>
        <w:gridCol w:w="645"/>
        <w:gridCol w:w="794"/>
        <w:gridCol w:w="969"/>
        <w:gridCol w:w="31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1" w:hRule="atLeast"/>
          <w:jc w:val="center"/>
        </w:trPr>
        <w:tc>
          <w:tcPr>
            <w:tcW w:w="2864" w:type="dxa"/>
            <w:gridSpan w:val="2"/>
            <w:tcBorders>
              <w:top w:val="single" w:color="000000" w:sz="6" w:space="0"/>
              <w:left w:val="single" w:color="000000" w:sz="6" w:space="0"/>
              <w:bottom w:val="single" w:color="000000" w:sz="6" w:space="0"/>
              <w:right w:val="single" w:color="000000" w:sz="6"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项目名称</w:t>
            </w:r>
          </w:p>
        </w:tc>
        <w:tc>
          <w:tcPr>
            <w:tcW w:w="11890" w:type="dxa"/>
            <w:gridSpan w:val="10"/>
            <w:tcBorders>
              <w:top w:val="single" w:color="000000" w:sz="6" w:space="0"/>
              <w:left w:val="single" w:color="000000" w:sz="6" w:space="0"/>
              <w:bottom w:val="single" w:color="000000" w:sz="6" w:space="0"/>
              <w:right w:val="single" w:color="000000" w:sz="6"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广元参加第七届（成都）智慧产业国际博览会经费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jc w:val="center"/>
        </w:trPr>
        <w:tc>
          <w:tcPr>
            <w:tcW w:w="2864" w:type="dxa"/>
            <w:gridSpan w:val="2"/>
            <w:tcBorders>
              <w:top w:val="single" w:color="000000" w:sz="6" w:space="0"/>
              <w:left w:val="single" w:color="000000" w:sz="6" w:space="0"/>
              <w:bottom w:val="single" w:color="auto" w:sz="4" w:space="0"/>
              <w:right w:val="single" w:color="000000" w:sz="6"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主管部门（盖章）</w:t>
            </w:r>
          </w:p>
        </w:tc>
        <w:tc>
          <w:tcPr>
            <w:tcW w:w="5405" w:type="dxa"/>
            <w:gridSpan w:val="5"/>
            <w:tcBorders>
              <w:top w:val="single" w:color="000000" w:sz="6" w:space="0"/>
              <w:left w:val="single" w:color="000000" w:sz="6" w:space="0"/>
              <w:bottom w:val="single" w:color="auto" w:sz="4" w:space="0"/>
              <w:right w:val="single" w:color="000000" w:sz="6" w:space="0"/>
            </w:tcBorders>
            <w:vAlign w:val="bottom"/>
          </w:tcPr>
          <w:p>
            <w:pPr>
              <w:pStyle w:val="35"/>
              <w:ind w:firstLine="328"/>
              <w:jc w:val="center"/>
              <w:rPr>
                <w:rFonts w:cs="Times New Roman" w:eastAsiaTheme="minorEastAsia"/>
                <w:color w:val="auto"/>
                <w:spacing w:val="2"/>
              </w:rPr>
            </w:pPr>
          </w:p>
        </w:tc>
        <w:tc>
          <w:tcPr>
            <w:tcW w:w="906" w:type="dxa"/>
            <w:tcBorders>
              <w:top w:val="single" w:color="000000" w:sz="6" w:space="0"/>
              <w:left w:val="single" w:color="000000" w:sz="6" w:space="0"/>
              <w:bottom w:val="single" w:color="auto" w:sz="4" w:space="0"/>
              <w:right w:val="single" w:color="000000" w:sz="6" w:space="0"/>
            </w:tcBorders>
            <w:vAlign w:val="bottom"/>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实施单位（盖章）</w:t>
            </w:r>
          </w:p>
        </w:tc>
        <w:tc>
          <w:tcPr>
            <w:tcW w:w="5579" w:type="dxa"/>
            <w:gridSpan w:val="4"/>
            <w:tcBorders>
              <w:top w:val="single" w:color="000000" w:sz="6" w:space="0"/>
              <w:left w:val="single" w:color="000000" w:sz="6" w:space="0"/>
              <w:bottom w:val="single" w:color="auto" w:sz="4" w:space="0"/>
              <w:right w:val="single" w:color="000000" w:sz="6"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中国国际贸易促进委员会广元市委员会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项目基本情况</w:t>
            </w:r>
          </w:p>
        </w:tc>
        <w:tc>
          <w:tcPr>
            <w:tcW w:w="1453" w:type="dxa"/>
            <w:vMerge w:val="restart"/>
            <w:tcBorders>
              <w:top w:val="single" w:color="auto" w:sz="4" w:space="0"/>
              <w:left w:val="single" w:color="auto" w:sz="4" w:space="0"/>
              <w:bottom w:val="single" w:color="auto" w:sz="4" w:space="0"/>
              <w:right w:val="single" w:color="auto" w:sz="4" w:space="0"/>
            </w:tcBorders>
            <w:vAlign w:val="bottom"/>
          </w:tcPr>
          <w:p>
            <w:pPr>
              <w:pStyle w:val="35"/>
              <w:ind w:firstLine="328"/>
              <w:rPr>
                <w:rFonts w:cs="Times New Roman" w:eastAsiaTheme="minorEastAsia"/>
                <w:color w:val="auto"/>
                <w:spacing w:val="2"/>
              </w:rPr>
            </w:pPr>
            <w:r>
              <w:rPr>
                <w:rFonts w:hint="eastAsia" w:cs="Times New Roman" w:eastAsiaTheme="minorEastAsia"/>
                <w:color w:val="auto"/>
                <w:spacing w:val="2"/>
              </w:rPr>
              <w:t>1.项目年度目标完成情况</w:t>
            </w:r>
          </w:p>
        </w:tc>
        <w:tc>
          <w:tcPr>
            <w:tcW w:w="5405" w:type="dxa"/>
            <w:gridSpan w:val="5"/>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项目年度目标</w:t>
            </w:r>
          </w:p>
        </w:tc>
        <w:tc>
          <w:tcPr>
            <w:tcW w:w="6485" w:type="dxa"/>
            <w:gridSpan w:val="5"/>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年度目标完成情况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1453" w:type="dxa"/>
            <w:vMerge w:val="continue"/>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5405" w:type="dxa"/>
            <w:gridSpan w:val="5"/>
            <w:tcBorders>
              <w:top w:val="single" w:color="auto" w:sz="4" w:space="0"/>
              <w:left w:val="single" w:color="auto" w:sz="4" w:space="0"/>
              <w:bottom w:val="single" w:color="auto" w:sz="4" w:space="0"/>
              <w:right w:val="single" w:color="auto" w:sz="4" w:space="0"/>
            </w:tcBorders>
            <w:vAlign w:val="bottom"/>
          </w:tcPr>
          <w:p>
            <w:pPr>
              <w:pStyle w:val="35"/>
              <w:ind w:firstLine="0" w:firstLineChars="0"/>
              <w:jc w:val="both"/>
              <w:rPr>
                <w:rFonts w:cs="Times New Roman" w:eastAsiaTheme="minorEastAsia"/>
                <w:color w:val="auto"/>
                <w:spacing w:val="2"/>
              </w:rPr>
            </w:pPr>
            <w:r>
              <w:rPr>
                <w:rFonts w:hint="eastAsia" w:cs="Times New Roman" w:eastAsiaTheme="minorEastAsia"/>
                <w:color w:val="auto"/>
                <w:spacing w:val="2"/>
              </w:rPr>
              <w:t>组织参加第七届（成都）智慧产业国际博览会，开展展览展示、经贸合作、品牌推广等活动，推介项目，寻求合作。</w:t>
            </w:r>
          </w:p>
        </w:tc>
        <w:tc>
          <w:tcPr>
            <w:tcW w:w="6485" w:type="dxa"/>
            <w:gridSpan w:val="5"/>
            <w:tcBorders>
              <w:top w:val="single" w:color="auto" w:sz="4" w:space="0"/>
              <w:left w:val="single" w:color="auto" w:sz="4" w:space="0"/>
              <w:bottom w:val="single" w:color="auto" w:sz="4" w:space="0"/>
              <w:right w:val="single" w:color="auto" w:sz="4" w:space="0"/>
            </w:tcBorders>
            <w:vAlign w:val="bottom"/>
          </w:tcPr>
          <w:p>
            <w:pPr>
              <w:pStyle w:val="35"/>
              <w:ind w:firstLine="0" w:firstLineChars="0"/>
              <w:jc w:val="both"/>
              <w:rPr>
                <w:rFonts w:cs="Times New Roman" w:eastAsiaTheme="minorEastAsia"/>
                <w:color w:val="auto"/>
                <w:spacing w:val="2"/>
              </w:rPr>
            </w:pPr>
            <w:r>
              <w:rPr>
                <w:rFonts w:hint="eastAsia" w:cs="Times New Roman" w:eastAsiaTheme="minorEastAsia"/>
                <w:color w:val="auto"/>
                <w:spacing w:val="2"/>
              </w:rPr>
              <w:t>组织企业参加第七届（成都）智慧产业国际博览会，开展展览展示、经贸合作、品牌推广等活动，推介项目，寻求合作。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2.项目实施内容及过程概述</w:t>
            </w:r>
          </w:p>
        </w:tc>
        <w:tc>
          <w:tcPr>
            <w:tcW w:w="11890" w:type="dxa"/>
            <w:gridSpan w:val="10"/>
            <w:tcBorders>
              <w:top w:val="single" w:color="auto" w:sz="4" w:space="0"/>
              <w:left w:val="single" w:color="auto" w:sz="4" w:space="0"/>
              <w:bottom w:val="single" w:color="auto" w:sz="4" w:space="0"/>
              <w:right w:val="single" w:color="auto" w:sz="4" w:space="0"/>
            </w:tcBorders>
            <w:vAlign w:val="bottom"/>
          </w:tcPr>
          <w:p>
            <w:pPr>
              <w:pStyle w:val="35"/>
              <w:ind w:firstLine="0" w:firstLineChars="0"/>
              <w:jc w:val="both"/>
              <w:rPr>
                <w:rFonts w:cs="Times New Roman" w:eastAsiaTheme="minorEastAsia"/>
                <w:color w:val="auto"/>
                <w:spacing w:val="2"/>
              </w:rPr>
            </w:pPr>
            <w:r>
              <w:rPr>
                <w:rFonts w:hint="eastAsia" w:cs="Times New Roman" w:eastAsiaTheme="minorEastAsia"/>
                <w:color w:val="auto"/>
                <w:spacing w:val="2"/>
              </w:rPr>
              <w:t>设54平方米的广元特装展馆，组织格莱思科技、嘉洁能等企业参展，会期达成合作意向金额5072万元，达到预期效果。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预算执行情况（10分）</w:t>
            </w:r>
          </w:p>
        </w:tc>
        <w:tc>
          <w:tcPr>
            <w:tcW w:w="1453"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年度预算数（万元）</w:t>
            </w:r>
          </w:p>
        </w:tc>
        <w:tc>
          <w:tcPr>
            <w:tcW w:w="1414"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年初预算</w:t>
            </w:r>
          </w:p>
        </w:tc>
        <w:tc>
          <w:tcPr>
            <w:tcW w:w="1352"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调整后预算数</w:t>
            </w:r>
          </w:p>
        </w:tc>
        <w:tc>
          <w:tcPr>
            <w:tcW w:w="2639" w:type="dxa"/>
            <w:gridSpan w:val="3"/>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预算执行数</w:t>
            </w:r>
          </w:p>
        </w:tc>
        <w:tc>
          <w:tcPr>
            <w:tcW w:w="906"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预算执行率</w:t>
            </w:r>
          </w:p>
        </w:tc>
        <w:tc>
          <w:tcPr>
            <w:tcW w:w="645"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权重%</w:t>
            </w:r>
          </w:p>
        </w:tc>
        <w:tc>
          <w:tcPr>
            <w:tcW w:w="794"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部门自评得分</w:t>
            </w:r>
          </w:p>
        </w:tc>
        <w:tc>
          <w:tcPr>
            <w:tcW w:w="969"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财政部门科室复评得分</w:t>
            </w:r>
          </w:p>
        </w:tc>
        <w:tc>
          <w:tcPr>
            <w:tcW w:w="3171"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原因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总额</w:t>
            </w:r>
          </w:p>
        </w:tc>
        <w:tc>
          <w:tcPr>
            <w:tcW w:w="1414"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8.00</w:t>
            </w:r>
          </w:p>
        </w:tc>
        <w:tc>
          <w:tcPr>
            <w:tcW w:w="1352"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8.00</w:t>
            </w:r>
          </w:p>
        </w:tc>
        <w:tc>
          <w:tcPr>
            <w:tcW w:w="2639" w:type="dxa"/>
            <w:gridSpan w:val="3"/>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8.00</w:t>
            </w:r>
          </w:p>
        </w:tc>
        <w:tc>
          <w:tcPr>
            <w:tcW w:w="906"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100.00%</w:t>
            </w:r>
          </w:p>
        </w:tc>
        <w:tc>
          <w:tcPr>
            <w:tcW w:w="645"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3171" w:type="dxa"/>
            <w:vMerge w:val="restart"/>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1.预算执行率=预算执行数/调整后预算数，预算执行率未达到90%的需说明原因（100字以内）；2.年中发生预算调整的（追加或调减），应单独说明理由；3.其他资金包括、社会投入资金、银行贷款.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其中：财政资金</w:t>
            </w:r>
          </w:p>
        </w:tc>
        <w:tc>
          <w:tcPr>
            <w:tcW w:w="1414"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8.00</w:t>
            </w:r>
          </w:p>
        </w:tc>
        <w:tc>
          <w:tcPr>
            <w:tcW w:w="1352"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8.00</w:t>
            </w:r>
          </w:p>
        </w:tc>
        <w:tc>
          <w:tcPr>
            <w:tcW w:w="2639" w:type="dxa"/>
            <w:gridSpan w:val="3"/>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8.00</w:t>
            </w:r>
          </w:p>
        </w:tc>
        <w:tc>
          <w:tcPr>
            <w:tcW w:w="906"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645"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794"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969"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财政专户管理资金</w:t>
            </w:r>
          </w:p>
        </w:tc>
        <w:tc>
          <w:tcPr>
            <w:tcW w:w="1414"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1352"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2639" w:type="dxa"/>
            <w:gridSpan w:val="3"/>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906"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645"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794"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969"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单位资金</w:t>
            </w:r>
          </w:p>
        </w:tc>
        <w:tc>
          <w:tcPr>
            <w:tcW w:w="1414"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1352"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2639" w:type="dxa"/>
            <w:gridSpan w:val="3"/>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906"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645"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794"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969"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其他资金</w:t>
            </w:r>
          </w:p>
        </w:tc>
        <w:tc>
          <w:tcPr>
            <w:tcW w:w="1414"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1352"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2639" w:type="dxa"/>
            <w:gridSpan w:val="3"/>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906"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645"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794"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969"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绩效指标（90分）</w:t>
            </w:r>
          </w:p>
        </w:tc>
        <w:tc>
          <w:tcPr>
            <w:tcW w:w="1453"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一级指标</w:t>
            </w:r>
          </w:p>
        </w:tc>
        <w:tc>
          <w:tcPr>
            <w:tcW w:w="1414"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二级指标</w:t>
            </w:r>
          </w:p>
        </w:tc>
        <w:tc>
          <w:tcPr>
            <w:tcW w:w="1352" w:type="dxa"/>
            <w:tcBorders>
              <w:top w:val="single" w:color="auto" w:sz="4" w:space="0"/>
              <w:left w:val="single" w:color="auto" w:sz="4" w:space="0"/>
              <w:bottom w:val="single" w:color="auto" w:sz="4" w:space="0"/>
              <w:right w:val="single" w:color="auto" w:sz="4" w:space="0"/>
            </w:tcBorders>
            <w:vAlign w:val="bottom"/>
          </w:tcPr>
          <w:p>
            <w:pPr>
              <w:pStyle w:val="35"/>
              <w:ind w:firstLine="328"/>
              <w:rPr>
                <w:rFonts w:cs="Times New Roman" w:eastAsiaTheme="minorEastAsia"/>
                <w:color w:val="auto"/>
                <w:spacing w:val="2"/>
              </w:rPr>
            </w:pPr>
            <w:r>
              <w:rPr>
                <w:rFonts w:hint="eastAsia" w:cs="Times New Roman" w:eastAsiaTheme="minorEastAsia"/>
                <w:color w:val="auto"/>
                <w:spacing w:val="2"/>
              </w:rPr>
              <w:t>三级指标</w:t>
            </w:r>
          </w:p>
        </w:tc>
        <w:tc>
          <w:tcPr>
            <w:tcW w:w="1177" w:type="dxa"/>
            <w:tcBorders>
              <w:top w:val="single" w:color="auto" w:sz="4" w:space="0"/>
              <w:left w:val="single" w:color="auto" w:sz="4" w:space="0"/>
              <w:bottom w:val="single" w:color="auto" w:sz="4" w:space="0"/>
              <w:right w:val="single" w:color="auto" w:sz="4" w:space="0"/>
            </w:tcBorders>
            <w:vAlign w:val="bottom"/>
          </w:tcPr>
          <w:p>
            <w:pPr>
              <w:pStyle w:val="35"/>
              <w:ind w:firstLine="328"/>
              <w:rPr>
                <w:rFonts w:cs="Times New Roman" w:eastAsiaTheme="minorEastAsia"/>
                <w:color w:val="auto"/>
                <w:spacing w:val="2"/>
              </w:rPr>
            </w:pPr>
            <w:r>
              <w:rPr>
                <w:rFonts w:hint="eastAsia" w:cs="Times New Roman" w:eastAsiaTheme="minorEastAsia"/>
                <w:color w:val="auto"/>
                <w:spacing w:val="2"/>
              </w:rPr>
              <w:t>指标性质</w:t>
            </w:r>
          </w:p>
        </w:tc>
        <w:tc>
          <w:tcPr>
            <w:tcW w:w="1028" w:type="dxa"/>
            <w:tcBorders>
              <w:top w:val="single" w:color="auto" w:sz="4" w:space="0"/>
              <w:left w:val="single" w:color="auto" w:sz="4" w:space="0"/>
              <w:bottom w:val="single" w:color="auto" w:sz="4" w:space="0"/>
              <w:right w:val="single" w:color="auto" w:sz="4" w:space="0"/>
            </w:tcBorders>
            <w:vAlign w:val="bottom"/>
          </w:tcPr>
          <w:p>
            <w:pPr>
              <w:pStyle w:val="35"/>
              <w:ind w:firstLine="328"/>
              <w:rPr>
                <w:rFonts w:cs="Times New Roman" w:eastAsiaTheme="minorEastAsia"/>
                <w:color w:val="auto"/>
                <w:spacing w:val="2"/>
              </w:rPr>
            </w:pPr>
            <w:r>
              <w:rPr>
                <w:rFonts w:hint="eastAsia" w:cs="Times New Roman" w:eastAsiaTheme="minorEastAsia"/>
                <w:color w:val="auto"/>
                <w:spacing w:val="2"/>
              </w:rPr>
              <w:t>指标值</w:t>
            </w:r>
          </w:p>
        </w:tc>
        <w:tc>
          <w:tcPr>
            <w:tcW w:w="434" w:type="dxa"/>
            <w:tcBorders>
              <w:top w:val="single" w:color="auto" w:sz="4" w:space="0"/>
              <w:left w:val="single" w:color="auto" w:sz="4" w:space="0"/>
              <w:bottom w:val="single" w:color="auto" w:sz="4" w:space="0"/>
              <w:right w:val="single" w:color="auto" w:sz="4" w:space="0"/>
            </w:tcBorders>
            <w:vAlign w:val="bottom"/>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度量单位</w:t>
            </w:r>
          </w:p>
        </w:tc>
        <w:tc>
          <w:tcPr>
            <w:tcW w:w="906" w:type="dxa"/>
            <w:tcBorders>
              <w:top w:val="single" w:color="auto" w:sz="4" w:space="0"/>
              <w:left w:val="single" w:color="auto" w:sz="4" w:space="0"/>
              <w:bottom w:val="single" w:color="auto" w:sz="4" w:space="0"/>
              <w:right w:val="single" w:color="auto" w:sz="4" w:space="0"/>
            </w:tcBorders>
            <w:vAlign w:val="bottom"/>
          </w:tcPr>
          <w:p>
            <w:pPr>
              <w:pStyle w:val="35"/>
              <w:ind w:firstLine="198" w:firstLineChars="121"/>
              <w:jc w:val="center"/>
              <w:rPr>
                <w:rFonts w:cs="Times New Roman" w:eastAsiaTheme="minorEastAsia"/>
                <w:color w:val="auto"/>
                <w:spacing w:val="2"/>
              </w:rPr>
            </w:pPr>
            <w:r>
              <w:rPr>
                <w:rFonts w:hint="eastAsia" w:cs="Times New Roman" w:eastAsiaTheme="minorEastAsia"/>
                <w:color w:val="auto"/>
                <w:spacing w:val="2"/>
              </w:rPr>
              <w:t>完成值</w:t>
            </w:r>
          </w:p>
        </w:tc>
        <w:tc>
          <w:tcPr>
            <w:tcW w:w="645" w:type="dxa"/>
            <w:tcBorders>
              <w:top w:val="single" w:color="auto" w:sz="4" w:space="0"/>
              <w:left w:val="single" w:color="auto" w:sz="4" w:space="0"/>
              <w:bottom w:val="single" w:color="auto" w:sz="4" w:space="0"/>
              <w:right w:val="single" w:color="auto" w:sz="4" w:space="0"/>
            </w:tcBorders>
            <w:vAlign w:val="bottom"/>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权重</w:t>
            </w:r>
          </w:p>
        </w:tc>
        <w:tc>
          <w:tcPr>
            <w:tcW w:w="794" w:type="dxa"/>
            <w:tcBorders>
              <w:top w:val="single" w:color="auto" w:sz="4" w:space="0"/>
              <w:left w:val="single" w:color="auto" w:sz="4" w:space="0"/>
              <w:bottom w:val="single" w:color="auto" w:sz="4" w:space="0"/>
              <w:right w:val="single" w:color="auto" w:sz="4" w:space="0"/>
            </w:tcBorders>
            <w:vAlign w:val="bottom"/>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部门自评得分</w:t>
            </w:r>
          </w:p>
        </w:tc>
        <w:tc>
          <w:tcPr>
            <w:tcW w:w="969" w:type="dxa"/>
            <w:tcBorders>
              <w:top w:val="single" w:color="auto" w:sz="4" w:space="0"/>
              <w:left w:val="single" w:color="auto" w:sz="4" w:space="0"/>
              <w:bottom w:val="single" w:color="auto" w:sz="4" w:space="0"/>
              <w:right w:val="single" w:color="auto" w:sz="4" w:space="0"/>
            </w:tcBorders>
            <w:vAlign w:val="bottom"/>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财政部门科室复评得分</w:t>
            </w:r>
          </w:p>
        </w:tc>
        <w:tc>
          <w:tcPr>
            <w:tcW w:w="3171"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未完成原因分析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1453" w:type="dxa"/>
            <w:vMerge w:val="restart"/>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产出指标</w:t>
            </w:r>
          </w:p>
        </w:tc>
        <w:tc>
          <w:tcPr>
            <w:tcW w:w="1414"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数量指标</w:t>
            </w:r>
          </w:p>
        </w:tc>
        <w:tc>
          <w:tcPr>
            <w:tcW w:w="1352"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参展企业数量</w:t>
            </w:r>
          </w:p>
        </w:tc>
        <w:tc>
          <w:tcPr>
            <w:tcW w:w="1177"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5</w:t>
            </w:r>
          </w:p>
        </w:tc>
        <w:tc>
          <w:tcPr>
            <w:tcW w:w="434" w:type="dxa"/>
            <w:tcBorders>
              <w:top w:val="single" w:color="auto" w:sz="4" w:space="0"/>
              <w:left w:val="single" w:color="auto" w:sz="4" w:space="0"/>
              <w:bottom w:val="single" w:color="auto" w:sz="4" w:space="0"/>
              <w:right w:val="single" w:color="auto" w:sz="4" w:space="0"/>
            </w:tcBorders>
            <w:vAlign w:val="bottom"/>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家</w:t>
            </w:r>
          </w:p>
        </w:tc>
        <w:tc>
          <w:tcPr>
            <w:tcW w:w="906"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7家</w:t>
            </w:r>
          </w:p>
        </w:tc>
        <w:tc>
          <w:tcPr>
            <w:tcW w:w="645" w:type="dxa"/>
            <w:tcBorders>
              <w:top w:val="single" w:color="auto" w:sz="4" w:space="0"/>
              <w:left w:val="single" w:color="auto" w:sz="4" w:space="0"/>
              <w:bottom w:val="single" w:color="auto" w:sz="4" w:space="0"/>
              <w:right w:val="single" w:color="auto" w:sz="4" w:space="0"/>
            </w:tcBorders>
            <w:vAlign w:val="bottom"/>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20</w:t>
            </w:r>
          </w:p>
        </w:tc>
        <w:tc>
          <w:tcPr>
            <w:tcW w:w="794" w:type="dxa"/>
            <w:tcBorders>
              <w:top w:val="single" w:color="auto" w:sz="4" w:space="0"/>
              <w:left w:val="single" w:color="auto" w:sz="4" w:space="0"/>
              <w:bottom w:val="single" w:color="auto" w:sz="4" w:space="0"/>
              <w:right w:val="single" w:color="auto" w:sz="4" w:space="0"/>
            </w:tcBorders>
            <w:vAlign w:val="bottom"/>
          </w:tcPr>
          <w:p>
            <w:pPr>
              <w:pStyle w:val="35"/>
              <w:ind w:firstLine="328"/>
              <w:rPr>
                <w:rFonts w:cs="Times New Roman" w:eastAsiaTheme="minorEastAsia"/>
                <w:color w:val="auto"/>
                <w:spacing w:val="2"/>
              </w:rPr>
            </w:pPr>
            <w:r>
              <w:rPr>
                <w:rFonts w:hint="eastAsia" w:cs="Times New Roman" w:eastAsiaTheme="minorEastAsia"/>
                <w:color w:val="auto"/>
                <w:spacing w:val="2"/>
              </w:rPr>
              <w:t>20</w:t>
            </w:r>
          </w:p>
        </w:tc>
        <w:tc>
          <w:tcPr>
            <w:tcW w:w="969"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1453" w:type="dxa"/>
            <w:vMerge w:val="continue"/>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1414"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时效指标</w:t>
            </w:r>
          </w:p>
        </w:tc>
        <w:tc>
          <w:tcPr>
            <w:tcW w:w="1352"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完成时间</w:t>
            </w:r>
          </w:p>
        </w:tc>
        <w:tc>
          <w:tcPr>
            <w:tcW w:w="1177"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项目完成时间</w:t>
            </w:r>
          </w:p>
        </w:tc>
        <w:tc>
          <w:tcPr>
            <w:tcW w:w="1028"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12</w:t>
            </w:r>
          </w:p>
        </w:tc>
        <w:tc>
          <w:tcPr>
            <w:tcW w:w="434" w:type="dxa"/>
            <w:tcBorders>
              <w:top w:val="single" w:color="auto" w:sz="4" w:space="0"/>
              <w:left w:val="single" w:color="auto" w:sz="4" w:space="0"/>
              <w:bottom w:val="single" w:color="auto" w:sz="4" w:space="0"/>
              <w:right w:val="single" w:color="auto" w:sz="4" w:space="0"/>
            </w:tcBorders>
            <w:vAlign w:val="bottom"/>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月</w:t>
            </w:r>
          </w:p>
        </w:tc>
        <w:tc>
          <w:tcPr>
            <w:tcW w:w="906" w:type="dxa"/>
            <w:tcBorders>
              <w:top w:val="single" w:color="auto" w:sz="4" w:space="0"/>
              <w:left w:val="single" w:color="auto" w:sz="4" w:space="0"/>
              <w:bottom w:val="single" w:color="auto" w:sz="4" w:space="0"/>
              <w:right w:val="single" w:color="auto" w:sz="4" w:space="0"/>
            </w:tcBorders>
            <w:vAlign w:val="bottom"/>
          </w:tcPr>
          <w:p>
            <w:pPr>
              <w:pStyle w:val="35"/>
              <w:ind w:firstLine="198" w:firstLineChars="121"/>
              <w:jc w:val="center"/>
              <w:rPr>
                <w:rFonts w:cs="Times New Roman" w:eastAsiaTheme="minorEastAsia"/>
                <w:color w:val="auto"/>
                <w:spacing w:val="2"/>
              </w:rPr>
            </w:pPr>
            <w:r>
              <w:rPr>
                <w:rFonts w:hint="eastAsia" w:cs="Times New Roman" w:eastAsiaTheme="minorEastAsia"/>
                <w:color w:val="auto"/>
                <w:spacing w:val="2"/>
              </w:rPr>
              <w:t>12月前</w:t>
            </w:r>
          </w:p>
        </w:tc>
        <w:tc>
          <w:tcPr>
            <w:tcW w:w="645" w:type="dxa"/>
            <w:tcBorders>
              <w:top w:val="single" w:color="auto" w:sz="4" w:space="0"/>
              <w:left w:val="single" w:color="auto" w:sz="4" w:space="0"/>
              <w:bottom w:val="single" w:color="auto" w:sz="4" w:space="0"/>
              <w:right w:val="single" w:color="auto" w:sz="4" w:space="0"/>
            </w:tcBorders>
            <w:vAlign w:val="bottom"/>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20</w:t>
            </w:r>
          </w:p>
        </w:tc>
        <w:tc>
          <w:tcPr>
            <w:tcW w:w="794" w:type="dxa"/>
            <w:tcBorders>
              <w:top w:val="single" w:color="auto" w:sz="4" w:space="0"/>
              <w:left w:val="single" w:color="auto" w:sz="4" w:space="0"/>
              <w:bottom w:val="single" w:color="auto" w:sz="4" w:space="0"/>
              <w:right w:val="single" w:color="auto" w:sz="4" w:space="0"/>
            </w:tcBorders>
            <w:vAlign w:val="bottom"/>
          </w:tcPr>
          <w:p>
            <w:pPr>
              <w:pStyle w:val="35"/>
              <w:ind w:firstLine="328"/>
              <w:rPr>
                <w:rFonts w:cs="Times New Roman" w:eastAsiaTheme="minorEastAsia"/>
                <w:color w:val="auto"/>
                <w:spacing w:val="2"/>
              </w:rPr>
            </w:pPr>
            <w:r>
              <w:rPr>
                <w:rFonts w:hint="eastAsia" w:cs="Times New Roman" w:eastAsiaTheme="minorEastAsia"/>
                <w:color w:val="auto"/>
                <w:spacing w:val="2"/>
              </w:rPr>
              <w:t>20</w:t>
            </w:r>
          </w:p>
        </w:tc>
        <w:tc>
          <w:tcPr>
            <w:tcW w:w="969"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1453" w:type="dxa"/>
            <w:vMerge w:val="continue"/>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1414"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数量指标</w:t>
            </w:r>
          </w:p>
        </w:tc>
        <w:tc>
          <w:tcPr>
            <w:tcW w:w="1352"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展览面积</w:t>
            </w:r>
          </w:p>
        </w:tc>
        <w:tc>
          <w:tcPr>
            <w:tcW w:w="1177"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50</w:t>
            </w:r>
          </w:p>
        </w:tc>
        <w:tc>
          <w:tcPr>
            <w:tcW w:w="434" w:type="dxa"/>
            <w:tcBorders>
              <w:top w:val="single" w:color="auto" w:sz="4" w:space="0"/>
              <w:left w:val="single" w:color="auto" w:sz="4" w:space="0"/>
              <w:bottom w:val="single" w:color="auto" w:sz="4" w:space="0"/>
              <w:right w:val="single" w:color="auto" w:sz="4" w:space="0"/>
            </w:tcBorders>
            <w:vAlign w:val="bottom"/>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平方米</w:t>
            </w:r>
          </w:p>
        </w:tc>
        <w:tc>
          <w:tcPr>
            <w:tcW w:w="906" w:type="dxa"/>
            <w:tcBorders>
              <w:top w:val="single" w:color="auto" w:sz="4" w:space="0"/>
              <w:left w:val="single" w:color="auto" w:sz="4" w:space="0"/>
              <w:bottom w:val="single" w:color="auto" w:sz="4" w:space="0"/>
              <w:right w:val="single" w:color="auto" w:sz="4" w:space="0"/>
            </w:tcBorders>
            <w:vAlign w:val="bottom"/>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54平方米</w:t>
            </w:r>
          </w:p>
        </w:tc>
        <w:tc>
          <w:tcPr>
            <w:tcW w:w="645" w:type="dxa"/>
            <w:tcBorders>
              <w:top w:val="single" w:color="auto" w:sz="4" w:space="0"/>
              <w:left w:val="single" w:color="auto" w:sz="4" w:space="0"/>
              <w:bottom w:val="single" w:color="auto" w:sz="4" w:space="0"/>
              <w:right w:val="single" w:color="auto" w:sz="4" w:space="0"/>
            </w:tcBorders>
            <w:vAlign w:val="bottom"/>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auto" w:sz="4" w:space="0"/>
              <w:left w:val="single" w:color="auto" w:sz="4" w:space="0"/>
              <w:bottom w:val="single" w:color="auto" w:sz="4" w:space="0"/>
              <w:right w:val="single" w:color="auto" w:sz="4" w:space="0"/>
            </w:tcBorders>
            <w:vAlign w:val="bottom"/>
          </w:tcPr>
          <w:p>
            <w:pPr>
              <w:pStyle w:val="35"/>
              <w:ind w:firstLine="328"/>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成本指标</w:t>
            </w:r>
          </w:p>
        </w:tc>
        <w:tc>
          <w:tcPr>
            <w:tcW w:w="1414"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成本指标</w:t>
            </w:r>
          </w:p>
        </w:tc>
        <w:tc>
          <w:tcPr>
            <w:tcW w:w="1352"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承办智博会各项活动费用</w:t>
            </w:r>
          </w:p>
        </w:tc>
        <w:tc>
          <w:tcPr>
            <w:tcW w:w="1177"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8</w:t>
            </w:r>
          </w:p>
        </w:tc>
        <w:tc>
          <w:tcPr>
            <w:tcW w:w="434" w:type="dxa"/>
            <w:tcBorders>
              <w:top w:val="single" w:color="auto" w:sz="4" w:space="0"/>
              <w:left w:val="single" w:color="auto" w:sz="4" w:space="0"/>
              <w:bottom w:val="single" w:color="auto" w:sz="4" w:space="0"/>
              <w:right w:val="single" w:color="auto" w:sz="4" w:space="0"/>
            </w:tcBorders>
            <w:vAlign w:val="bottom"/>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万元</w:t>
            </w:r>
          </w:p>
        </w:tc>
        <w:tc>
          <w:tcPr>
            <w:tcW w:w="906" w:type="dxa"/>
            <w:tcBorders>
              <w:top w:val="single" w:color="auto" w:sz="4" w:space="0"/>
              <w:left w:val="single" w:color="auto" w:sz="4" w:space="0"/>
              <w:bottom w:val="single" w:color="auto" w:sz="4" w:space="0"/>
              <w:right w:val="single" w:color="auto" w:sz="4" w:space="0"/>
            </w:tcBorders>
            <w:vAlign w:val="bottom"/>
          </w:tcPr>
          <w:p>
            <w:pPr>
              <w:pStyle w:val="35"/>
              <w:ind w:firstLine="198" w:firstLineChars="121"/>
              <w:jc w:val="center"/>
              <w:rPr>
                <w:rFonts w:cs="Times New Roman" w:eastAsiaTheme="minorEastAsia"/>
                <w:color w:val="auto"/>
                <w:spacing w:val="2"/>
              </w:rPr>
            </w:pPr>
            <w:r>
              <w:rPr>
                <w:rFonts w:hint="eastAsia" w:cs="Times New Roman" w:eastAsiaTheme="minorEastAsia"/>
                <w:color w:val="auto"/>
                <w:spacing w:val="2"/>
              </w:rPr>
              <w:t>8万元</w:t>
            </w:r>
          </w:p>
        </w:tc>
        <w:tc>
          <w:tcPr>
            <w:tcW w:w="645" w:type="dxa"/>
            <w:tcBorders>
              <w:top w:val="single" w:color="auto" w:sz="4" w:space="0"/>
              <w:left w:val="single" w:color="auto" w:sz="4" w:space="0"/>
              <w:bottom w:val="single" w:color="auto" w:sz="4" w:space="0"/>
              <w:right w:val="single" w:color="auto" w:sz="4" w:space="0"/>
            </w:tcBorders>
            <w:vAlign w:val="bottom"/>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auto" w:sz="4" w:space="0"/>
              <w:left w:val="single" w:color="auto" w:sz="4" w:space="0"/>
              <w:bottom w:val="single" w:color="auto" w:sz="4" w:space="0"/>
              <w:right w:val="single" w:color="auto" w:sz="4" w:space="0"/>
            </w:tcBorders>
            <w:vAlign w:val="bottom"/>
          </w:tcPr>
          <w:p>
            <w:pPr>
              <w:pStyle w:val="35"/>
              <w:ind w:firstLine="328"/>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效益指标</w:t>
            </w:r>
          </w:p>
        </w:tc>
        <w:tc>
          <w:tcPr>
            <w:tcW w:w="1414"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社会效益指标</w:t>
            </w:r>
          </w:p>
        </w:tc>
        <w:tc>
          <w:tcPr>
            <w:tcW w:w="1352"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持续提升广元本地企业外向发展能力</w:t>
            </w:r>
          </w:p>
        </w:tc>
        <w:tc>
          <w:tcPr>
            <w:tcW w:w="1177"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434" w:type="dxa"/>
            <w:tcBorders>
              <w:top w:val="single" w:color="auto" w:sz="4" w:space="0"/>
              <w:left w:val="single" w:color="auto" w:sz="4" w:space="0"/>
              <w:bottom w:val="single" w:color="auto" w:sz="4" w:space="0"/>
              <w:right w:val="single" w:color="auto" w:sz="4" w:space="0"/>
            </w:tcBorders>
            <w:vAlign w:val="bottom"/>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w:t>
            </w:r>
          </w:p>
        </w:tc>
        <w:tc>
          <w:tcPr>
            <w:tcW w:w="906" w:type="dxa"/>
            <w:tcBorders>
              <w:top w:val="single" w:color="auto" w:sz="4" w:space="0"/>
              <w:left w:val="single" w:color="auto" w:sz="4" w:space="0"/>
              <w:bottom w:val="single" w:color="auto" w:sz="4" w:space="0"/>
              <w:right w:val="single" w:color="auto" w:sz="4" w:space="0"/>
            </w:tcBorders>
            <w:vAlign w:val="bottom"/>
          </w:tcPr>
          <w:p>
            <w:pPr>
              <w:pStyle w:val="35"/>
              <w:ind w:firstLine="198" w:firstLineChars="121"/>
              <w:jc w:val="center"/>
              <w:rPr>
                <w:rFonts w:cs="Times New Roman" w:eastAsiaTheme="minorEastAsia"/>
                <w:color w:val="auto"/>
                <w:spacing w:val="2"/>
              </w:rPr>
            </w:pPr>
            <w:r>
              <w:rPr>
                <w:rFonts w:hint="eastAsia" w:cs="Times New Roman" w:eastAsiaTheme="minorEastAsia"/>
                <w:color w:val="auto"/>
                <w:spacing w:val="2"/>
              </w:rPr>
              <w:t>98%</w:t>
            </w:r>
          </w:p>
        </w:tc>
        <w:tc>
          <w:tcPr>
            <w:tcW w:w="645" w:type="dxa"/>
            <w:tcBorders>
              <w:top w:val="single" w:color="auto" w:sz="4" w:space="0"/>
              <w:left w:val="single" w:color="auto" w:sz="4" w:space="0"/>
              <w:bottom w:val="single" w:color="auto" w:sz="4" w:space="0"/>
              <w:right w:val="single" w:color="auto" w:sz="4" w:space="0"/>
            </w:tcBorders>
            <w:vAlign w:val="bottom"/>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auto" w:sz="4" w:space="0"/>
              <w:left w:val="single" w:color="auto" w:sz="4" w:space="0"/>
              <w:bottom w:val="single" w:color="auto" w:sz="4" w:space="0"/>
              <w:right w:val="single" w:color="auto" w:sz="4" w:space="0"/>
            </w:tcBorders>
            <w:vAlign w:val="bottom"/>
          </w:tcPr>
          <w:p>
            <w:pPr>
              <w:pStyle w:val="35"/>
              <w:ind w:firstLine="328"/>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满意度指标</w:t>
            </w:r>
          </w:p>
        </w:tc>
        <w:tc>
          <w:tcPr>
            <w:tcW w:w="1414"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服务对象满意度指标</w:t>
            </w:r>
          </w:p>
        </w:tc>
        <w:tc>
          <w:tcPr>
            <w:tcW w:w="1352"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参会参展企业满意度</w:t>
            </w:r>
          </w:p>
        </w:tc>
        <w:tc>
          <w:tcPr>
            <w:tcW w:w="1177"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434" w:type="dxa"/>
            <w:tcBorders>
              <w:top w:val="single" w:color="auto" w:sz="4" w:space="0"/>
              <w:left w:val="single" w:color="auto" w:sz="4" w:space="0"/>
              <w:bottom w:val="single" w:color="auto" w:sz="4" w:space="0"/>
              <w:right w:val="single" w:color="auto" w:sz="4" w:space="0"/>
            </w:tcBorders>
            <w:vAlign w:val="bottom"/>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w:t>
            </w:r>
          </w:p>
        </w:tc>
        <w:tc>
          <w:tcPr>
            <w:tcW w:w="906" w:type="dxa"/>
            <w:tcBorders>
              <w:top w:val="single" w:color="auto" w:sz="4" w:space="0"/>
              <w:left w:val="single" w:color="auto" w:sz="4" w:space="0"/>
              <w:bottom w:val="single" w:color="auto" w:sz="4" w:space="0"/>
              <w:right w:val="single" w:color="auto" w:sz="4" w:space="0"/>
            </w:tcBorders>
            <w:vAlign w:val="bottom"/>
          </w:tcPr>
          <w:p>
            <w:pPr>
              <w:pStyle w:val="35"/>
              <w:ind w:firstLine="198" w:firstLineChars="121"/>
              <w:jc w:val="center"/>
              <w:rPr>
                <w:rFonts w:cs="Times New Roman" w:eastAsiaTheme="minorEastAsia"/>
                <w:color w:val="auto"/>
                <w:spacing w:val="2"/>
              </w:rPr>
            </w:pPr>
            <w:r>
              <w:rPr>
                <w:rFonts w:hint="eastAsia" w:cs="Times New Roman" w:eastAsiaTheme="minorEastAsia"/>
                <w:color w:val="auto"/>
                <w:spacing w:val="2"/>
              </w:rPr>
              <w:t>98%</w:t>
            </w:r>
          </w:p>
        </w:tc>
        <w:tc>
          <w:tcPr>
            <w:tcW w:w="645" w:type="dxa"/>
            <w:tcBorders>
              <w:top w:val="single" w:color="auto" w:sz="4" w:space="0"/>
              <w:left w:val="single" w:color="auto" w:sz="4" w:space="0"/>
              <w:bottom w:val="single" w:color="auto" w:sz="4" w:space="0"/>
              <w:right w:val="single" w:color="auto" w:sz="4" w:space="0"/>
            </w:tcBorders>
            <w:vAlign w:val="bottom"/>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20</w:t>
            </w:r>
          </w:p>
        </w:tc>
        <w:tc>
          <w:tcPr>
            <w:tcW w:w="794" w:type="dxa"/>
            <w:tcBorders>
              <w:top w:val="single" w:color="auto" w:sz="4" w:space="0"/>
              <w:left w:val="single" w:color="auto" w:sz="4" w:space="0"/>
              <w:bottom w:val="single" w:color="auto" w:sz="4" w:space="0"/>
              <w:right w:val="single" w:color="auto" w:sz="4" w:space="0"/>
            </w:tcBorders>
            <w:vAlign w:val="bottom"/>
          </w:tcPr>
          <w:p>
            <w:pPr>
              <w:pStyle w:val="35"/>
              <w:ind w:firstLine="278" w:firstLineChars="170"/>
              <w:rPr>
                <w:rFonts w:cs="Times New Roman" w:eastAsiaTheme="minorEastAsia"/>
                <w:color w:val="auto"/>
                <w:spacing w:val="2"/>
              </w:rPr>
            </w:pPr>
            <w:r>
              <w:rPr>
                <w:rFonts w:hint="eastAsia" w:cs="Times New Roman" w:eastAsiaTheme="minorEastAsia"/>
                <w:color w:val="auto"/>
                <w:spacing w:val="2"/>
              </w:rPr>
              <w:t>20</w:t>
            </w:r>
          </w:p>
        </w:tc>
        <w:tc>
          <w:tcPr>
            <w:tcW w:w="969"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jc w:val="center"/>
        </w:trPr>
        <w:tc>
          <w:tcPr>
            <w:tcW w:w="9175" w:type="dxa"/>
            <w:gridSpan w:val="8"/>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合计</w:t>
            </w:r>
          </w:p>
        </w:tc>
        <w:tc>
          <w:tcPr>
            <w:tcW w:w="645" w:type="dxa"/>
            <w:tcBorders>
              <w:top w:val="single" w:color="auto" w:sz="4" w:space="0"/>
              <w:left w:val="single" w:color="auto" w:sz="4" w:space="0"/>
              <w:bottom w:val="single" w:color="auto" w:sz="4" w:space="0"/>
              <w:right w:val="single" w:color="auto" w:sz="4" w:space="0"/>
            </w:tcBorders>
            <w:vAlign w:val="bottom"/>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100</w:t>
            </w:r>
          </w:p>
        </w:tc>
        <w:tc>
          <w:tcPr>
            <w:tcW w:w="794" w:type="dxa"/>
            <w:tcBorders>
              <w:top w:val="single" w:color="auto" w:sz="4" w:space="0"/>
              <w:left w:val="single" w:color="auto" w:sz="4" w:space="0"/>
              <w:bottom w:val="single" w:color="auto" w:sz="4" w:space="0"/>
              <w:right w:val="single" w:color="auto" w:sz="4" w:space="0"/>
            </w:tcBorders>
            <w:vAlign w:val="bottom"/>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100</w:t>
            </w:r>
          </w:p>
        </w:tc>
        <w:tc>
          <w:tcPr>
            <w:tcW w:w="969"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bottom"/>
          </w:tcPr>
          <w:p>
            <w:pPr>
              <w:pStyle w:val="35"/>
              <w:ind w:firstLine="328"/>
              <w:jc w:val="center"/>
              <w:rPr>
                <w:rFonts w:cs="Times New Roman" w:eastAsiaTheme="minorEastAsia"/>
                <w:color w:val="auto"/>
                <w:spacing w:val="2"/>
              </w:rPr>
            </w:pPr>
          </w:p>
        </w:tc>
      </w:tr>
    </w:tbl>
    <w:p>
      <w:pPr>
        <w:pStyle w:val="35"/>
        <w:ind w:firstLine="328"/>
        <w:jc w:val="both"/>
        <w:rPr>
          <w:rFonts w:cs="Times New Roman" w:eastAsiaTheme="minorEastAsia"/>
          <w:color w:val="auto"/>
          <w:spacing w:val="2"/>
        </w:rPr>
      </w:pPr>
    </w:p>
    <w:p>
      <w:pPr>
        <w:pStyle w:val="35"/>
        <w:ind w:firstLine="328"/>
        <w:jc w:val="both"/>
        <w:rPr>
          <w:rFonts w:cs="Times New Roman" w:eastAsiaTheme="minorEastAsia"/>
          <w:color w:val="auto"/>
          <w:spacing w:val="2"/>
        </w:rPr>
        <w:sectPr>
          <w:pgSz w:w="16837" w:h="11905"/>
          <w:pgMar w:top="1011" w:right="1041" w:bottom="650" w:left="1025" w:header="0" w:footer="454" w:gutter="0"/>
          <w:cols w:space="720" w:num="1"/>
        </w:sectPr>
      </w:pPr>
    </w:p>
    <w:p>
      <w:pPr>
        <w:pStyle w:val="35"/>
        <w:ind w:firstLine="328"/>
        <w:jc w:val="both"/>
        <w:rPr>
          <w:rFonts w:cs="Times New Roman" w:eastAsiaTheme="minorEastAsia"/>
          <w:color w:val="auto"/>
          <w:spacing w:val="2"/>
        </w:rPr>
      </w:pPr>
    </w:p>
    <w:tbl>
      <w:tblPr>
        <w:tblStyle w:val="36"/>
        <w:tblW w:w="147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1"/>
        <w:gridCol w:w="5397"/>
        <w:gridCol w:w="79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8" w:hRule="atLeast"/>
          <w:jc w:val="center"/>
        </w:trPr>
        <w:tc>
          <w:tcPr>
            <w:tcW w:w="1411"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部门（单位）自评结论</w:t>
            </w:r>
          </w:p>
        </w:tc>
        <w:tc>
          <w:tcPr>
            <w:tcW w:w="13343"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本项目自评得分100分。我市设54平方米的广元特装展馆，组织格莱思科技、嘉洁能等企业参展，会期达成合作意向金额5072万元，达到预期效果。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8" w:hRule="atLeast"/>
          <w:jc w:val="center"/>
        </w:trPr>
        <w:tc>
          <w:tcPr>
            <w:tcW w:w="1411"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部门（单位）自评存在问题</w:t>
            </w:r>
          </w:p>
        </w:tc>
        <w:tc>
          <w:tcPr>
            <w:tcW w:w="13343"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jc w:val="center"/>
        </w:trPr>
        <w:tc>
          <w:tcPr>
            <w:tcW w:w="1411"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both"/>
              <w:rPr>
                <w:rFonts w:cs="Times New Roman" w:eastAsiaTheme="minorEastAsia"/>
                <w:color w:val="auto"/>
                <w:spacing w:val="2"/>
              </w:rPr>
            </w:pPr>
            <w:r>
              <w:rPr>
                <w:rFonts w:hint="eastAsia" w:cs="Times New Roman" w:eastAsiaTheme="minorEastAsia"/>
                <w:color w:val="auto"/>
                <w:spacing w:val="2"/>
              </w:rPr>
              <w:t>部门（单位）自评改进措施</w:t>
            </w:r>
          </w:p>
        </w:tc>
        <w:tc>
          <w:tcPr>
            <w:tcW w:w="13343"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jc w:val="center"/>
        </w:trPr>
        <w:tc>
          <w:tcPr>
            <w:tcW w:w="1411"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both"/>
              <w:rPr>
                <w:rFonts w:cs="Times New Roman" w:eastAsiaTheme="minorEastAsia"/>
                <w:color w:val="auto"/>
                <w:spacing w:val="2"/>
              </w:rPr>
            </w:pPr>
            <w:r>
              <w:rPr>
                <w:rFonts w:hint="eastAsia" w:cs="Times New Roman" w:eastAsiaTheme="minorEastAsia"/>
                <w:color w:val="auto"/>
                <w:spacing w:val="2"/>
              </w:rPr>
              <w:t>财政部门对口科室复评结论及整改要求</w:t>
            </w:r>
          </w:p>
        </w:tc>
        <w:tc>
          <w:tcPr>
            <w:tcW w:w="13343"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6808"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单位项目负责人：邓克</w:t>
            </w:r>
          </w:p>
        </w:tc>
        <w:tc>
          <w:tcPr>
            <w:tcW w:w="794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单位财务负责人：胡永军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6808"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部门项目负责人：</w:t>
            </w:r>
          </w:p>
        </w:tc>
        <w:tc>
          <w:tcPr>
            <w:tcW w:w="794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部门财务负责人：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jc w:val="center"/>
        </w:trPr>
        <w:tc>
          <w:tcPr>
            <w:tcW w:w="14754" w:type="dxa"/>
            <w:gridSpan w:val="3"/>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财政部门科室负责人：</w:t>
            </w:r>
          </w:p>
        </w:tc>
      </w:tr>
    </w:tbl>
    <w:p>
      <w:pPr>
        <w:pStyle w:val="35"/>
        <w:ind w:firstLine="328"/>
        <w:jc w:val="both"/>
        <w:rPr>
          <w:rFonts w:cs="Times New Roman" w:eastAsiaTheme="minorEastAsia"/>
          <w:color w:val="auto"/>
          <w:spacing w:val="2"/>
        </w:rPr>
      </w:pPr>
    </w:p>
    <w:p>
      <w:pPr>
        <w:pStyle w:val="2"/>
        <w:spacing w:before="72"/>
        <w:ind w:firstLine="640"/>
        <w:jc w:val="center"/>
        <w:rPr>
          <w:rFonts w:hAnsi="宋体" w:cs="宋体"/>
          <w:color w:val="auto"/>
          <w:sz w:val="32"/>
          <w:szCs w:val="32"/>
          <w:shd w:val="clear" w:color="auto" w:fill="FFFFFF"/>
        </w:rPr>
      </w:pPr>
    </w:p>
    <w:p>
      <w:pPr>
        <w:pStyle w:val="2"/>
        <w:spacing w:before="72"/>
        <w:ind w:firstLine="640"/>
        <w:jc w:val="center"/>
        <w:rPr>
          <w:rFonts w:hAnsi="宋体" w:cs="宋体"/>
          <w:color w:val="auto"/>
          <w:sz w:val="32"/>
          <w:szCs w:val="32"/>
          <w:shd w:val="clear" w:color="auto" w:fill="FFFFFF"/>
        </w:rPr>
      </w:pPr>
    </w:p>
    <w:p>
      <w:pPr>
        <w:pStyle w:val="2"/>
        <w:spacing w:before="72"/>
        <w:ind w:firstLine="640"/>
        <w:jc w:val="center"/>
        <w:rPr>
          <w:rFonts w:hAnsi="宋体" w:cs="宋体"/>
          <w:color w:val="auto"/>
          <w:sz w:val="32"/>
          <w:szCs w:val="32"/>
          <w:shd w:val="clear" w:color="auto" w:fill="FFFFFF"/>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部门预算项目支出绩效自评表(2022年度)</w:t>
      </w:r>
    </w:p>
    <w:p>
      <w:pPr>
        <w:spacing w:line="69" w:lineRule="exact"/>
        <w:ind w:firstLine="640"/>
        <w:jc w:val="center"/>
        <w:rPr>
          <w:rFonts w:ascii="Arial" w:hAnsi="Arial"/>
          <w:color w:val="auto"/>
          <w:szCs w:val="21"/>
        </w:rPr>
      </w:pPr>
    </w:p>
    <w:tbl>
      <w:tblPr>
        <w:tblStyle w:val="36"/>
        <w:tblW w:w="149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1"/>
        <w:gridCol w:w="1453"/>
        <w:gridCol w:w="1587"/>
        <w:gridCol w:w="1376"/>
        <w:gridCol w:w="1177"/>
        <w:gridCol w:w="1028"/>
        <w:gridCol w:w="434"/>
        <w:gridCol w:w="906"/>
        <w:gridCol w:w="645"/>
        <w:gridCol w:w="794"/>
        <w:gridCol w:w="969"/>
        <w:gridCol w:w="31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1" w:hRule="atLeast"/>
          <w:jc w:val="center"/>
        </w:trPr>
        <w:tc>
          <w:tcPr>
            <w:tcW w:w="2864" w:type="dxa"/>
            <w:gridSpan w:val="2"/>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r>
              <w:rPr>
                <w:rFonts w:hint="eastAsia" w:cs="Times New Roman" w:eastAsiaTheme="minorEastAsia"/>
                <w:color w:val="auto"/>
                <w:spacing w:val="2"/>
              </w:rPr>
              <w:t>项目名称</w:t>
            </w:r>
          </w:p>
        </w:tc>
        <w:tc>
          <w:tcPr>
            <w:tcW w:w="12087" w:type="dxa"/>
            <w:gridSpan w:val="10"/>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r>
              <w:rPr>
                <w:rFonts w:hint="eastAsia" w:cs="Times New Roman" w:eastAsiaTheme="minorEastAsia"/>
                <w:color w:val="auto"/>
                <w:spacing w:val="2"/>
              </w:rPr>
              <w:t>广元经贸摩擦预警点运行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jc w:val="center"/>
        </w:trPr>
        <w:tc>
          <w:tcPr>
            <w:tcW w:w="2864" w:type="dxa"/>
            <w:gridSpan w:val="2"/>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r>
              <w:rPr>
                <w:rFonts w:hint="eastAsia" w:cs="Times New Roman" w:eastAsiaTheme="minorEastAsia"/>
                <w:color w:val="auto"/>
                <w:spacing w:val="2"/>
              </w:rPr>
              <w:t>主管部门（盖章）</w:t>
            </w:r>
          </w:p>
        </w:tc>
        <w:tc>
          <w:tcPr>
            <w:tcW w:w="5602" w:type="dxa"/>
            <w:gridSpan w:val="5"/>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0" w:firstLineChars="0"/>
              <w:rPr>
                <w:rFonts w:cs="Times New Roman" w:eastAsiaTheme="minorEastAsia"/>
                <w:color w:val="auto"/>
                <w:spacing w:val="2"/>
              </w:rPr>
            </w:pPr>
            <w:r>
              <w:rPr>
                <w:rFonts w:hint="eastAsia" w:cs="Times New Roman" w:eastAsiaTheme="minorEastAsia"/>
                <w:color w:val="auto"/>
                <w:spacing w:val="2"/>
              </w:rPr>
              <w:t>实施单位（盖章）</w:t>
            </w:r>
          </w:p>
        </w:tc>
        <w:tc>
          <w:tcPr>
            <w:tcW w:w="5579" w:type="dxa"/>
            <w:gridSpan w:val="4"/>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r>
              <w:rPr>
                <w:rFonts w:hint="eastAsia" w:cs="Times New Roman" w:eastAsiaTheme="minorEastAsia"/>
                <w:color w:val="auto"/>
                <w:spacing w:val="2"/>
              </w:rPr>
              <w:t>中国国际贸易促进委员会广元市委员会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pStyle w:val="35"/>
              <w:spacing w:before="12"/>
              <w:ind w:left="40" w:firstLine="328"/>
              <w:jc w:val="center"/>
              <w:rPr>
                <w:rFonts w:cs="Times New Roman" w:eastAsiaTheme="minorEastAsia"/>
                <w:color w:val="auto"/>
                <w:spacing w:val="2"/>
              </w:rPr>
            </w:pPr>
          </w:p>
          <w:p>
            <w:pPr>
              <w:pStyle w:val="35"/>
              <w:spacing w:before="12"/>
              <w:ind w:left="40" w:firstLine="328"/>
              <w:jc w:val="center"/>
              <w:rPr>
                <w:rFonts w:cs="Times New Roman" w:eastAsiaTheme="minorEastAsia"/>
                <w:color w:val="auto"/>
                <w:spacing w:val="2"/>
              </w:rPr>
            </w:pPr>
            <w:r>
              <w:rPr>
                <w:rFonts w:hint="eastAsia" w:cs="Times New Roman" w:eastAsiaTheme="minorEastAsia"/>
                <w:color w:val="auto"/>
                <w:spacing w:val="2"/>
              </w:rPr>
              <w:t>项目基本情况</w:t>
            </w:r>
          </w:p>
        </w:tc>
        <w:tc>
          <w:tcPr>
            <w:tcW w:w="1453" w:type="dxa"/>
            <w:vMerge w:val="restart"/>
            <w:tcBorders>
              <w:top w:val="nil"/>
              <w:left w:val="single" w:color="auto" w:sz="4" w:space="0"/>
              <w:bottom w:val="nil"/>
              <w:right w:val="single" w:color="000000" w:sz="6" w:space="0"/>
            </w:tcBorders>
            <w:vAlign w:val="center"/>
          </w:tcPr>
          <w:p>
            <w:pPr>
              <w:pStyle w:val="35"/>
              <w:spacing w:before="12"/>
              <w:ind w:left="40" w:firstLine="328"/>
              <w:jc w:val="center"/>
              <w:rPr>
                <w:rFonts w:cs="Times New Roman" w:eastAsiaTheme="minorEastAsia"/>
                <w:color w:val="auto"/>
                <w:spacing w:val="2"/>
              </w:rPr>
            </w:pPr>
            <w:r>
              <w:rPr>
                <w:rFonts w:hint="eastAsia" w:cs="Times New Roman" w:eastAsiaTheme="minorEastAsia"/>
                <w:color w:val="auto"/>
                <w:spacing w:val="2"/>
              </w:rPr>
              <w:t>1.项目年度目标完成情况</w:t>
            </w:r>
          </w:p>
        </w:tc>
        <w:tc>
          <w:tcPr>
            <w:tcW w:w="5602" w:type="dxa"/>
            <w:gridSpan w:val="5"/>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r>
              <w:rPr>
                <w:rFonts w:hint="eastAsia" w:cs="Times New Roman" w:eastAsiaTheme="minorEastAsia"/>
                <w:color w:val="auto"/>
                <w:spacing w:val="2"/>
              </w:rPr>
              <w:t>项目年度目标</w:t>
            </w:r>
          </w:p>
        </w:tc>
        <w:tc>
          <w:tcPr>
            <w:tcW w:w="6485" w:type="dxa"/>
            <w:gridSpan w:val="5"/>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r>
              <w:rPr>
                <w:rFonts w:hint="eastAsia" w:cs="Times New Roman" w:eastAsiaTheme="minorEastAsia"/>
                <w:color w:val="auto"/>
                <w:spacing w:val="2"/>
              </w:rPr>
              <w:t>年度目标完成情况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spacing w:before="12"/>
              <w:ind w:left="40" w:firstLine="328"/>
              <w:jc w:val="center"/>
              <w:rPr>
                <w:rFonts w:cs="Times New Roman" w:eastAsiaTheme="minorEastAsia"/>
                <w:color w:val="auto"/>
                <w:spacing w:val="2"/>
              </w:rPr>
            </w:pPr>
          </w:p>
        </w:tc>
        <w:tc>
          <w:tcPr>
            <w:tcW w:w="1453" w:type="dxa"/>
            <w:vMerge w:val="continue"/>
            <w:tcBorders>
              <w:top w:val="nil"/>
              <w:left w:val="single" w:color="auto" w:sz="4" w:space="0"/>
              <w:bottom w:val="nil"/>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5602" w:type="dxa"/>
            <w:gridSpan w:val="5"/>
            <w:tcBorders>
              <w:top w:val="single" w:color="000000" w:sz="6" w:space="0"/>
              <w:left w:val="single" w:color="000000" w:sz="6" w:space="0"/>
              <w:bottom w:val="single" w:color="000000" w:sz="6" w:space="0"/>
              <w:right w:val="single" w:color="000000" w:sz="6" w:space="0"/>
            </w:tcBorders>
            <w:vAlign w:val="center"/>
          </w:tcPr>
          <w:p>
            <w:pPr>
              <w:pStyle w:val="35"/>
              <w:spacing w:before="12"/>
              <w:ind w:firstLine="0" w:firstLineChars="0"/>
              <w:jc w:val="both"/>
              <w:rPr>
                <w:rFonts w:cs="Times New Roman" w:eastAsiaTheme="minorEastAsia"/>
                <w:color w:val="auto"/>
                <w:spacing w:val="2"/>
              </w:rPr>
            </w:pPr>
            <w:r>
              <w:rPr>
                <w:rFonts w:hint="eastAsia" w:cs="Times New Roman" w:eastAsiaTheme="minorEastAsia"/>
                <w:color w:val="auto"/>
                <w:spacing w:val="2"/>
              </w:rPr>
              <w:t>发布预警信息，宣传推广预警点，维持预警点运行，开展线上线下培训。</w:t>
            </w:r>
          </w:p>
        </w:tc>
        <w:tc>
          <w:tcPr>
            <w:tcW w:w="6485" w:type="dxa"/>
            <w:gridSpan w:val="5"/>
            <w:tcBorders>
              <w:top w:val="single" w:color="000000" w:sz="6" w:space="0"/>
              <w:left w:val="single" w:color="000000" w:sz="6" w:space="0"/>
              <w:bottom w:val="single" w:color="000000" w:sz="6" w:space="0"/>
              <w:right w:val="single" w:color="000000" w:sz="6" w:space="0"/>
            </w:tcBorders>
            <w:vAlign w:val="center"/>
          </w:tcPr>
          <w:p>
            <w:pPr>
              <w:pStyle w:val="35"/>
              <w:spacing w:before="12"/>
              <w:ind w:firstLine="0" w:firstLineChars="0"/>
              <w:jc w:val="both"/>
              <w:rPr>
                <w:rFonts w:cs="Times New Roman" w:eastAsiaTheme="minorEastAsia"/>
                <w:color w:val="auto"/>
                <w:spacing w:val="2"/>
              </w:rPr>
            </w:pPr>
            <w:r>
              <w:rPr>
                <w:rFonts w:hint="eastAsia" w:cs="Times New Roman" w:eastAsiaTheme="minorEastAsia"/>
                <w:color w:val="auto"/>
                <w:spacing w:val="2"/>
              </w:rPr>
              <w:t>发布预警信息，宣传推广预警点，维持预警点运行，开展线上线下培训。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spacing w:before="12"/>
              <w:ind w:left="40" w:firstLine="328"/>
              <w:jc w:val="center"/>
              <w:rPr>
                <w:rFonts w:cs="Times New Roman" w:eastAsiaTheme="minorEastAsia"/>
                <w:color w:val="auto"/>
                <w:spacing w:val="2"/>
              </w:rPr>
            </w:pPr>
          </w:p>
        </w:tc>
        <w:tc>
          <w:tcPr>
            <w:tcW w:w="1453" w:type="dxa"/>
            <w:tcBorders>
              <w:top w:val="single" w:color="000000" w:sz="6" w:space="0"/>
              <w:left w:val="single" w:color="auto" w:sz="4"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r>
              <w:rPr>
                <w:rFonts w:hint="eastAsia" w:cs="Times New Roman" w:eastAsiaTheme="minorEastAsia"/>
                <w:color w:val="auto"/>
                <w:spacing w:val="2"/>
              </w:rPr>
              <w:t>2.项目实施内容及过程概述</w:t>
            </w:r>
          </w:p>
        </w:tc>
        <w:tc>
          <w:tcPr>
            <w:tcW w:w="12087" w:type="dxa"/>
            <w:gridSpan w:val="10"/>
            <w:tcBorders>
              <w:top w:val="single" w:color="000000" w:sz="6" w:space="0"/>
              <w:left w:val="single" w:color="000000" w:sz="6" w:space="0"/>
              <w:bottom w:val="single" w:color="000000" w:sz="6" w:space="0"/>
              <w:right w:val="single" w:color="000000" w:sz="6" w:space="0"/>
            </w:tcBorders>
            <w:vAlign w:val="center"/>
          </w:tcPr>
          <w:p>
            <w:pPr>
              <w:pStyle w:val="35"/>
              <w:spacing w:before="12"/>
              <w:ind w:firstLine="0" w:firstLineChars="0"/>
              <w:jc w:val="both"/>
              <w:rPr>
                <w:rFonts w:cs="Times New Roman" w:eastAsiaTheme="minorEastAsia"/>
                <w:color w:val="auto"/>
                <w:spacing w:val="2"/>
              </w:rPr>
            </w:pPr>
            <w:r>
              <w:rPr>
                <w:rFonts w:hint="eastAsia" w:cs="Times New Roman" w:eastAsiaTheme="minorEastAsia"/>
                <w:color w:val="auto"/>
                <w:spacing w:val="2"/>
              </w:rPr>
              <w:t>发布预警信息，宣传推广预警点，维持预警点运行，开展线上线下培训。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pStyle w:val="35"/>
              <w:spacing w:before="12"/>
              <w:ind w:left="40" w:firstLine="328"/>
              <w:jc w:val="center"/>
              <w:rPr>
                <w:rFonts w:cs="Times New Roman" w:eastAsiaTheme="minorEastAsia"/>
                <w:color w:val="auto"/>
                <w:spacing w:val="2"/>
              </w:rPr>
            </w:pPr>
          </w:p>
          <w:p>
            <w:pPr>
              <w:pStyle w:val="35"/>
              <w:spacing w:before="12"/>
              <w:ind w:left="40" w:firstLine="328"/>
              <w:jc w:val="center"/>
              <w:rPr>
                <w:rFonts w:cs="Times New Roman" w:eastAsiaTheme="minorEastAsia"/>
                <w:color w:val="auto"/>
                <w:spacing w:val="2"/>
              </w:rPr>
            </w:pPr>
          </w:p>
          <w:p>
            <w:pPr>
              <w:pStyle w:val="35"/>
              <w:spacing w:before="12"/>
              <w:ind w:left="40" w:firstLine="328"/>
              <w:jc w:val="center"/>
              <w:rPr>
                <w:rFonts w:cs="Times New Roman" w:eastAsiaTheme="minorEastAsia"/>
                <w:color w:val="auto"/>
                <w:spacing w:val="2"/>
              </w:rPr>
            </w:pPr>
          </w:p>
          <w:p>
            <w:pPr>
              <w:pStyle w:val="35"/>
              <w:spacing w:before="12"/>
              <w:ind w:left="40" w:firstLine="328"/>
              <w:jc w:val="center"/>
              <w:rPr>
                <w:rFonts w:cs="Times New Roman" w:eastAsiaTheme="minorEastAsia"/>
                <w:color w:val="auto"/>
                <w:spacing w:val="2"/>
              </w:rPr>
            </w:pPr>
          </w:p>
          <w:p>
            <w:pPr>
              <w:pStyle w:val="35"/>
              <w:spacing w:before="12"/>
              <w:ind w:left="40" w:firstLine="328"/>
              <w:jc w:val="center"/>
              <w:rPr>
                <w:rFonts w:cs="Times New Roman" w:eastAsiaTheme="minorEastAsia"/>
                <w:color w:val="auto"/>
                <w:spacing w:val="2"/>
              </w:rPr>
            </w:pPr>
          </w:p>
          <w:p>
            <w:pPr>
              <w:pStyle w:val="35"/>
              <w:spacing w:before="12"/>
              <w:ind w:left="40" w:firstLine="328"/>
              <w:jc w:val="center"/>
              <w:rPr>
                <w:rFonts w:cs="Times New Roman" w:eastAsiaTheme="minorEastAsia"/>
                <w:color w:val="auto"/>
                <w:spacing w:val="2"/>
              </w:rPr>
            </w:pPr>
            <w:r>
              <w:rPr>
                <w:rFonts w:hint="eastAsia" w:cs="Times New Roman" w:eastAsiaTheme="minorEastAsia"/>
                <w:color w:val="auto"/>
                <w:spacing w:val="2"/>
              </w:rPr>
              <w:t>预算执行情况（10分）</w:t>
            </w:r>
          </w:p>
        </w:tc>
        <w:tc>
          <w:tcPr>
            <w:tcW w:w="1453" w:type="dxa"/>
            <w:tcBorders>
              <w:top w:val="single" w:color="000000" w:sz="6" w:space="0"/>
              <w:left w:val="single" w:color="auto" w:sz="4"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r>
              <w:rPr>
                <w:rFonts w:hint="eastAsia" w:cs="Times New Roman" w:eastAsiaTheme="minorEastAsia"/>
                <w:color w:val="auto"/>
                <w:spacing w:val="2"/>
              </w:rPr>
              <w:t>年度预算数（万元）</w:t>
            </w:r>
          </w:p>
        </w:tc>
        <w:tc>
          <w:tcPr>
            <w:tcW w:w="1587" w:type="dxa"/>
            <w:tcBorders>
              <w:top w:val="single" w:color="000000" w:sz="6" w:space="0"/>
              <w:left w:val="single" w:color="000000" w:sz="6" w:space="0"/>
              <w:bottom w:val="single" w:color="000000" w:sz="6" w:space="0"/>
              <w:right w:val="single" w:color="000000" w:sz="6" w:space="0"/>
            </w:tcBorders>
            <w:vAlign w:val="center"/>
          </w:tcPr>
          <w:p>
            <w:pPr>
              <w:pStyle w:val="35"/>
              <w:spacing w:before="12"/>
              <w:ind w:firstLine="328"/>
              <w:jc w:val="center"/>
              <w:rPr>
                <w:rFonts w:cs="Times New Roman" w:eastAsiaTheme="minorEastAsia"/>
                <w:color w:val="auto"/>
                <w:spacing w:val="2"/>
              </w:rPr>
            </w:pPr>
            <w:r>
              <w:rPr>
                <w:rFonts w:hint="eastAsia" w:cs="Times New Roman" w:eastAsiaTheme="minorEastAsia"/>
                <w:color w:val="auto"/>
                <w:spacing w:val="2"/>
              </w:rPr>
              <w:t>年初预算</w:t>
            </w:r>
          </w:p>
        </w:tc>
        <w:tc>
          <w:tcPr>
            <w:tcW w:w="1376" w:type="dxa"/>
            <w:tcBorders>
              <w:top w:val="single" w:color="000000" w:sz="6" w:space="0"/>
              <w:left w:val="single" w:color="000000" w:sz="6" w:space="0"/>
              <w:bottom w:val="single" w:color="000000" w:sz="6" w:space="0"/>
              <w:right w:val="single" w:color="000000" w:sz="6" w:space="0"/>
            </w:tcBorders>
            <w:vAlign w:val="center"/>
          </w:tcPr>
          <w:p>
            <w:pPr>
              <w:pStyle w:val="35"/>
              <w:spacing w:before="12"/>
              <w:ind w:firstLine="328"/>
              <w:jc w:val="center"/>
              <w:rPr>
                <w:rFonts w:cs="Times New Roman" w:eastAsiaTheme="minorEastAsia"/>
                <w:color w:val="auto"/>
                <w:spacing w:val="2"/>
              </w:rPr>
            </w:pPr>
            <w:r>
              <w:rPr>
                <w:rFonts w:hint="eastAsia" w:cs="Times New Roman" w:eastAsiaTheme="minorEastAsia"/>
                <w:color w:val="auto"/>
                <w:spacing w:val="2"/>
              </w:rPr>
              <w:t>调整后预算数</w:t>
            </w:r>
          </w:p>
        </w:tc>
        <w:tc>
          <w:tcPr>
            <w:tcW w:w="2639" w:type="dxa"/>
            <w:gridSpan w:val="3"/>
            <w:tcBorders>
              <w:top w:val="single" w:color="000000" w:sz="6" w:space="0"/>
              <w:left w:val="single" w:color="000000" w:sz="6" w:space="0"/>
              <w:bottom w:val="single" w:color="000000" w:sz="6" w:space="0"/>
              <w:right w:val="single" w:color="000000" w:sz="6" w:space="0"/>
            </w:tcBorders>
            <w:vAlign w:val="center"/>
          </w:tcPr>
          <w:p>
            <w:pPr>
              <w:pStyle w:val="35"/>
              <w:spacing w:before="12"/>
              <w:ind w:firstLine="328"/>
              <w:jc w:val="center"/>
              <w:rPr>
                <w:rFonts w:cs="Times New Roman" w:eastAsiaTheme="minorEastAsia"/>
                <w:color w:val="auto"/>
                <w:spacing w:val="2"/>
              </w:rPr>
            </w:pPr>
            <w:r>
              <w:rPr>
                <w:rFonts w:hint="eastAsia" w:cs="Times New Roman" w:eastAsiaTheme="minorEastAsia"/>
                <w:color w:val="auto"/>
                <w:spacing w:val="2"/>
              </w:rPr>
              <w:t>预算执行数</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spacing w:before="12"/>
              <w:ind w:firstLine="0" w:firstLineChars="0"/>
              <w:rPr>
                <w:rFonts w:cs="Times New Roman" w:eastAsiaTheme="minorEastAsia"/>
                <w:color w:val="auto"/>
                <w:spacing w:val="2"/>
              </w:rPr>
            </w:pPr>
            <w:r>
              <w:rPr>
                <w:rFonts w:hint="eastAsia" w:cs="Times New Roman" w:eastAsiaTheme="minorEastAsia"/>
                <w:color w:val="auto"/>
                <w:spacing w:val="2"/>
              </w:rPr>
              <w:t>预算执行率</w:t>
            </w: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spacing w:before="12"/>
              <w:ind w:firstLine="0" w:firstLineChars="0"/>
              <w:rPr>
                <w:rFonts w:cs="Times New Roman" w:eastAsiaTheme="minorEastAsia"/>
                <w:color w:val="auto"/>
                <w:spacing w:val="2"/>
              </w:rPr>
            </w:pPr>
            <w:r>
              <w:rPr>
                <w:rFonts w:hint="eastAsia" w:cs="Times New Roman" w:eastAsiaTheme="minorEastAsia"/>
                <w:color w:val="auto"/>
                <w:spacing w:val="2"/>
              </w:rPr>
              <w:t>权重%</w:t>
            </w:r>
          </w:p>
        </w:tc>
        <w:tc>
          <w:tcPr>
            <w:tcW w:w="794" w:type="dxa"/>
            <w:tcBorders>
              <w:top w:val="single" w:color="000000" w:sz="6" w:space="0"/>
              <w:left w:val="single" w:color="000000" w:sz="6" w:space="0"/>
              <w:bottom w:val="single" w:color="000000" w:sz="6" w:space="0"/>
              <w:right w:val="single" w:color="000000" w:sz="6" w:space="0"/>
            </w:tcBorders>
            <w:vAlign w:val="center"/>
          </w:tcPr>
          <w:p>
            <w:pPr>
              <w:pStyle w:val="35"/>
              <w:spacing w:before="12"/>
              <w:ind w:firstLine="0" w:firstLineChars="0"/>
              <w:rPr>
                <w:rFonts w:cs="Times New Roman" w:eastAsiaTheme="minorEastAsia"/>
                <w:color w:val="auto"/>
                <w:spacing w:val="2"/>
              </w:rPr>
            </w:pPr>
            <w:r>
              <w:rPr>
                <w:rFonts w:hint="eastAsia" w:cs="Times New Roman" w:eastAsiaTheme="minorEastAsia"/>
                <w:color w:val="auto"/>
                <w:spacing w:val="2"/>
              </w:rPr>
              <w:t>部门自评得分</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spacing w:before="12"/>
              <w:ind w:firstLine="0" w:firstLineChars="0"/>
              <w:rPr>
                <w:rFonts w:cs="Times New Roman" w:eastAsiaTheme="minorEastAsia"/>
                <w:color w:val="auto"/>
                <w:spacing w:val="2"/>
              </w:rPr>
            </w:pPr>
            <w:r>
              <w:rPr>
                <w:rFonts w:hint="eastAsia" w:cs="Times New Roman" w:eastAsiaTheme="minorEastAsia"/>
                <w:color w:val="auto"/>
                <w:spacing w:val="2"/>
              </w:rPr>
              <w:t>财政部门科室复评得分</w:t>
            </w:r>
          </w:p>
        </w:tc>
        <w:tc>
          <w:tcPr>
            <w:tcW w:w="3171" w:type="dxa"/>
            <w:tcBorders>
              <w:top w:val="single" w:color="000000" w:sz="6" w:space="0"/>
              <w:left w:val="single" w:color="000000" w:sz="6" w:space="0"/>
              <w:bottom w:val="single" w:color="000000" w:sz="6" w:space="0"/>
              <w:right w:val="single" w:color="000000" w:sz="6" w:space="0"/>
            </w:tcBorders>
            <w:vAlign w:val="center"/>
          </w:tcPr>
          <w:p>
            <w:pPr>
              <w:pStyle w:val="35"/>
              <w:spacing w:before="12"/>
              <w:ind w:firstLine="328"/>
              <w:jc w:val="center"/>
              <w:rPr>
                <w:rFonts w:cs="Times New Roman" w:eastAsiaTheme="minorEastAsia"/>
                <w:color w:val="auto"/>
                <w:spacing w:val="2"/>
              </w:rPr>
            </w:pPr>
            <w:r>
              <w:rPr>
                <w:rFonts w:hint="eastAsia" w:cs="Times New Roman" w:eastAsiaTheme="minorEastAsia"/>
                <w:color w:val="auto"/>
                <w:spacing w:val="2"/>
              </w:rPr>
              <w:t>原因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spacing w:before="12"/>
              <w:ind w:left="40" w:firstLine="328"/>
              <w:jc w:val="center"/>
              <w:rPr>
                <w:rFonts w:cs="Times New Roman" w:eastAsiaTheme="minorEastAsia"/>
                <w:color w:val="auto"/>
                <w:spacing w:val="2"/>
              </w:rPr>
            </w:pPr>
          </w:p>
        </w:tc>
        <w:tc>
          <w:tcPr>
            <w:tcW w:w="1453" w:type="dxa"/>
            <w:tcBorders>
              <w:top w:val="single" w:color="000000" w:sz="6" w:space="0"/>
              <w:left w:val="single" w:color="auto" w:sz="4"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r>
              <w:rPr>
                <w:rFonts w:hint="eastAsia" w:cs="Times New Roman" w:eastAsiaTheme="minorEastAsia"/>
                <w:color w:val="auto"/>
                <w:spacing w:val="2"/>
              </w:rPr>
              <w:t>总额</w:t>
            </w:r>
          </w:p>
        </w:tc>
        <w:tc>
          <w:tcPr>
            <w:tcW w:w="1587"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r>
              <w:rPr>
                <w:rFonts w:hint="eastAsia" w:cs="Times New Roman" w:eastAsiaTheme="minorEastAsia"/>
                <w:color w:val="auto"/>
                <w:spacing w:val="2"/>
              </w:rPr>
              <w:t>0.65</w:t>
            </w:r>
          </w:p>
        </w:tc>
        <w:tc>
          <w:tcPr>
            <w:tcW w:w="1376"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r>
              <w:rPr>
                <w:rFonts w:hint="eastAsia" w:cs="Times New Roman" w:eastAsiaTheme="minorEastAsia"/>
                <w:color w:val="auto"/>
                <w:spacing w:val="2"/>
              </w:rPr>
              <w:t>0.65</w:t>
            </w:r>
          </w:p>
        </w:tc>
        <w:tc>
          <w:tcPr>
            <w:tcW w:w="2639" w:type="dxa"/>
            <w:gridSpan w:val="3"/>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r>
              <w:rPr>
                <w:rFonts w:hint="eastAsia" w:cs="Times New Roman" w:eastAsiaTheme="minorEastAsia"/>
                <w:color w:val="auto"/>
                <w:spacing w:val="2"/>
              </w:rPr>
              <w:t>0.65</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r>
              <w:rPr>
                <w:rFonts w:hint="eastAsia" w:cs="Times New Roman" w:eastAsiaTheme="minorEastAsia"/>
                <w:color w:val="auto"/>
                <w:spacing w:val="2"/>
              </w:rPr>
              <w:t>100.00%</w:t>
            </w: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3171" w:type="dxa"/>
            <w:vMerge w:val="restart"/>
            <w:tcBorders>
              <w:top w:val="nil"/>
              <w:left w:val="single" w:color="000000" w:sz="6" w:space="0"/>
              <w:bottom w:val="nil"/>
              <w:right w:val="single" w:color="000000" w:sz="6" w:space="0"/>
            </w:tcBorders>
            <w:vAlign w:val="center"/>
          </w:tcPr>
          <w:p>
            <w:pPr>
              <w:pStyle w:val="35"/>
              <w:spacing w:before="12"/>
              <w:ind w:left="40" w:firstLine="328"/>
              <w:jc w:val="center"/>
              <w:rPr>
                <w:rFonts w:cs="Times New Roman" w:eastAsiaTheme="minorEastAsia"/>
                <w:color w:val="auto"/>
                <w:spacing w:val="2"/>
              </w:rPr>
            </w:pPr>
          </w:p>
          <w:p>
            <w:pPr>
              <w:pStyle w:val="35"/>
              <w:spacing w:before="12"/>
              <w:ind w:left="40" w:firstLine="328"/>
              <w:jc w:val="center"/>
              <w:rPr>
                <w:rFonts w:cs="Times New Roman" w:eastAsiaTheme="minorEastAsia"/>
                <w:color w:val="auto"/>
                <w:spacing w:val="2"/>
              </w:rPr>
            </w:pPr>
          </w:p>
          <w:p>
            <w:pPr>
              <w:pStyle w:val="35"/>
              <w:spacing w:before="12"/>
              <w:ind w:left="40" w:firstLine="328"/>
              <w:jc w:val="center"/>
              <w:rPr>
                <w:rFonts w:cs="Times New Roman" w:eastAsiaTheme="minorEastAsia"/>
                <w:color w:val="auto"/>
                <w:spacing w:val="2"/>
              </w:rPr>
            </w:pPr>
            <w:r>
              <w:rPr>
                <w:rFonts w:hint="eastAsia" w:cs="Times New Roman" w:eastAsiaTheme="minorEastAsia"/>
                <w:color w:val="auto"/>
                <w:spacing w:val="2"/>
              </w:rPr>
              <w:t>1.预算执行率=预算执行数/调整后预算数，预算执行率未达到90%的需说明原因（100字以内）；2.年中发生预算调整的（追加或调减），应单独说明理由；3.其他资金包括、社会投入资金、银行贷款.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spacing w:before="12"/>
              <w:ind w:left="40" w:firstLine="328"/>
              <w:jc w:val="center"/>
              <w:rPr>
                <w:rFonts w:cs="Times New Roman" w:eastAsiaTheme="minorEastAsia"/>
                <w:color w:val="auto"/>
                <w:spacing w:val="2"/>
              </w:rPr>
            </w:pPr>
          </w:p>
        </w:tc>
        <w:tc>
          <w:tcPr>
            <w:tcW w:w="1453" w:type="dxa"/>
            <w:tcBorders>
              <w:top w:val="single" w:color="000000" w:sz="6" w:space="0"/>
              <w:left w:val="single" w:color="auto" w:sz="4" w:space="0"/>
              <w:bottom w:val="single" w:color="000000" w:sz="6" w:space="0"/>
              <w:right w:val="single" w:color="000000" w:sz="6" w:space="0"/>
            </w:tcBorders>
            <w:vAlign w:val="center"/>
          </w:tcPr>
          <w:p>
            <w:pPr>
              <w:pStyle w:val="35"/>
              <w:spacing w:before="12"/>
              <w:ind w:firstLine="328"/>
              <w:jc w:val="center"/>
              <w:rPr>
                <w:rFonts w:cs="Times New Roman" w:eastAsiaTheme="minorEastAsia"/>
                <w:color w:val="auto"/>
                <w:spacing w:val="2"/>
              </w:rPr>
            </w:pPr>
            <w:r>
              <w:rPr>
                <w:rFonts w:hint="eastAsia" w:cs="Times New Roman" w:eastAsiaTheme="minorEastAsia"/>
                <w:color w:val="auto"/>
                <w:spacing w:val="2"/>
              </w:rPr>
              <w:t>其中：财政资金</w:t>
            </w:r>
          </w:p>
        </w:tc>
        <w:tc>
          <w:tcPr>
            <w:tcW w:w="1587"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r>
              <w:rPr>
                <w:rFonts w:hint="eastAsia" w:cs="Times New Roman" w:eastAsiaTheme="minorEastAsia"/>
                <w:color w:val="auto"/>
                <w:spacing w:val="2"/>
              </w:rPr>
              <w:t>0.65</w:t>
            </w:r>
          </w:p>
        </w:tc>
        <w:tc>
          <w:tcPr>
            <w:tcW w:w="1376"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r>
              <w:rPr>
                <w:rFonts w:hint="eastAsia" w:cs="Times New Roman" w:eastAsiaTheme="minorEastAsia"/>
                <w:color w:val="auto"/>
                <w:spacing w:val="2"/>
              </w:rPr>
              <w:t>0.65</w:t>
            </w:r>
          </w:p>
        </w:tc>
        <w:tc>
          <w:tcPr>
            <w:tcW w:w="2639" w:type="dxa"/>
            <w:gridSpan w:val="3"/>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r>
              <w:rPr>
                <w:rFonts w:hint="eastAsia" w:cs="Times New Roman" w:eastAsiaTheme="minorEastAsia"/>
                <w:color w:val="auto"/>
                <w:spacing w:val="2"/>
              </w:rPr>
              <w:t>0.65</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794"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3171" w:type="dxa"/>
            <w:vMerge w:val="continue"/>
            <w:tcBorders>
              <w:top w:val="nil"/>
              <w:left w:val="single" w:color="000000" w:sz="6" w:space="0"/>
              <w:bottom w:val="nil"/>
              <w:right w:val="single" w:color="000000" w:sz="6" w:space="0"/>
            </w:tcBorders>
            <w:vAlign w:val="center"/>
          </w:tcPr>
          <w:p>
            <w:pPr>
              <w:pStyle w:val="35"/>
              <w:spacing w:before="12"/>
              <w:ind w:left="40"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spacing w:before="12"/>
              <w:ind w:left="40" w:firstLine="328"/>
              <w:jc w:val="center"/>
              <w:rPr>
                <w:rFonts w:cs="Times New Roman" w:eastAsiaTheme="minorEastAsia"/>
                <w:color w:val="auto"/>
                <w:spacing w:val="2"/>
              </w:rPr>
            </w:pPr>
          </w:p>
        </w:tc>
        <w:tc>
          <w:tcPr>
            <w:tcW w:w="1453" w:type="dxa"/>
            <w:tcBorders>
              <w:top w:val="single" w:color="000000" w:sz="6" w:space="0"/>
              <w:left w:val="single" w:color="auto" w:sz="4" w:space="0"/>
              <w:bottom w:val="single" w:color="000000" w:sz="6" w:space="0"/>
              <w:right w:val="single" w:color="000000" w:sz="6" w:space="0"/>
            </w:tcBorders>
            <w:vAlign w:val="center"/>
          </w:tcPr>
          <w:p>
            <w:pPr>
              <w:pStyle w:val="35"/>
              <w:spacing w:before="12"/>
              <w:ind w:firstLine="328"/>
              <w:jc w:val="center"/>
              <w:rPr>
                <w:rFonts w:cs="Times New Roman" w:eastAsiaTheme="minorEastAsia"/>
                <w:color w:val="auto"/>
                <w:spacing w:val="2"/>
              </w:rPr>
            </w:pPr>
            <w:r>
              <w:rPr>
                <w:rFonts w:hint="eastAsia" w:cs="Times New Roman" w:eastAsiaTheme="minorEastAsia"/>
                <w:color w:val="auto"/>
                <w:spacing w:val="2"/>
              </w:rPr>
              <w:t>财政专户管理资金</w:t>
            </w:r>
          </w:p>
        </w:tc>
        <w:tc>
          <w:tcPr>
            <w:tcW w:w="1587"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1376"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2639" w:type="dxa"/>
            <w:gridSpan w:val="3"/>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794"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3171" w:type="dxa"/>
            <w:vMerge w:val="continue"/>
            <w:tcBorders>
              <w:top w:val="nil"/>
              <w:left w:val="single" w:color="000000" w:sz="6" w:space="0"/>
              <w:bottom w:val="nil"/>
              <w:right w:val="single" w:color="000000" w:sz="6" w:space="0"/>
            </w:tcBorders>
            <w:vAlign w:val="center"/>
          </w:tcPr>
          <w:p>
            <w:pPr>
              <w:pStyle w:val="35"/>
              <w:spacing w:before="12"/>
              <w:ind w:left="40"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spacing w:before="12"/>
              <w:ind w:left="40" w:firstLine="328"/>
              <w:jc w:val="center"/>
              <w:rPr>
                <w:rFonts w:cs="Times New Roman" w:eastAsiaTheme="minorEastAsia"/>
                <w:color w:val="auto"/>
                <w:spacing w:val="2"/>
              </w:rPr>
            </w:pPr>
          </w:p>
        </w:tc>
        <w:tc>
          <w:tcPr>
            <w:tcW w:w="1453" w:type="dxa"/>
            <w:tcBorders>
              <w:top w:val="single" w:color="000000" w:sz="6" w:space="0"/>
              <w:left w:val="single" w:color="auto" w:sz="4" w:space="0"/>
              <w:bottom w:val="single" w:color="000000" w:sz="6" w:space="0"/>
              <w:right w:val="single" w:color="000000" w:sz="6" w:space="0"/>
            </w:tcBorders>
            <w:vAlign w:val="center"/>
          </w:tcPr>
          <w:p>
            <w:pPr>
              <w:pStyle w:val="35"/>
              <w:spacing w:before="12"/>
              <w:ind w:firstLine="328"/>
              <w:jc w:val="center"/>
              <w:rPr>
                <w:rFonts w:cs="Times New Roman" w:eastAsiaTheme="minorEastAsia"/>
                <w:color w:val="auto"/>
                <w:spacing w:val="2"/>
              </w:rPr>
            </w:pPr>
            <w:r>
              <w:rPr>
                <w:rFonts w:hint="eastAsia" w:cs="Times New Roman" w:eastAsiaTheme="minorEastAsia"/>
                <w:color w:val="auto"/>
                <w:spacing w:val="2"/>
              </w:rPr>
              <w:t>单位资金</w:t>
            </w:r>
          </w:p>
        </w:tc>
        <w:tc>
          <w:tcPr>
            <w:tcW w:w="1587"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1376"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2639" w:type="dxa"/>
            <w:gridSpan w:val="3"/>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794"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3171" w:type="dxa"/>
            <w:vMerge w:val="continue"/>
            <w:tcBorders>
              <w:top w:val="nil"/>
              <w:left w:val="single" w:color="000000" w:sz="6" w:space="0"/>
              <w:bottom w:val="nil"/>
              <w:right w:val="single" w:color="000000" w:sz="6" w:space="0"/>
            </w:tcBorders>
            <w:vAlign w:val="center"/>
          </w:tcPr>
          <w:p>
            <w:pPr>
              <w:pStyle w:val="35"/>
              <w:spacing w:before="12"/>
              <w:ind w:left="40"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spacing w:before="12"/>
              <w:ind w:left="40" w:firstLine="328"/>
              <w:jc w:val="center"/>
              <w:rPr>
                <w:rFonts w:cs="Times New Roman" w:eastAsiaTheme="minorEastAsia"/>
                <w:color w:val="auto"/>
                <w:spacing w:val="2"/>
              </w:rPr>
            </w:pPr>
          </w:p>
        </w:tc>
        <w:tc>
          <w:tcPr>
            <w:tcW w:w="1453" w:type="dxa"/>
            <w:tcBorders>
              <w:top w:val="single" w:color="000000" w:sz="6" w:space="0"/>
              <w:left w:val="single" w:color="auto" w:sz="4" w:space="0"/>
              <w:bottom w:val="single" w:color="000000" w:sz="6" w:space="0"/>
              <w:right w:val="single" w:color="000000" w:sz="6" w:space="0"/>
            </w:tcBorders>
            <w:vAlign w:val="center"/>
          </w:tcPr>
          <w:p>
            <w:pPr>
              <w:pStyle w:val="35"/>
              <w:spacing w:before="12"/>
              <w:ind w:firstLine="328"/>
              <w:jc w:val="center"/>
              <w:rPr>
                <w:rFonts w:cs="Times New Roman" w:eastAsiaTheme="minorEastAsia"/>
                <w:color w:val="auto"/>
                <w:spacing w:val="2"/>
              </w:rPr>
            </w:pPr>
            <w:r>
              <w:rPr>
                <w:rFonts w:hint="eastAsia" w:cs="Times New Roman" w:eastAsiaTheme="minorEastAsia"/>
                <w:color w:val="auto"/>
                <w:spacing w:val="2"/>
              </w:rPr>
              <w:t>其他资金</w:t>
            </w:r>
          </w:p>
        </w:tc>
        <w:tc>
          <w:tcPr>
            <w:tcW w:w="1587"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1376"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2639" w:type="dxa"/>
            <w:gridSpan w:val="3"/>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794"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spacing w:before="12"/>
              <w:ind w:left="40" w:firstLine="328"/>
              <w:jc w:val="center"/>
              <w:rPr>
                <w:rFonts w:cs="Times New Roman" w:eastAsiaTheme="minorEastAsia"/>
                <w:color w:val="auto"/>
                <w:spacing w:val="2"/>
              </w:rPr>
            </w:pPr>
          </w:p>
        </w:tc>
        <w:tc>
          <w:tcPr>
            <w:tcW w:w="3171" w:type="dxa"/>
            <w:vMerge w:val="continue"/>
            <w:tcBorders>
              <w:top w:val="nil"/>
              <w:left w:val="single" w:color="000000" w:sz="6" w:space="0"/>
              <w:bottom w:val="nil"/>
              <w:right w:val="single" w:color="000000" w:sz="6" w:space="0"/>
            </w:tcBorders>
            <w:vAlign w:val="center"/>
          </w:tcPr>
          <w:p>
            <w:pPr>
              <w:pStyle w:val="35"/>
              <w:spacing w:before="12"/>
              <w:ind w:left="40"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pStyle w:val="35"/>
              <w:spacing w:before="12"/>
              <w:ind w:left="40" w:firstLine="328"/>
              <w:jc w:val="center"/>
              <w:rPr>
                <w:rFonts w:cs="Times New Roman" w:eastAsiaTheme="minorEastAsia"/>
                <w:color w:val="auto"/>
                <w:spacing w:val="2"/>
              </w:rPr>
            </w:pPr>
          </w:p>
          <w:p>
            <w:pPr>
              <w:pStyle w:val="35"/>
              <w:spacing w:before="12"/>
              <w:ind w:left="40" w:firstLine="328"/>
              <w:jc w:val="center"/>
              <w:rPr>
                <w:rFonts w:cs="Times New Roman" w:eastAsiaTheme="minorEastAsia"/>
                <w:color w:val="auto"/>
                <w:spacing w:val="2"/>
              </w:rPr>
            </w:pPr>
          </w:p>
          <w:p>
            <w:pPr>
              <w:pStyle w:val="35"/>
              <w:spacing w:before="12"/>
              <w:ind w:left="40" w:firstLine="328"/>
              <w:jc w:val="center"/>
              <w:rPr>
                <w:rFonts w:cs="Times New Roman" w:eastAsiaTheme="minorEastAsia"/>
                <w:color w:val="auto"/>
                <w:spacing w:val="2"/>
              </w:rPr>
            </w:pPr>
          </w:p>
          <w:p>
            <w:pPr>
              <w:pStyle w:val="35"/>
              <w:spacing w:before="12"/>
              <w:ind w:left="40" w:firstLine="328"/>
              <w:jc w:val="center"/>
              <w:rPr>
                <w:rFonts w:cs="Times New Roman" w:eastAsiaTheme="minorEastAsia"/>
                <w:color w:val="auto"/>
                <w:spacing w:val="2"/>
              </w:rPr>
            </w:pPr>
          </w:p>
          <w:p>
            <w:pPr>
              <w:pStyle w:val="35"/>
              <w:spacing w:before="12"/>
              <w:ind w:left="40" w:firstLine="328"/>
              <w:jc w:val="center"/>
              <w:rPr>
                <w:rFonts w:cs="Times New Roman" w:eastAsiaTheme="minorEastAsia"/>
                <w:color w:val="auto"/>
                <w:spacing w:val="2"/>
              </w:rPr>
            </w:pPr>
            <w:r>
              <w:rPr>
                <w:rFonts w:hint="eastAsia" w:cs="Times New Roman" w:eastAsiaTheme="minorEastAsia"/>
                <w:color w:val="auto"/>
                <w:spacing w:val="2"/>
              </w:rPr>
              <w:t>绩效指标（90分）</w:t>
            </w:r>
          </w:p>
        </w:tc>
        <w:tc>
          <w:tcPr>
            <w:tcW w:w="1453" w:type="dxa"/>
            <w:tcBorders>
              <w:top w:val="single" w:color="000000" w:sz="6" w:space="0"/>
              <w:left w:val="single" w:color="auto" w:sz="4"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一级指标</w:t>
            </w:r>
          </w:p>
        </w:tc>
        <w:tc>
          <w:tcPr>
            <w:tcW w:w="158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二级指标</w:t>
            </w:r>
          </w:p>
        </w:tc>
        <w:tc>
          <w:tcPr>
            <w:tcW w:w="137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三级指标</w:t>
            </w:r>
          </w:p>
        </w:tc>
        <w:tc>
          <w:tcPr>
            <w:tcW w:w="117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指标性质</w:t>
            </w:r>
          </w:p>
        </w:tc>
        <w:tc>
          <w:tcPr>
            <w:tcW w:w="102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指标值</w:t>
            </w:r>
          </w:p>
        </w:tc>
        <w:tc>
          <w:tcPr>
            <w:tcW w:w="434"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度量单位</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完成值</w:t>
            </w: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权重</w:t>
            </w:r>
          </w:p>
        </w:tc>
        <w:tc>
          <w:tcPr>
            <w:tcW w:w="794"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部门自评得分</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财政部门科室复评得分</w:t>
            </w:r>
          </w:p>
        </w:tc>
        <w:tc>
          <w:tcPr>
            <w:tcW w:w="317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未完成原因分析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vMerge w:val="restart"/>
            <w:tcBorders>
              <w:top w:val="nil"/>
              <w:left w:val="single" w:color="auto" w:sz="4" w:space="0"/>
              <w:bottom w:val="nil"/>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产出指标</w:t>
            </w:r>
          </w:p>
        </w:tc>
        <w:tc>
          <w:tcPr>
            <w:tcW w:w="158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数量指标</w:t>
            </w:r>
          </w:p>
        </w:tc>
        <w:tc>
          <w:tcPr>
            <w:tcW w:w="137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预警信息发布</w:t>
            </w:r>
          </w:p>
        </w:tc>
        <w:tc>
          <w:tcPr>
            <w:tcW w:w="117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100</w:t>
            </w:r>
          </w:p>
        </w:tc>
        <w:tc>
          <w:tcPr>
            <w:tcW w:w="434"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条</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100条</w:t>
            </w: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794"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vMerge w:val="continue"/>
            <w:tcBorders>
              <w:top w:val="nil"/>
              <w:left w:val="single" w:color="auto" w:sz="4" w:space="0"/>
              <w:bottom w:val="nil"/>
              <w:right w:val="single" w:color="000000" w:sz="6" w:space="0"/>
            </w:tcBorders>
            <w:vAlign w:val="center"/>
          </w:tcPr>
          <w:p>
            <w:pPr>
              <w:pStyle w:val="35"/>
              <w:ind w:firstLine="328"/>
              <w:jc w:val="center"/>
              <w:rPr>
                <w:rFonts w:cs="Times New Roman" w:eastAsiaTheme="minorEastAsia"/>
                <w:color w:val="auto"/>
                <w:spacing w:val="2"/>
              </w:rPr>
            </w:pPr>
          </w:p>
        </w:tc>
        <w:tc>
          <w:tcPr>
            <w:tcW w:w="158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质量指标</w:t>
            </w:r>
          </w:p>
        </w:tc>
        <w:tc>
          <w:tcPr>
            <w:tcW w:w="137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服务企业质量</w:t>
            </w:r>
          </w:p>
        </w:tc>
        <w:tc>
          <w:tcPr>
            <w:tcW w:w="117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优</w:t>
            </w:r>
          </w:p>
        </w:tc>
        <w:tc>
          <w:tcPr>
            <w:tcW w:w="434"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优</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rPr>
                <w:rFonts w:cs="Times New Roman" w:eastAsiaTheme="minorEastAsia"/>
                <w:color w:val="auto"/>
                <w:spacing w:val="2"/>
              </w:rPr>
            </w:pPr>
            <w:r>
              <w:rPr>
                <w:rFonts w:hint="eastAsia" w:cs="Times New Roman" w:eastAsiaTheme="minorEastAsia"/>
                <w:color w:val="auto"/>
                <w:spacing w:val="2"/>
              </w:rPr>
              <w:t>优</w:t>
            </w: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794"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vMerge w:val="continue"/>
            <w:tcBorders>
              <w:top w:val="nil"/>
              <w:left w:val="single" w:color="auto" w:sz="4" w:space="0"/>
              <w:bottom w:val="nil"/>
              <w:right w:val="single" w:color="000000" w:sz="6" w:space="0"/>
            </w:tcBorders>
            <w:vAlign w:val="center"/>
          </w:tcPr>
          <w:p>
            <w:pPr>
              <w:pStyle w:val="35"/>
              <w:ind w:firstLine="328"/>
              <w:jc w:val="center"/>
              <w:rPr>
                <w:rFonts w:cs="Times New Roman" w:eastAsiaTheme="minorEastAsia"/>
                <w:color w:val="auto"/>
                <w:spacing w:val="2"/>
              </w:rPr>
            </w:pPr>
          </w:p>
        </w:tc>
        <w:tc>
          <w:tcPr>
            <w:tcW w:w="158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时效指标</w:t>
            </w:r>
          </w:p>
        </w:tc>
        <w:tc>
          <w:tcPr>
            <w:tcW w:w="137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完成时间</w:t>
            </w:r>
          </w:p>
        </w:tc>
        <w:tc>
          <w:tcPr>
            <w:tcW w:w="117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项目完成时间</w:t>
            </w:r>
          </w:p>
        </w:tc>
        <w:tc>
          <w:tcPr>
            <w:tcW w:w="102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12</w:t>
            </w:r>
          </w:p>
        </w:tc>
        <w:tc>
          <w:tcPr>
            <w:tcW w:w="434"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月</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rPr>
                <w:rFonts w:cs="Times New Roman" w:eastAsiaTheme="minorEastAsia"/>
                <w:color w:val="auto"/>
                <w:spacing w:val="2"/>
              </w:rPr>
            </w:pPr>
            <w:r>
              <w:rPr>
                <w:rFonts w:hint="eastAsia" w:cs="Times New Roman" w:eastAsiaTheme="minorEastAsia"/>
                <w:color w:val="auto"/>
                <w:spacing w:val="2"/>
              </w:rPr>
              <w:t>12月前</w:t>
            </w: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000000" w:sz="6" w:space="0"/>
              <w:left w:val="single" w:color="auto" w:sz="4"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成本指标</w:t>
            </w:r>
          </w:p>
        </w:tc>
        <w:tc>
          <w:tcPr>
            <w:tcW w:w="158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成本指标</w:t>
            </w:r>
          </w:p>
        </w:tc>
        <w:tc>
          <w:tcPr>
            <w:tcW w:w="137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宣传、差旅、运行、</w:t>
            </w:r>
          </w:p>
        </w:tc>
        <w:tc>
          <w:tcPr>
            <w:tcW w:w="117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0.65</w:t>
            </w:r>
          </w:p>
        </w:tc>
        <w:tc>
          <w:tcPr>
            <w:tcW w:w="434"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万元</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0.65万元</w:t>
            </w: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000000" w:sz="6" w:space="0"/>
              <w:left w:val="single" w:color="auto" w:sz="4"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效益指标</w:t>
            </w:r>
          </w:p>
        </w:tc>
        <w:tc>
          <w:tcPr>
            <w:tcW w:w="158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社会效益指标</w:t>
            </w:r>
          </w:p>
        </w:tc>
        <w:tc>
          <w:tcPr>
            <w:tcW w:w="137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持调续研提升考广察元等本经地费企业外向发展能力水平</w:t>
            </w:r>
          </w:p>
        </w:tc>
        <w:tc>
          <w:tcPr>
            <w:tcW w:w="117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434"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90%</w:t>
            </w: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000000" w:sz="6" w:space="0"/>
              <w:left w:val="single" w:color="auto" w:sz="4"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满意度指标</w:t>
            </w:r>
          </w:p>
        </w:tc>
        <w:tc>
          <w:tcPr>
            <w:tcW w:w="158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服务对象满意度指标</w:t>
            </w:r>
          </w:p>
        </w:tc>
        <w:tc>
          <w:tcPr>
            <w:tcW w:w="137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参会参展企业满意度</w:t>
            </w:r>
          </w:p>
        </w:tc>
        <w:tc>
          <w:tcPr>
            <w:tcW w:w="117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434"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rPr>
                <w:rFonts w:cs="Times New Roman" w:eastAsiaTheme="minorEastAsia"/>
                <w:color w:val="auto"/>
                <w:spacing w:val="2"/>
              </w:rPr>
            </w:pPr>
            <w:r>
              <w:rPr>
                <w:rFonts w:hint="eastAsia" w:cs="Times New Roman" w:eastAsiaTheme="minorEastAsia"/>
                <w:color w:val="auto"/>
                <w:spacing w:val="2"/>
              </w:rPr>
              <w:t>98%</w:t>
            </w: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794"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9372" w:type="dxa"/>
            <w:gridSpan w:val="8"/>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合计</w:t>
            </w:r>
          </w:p>
        </w:tc>
        <w:tc>
          <w:tcPr>
            <w:tcW w:w="645" w:type="dxa"/>
            <w:tcBorders>
              <w:top w:val="single" w:color="000000" w:sz="6" w:space="0"/>
              <w:left w:val="single" w:color="auto" w:sz="4"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100</w:t>
            </w:r>
          </w:p>
        </w:tc>
        <w:tc>
          <w:tcPr>
            <w:tcW w:w="794"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100</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部门（单位）自评结论</w:t>
            </w:r>
          </w:p>
        </w:tc>
        <w:tc>
          <w:tcPr>
            <w:tcW w:w="13540" w:type="dxa"/>
            <w:gridSpan w:val="11"/>
            <w:tcBorders>
              <w:top w:val="single" w:color="000000" w:sz="6" w:space="0"/>
              <w:left w:val="single" w:color="auto" w:sz="4"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本项目自评得分100分。通过发布预警信息等助力广元本地企业提高外向发展能力水平。</w:t>
            </w:r>
          </w:p>
        </w:tc>
      </w:tr>
    </w:tbl>
    <w:p>
      <w:pPr>
        <w:pStyle w:val="35"/>
        <w:ind w:firstLine="328"/>
        <w:jc w:val="both"/>
        <w:rPr>
          <w:rFonts w:cs="Times New Roman" w:eastAsiaTheme="minorEastAsia"/>
          <w:color w:val="auto"/>
          <w:spacing w:val="2"/>
        </w:rPr>
        <w:sectPr>
          <w:pgSz w:w="16837" w:h="11905"/>
          <w:pgMar w:top="1011" w:right="942" w:bottom="650" w:left="927" w:header="0" w:footer="454" w:gutter="0"/>
          <w:cols w:space="720" w:num="1"/>
        </w:sectPr>
      </w:pPr>
    </w:p>
    <w:p>
      <w:pPr>
        <w:pStyle w:val="35"/>
        <w:ind w:firstLine="328"/>
        <w:jc w:val="both"/>
        <w:rPr>
          <w:rFonts w:cs="Times New Roman" w:eastAsiaTheme="minorEastAsia"/>
          <w:color w:val="auto"/>
          <w:spacing w:val="2"/>
        </w:rPr>
      </w:pPr>
    </w:p>
    <w:tbl>
      <w:tblPr>
        <w:tblStyle w:val="36"/>
        <w:tblW w:w="149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1"/>
        <w:gridCol w:w="5594"/>
        <w:gridCol w:w="79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jc w:val="center"/>
        </w:trPr>
        <w:tc>
          <w:tcPr>
            <w:tcW w:w="1411"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部门（单位）自评存在问题</w:t>
            </w:r>
          </w:p>
        </w:tc>
        <w:tc>
          <w:tcPr>
            <w:tcW w:w="13540"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jc w:val="center"/>
        </w:trPr>
        <w:tc>
          <w:tcPr>
            <w:tcW w:w="1411"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部门（单位）自评改进措施</w:t>
            </w:r>
          </w:p>
        </w:tc>
        <w:tc>
          <w:tcPr>
            <w:tcW w:w="13540"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jc w:val="center"/>
        </w:trPr>
        <w:tc>
          <w:tcPr>
            <w:tcW w:w="1411"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both"/>
              <w:rPr>
                <w:rFonts w:cs="Times New Roman" w:eastAsiaTheme="minorEastAsia"/>
                <w:color w:val="auto"/>
                <w:spacing w:val="2"/>
              </w:rPr>
            </w:pPr>
            <w:r>
              <w:rPr>
                <w:rFonts w:hint="eastAsia" w:cs="Times New Roman" w:eastAsiaTheme="minorEastAsia"/>
                <w:color w:val="auto"/>
                <w:spacing w:val="2"/>
              </w:rPr>
              <w:t>财政部门对口科复评结论及整改要求</w:t>
            </w:r>
          </w:p>
        </w:tc>
        <w:tc>
          <w:tcPr>
            <w:tcW w:w="13540"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7005"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单位项目负责人：王陇花</w:t>
            </w:r>
          </w:p>
        </w:tc>
        <w:tc>
          <w:tcPr>
            <w:tcW w:w="794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单位财务负责人：胡永军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7005"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部门项目负责人：</w:t>
            </w:r>
          </w:p>
        </w:tc>
        <w:tc>
          <w:tcPr>
            <w:tcW w:w="794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部门财务负责人：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jc w:val="center"/>
        </w:trPr>
        <w:tc>
          <w:tcPr>
            <w:tcW w:w="14951" w:type="dxa"/>
            <w:gridSpan w:val="3"/>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财政部门科室负责人：</w:t>
            </w:r>
          </w:p>
        </w:tc>
      </w:tr>
    </w:tbl>
    <w:p>
      <w:pPr>
        <w:pStyle w:val="35"/>
        <w:ind w:firstLine="328"/>
        <w:jc w:val="both"/>
        <w:rPr>
          <w:rFonts w:cs="Times New Roman" w:eastAsiaTheme="minorEastAsia"/>
          <w:color w:val="auto"/>
          <w:spacing w:val="2"/>
        </w:rPr>
      </w:pPr>
    </w:p>
    <w:p>
      <w:pPr>
        <w:pStyle w:val="2"/>
        <w:spacing w:before="72"/>
        <w:ind w:firstLine="600"/>
        <w:jc w:val="center"/>
        <w:rPr>
          <w:color w:val="auto"/>
        </w:rPr>
      </w:pPr>
    </w:p>
    <w:p>
      <w:pPr>
        <w:pStyle w:val="2"/>
        <w:spacing w:before="72"/>
        <w:ind w:firstLine="600"/>
        <w:jc w:val="center"/>
        <w:rPr>
          <w:color w:val="auto"/>
        </w:rPr>
      </w:pPr>
    </w:p>
    <w:p>
      <w:pPr>
        <w:pStyle w:val="2"/>
        <w:spacing w:before="72"/>
        <w:ind w:firstLine="600"/>
        <w:jc w:val="center"/>
        <w:rPr>
          <w:color w:val="auto"/>
        </w:rPr>
      </w:pPr>
    </w:p>
    <w:p>
      <w:pPr>
        <w:pStyle w:val="2"/>
        <w:spacing w:before="72"/>
        <w:ind w:firstLine="600"/>
        <w:jc w:val="center"/>
        <w:rPr>
          <w:color w:val="auto"/>
        </w:rPr>
      </w:pPr>
    </w:p>
    <w:p>
      <w:pPr>
        <w:pStyle w:val="2"/>
        <w:spacing w:before="72"/>
        <w:ind w:firstLine="600"/>
        <w:jc w:val="center"/>
        <w:rPr>
          <w:color w:val="auto"/>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部门预算项目支出绩效自评表(2022年度)</w:t>
      </w:r>
    </w:p>
    <w:p>
      <w:pPr>
        <w:spacing w:line="69" w:lineRule="exact"/>
        <w:ind w:firstLine="640"/>
        <w:jc w:val="center"/>
        <w:rPr>
          <w:rFonts w:ascii="Arial" w:hAnsi="Arial"/>
          <w:color w:val="auto"/>
          <w:szCs w:val="21"/>
        </w:rPr>
      </w:pPr>
    </w:p>
    <w:tbl>
      <w:tblPr>
        <w:tblStyle w:val="36"/>
        <w:tblW w:w="149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1"/>
        <w:gridCol w:w="1453"/>
        <w:gridCol w:w="1587"/>
        <w:gridCol w:w="1376"/>
        <w:gridCol w:w="1177"/>
        <w:gridCol w:w="1028"/>
        <w:gridCol w:w="434"/>
        <w:gridCol w:w="906"/>
        <w:gridCol w:w="645"/>
        <w:gridCol w:w="794"/>
        <w:gridCol w:w="969"/>
        <w:gridCol w:w="31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8" w:hRule="atLeast"/>
          <w:jc w:val="center"/>
        </w:trPr>
        <w:tc>
          <w:tcPr>
            <w:tcW w:w="2864"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项目名称</w:t>
            </w:r>
          </w:p>
        </w:tc>
        <w:tc>
          <w:tcPr>
            <w:tcW w:w="12087" w:type="dxa"/>
            <w:gridSpan w:val="10"/>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经贸摩擦预警、产地签证、营商环境监测经费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7" w:hRule="atLeast"/>
          <w:jc w:val="center"/>
        </w:trPr>
        <w:tc>
          <w:tcPr>
            <w:tcW w:w="2864" w:type="dxa"/>
            <w:gridSpan w:val="2"/>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主管部门（盖章）</w:t>
            </w:r>
          </w:p>
        </w:tc>
        <w:tc>
          <w:tcPr>
            <w:tcW w:w="5602" w:type="dxa"/>
            <w:gridSpan w:val="5"/>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p>
        </w:tc>
        <w:tc>
          <w:tcPr>
            <w:tcW w:w="906" w:type="dxa"/>
            <w:tcBorders>
              <w:top w:val="single" w:color="000000" w:sz="6" w:space="0"/>
              <w:left w:val="single" w:color="000000" w:sz="6" w:space="0"/>
              <w:bottom w:val="single" w:color="auto" w:sz="4" w:space="0"/>
              <w:right w:val="single" w:color="000000" w:sz="6"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实施单位（盖章）</w:t>
            </w:r>
          </w:p>
        </w:tc>
        <w:tc>
          <w:tcPr>
            <w:tcW w:w="5579" w:type="dxa"/>
            <w:gridSpan w:val="4"/>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中国国际贸易促进委员会广元市委员会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项目基本情况</w:t>
            </w:r>
          </w:p>
        </w:tc>
        <w:tc>
          <w:tcPr>
            <w:tcW w:w="1453"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1.项目年度目标完成情况</w:t>
            </w:r>
          </w:p>
        </w:tc>
        <w:tc>
          <w:tcPr>
            <w:tcW w:w="5602" w:type="dxa"/>
            <w:gridSpan w:val="5"/>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项目年度目标</w:t>
            </w:r>
          </w:p>
        </w:tc>
        <w:tc>
          <w:tcPr>
            <w:tcW w:w="6485" w:type="dxa"/>
            <w:gridSpan w:val="5"/>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年度目标完成情况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5602" w:type="dxa"/>
            <w:gridSpan w:val="5"/>
            <w:tcBorders>
              <w:top w:val="single" w:color="auto" w:sz="4" w:space="0"/>
              <w:left w:val="single" w:color="auto" w:sz="4" w:space="0"/>
              <w:bottom w:val="single" w:color="auto" w:sz="4" w:space="0"/>
              <w:right w:val="single" w:color="auto" w:sz="4" w:space="0"/>
            </w:tcBorders>
            <w:vAlign w:val="center"/>
          </w:tcPr>
          <w:p>
            <w:pPr>
              <w:pStyle w:val="35"/>
              <w:ind w:firstLine="328"/>
              <w:jc w:val="both"/>
              <w:rPr>
                <w:rFonts w:cs="Times New Roman" w:eastAsiaTheme="minorEastAsia"/>
                <w:color w:val="auto"/>
                <w:spacing w:val="2"/>
              </w:rPr>
            </w:pPr>
            <w:r>
              <w:rPr>
                <w:rFonts w:hint="eastAsia" w:cs="Times New Roman" w:eastAsiaTheme="minorEastAsia"/>
                <w:color w:val="auto"/>
                <w:spacing w:val="2"/>
              </w:rPr>
              <w:t>开展经贸预警的调研、分析，为企业提供预警信息等服务，办理产地签证、开展营商环境监测调解中心办事处相关工作，并做好宣传。</w:t>
            </w:r>
          </w:p>
        </w:tc>
        <w:tc>
          <w:tcPr>
            <w:tcW w:w="6485" w:type="dxa"/>
            <w:gridSpan w:val="5"/>
            <w:tcBorders>
              <w:top w:val="single" w:color="auto" w:sz="4" w:space="0"/>
              <w:left w:val="single" w:color="auto" w:sz="4" w:space="0"/>
              <w:bottom w:val="single" w:color="auto" w:sz="4" w:space="0"/>
              <w:right w:val="single" w:color="auto" w:sz="4" w:space="0"/>
            </w:tcBorders>
            <w:vAlign w:val="center"/>
          </w:tcPr>
          <w:p>
            <w:pPr>
              <w:pStyle w:val="35"/>
              <w:ind w:firstLine="328"/>
              <w:jc w:val="both"/>
              <w:rPr>
                <w:rFonts w:cs="Times New Roman" w:eastAsiaTheme="minorEastAsia"/>
                <w:color w:val="auto"/>
                <w:spacing w:val="2"/>
              </w:rPr>
            </w:pPr>
            <w:r>
              <w:rPr>
                <w:rFonts w:hint="eastAsia" w:cs="Times New Roman" w:eastAsiaTheme="minorEastAsia"/>
                <w:color w:val="auto"/>
                <w:spacing w:val="2"/>
              </w:rPr>
              <w:t>开展经贸预警的调研、分析，为企业提供预警信息等服务，办理产地签证、开展营商环境监测调解中心办事处相关工作，并做好宣传。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2.项目实施内容及过程概述</w:t>
            </w:r>
          </w:p>
        </w:tc>
        <w:tc>
          <w:tcPr>
            <w:tcW w:w="12087" w:type="dxa"/>
            <w:gridSpan w:val="10"/>
            <w:tcBorders>
              <w:top w:val="single" w:color="auto" w:sz="4" w:space="0"/>
              <w:left w:val="single" w:color="auto" w:sz="4" w:space="0"/>
              <w:bottom w:val="single" w:color="auto" w:sz="4" w:space="0"/>
              <w:right w:val="single" w:color="auto" w:sz="4" w:space="0"/>
            </w:tcBorders>
            <w:vAlign w:val="center"/>
          </w:tcPr>
          <w:p>
            <w:pPr>
              <w:pStyle w:val="35"/>
              <w:ind w:firstLine="328"/>
              <w:jc w:val="both"/>
              <w:rPr>
                <w:rFonts w:cs="Times New Roman" w:eastAsiaTheme="minorEastAsia"/>
                <w:color w:val="auto"/>
                <w:spacing w:val="2"/>
              </w:rPr>
            </w:pPr>
            <w:r>
              <w:rPr>
                <w:rFonts w:hint="eastAsia" w:cs="Times New Roman" w:eastAsiaTheme="minorEastAsia"/>
                <w:color w:val="auto"/>
                <w:spacing w:val="2"/>
              </w:rPr>
              <w:t>开展经贸预警的调研、分析，为企业提供预警信息等服务，办理产地签证、开展营商环境监测调解中心办事处相关工作，并做好宣传。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预算执行情况（10分）</w:t>
            </w: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年度预算数（万元）</w:t>
            </w:r>
          </w:p>
        </w:tc>
        <w:tc>
          <w:tcPr>
            <w:tcW w:w="158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年初预算</w:t>
            </w:r>
          </w:p>
        </w:tc>
        <w:tc>
          <w:tcPr>
            <w:tcW w:w="137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调整后预算数</w:t>
            </w:r>
          </w:p>
        </w:tc>
        <w:tc>
          <w:tcPr>
            <w:tcW w:w="2639"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预算执行数</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预算执行率</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权重%</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部门自评得分</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财政部门科室复评得分</w:t>
            </w: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原因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总额</w:t>
            </w:r>
          </w:p>
        </w:tc>
        <w:tc>
          <w:tcPr>
            <w:tcW w:w="158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5.00</w:t>
            </w:r>
          </w:p>
        </w:tc>
        <w:tc>
          <w:tcPr>
            <w:tcW w:w="137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5.00</w:t>
            </w:r>
          </w:p>
        </w:tc>
        <w:tc>
          <w:tcPr>
            <w:tcW w:w="2639"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2.91</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58.20%</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8</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1.预算执行率=预算执行数/调整后预算数，预算执行率未达到90%的需说明原因（100字以内）；2.年中发生预算调整的（追加或调减），应单独说明理由；3.其他资金包括、社会投入资金、银行贷款.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其中：财政资金</w:t>
            </w:r>
          </w:p>
        </w:tc>
        <w:tc>
          <w:tcPr>
            <w:tcW w:w="158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5.00</w:t>
            </w:r>
          </w:p>
        </w:tc>
        <w:tc>
          <w:tcPr>
            <w:tcW w:w="137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5.00</w:t>
            </w:r>
          </w:p>
        </w:tc>
        <w:tc>
          <w:tcPr>
            <w:tcW w:w="2639"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2.91</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财政专户管理资金</w:t>
            </w:r>
          </w:p>
        </w:tc>
        <w:tc>
          <w:tcPr>
            <w:tcW w:w="158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37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2639"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单位资金</w:t>
            </w:r>
          </w:p>
        </w:tc>
        <w:tc>
          <w:tcPr>
            <w:tcW w:w="158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37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2639"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其他资金</w:t>
            </w:r>
          </w:p>
        </w:tc>
        <w:tc>
          <w:tcPr>
            <w:tcW w:w="158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37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2639"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绩效指标（90分）</w:t>
            </w: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一级指标</w:t>
            </w:r>
          </w:p>
        </w:tc>
        <w:tc>
          <w:tcPr>
            <w:tcW w:w="158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二级指标</w:t>
            </w:r>
          </w:p>
        </w:tc>
        <w:tc>
          <w:tcPr>
            <w:tcW w:w="137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三级指标</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rPr>
                <w:rFonts w:cs="Times New Roman" w:eastAsiaTheme="minorEastAsia"/>
                <w:color w:val="auto"/>
                <w:spacing w:val="2"/>
              </w:rPr>
            </w:pPr>
            <w:r>
              <w:rPr>
                <w:rFonts w:hint="eastAsia" w:cs="Times New Roman" w:eastAsiaTheme="minorEastAsia"/>
                <w:color w:val="auto"/>
                <w:spacing w:val="2"/>
              </w:rPr>
              <w:t>指标性质</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rPr>
                <w:rFonts w:cs="Times New Roman" w:eastAsiaTheme="minorEastAsia"/>
                <w:color w:val="auto"/>
                <w:spacing w:val="2"/>
              </w:rPr>
            </w:pPr>
            <w:r>
              <w:rPr>
                <w:rFonts w:hint="eastAsia" w:cs="Times New Roman" w:eastAsiaTheme="minorEastAsia"/>
                <w:color w:val="auto"/>
                <w:spacing w:val="2"/>
              </w:rPr>
              <w:t>指标值</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度量单位</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完成值</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权重</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部门自评得分</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财政部门科室复评得分</w:t>
            </w: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未完成原因分析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产出指标</w:t>
            </w:r>
          </w:p>
        </w:tc>
        <w:tc>
          <w:tcPr>
            <w:tcW w:w="158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数量指标</w:t>
            </w:r>
          </w:p>
        </w:tc>
        <w:tc>
          <w:tcPr>
            <w:tcW w:w="137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服务企业、开展原产地签证宣传、推广</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50</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家</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rPr>
                <w:rFonts w:cs="Times New Roman" w:eastAsiaTheme="minorEastAsia"/>
                <w:color w:val="auto"/>
                <w:spacing w:val="2"/>
              </w:rPr>
            </w:pPr>
            <w:r>
              <w:rPr>
                <w:rFonts w:hint="eastAsia" w:cs="Times New Roman" w:eastAsiaTheme="minorEastAsia"/>
                <w:color w:val="auto"/>
                <w:spacing w:val="2"/>
              </w:rPr>
              <w:t>40家</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19</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2022年因疫情影响，实地走访调研企业不够；未能按计划开展原产地业务培宣传、推广、培训。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58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质量指标</w:t>
            </w:r>
          </w:p>
        </w:tc>
        <w:tc>
          <w:tcPr>
            <w:tcW w:w="137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服务企业质量</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优</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优</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rPr>
                <w:rFonts w:cs="Times New Roman" w:eastAsiaTheme="minorEastAsia"/>
                <w:color w:val="auto"/>
                <w:spacing w:val="2"/>
              </w:rPr>
            </w:pPr>
            <w:r>
              <w:rPr>
                <w:rFonts w:hint="eastAsia" w:cs="Times New Roman" w:eastAsiaTheme="minorEastAsia"/>
                <w:color w:val="auto"/>
                <w:spacing w:val="2"/>
              </w:rPr>
              <w:t>优</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19</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58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时效指标</w:t>
            </w:r>
          </w:p>
        </w:tc>
        <w:tc>
          <w:tcPr>
            <w:tcW w:w="137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完成时间</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项目完成时间</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12</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月</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198" w:firstLineChars="121"/>
              <w:jc w:val="center"/>
              <w:rPr>
                <w:rFonts w:cs="Times New Roman" w:eastAsiaTheme="minorEastAsia"/>
                <w:color w:val="auto"/>
                <w:spacing w:val="2"/>
              </w:rPr>
            </w:pPr>
            <w:r>
              <w:rPr>
                <w:rFonts w:hint="eastAsia" w:cs="Times New Roman" w:eastAsiaTheme="minorEastAsia"/>
                <w:color w:val="auto"/>
                <w:spacing w:val="2"/>
              </w:rPr>
              <w:t>12月前</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3"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成本指标</w:t>
            </w:r>
          </w:p>
        </w:tc>
        <w:tc>
          <w:tcPr>
            <w:tcW w:w="158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成本指标</w:t>
            </w:r>
          </w:p>
        </w:tc>
        <w:tc>
          <w:tcPr>
            <w:tcW w:w="137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宣传、差旅、运行、调研、考察等经费</w:t>
            </w:r>
          </w:p>
        </w:tc>
        <w:tc>
          <w:tcPr>
            <w:tcW w:w="1177"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5</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万元</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5万元</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bl>
    <w:p>
      <w:pPr>
        <w:pStyle w:val="35"/>
        <w:ind w:firstLine="328"/>
        <w:jc w:val="both"/>
        <w:rPr>
          <w:rFonts w:cs="Times New Roman" w:eastAsiaTheme="minorEastAsia"/>
          <w:color w:val="auto"/>
          <w:spacing w:val="2"/>
        </w:rPr>
      </w:pPr>
    </w:p>
    <w:p>
      <w:pPr>
        <w:pStyle w:val="35"/>
        <w:ind w:firstLine="328"/>
        <w:jc w:val="both"/>
        <w:rPr>
          <w:rFonts w:cs="Times New Roman" w:eastAsiaTheme="minorEastAsia"/>
          <w:color w:val="auto"/>
          <w:spacing w:val="2"/>
        </w:rPr>
        <w:sectPr>
          <w:pgSz w:w="16837" w:h="11905"/>
          <w:pgMar w:top="1011" w:right="942" w:bottom="650" w:left="927" w:header="0" w:footer="454" w:gutter="0"/>
          <w:cols w:space="720" w:num="1"/>
        </w:sectPr>
      </w:pPr>
    </w:p>
    <w:p>
      <w:pPr>
        <w:pStyle w:val="35"/>
        <w:ind w:firstLine="328"/>
        <w:jc w:val="both"/>
        <w:rPr>
          <w:rFonts w:cs="Times New Roman" w:eastAsiaTheme="minorEastAsia"/>
          <w:color w:val="auto"/>
          <w:spacing w:val="2"/>
        </w:rPr>
      </w:pPr>
    </w:p>
    <w:tbl>
      <w:tblPr>
        <w:tblStyle w:val="36"/>
        <w:tblW w:w="14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1"/>
        <w:gridCol w:w="1453"/>
        <w:gridCol w:w="1587"/>
        <w:gridCol w:w="1376"/>
        <w:gridCol w:w="1177"/>
        <w:gridCol w:w="1028"/>
        <w:gridCol w:w="434"/>
        <w:gridCol w:w="906"/>
        <w:gridCol w:w="645"/>
        <w:gridCol w:w="794"/>
        <w:gridCol w:w="969"/>
        <w:gridCol w:w="3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1411" w:type="dxa"/>
            <w:vMerge w:val="restart"/>
            <w:vAlign w:val="center"/>
          </w:tcPr>
          <w:p>
            <w:pPr>
              <w:pStyle w:val="35"/>
              <w:ind w:firstLine="328"/>
              <w:jc w:val="center"/>
              <w:rPr>
                <w:rFonts w:cs="Times New Roman" w:eastAsiaTheme="minorEastAsia"/>
                <w:color w:val="auto"/>
                <w:spacing w:val="2"/>
              </w:rPr>
            </w:pPr>
          </w:p>
        </w:tc>
        <w:tc>
          <w:tcPr>
            <w:tcW w:w="1453"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效益指标</w:t>
            </w:r>
          </w:p>
        </w:tc>
        <w:tc>
          <w:tcPr>
            <w:tcW w:w="1587"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社会效益指标</w:t>
            </w:r>
          </w:p>
        </w:tc>
        <w:tc>
          <w:tcPr>
            <w:tcW w:w="1376" w:type="dxa"/>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持续提升广元本企业外向发展能力水平、优化营商环境、做好非优惠原产地签证宣传、推广、业务开展等工作</w:t>
            </w:r>
          </w:p>
        </w:tc>
        <w:tc>
          <w:tcPr>
            <w:tcW w:w="1177" w:type="dxa"/>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434" w:type="dxa"/>
            <w:vAlign w:val="center"/>
          </w:tcPr>
          <w:p>
            <w:pPr>
              <w:pStyle w:val="35"/>
              <w:ind w:firstLine="328"/>
              <w:jc w:val="center"/>
              <w:rPr>
                <w:rFonts w:cs="Times New Roman" w:eastAsiaTheme="minorEastAsia"/>
                <w:color w:val="auto"/>
                <w:spacing w:val="2"/>
              </w:rPr>
            </w:pPr>
          </w:p>
          <w:p>
            <w:pPr>
              <w:pStyle w:val="35"/>
              <w:ind w:firstLine="198" w:firstLineChars="121"/>
              <w:rPr>
                <w:rFonts w:cs="Times New Roman" w:eastAsiaTheme="minorEastAsia"/>
                <w:color w:val="auto"/>
                <w:spacing w:val="2"/>
              </w:rPr>
            </w:pPr>
            <w:r>
              <w:rPr>
                <w:rFonts w:hint="eastAsia" w:cs="Times New Roman" w:eastAsiaTheme="minorEastAsia"/>
                <w:color w:val="auto"/>
                <w:spacing w:val="2"/>
              </w:rPr>
              <w:t>%</w:t>
            </w:r>
          </w:p>
        </w:tc>
        <w:tc>
          <w:tcPr>
            <w:tcW w:w="906" w:type="dxa"/>
            <w:vAlign w:val="center"/>
          </w:tcPr>
          <w:p>
            <w:pPr>
              <w:pStyle w:val="35"/>
              <w:ind w:firstLine="328"/>
              <w:jc w:val="center"/>
              <w:rPr>
                <w:rFonts w:cs="Times New Roman" w:eastAsiaTheme="minorEastAsia"/>
                <w:color w:val="auto"/>
                <w:spacing w:val="2"/>
              </w:rPr>
            </w:pPr>
          </w:p>
          <w:p>
            <w:pPr>
              <w:pStyle w:val="35"/>
              <w:ind w:firstLine="328"/>
              <w:rPr>
                <w:rFonts w:cs="Times New Roman" w:eastAsiaTheme="minorEastAsia"/>
                <w:color w:val="auto"/>
                <w:spacing w:val="2"/>
              </w:rPr>
            </w:pPr>
            <w:r>
              <w:rPr>
                <w:rFonts w:hint="eastAsia" w:cs="Times New Roman" w:eastAsiaTheme="minorEastAsia"/>
                <w:color w:val="auto"/>
                <w:spacing w:val="2"/>
              </w:rPr>
              <w:t>90%</w:t>
            </w:r>
          </w:p>
        </w:tc>
        <w:tc>
          <w:tcPr>
            <w:tcW w:w="645" w:type="dxa"/>
            <w:vAlign w:val="center"/>
          </w:tcPr>
          <w:p>
            <w:pPr>
              <w:pStyle w:val="35"/>
              <w:ind w:firstLine="328"/>
              <w:jc w:val="center"/>
              <w:rPr>
                <w:rFonts w:cs="Times New Roman" w:eastAsiaTheme="minorEastAsia"/>
                <w:color w:val="auto"/>
                <w:spacing w:val="2"/>
              </w:rPr>
            </w:pPr>
          </w:p>
          <w:p>
            <w:pPr>
              <w:pStyle w:val="35"/>
              <w:ind w:firstLine="328"/>
              <w:rPr>
                <w:rFonts w:cs="Times New Roman" w:eastAsiaTheme="minorEastAsia"/>
                <w:color w:val="auto"/>
                <w:spacing w:val="2"/>
              </w:rPr>
            </w:pPr>
            <w:r>
              <w:rPr>
                <w:rFonts w:hint="eastAsia" w:cs="Times New Roman" w:eastAsiaTheme="minorEastAsia"/>
                <w:color w:val="auto"/>
                <w:spacing w:val="2"/>
              </w:rPr>
              <w:t>10</w:t>
            </w:r>
          </w:p>
        </w:tc>
        <w:tc>
          <w:tcPr>
            <w:tcW w:w="794" w:type="dxa"/>
            <w:vAlign w:val="center"/>
          </w:tcPr>
          <w:p>
            <w:pPr>
              <w:pStyle w:val="35"/>
              <w:ind w:firstLine="328"/>
              <w:jc w:val="center"/>
              <w:rPr>
                <w:rFonts w:cs="Times New Roman" w:eastAsiaTheme="minorEastAsia"/>
                <w:color w:val="auto"/>
                <w:spacing w:val="2"/>
              </w:rPr>
            </w:pPr>
          </w:p>
          <w:p>
            <w:pPr>
              <w:pStyle w:val="35"/>
              <w:ind w:firstLine="328"/>
              <w:rPr>
                <w:rFonts w:cs="Times New Roman" w:eastAsiaTheme="minorEastAsia"/>
                <w:color w:val="auto"/>
                <w:spacing w:val="2"/>
              </w:rPr>
            </w:pPr>
            <w:r>
              <w:rPr>
                <w:rFonts w:hint="eastAsia" w:cs="Times New Roman" w:eastAsiaTheme="minorEastAsia"/>
                <w:color w:val="auto"/>
                <w:spacing w:val="2"/>
              </w:rPr>
              <w:t>8</w:t>
            </w:r>
          </w:p>
        </w:tc>
        <w:tc>
          <w:tcPr>
            <w:tcW w:w="969" w:type="dxa"/>
            <w:vAlign w:val="center"/>
          </w:tcPr>
          <w:p>
            <w:pPr>
              <w:pStyle w:val="35"/>
              <w:ind w:firstLine="328"/>
              <w:jc w:val="center"/>
              <w:rPr>
                <w:rFonts w:cs="Times New Roman" w:eastAsiaTheme="minorEastAsia"/>
                <w:color w:val="auto"/>
                <w:spacing w:val="2"/>
              </w:rPr>
            </w:pPr>
          </w:p>
        </w:tc>
        <w:tc>
          <w:tcPr>
            <w:tcW w:w="3171" w:type="dxa"/>
            <w:vMerge w:val="restart"/>
            <w:vAlign w:val="center"/>
          </w:tcPr>
          <w:p>
            <w:pPr>
              <w:pStyle w:val="35"/>
              <w:ind w:firstLine="0" w:firstLineChars="0"/>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411" w:type="dxa"/>
            <w:vMerge w:val="continue"/>
            <w:vAlign w:val="center"/>
          </w:tcPr>
          <w:p>
            <w:pPr>
              <w:pStyle w:val="35"/>
              <w:ind w:firstLine="328"/>
              <w:jc w:val="center"/>
              <w:rPr>
                <w:rFonts w:cs="Times New Roman" w:eastAsiaTheme="minorEastAsia"/>
                <w:color w:val="auto"/>
                <w:spacing w:val="2"/>
              </w:rPr>
            </w:pPr>
          </w:p>
        </w:tc>
        <w:tc>
          <w:tcPr>
            <w:tcW w:w="1453"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满意度指标</w:t>
            </w:r>
          </w:p>
        </w:tc>
        <w:tc>
          <w:tcPr>
            <w:tcW w:w="1587"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服务对象满意度指标</w:t>
            </w:r>
          </w:p>
        </w:tc>
        <w:tc>
          <w:tcPr>
            <w:tcW w:w="1376"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参会参展企业满意度</w:t>
            </w:r>
          </w:p>
        </w:tc>
        <w:tc>
          <w:tcPr>
            <w:tcW w:w="1177"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434" w:type="dxa"/>
            <w:vAlign w:val="center"/>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w:t>
            </w:r>
          </w:p>
        </w:tc>
        <w:tc>
          <w:tcPr>
            <w:tcW w:w="906" w:type="dxa"/>
            <w:vAlign w:val="center"/>
          </w:tcPr>
          <w:p>
            <w:pPr>
              <w:pStyle w:val="35"/>
              <w:ind w:firstLine="328"/>
              <w:rPr>
                <w:rFonts w:cs="Times New Roman" w:eastAsiaTheme="minorEastAsia"/>
                <w:color w:val="auto"/>
                <w:spacing w:val="2"/>
              </w:rPr>
            </w:pPr>
            <w:r>
              <w:rPr>
                <w:rFonts w:hint="eastAsia" w:cs="Times New Roman" w:eastAsiaTheme="minorEastAsia"/>
                <w:color w:val="auto"/>
                <w:spacing w:val="2"/>
              </w:rPr>
              <w:t>98%</w:t>
            </w:r>
          </w:p>
        </w:tc>
        <w:tc>
          <w:tcPr>
            <w:tcW w:w="645"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794"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969" w:type="dxa"/>
            <w:vAlign w:val="center"/>
          </w:tcPr>
          <w:p>
            <w:pPr>
              <w:pStyle w:val="35"/>
              <w:ind w:firstLine="328"/>
              <w:jc w:val="center"/>
              <w:rPr>
                <w:rFonts w:cs="Times New Roman" w:eastAsiaTheme="minorEastAsia"/>
                <w:color w:val="auto"/>
                <w:spacing w:val="2"/>
              </w:rPr>
            </w:pPr>
          </w:p>
        </w:tc>
        <w:tc>
          <w:tcPr>
            <w:tcW w:w="3171" w:type="dxa"/>
            <w:vMerge w:val="continue"/>
            <w:vAlign w:val="center"/>
          </w:tcPr>
          <w:p>
            <w:pPr>
              <w:pStyle w:val="35"/>
              <w:ind w:firstLine="328"/>
              <w:jc w:val="center"/>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9372" w:type="dxa"/>
            <w:gridSpan w:val="8"/>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合计</w:t>
            </w:r>
          </w:p>
        </w:tc>
        <w:tc>
          <w:tcPr>
            <w:tcW w:w="645"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100</w:t>
            </w:r>
          </w:p>
        </w:tc>
        <w:tc>
          <w:tcPr>
            <w:tcW w:w="794" w:type="dxa"/>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94</w:t>
            </w:r>
          </w:p>
        </w:tc>
        <w:tc>
          <w:tcPr>
            <w:tcW w:w="969" w:type="dxa"/>
            <w:vAlign w:val="center"/>
          </w:tcPr>
          <w:p>
            <w:pPr>
              <w:pStyle w:val="35"/>
              <w:ind w:firstLine="328"/>
              <w:jc w:val="center"/>
              <w:rPr>
                <w:rFonts w:cs="Times New Roman" w:eastAsiaTheme="minorEastAsia"/>
                <w:color w:val="auto"/>
                <w:spacing w:val="2"/>
              </w:rPr>
            </w:pPr>
          </w:p>
        </w:tc>
        <w:tc>
          <w:tcPr>
            <w:tcW w:w="3171" w:type="dxa"/>
            <w:vAlign w:val="center"/>
          </w:tcPr>
          <w:p>
            <w:pPr>
              <w:pStyle w:val="35"/>
              <w:ind w:firstLine="328"/>
              <w:jc w:val="center"/>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1411" w:type="dxa"/>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部门（单位）自评</w:t>
            </w:r>
          </w:p>
          <w:p>
            <w:pPr>
              <w:pStyle w:val="35"/>
              <w:ind w:firstLine="328"/>
              <w:jc w:val="center"/>
              <w:rPr>
                <w:rFonts w:cs="Times New Roman" w:eastAsiaTheme="minorEastAsia"/>
                <w:color w:val="auto"/>
                <w:spacing w:val="2"/>
              </w:rPr>
            </w:pPr>
            <w:r>
              <w:rPr>
                <w:rFonts w:hint="eastAsia" w:cs="Times New Roman" w:eastAsiaTheme="minorEastAsia"/>
                <w:color w:val="auto"/>
                <w:spacing w:val="2"/>
              </w:rPr>
              <w:t>结论</w:t>
            </w:r>
          </w:p>
        </w:tc>
        <w:tc>
          <w:tcPr>
            <w:tcW w:w="13540" w:type="dxa"/>
            <w:gridSpan w:val="11"/>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本项目得分94分。2022年因疫情影响，实地走访调研企业不够；未能按计划开展原产地业务培宣传、推广、培训。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1411" w:type="dxa"/>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部门（单位）自评</w:t>
            </w:r>
          </w:p>
          <w:p>
            <w:pPr>
              <w:pStyle w:val="35"/>
              <w:ind w:firstLine="328"/>
              <w:jc w:val="center"/>
              <w:rPr>
                <w:rFonts w:cs="Times New Roman" w:eastAsiaTheme="minorEastAsia"/>
                <w:color w:val="auto"/>
                <w:spacing w:val="2"/>
              </w:rPr>
            </w:pPr>
            <w:r>
              <w:rPr>
                <w:rFonts w:hint="eastAsia" w:cs="Times New Roman" w:eastAsiaTheme="minorEastAsia"/>
                <w:color w:val="auto"/>
                <w:spacing w:val="2"/>
              </w:rPr>
              <w:t>存在问题</w:t>
            </w:r>
          </w:p>
        </w:tc>
        <w:tc>
          <w:tcPr>
            <w:tcW w:w="13540" w:type="dxa"/>
            <w:gridSpan w:val="11"/>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因疫情影响，项目资金进度缓慢，未能最大限度发挥资金效能。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1411" w:type="dxa"/>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部门（单位）自评</w:t>
            </w:r>
          </w:p>
          <w:p>
            <w:pPr>
              <w:pStyle w:val="35"/>
              <w:ind w:firstLine="328"/>
              <w:jc w:val="center"/>
              <w:rPr>
                <w:rFonts w:cs="Times New Roman" w:eastAsiaTheme="minorEastAsia"/>
                <w:color w:val="auto"/>
                <w:spacing w:val="2"/>
              </w:rPr>
            </w:pPr>
            <w:r>
              <w:rPr>
                <w:rFonts w:hint="eastAsia" w:cs="Times New Roman" w:eastAsiaTheme="minorEastAsia"/>
                <w:color w:val="auto"/>
                <w:spacing w:val="2"/>
              </w:rPr>
              <w:t>改进措施</w:t>
            </w:r>
          </w:p>
        </w:tc>
        <w:tc>
          <w:tcPr>
            <w:tcW w:w="13540" w:type="dxa"/>
            <w:gridSpan w:val="11"/>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加快项目实施进度的推进，加强项目开展进度的跟踪，及时开展项目绩效评价，确保项目绩效目标的完成，发挥资金的使用效益，压减年末结余资金规模，提高预算完成率。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1411" w:type="dxa"/>
            <w:vAlign w:val="center"/>
          </w:tcPr>
          <w:p>
            <w:pPr>
              <w:pStyle w:val="35"/>
              <w:ind w:firstLine="0" w:firstLineChars="0"/>
              <w:jc w:val="both"/>
              <w:rPr>
                <w:rFonts w:cs="Times New Roman" w:eastAsiaTheme="minorEastAsia"/>
                <w:color w:val="auto"/>
                <w:spacing w:val="2"/>
              </w:rPr>
            </w:pPr>
            <w:r>
              <w:rPr>
                <w:rFonts w:hint="eastAsia" w:cs="Times New Roman" w:eastAsiaTheme="minorEastAsia"/>
                <w:color w:val="auto"/>
                <w:spacing w:val="2"/>
              </w:rPr>
              <w:t>财政部门对口科室复评结论及整改要求</w:t>
            </w:r>
          </w:p>
        </w:tc>
        <w:tc>
          <w:tcPr>
            <w:tcW w:w="13540" w:type="dxa"/>
            <w:gridSpan w:val="11"/>
            <w:vAlign w:val="center"/>
          </w:tcPr>
          <w:p>
            <w:pPr>
              <w:pStyle w:val="35"/>
              <w:ind w:firstLine="328"/>
              <w:jc w:val="both"/>
              <w:rPr>
                <w:rFonts w:cs="Times New Roman" w:eastAsiaTheme="minorEastAsia"/>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7004" w:type="dxa"/>
            <w:gridSpan w:val="5"/>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单位项目负责人：邓克</w:t>
            </w:r>
          </w:p>
        </w:tc>
        <w:tc>
          <w:tcPr>
            <w:tcW w:w="7947" w:type="dxa"/>
            <w:gridSpan w:val="7"/>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单位财务负责人：胡永军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7004" w:type="dxa"/>
            <w:gridSpan w:val="5"/>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部门项目负责人：</w:t>
            </w:r>
          </w:p>
        </w:tc>
        <w:tc>
          <w:tcPr>
            <w:tcW w:w="7947" w:type="dxa"/>
            <w:gridSpan w:val="7"/>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部门财务负责人：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14951" w:type="dxa"/>
            <w:gridSpan w:val="12"/>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财政部门科室负责人：</w:t>
            </w:r>
          </w:p>
        </w:tc>
      </w:tr>
    </w:tbl>
    <w:p>
      <w:pPr>
        <w:ind w:firstLine="640"/>
        <w:jc w:val="center"/>
        <w:rPr>
          <w:rFonts w:ascii="Arial" w:hAnsi="Arial" w:cs="Arial"/>
          <w:color w:val="auto"/>
          <w:szCs w:val="21"/>
        </w:rPr>
      </w:pPr>
    </w:p>
    <w:p>
      <w:pPr>
        <w:pStyle w:val="2"/>
        <w:spacing w:before="72"/>
        <w:ind w:firstLine="600"/>
        <w:jc w:val="center"/>
        <w:rPr>
          <w:color w:val="auto"/>
        </w:rPr>
      </w:pPr>
    </w:p>
    <w:p>
      <w:pPr>
        <w:pStyle w:val="2"/>
        <w:spacing w:before="72"/>
        <w:ind w:firstLine="600"/>
        <w:jc w:val="center"/>
        <w:rPr>
          <w:color w:val="auto"/>
        </w:rPr>
      </w:pPr>
    </w:p>
    <w:p>
      <w:pPr>
        <w:pStyle w:val="2"/>
        <w:spacing w:before="72"/>
        <w:ind w:firstLine="600"/>
        <w:jc w:val="center"/>
        <w:rPr>
          <w:color w:val="auto"/>
        </w:rPr>
      </w:pPr>
    </w:p>
    <w:p>
      <w:pPr>
        <w:pStyle w:val="2"/>
        <w:spacing w:before="72"/>
        <w:ind w:firstLine="600"/>
        <w:jc w:val="center"/>
        <w:rPr>
          <w:color w:val="auto"/>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部门预算项目支出绩效自评表(2022年度)</w:t>
      </w:r>
    </w:p>
    <w:p>
      <w:pPr>
        <w:spacing w:line="69" w:lineRule="exact"/>
        <w:ind w:firstLine="640"/>
        <w:jc w:val="center"/>
        <w:rPr>
          <w:rFonts w:ascii="Arial" w:hAnsi="Arial"/>
          <w:color w:val="auto"/>
          <w:szCs w:val="21"/>
        </w:rPr>
      </w:pPr>
    </w:p>
    <w:p>
      <w:pPr>
        <w:spacing w:line="69" w:lineRule="exact"/>
        <w:ind w:firstLine="640"/>
        <w:jc w:val="center"/>
        <w:rPr>
          <w:rFonts w:ascii="Arial" w:hAnsi="Arial"/>
          <w:color w:val="auto"/>
          <w:szCs w:val="21"/>
        </w:rPr>
      </w:pPr>
    </w:p>
    <w:tbl>
      <w:tblPr>
        <w:tblStyle w:val="36"/>
        <w:tblW w:w="146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1"/>
        <w:gridCol w:w="1453"/>
        <w:gridCol w:w="1340"/>
        <w:gridCol w:w="1600"/>
        <w:gridCol w:w="905"/>
        <w:gridCol w:w="1028"/>
        <w:gridCol w:w="434"/>
        <w:gridCol w:w="906"/>
        <w:gridCol w:w="645"/>
        <w:gridCol w:w="794"/>
        <w:gridCol w:w="969"/>
        <w:gridCol w:w="31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8" w:hRule="atLeast"/>
          <w:jc w:val="center"/>
        </w:trPr>
        <w:tc>
          <w:tcPr>
            <w:tcW w:w="2864"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项目名称</w:t>
            </w:r>
          </w:p>
        </w:tc>
        <w:tc>
          <w:tcPr>
            <w:tcW w:w="11792" w:type="dxa"/>
            <w:gridSpan w:val="10"/>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我市组织参加2020年迪拜世博会中国馆“四川活动日”工作经费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jc w:val="center"/>
        </w:trPr>
        <w:tc>
          <w:tcPr>
            <w:tcW w:w="2864" w:type="dxa"/>
            <w:gridSpan w:val="2"/>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主管部门（盖章）</w:t>
            </w:r>
          </w:p>
        </w:tc>
        <w:tc>
          <w:tcPr>
            <w:tcW w:w="5307" w:type="dxa"/>
            <w:gridSpan w:val="5"/>
            <w:tcBorders>
              <w:top w:val="single" w:color="000000" w:sz="6" w:space="0"/>
              <w:left w:val="single" w:color="000000" w:sz="6" w:space="0"/>
              <w:bottom w:val="single" w:color="auto" w:sz="4" w:space="0"/>
              <w:right w:val="single" w:color="000000" w:sz="6" w:space="0"/>
            </w:tcBorders>
            <w:vAlign w:val="center"/>
          </w:tcPr>
          <w:p>
            <w:pPr>
              <w:kinsoku w:val="0"/>
              <w:autoSpaceDE w:val="0"/>
              <w:autoSpaceDN w:val="0"/>
              <w:adjustRightInd w:val="0"/>
              <w:snapToGrid w:val="0"/>
              <w:ind w:firstLine="328"/>
              <w:jc w:val="center"/>
              <w:textAlignment w:val="baseline"/>
              <w:rPr>
                <w:rFonts w:ascii="宋体" w:hAnsi="宋体" w:eastAsiaTheme="minorEastAsia"/>
                <w:color w:val="auto"/>
                <w:spacing w:val="2"/>
                <w:kern w:val="0"/>
                <w:sz w:val="16"/>
                <w:szCs w:val="16"/>
              </w:rPr>
            </w:pPr>
          </w:p>
        </w:tc>
        <w:tc>
          <w:tcPr>
            <w:tcW w:w="906" w:type="dxa"/>
            <w:tcBorders>
              <w:top w:val="single" w:color="000000" w:sz="6" w:space="0"/>
              <w:left w:val="single" w:color="000000" w:sz="6" w:space="0"/>
              <w:bottom w:val="single" w:color="auto" w:sz="4" w:space="0"/>
              <w:right w:val="single" w:color="000000" w:sz="6" w:space="0"/>
            </w:tcBorders>
            <w:vAlign w:val="center"/>
          </w:tcPr>
          <w:p>
            <w:pPr>
              <w:pStyle w:val="35"/>
              <w:ind w:left="-1" w:right="108" w:firstLine="0" w:firstLineChars="0"/>
              <w:rPr>
                <w:rFonts w:cs="Times New Roman" w:eastAsiaTheme="minorEastAsia"/>
                <w:color w:val="auto"/>
                <w:spacing w:val="2"/>
              </w:rPr>
            </w:pPr>
            <w:r>
              <w:rPr>
                <w:rFonts w:hint="eastAsia" w:cs="Times New Roman" w:eastAsiaTheme="minorEastAsia"/>
                <w:color w:val="auto"/>
                <w:spacing w:val="2"/>
              </w:rPr>
              <w:t>实施单位（盖章）</w:t>
            </w:r>
          </w:p>
        </w:tc>
        <w:tc>
          <w:tcPr>
            <w:tcW w:w="5579" w:type="dxa"/>
            <w:gridSpan w:val="4"/>
            <w:tcBorders>
              <w:top w:val="single" w:color="000000" w:sz="6" w:space="0"/>
              <w:left w:val="single" w:color="000000" w:sz="6" w:space="0"/>
              <w:bottom w:val="single" w:color="auto" w:sz="4"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中国国际贸易促进委员会广元市委员会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项目基本情况</w:t>
            </w:r>
          </w:p>
        </w:tc>
        <w:tc>
          <w:tcPr>
            <w:tcW w:w="1453"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1.项目年度目标完成情况</w:t>
            </w:r>
          </w:p>
        </w:tc>
        <w:tc>
          <w:tcPr>
            <w:tcW w:w="5307" w:type="dxa"/>
            <w:gridSpan w:val="5"/>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项目年度目标</w:t>
            </w:r>
          </w:p>
        </w:tc>
        <w:tc>
          <w:tcPr>
            <w:tcW w:w="6485" w:type="dxa"/>
            <w:gridSpan w:val="5"/>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年度目标完成情况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5307" w:type="dxa"/>
            <w:gridSpan w:val="5"/>
            <w:tcBorders>
              <w:top w:val="single" w:color="auto" w:sz="4" w:space="0"/>
              <w:left w:val="single" w:color="auto" w:sz="4" w:space="0"/>
              <w:bottom w:val="single" w:color="auto" w:sz="4" w:space="0"/>
              <w:right w:val="single" w:color="auto" w:sz="4" w:space="0"/>
            </w:tcBorders>
            <w:vAlign w:val="center"/>
          </w:tcPr>
          <w:p>
            <w:pPr>
              <w:pStyle w:val="35"/>
              <w:ind w:firstLine="0" w:firstLineChars="0"/>
              <w:jc w:val="both"/>
              <w:rPr>
                <w:rFonts w:cs="Times New Roman" w:eastAsiaTheme="minorEastAsia"/>
                <w:color w:val="auto"/>
                <w:spacing w:val="2"/>
              </w:rPr>
            </w:pPr>
            <w:r>
              <w:rPr>
                <w:rFonts w:hint="eastAsia" w:cs="Times New Roman" w:eastAsiaTheme="minorEastAsia"/>
                <w:color w:val="auto"/>
                <w:spacing w:val="2"/>
              </w:rPr>
              <w:t>组织广元企业参展，同步参加会期系列活动。</w:t>
            </w:r>
          </w:p>
        </w:tc>
        <w:tc>
          <w:tcPr>
            <w:tcW w:w="6485" w:type="dxa"/>
            <w:gridSpan w:val="5"/>
            <w:tcBorders>
              <w:top w:val="single" w:color="auto" w:sz="4" w:space="0"/>
              <w:left w:val="single" w:color="auto" w:sz="4" w:space="0"/>
              <w:bottom w:val="single" w:color="auto" w:sz="4" w:space="0"/>
              <w:right w:val="single" w:color="auto" w:sz="4" w:space="0"/>
            </w:tcBorders>
            <w:vAlign w:val="center"/>
          </w:tcPr>
          <w:p>
            <w:pPr>
              <w:pStyle w:val="35"/>
              <w:ind w:firstLine="0" w:firstLineChars="0"/>
              <w:jc w:val="both"/>
              <w:rPr>
                <w:rFonts w:cs="Times New Roman" w:eastAsiaTheme="minorEastAsia"/>
                <w:color w:val="auto"/>
                <w:spacing w:val="2"/>
              </w:rPr>
            </w:pPr>
            <w:r>
              <w:rPr>
                <w:rFonts w:hint="eastAsia" w:cs="Times New Roman" w:eastAsiaTheme="minorEastAsia"/>
                <w:color w:val="auto"/>
                <w:spacing w:val="2"/>
              </w:rPr>
              <w:t>组织广元企业参展，同步参加会期系列活动。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2.项目实施内容及过程概述</w:t>
            </w:r>
          </w:p>
        </w:tc>
        <w:tc>
          <w:tcPr>
            <w:tcW w:w="11792" w:type="dxa"/>
            <w:gridSpan w:val="10"/>
            <w:tcBorders>
              <w:top w:val="single" w:color="auto" w:sz="4" w:space="0"/>
              <w:left w:val="single" w:color="auto" w:sz="4" w:space="0"/>
              <w:bottom w:val="single" w:color="auto" w:sz="4" w:space="0"/>
              <w:right w:val="single" w:color="auto" w:sz="4" w:space="0"/>
            </w:tcBorders>
            <w:vAlign w:val="center"/>
          </w:tcPr>
          <w:p>
            <w:pPr>
              <w:pStyle w:val="35"/>
              <w:ind w:firstLine="0" w:firstLineChars="0"/>
              <w:jc w:val="both"/>
              <w:rPr>
                <w:rFonts w:cs="Times New Roman" w:eastAsiaTheme="minorEastAsia"/>
                <w:color w:val="auto"/>
                <w:spacing w:val="2"/>
              </w:rPr>
            </w:pPr>
            <w:r>
              <w:rPr>
                <w:rFonts w:hint="eastAsia" w:cs="Times New Roman" w:eastAsiaTheme="minorEastAsia"/>
                <w:color w:val="auto"/>
                <w:spacing w:val="2"/>
              </w:rPr>
              <w:t>广元7家企业参加2020年迪拜世博会中国馆“四川活动日”——“遇见巴蜀•国际融合采洽会”，米茶山茶叶、速食牛肉面、“广元七绝”系列、女皇故里酒、“广元红”高端红茶等60余种优质产品亮相“融洽会”，会期销售及意向共450余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预算执行情况（10分）</w:t>
            </w: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年度预算数（万元）</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年初预算</w:t>
            </w:r>
          </w:p>
        </w:tc>
        <w:tc>
          <w:tcPr>
            <w:tcW w:w="160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调整后预算数</w:t>
            </w:r>
          </w:p>
        </w:tc>
        <w:tc>
          <w:tcPr>
            <w:tcW w:w="2367"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预算执行数</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预算执行率</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权重%</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部门自评得分</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财政部门科室复评得分</w:t>
            </w: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原因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总额</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3.55</w:t>
            </w:r>
          </w:p>
        </w:tc>
        <w:tc>
          <w:tcPr>
            <w:tcW w:w="160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3.55</w:t>
            </w:r>
          </w:p>
        </w:tc>
        <w:tc>
          <w:tcPr>
            <w:tcW w:w="2367"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3.55</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100.00%</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1.预算执行率=预算执行数/调整后预算数，预算执行率未达到90%的需说明原因（100字以内）；2.年中发生预算调整的（追加或调减），应单独说明理由；3.其他资金包括、社会投入资金、银行贷款.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其中：财政资金</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3.55</w:t>
            </w:r>
          </w:p>
        </w:tc>
        <w:tc>
          <w:tcPr>
            <w:tcW w:w="160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3.55</w:t>
            </w:r>
          </w:p>
        </w:tc>
        <w:tc>
          <w:tcPr>
            <w:tcW w:w="2367"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3.55</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财政专户管理资金</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2367"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单位资金</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2367"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其他资金</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2367" w:type="dxa"/>
            <w:gridSpan w:val="3"/>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绩效指标（90分）</w:t>
            </w: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一级指标</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二级指标</w:t>
            </w:r>
          </w:p>
        </w:tc>
        <w:tc>
          <w:tcPr>
            <w:tcW w:w="1600" w:type="dxa"/>
            <w:tcBorders>
              <w:top w:val="single" w:color="auto" w:sz="4" w:space="0"/>
              <w:left w:val="single" w:color="auto" w:sz="4" w:space="0"/>
              <w:bottom w:val="single" w:color="auto" w:sz="4" w:space="0"/>
              <w:right w:val="single" w:color="auto" w:sz="4" w:space="0"/>
            </w:tcBorders>
            <w:vAlign w:val="center"/>
          </w:tcPr>
          <w:p>
            <w:pPr>
              <w:pStyle w:val="35"/>
              <w:ind w:firstLine="328"/>
              <w:rPr>
                <w:rFonts w:cs="Times New Roman" w:eastAsiaTheme="minorEastAsia"/>
                <w:color w:val="auto"/>
                <w:spacing w:val="2"/>
              </w:rPr>
            </w:pPr>
            <w:r>
              <w:rPr>
                <w:rFonts w:hint="eastAsia" w:cs="Times New Roman" w:eastAsiaTheme="minorEastAsia"/>
                <w:color w:val="auto"/>
                <w:spacing w:val="2"/>
              </w:rPr>
              <w:t>三级指标</w:t>
            </w:r>
          </w:p>
        </w:tc>
        <w:tc>
          <w:tcPr>
            <w:tcW w:w="905"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指标性质</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指标值</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度量单位</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完成值</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权重</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部门自评得分</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财政部门科室复评得分</w:t>
            </w: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未完成原因分析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vMerge w:val="restart"/>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产出指标</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数量指标</w:t>
            </w:r>
          </w:p>
        </w:tc>
        <w:tc>
          <w:tcPr>
            <w:tcW w:w="160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参展企业数量</w:t>
            </w:r>
          </w:p>
        </w:tc>
        <w:tc>
          <w:tcPr>
            <w:tcW w:w="90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5</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家</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7家</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时效指标</w:t>
            </w:r>
          </w:p>
        </w:tc>
        <w:tc>
          <w:tcPr>
            <w:tcW w:w="160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完成时间</w:t>
            </w:r>
          </w:p>
        </w:tc>
        <w:tc>
          <w:tcPr>
            <w:tcW w:w="90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项目完成时间</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12</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月</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12月前</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数量指标</w:t>
            </w:r>
          </w:p>
        </w:tc>
        <w:tc>
          <w:tcPr>
            <w:tcW w:w="160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展览面积</w:t>
            </w:r>
          </w:p>
        </w:tc>
        <w:tc>
          <w:tcPr>
            <w:tcW w:w="90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50</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平方米</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63平方米</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成本指标</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成本指标</w:t>
            </w:r>
          </w:p>
        </w:tc>
        <w:tc>
          <w:tcPr>
            <w:tcW w:w="160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承办世博会各项活</w:t>
            </w:r>
          </w:p>
        </w:tc>
        <w:tc>
          <w:tcPr>
            <w:tcW w:w="90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3.55</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万元</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3.55万元</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效益指标</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社会效益指标</w:t>
            </w:r>
          </w:p>
        </w:tc>
        <w:tc>
          <w:tcPr>
            <w:tcW w:w="160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持续提升广元本地企业外向发展能力</w:t>
            </w:r>
          </w:p>
        </w:tc>
        <w:tc>
          <w:tcPr>
            <w:tcW w:w="90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1453"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满意度指标</w:t>
            </w:r>
          </w:p>
        </w:tc>
        <w:tc>
          <w:tcPr>
            <w:tcW w:w="134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服务对象满意度指标</w:t>
            </w:r>
          </w:p>
        </w:tc>
        <w:tc>
          <w:tcPr>
            <w:tcW w:w="1600"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参会参展企业满意度</w:t>
            </w:r>
          </w:p>
        </w:tc>
        <w:tc>
          <w:tcPr>
            <w:tcW w:w="90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434" w:type="dxa"/>
            <w:tcBorders>
              <w:top w:val="single" w:color="auto" w:sz="4" w:space="0"/>
              <w:left w:val="single" w:color="auto" w:sz="4" w:space="0"/>
              <w:bottom w:val="single" w:color="auto" w:sz="4" w:space="0"/>
              <w:right w:val="single" w:color="auto" w:sz="4" w:space="0"/>
            </w:tcBorders>
            <w:vAlign w:val="center"/>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w:t>
            </w:r>
          </w:p>
        </w:tc>
        <w:tc>
          <w:tcPr>
            <w:tcW w:w="906"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645"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794"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969"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c>
          <w:tcPr>
            <w:tcW w:w="3171" w:type="dxa"/>
            <w:tcBorders>
              <w:top w:val="single" w:color="auto" w:sz="4" w:space="0"/>
              <w:left w:val="single" w:color="auto" w:sz="4" w:space="0"/>
              <w:bottom w:val="single" w:color="auto" w:sz="4" w:space="0"/>
              <w:right w:val="single" w:color="auto" w:sz="4" w:space="0"/>
            </w:tcBorders>
            <w:vAlign w:val="center"/>
          </w:tcPr>
          <w:p>
            <w:pPr>
              <w:pStyle w:val="35"/>
              <w:ind w:firstLine="328"/>
              <w:jc w:val="center"/>
              <w:rPr>
                <w:rFonts w:cs="Times New Roman" w:eastAsiaTheme="minorEastAsia"/>
                <w:color w:val="auto"/>
                <w:spacing w:val="2"/>
              </w:rPr>
            </w:pPr>
          </w:p>
        </w:tc>
      </w:tr>
    </w:tbl>
    <w:p>
      <w:pPr>
        <w:ind w:firstLine="640"/>
        <w:rPr>
          <w:rFonts w:ascii="Arial" w:hAnsi="Arial" w:cs="Arial"/>
          <w:color w:val="auto"/>
          <w:szCs w:val="21"/>
        </w:rPr>
      </w:pPr>
    </w:p>
    <w:p>
      <w:pPr>
        <w:ind w:firstLine="640"/>
        <w:jc w:val="center"/>
        <w:rPr>
          <w:color w:val="auto"/>
        </w:rPr>
        <w:sectPr>
          <w:pgSz w:w="16837" w:h="11905"/>
          <w:pgMar w:top="1011" w:right="1090" w:bottom="650" w:left="1075" w:header="0" w:footer="454" w:gutter="0"/>
          <w:cols w:space="720" w:num="1"/>
        </w:sectPr>
      </w:pPr>
    </w:p>
    <w:p>
      <w:pPr>
        <w:spacing w:line="113" w:lineRule="exact"/>
        <w:ind w:firstLine="640"/>
        <w:jc w:val="center"/>
        <w:rPr>
          <w:color w:val="auto"/>
        </w:rPr>
      </w:pPr>
    </w:p>
    <w:tbl>
      <w:tblPr>
        <w:tblStyle w:val="36"/>
        <w:tblW w:w="146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1"/>
        <w:gridCol w:w="5299"/>
        <w:gridCol w:w="2368"/>
        <w:gridCol w:w="645"/>
        <w:gridCol w:w="793"/>
        <w:gridCol w:w="969"/>
        <w:gridCol w:w="31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9078" w:type="dxa"/>
            <w:gridSpan w:val="3"/>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合计</w:t>
            </w: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100</w:t>
            </w:r>
          </w:p>
        </w:tc>
        <w:tc>
          <w:tcPr>
            <w:tcW w:w="793" w:type="dxa"/>
            <w:tcBorders>
              <w:top w:val="single" w:color="000000" w:sz="6" w:space="0"/>
              <w:left w:val="single" w:color="000000" w:sz="6" w:space="0"/>
              <w:bottom w:val="single" w:color="000000" w:sz="6" w:space="0"/>
              <w:right w:val="single" w:color="000000" w:sz="6" w:space="0"/>
            </w:tcBorders>
            <w:vAlign w:val="center"/>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100</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8" w:hRule="atLeast"/>
          <w:jc w:val="center"/>
        </w:trPr>
        <w:tc>
          <w:tcPr>
            <w:tcW w:w="1411"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部门（单位）自评结论</w:t>
            </w:r>
          </w:p>
        </w:tc>
        <w:tc>
          <w:tcPr>
            <w:tcW w:w="13245" w:type="dxa"/>
            <w:gridSpan w:val="6"/>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本项目自评得分100分。广元7家企业参加2020年迪拜世博会中国馆“四川活动日”——“遇见巴蜀•国际融合采洽会”，米茶山茶叶、速食牛肉面、“广元七绝”系列、女皇故里酒、“广元红”高端红茶等60余种优质产品亮相“融洽会”，会期销售及意向共450余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8" w:hRule="atLeast"/>
          <w:jc w:val="center"/>
        </w:trPr>
        <w:tc>
          <w:tcPr>
            <w:tcW w:w="1411"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部门（单位）自评存在问题</w:t>
            </w:r>
          </w:p>
        </w:tc>
        <w:tc>
          <w:tcPr>
            <w:tcW w:w="13245" w:type="dxa"/>
            <w:gridSpan w:val="6"/>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8" w:hRule="atLeast"/>
          <w:jc w:val="center"/>
        </w:trPr>
        <w:tc>
          <w:tcPr>
            <w:tcW w:w="1411"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部门（单位）自评改进措施</w:t>
            </w:r>
          </w:p>
        </w:tc>
        <w:tc>
          <w:tcPr>
            <w:tcW w:w="13245" w:type="dxa"/>
            <w:gridSpan w:val="6"/>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jc w:val="center"/>
        </w:trPr>
        <w:tc>
          <w:tcPr>
            <w:tcW w:w="1411"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财政部门对口科室复评结论及整改要</w:t>
            </w:r>
          </w:p>
          <w:p>
            <w:pPr>
              <w:pStyle w:val="35"/>
              <w:ind w:firstLine="0" w:firstLineChars="0"/>
              <w:rPr>
                <w:rFonts w:cs="Times New Roman" w:eastAsiaTheme="minorEastAsia"/>
                <w:color w:val="auto"/>
                <w:spacing w:val="2"/>
              </w:rPr>
            </w:pPr>
            <w:r>
              <w:rPr>
                <w:rFonts w:hint="eastAsia" w:cs="Times New Roman" w:eastAsiaTheme="minorEastAsia"/>
                <w:color w:val="auto"/>
                <w:spacing w:val="2"/>
              </w:rPr>
              <w:t>求</w:t>
            </w:r>
          </w:p>
        </w:tc>
        <w:tc>
          <w:tcPr>
            <w:tcW w:w="13245" w:type="dxa"/>
            <w:gridSpan w:val="6"/>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6710"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单位项目负责人：邓克</w:t>
            </w:r>
          </w:p>
        </w:tc>
        <w:tc>
          <w:tcPr>
            <w:tcW w:w="7946" w:type="dxa"/>
            <w:gridSpan w:val="5"/>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单位财务负责人：胡永军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6710"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部门项目负责人：</w:t>
            </w:r>
          </w:p>
        </w:tc>
        <w:tc>
          <w:tcPr>
            <w:tcW w:w="7946" w:type="dxa"/>
            <w:gridSpan w:val="5"/>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部门财务负责人：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jc w:val="center"/>
        </w:trPr>
        <w:tc>
          <w:tcPr>
            <w:tcW w:w="14656" w:type="dxa"/>
            <w:gridSpan w:val="7"/>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财政部门科室负责人：</w:t>
            </w:r>
          </w:p>
        </w:tc>
      </w:tr>
    </w:tbl>
    <w:p>
      <w:pPr>
        <w:pStyle w:val="35"/>
        <w:ind w:firstLine="328"/>
        <w:jc w:val="both"/>
        <w:rPr>
          <w:rFonts w:cs="Times New Roman" w:eastAsiaTheme="minorEastAsia"/>
          <w:color w:val="auto"/>
          <w:spacing w:val="2"/>
        </w:rPr>
      </w:pPr>
    </w:p>
    <w:p>
      <w:pPr>
        <w:pStyle w:val="2"/>
        <w:spacing w:before="72"/>
        <w:ind w:firstLine="640"/>
        <w:jc w:val="center"/>
        <w:rPr>
          <w:rFonts w:hAnsi="宋体" w:cs="宋体"/>
          <w:color w:val="auto"/>
          <w:sz w:val="32"/>
          <w:szCs w:val="32"/>
          <w:shd w:val="clear" w:color="auto" w:fill="FFFFFF"/>
        </w:rPr>
      </w:pPr>
    </w:p>
    <w:p>
      <w:pPr>
        <w:pStyle w:val="2"/>
        <w:spacing w:before="72"/>
        <w:ind w:firstLine="640"/>
        <w:jc w:val="center"/>
        <w:rPr>
          <w:rFonts w:hAnsi="宋体" w:cs="宋体"/>
          <w:color w:val="auto"/>
          <w:sz w:val="32"/>
          <w:szCs w:val="32"/>
          <w:shd w:val="clear" w:color="auto" w:fill="FFFFFF"/>
        </w:rPr>
      </w:pPr>
    </w:p>
    <w:p>
      <w:pPr>
        <w:pStyle w:val="2"/>
        <w:spacing w:before="72"/>
        <w:ind w:firstLine="640"/>
        <w:jc w:val="center"/>
        <w:rPr>
          <w:rFonts w:hAnsi="宋体" w:cs="宋体"/>
          <w:color w:val="auto"/>
          <w:sz w:val="32"/>
          <w:szCs w:val="32"/>
          <w:shd w:val="clear" w:color="auto" w:fill="FFFFFF"/>
        </w:rPr>
      </w:pPr>
    </w:p>
    <w:p>
      <w:pPr>
        <w:pStyle w:val="2"/>
        <w:spacing w:before="72"/>
        <w:ind w:firstLine="640"/>
        <w:jc w:val="center"/>
        <w:rPr>
          <w:rFonts w:hAnsi="宋体" w:cs="宋体"/>
          <w:color w:val="auto"/>
          <w:sz w:val="32"/>
          <w:szCs w:val="32"/>
          <w:shd w:val="clear" w:color="auto" w:fill="FFFFFF"/>
        </w:rPr>
      </w:pPr>
    </w:p>
    <w:p>
      <w:pPr>
        <w:spacing w:before="178"/>
        <w:ind w:left="88" w:firstLine="560"/>
        <w:jc w:val="center"/>
        <w:rPr>
          <w:rFonts w:ascii="黑体" w:hAnsi="黑体" w:eastAsia="黑体"/>
          <w:color w:val="auto"/>
          <w:sz w:val="28"/>
          <w:szCs w:val="28"/>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部门预算项目支出绩效自评表(2022年度)</w:t>
      </w:r>
    </w:p>
    <w:p>
      <w:pPr>
        <w:spacing w:line="69" w:lineRule="exact"/>
        <w:ind w:firstLine="640"/>
        <w:jc w:val="center"/>
        <w:rPr>
          <w:rFonts w:ascii="Arial" w:hAnsi="Arial"/>
          <w:color w:val="auto"/>
          <w:szCs w:val="21"/>
        </w:rPr>
      </w:pPr>
    </w:p>
    <w:tbl>
      <w:tblPr>
        <w:tblStyle w:val="36"/>
        <w:tblW w:w="145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1"/>
        <w:gridCol w:w="1453"/>
        <w:gridCol w:w="1316"/>
        <w:gridCol w:w="1218"/>
        <w:gridCol w:w="1177"/>
        <w:gridCol w:w="1028"/>
        <w:gridCol w:w="434"/>
        <w:gridCol w:w="906"/>
        <w:gridCol w:w="645"/>
        <w:gridCol w:w="793"/>
        <w:gridCol w:w="969"/>
        <w:gridCol w:w="31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1" w:hRule="atLeast"/>
          <w:jc w:val="center"/>
        </w:trPr>
        <w:tc>
          <w:tcPr>
            <w:tcW w:w="2864"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项目名称</w:t>
            </w:r>
          </w:p>
        </w:tc>
        <w:tc>
          <w:tcPr>
            <w:tcW w:w="11657" w:type="dxa"/>
            <w:gridSpan w:val="10"/>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乡村振兴工作经费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2864" w:type="dxa"/>
            <w:gridSpan w:val="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主管部门（盖章）</w:t>
            </w:r>
          </w:p>
        </w:tc>
        <w:tc>
          <w:tcPr>
            <w:tcW w:w="5173" w:type="dxa"/>
            <w:gridSpan w:val="5"/>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实施单位（盖章）</w:t>
            </w:r>
          </w:p>
        </w:tc>
        <w:tc>
          <w:tcPr>
            <w:tcW w:w="5578" w:type="dxa"/>
            <w:gridSpan w:val="4"/>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中国国际贸易促进委员会广元市委员会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jc w:val="center"/>
        </w:trPr>
        <w:tc>
          <w:tcPr>
            <w:tcW w:w="1411" w:type="dxa"/>
            <w:vMerge w:val="restart"/>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项目基本情况</w:t>
            </w:r>
          </w:p>
        </w:tc>
        <w:tc>
          <w:tcPr>
            <w:tcW w:w="1453" w:type="dxa"/>
            <w:vMerge w:val="restart"/>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1.项目年度目标完成情况</w:t>
            </w:r>
          </w:p>
        </w:tc>
        <w:tc>
          <w:tcPr>
            <w:tcW w:w="5173" w:type="dxa"/>
            <w:gridSpan w:val="5"/>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项目年度目标</w:t>
            </w:r>
          </w:p>
        </w:tc>
        <w:tc>
          <w:tcPr>
            <w:tcW w:w="6484" w:type="dxa"/>
            <w:gridSpan w:val="5"/>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年度目标完成情况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6" w:hRule="atLeast"/>
          <w:jc w:val="center"/>
        </w:trPr>
        <w:tc>
          <w:tcPr>
            <w:tcW w:w="1411" w:type="dxa"/>
            <w:vMerge w:val="continue"/>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p>
        </w:tc>
        <w:tc>
          <w:tcPr>
            <w:tcW w:w="1453" w:type="dxa"/>
            <w:vMerge w:val="continue"/>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p>
        </w:tc>
        <w:tc>
          <w:tcPr>
            <w:tcW w:w="5173" w:type="dxa"/>
            <w:gridSpan w:val="5"/>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both"/>
              <w:rPr>
                <w:rFonts w:cs="Times New Roman" w:eastAsiaTheme="minorEastAsia"/>
                <w:color w:val="auto"/>
                <w:spacing w:val="2"/>
              </w:rPr>
            </w:pPr>
            <w:r>
              <w:rPr>
                <w:rFonts w:hint="eastAsia" w:cs="Times New Roman" w:eastAsiaTheme="minorEastAsia"/>
                <w:color w:val="auto"/>
                <w:spacing w:val="2"/>
              </w:rPr>
              <w:t>根据定点帮扶的规定，完成我会昭化太公镇黄金村定点帮扶工作。</w:t>
            </w:r>
          </w:p>
        </w:tc>
        <w:tc>
          <w:tcPr>
            <w:tcW w:w="6484" w:type="dxa"/>
            <w:gridSpan w:val="5"/>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both"/>
              <w:rPr>
                <w:rFonts w:cs="Times New Roman" w:eastAsiaTheme="minorEastAsia"/>
                <w:color w:val="auto"/>
                <w:spacing w:val="2"/>
              </w:rPr>
            </w:pPr>
            <w:r>
              <w:rPr>
                <w:rFonts w:hint="eastAsia" w:cs="Times New Roman" w:eastAsiaTheme="minorEastAsia"/>
                <w:color w:val="auto"/>
                <w:spacing w:val="2"/>
              </w:rPr>
              <w:t>根据定点帮扶的规定，完成我会昭化太公镇黄金村定点帮扶工作。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jc w:val="center"/>
        </w:trPr>
        <w:tc>
          <w:tcPr>
            <w:tcW w:w="1411" w:type="dxa"/>
            <w:vMerge w:val="continue"/>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p>
        </w:tc>
        <w:tc>
          <w:tcPr>
            <w:tcW w:w="145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2.项目实施内容及过程概述</w:t>
            </w:r>
          </w:p>
        </w:tc>
        <w:tc>
          <w:tcPr>
            <w:tcW w:w="11657" w:type="dxa"/>
            <w:gridSpan w:val="10"/>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both"/>
              <w:rPr>
                <w:rFonts w:cs="Times New Roman" w:eastAsiaTheme="minorEastAsia"/>
                <w:color w:val="auto"/>
                <w:spacing w:val="2"/>
              </w:rPr>
            </w:pPr>
            <w:r>
              <w:rPr>
                <w:rFonts w:hint="eastAsia" w:cs="Times New Roman" w:eastAsiaTheme="minorEastAsia"/>
                <w:color w:val="auto"/>
                <w:spacing w:val="2"/>
              </w:rPr>
              <w:t>驻村工作队全脱产驻村昭化区太公镇黄金村，通过入户走访、以购代扶等，完成我会帮扶工作。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jc w:val="center"/>
        </w:trPr>
        <w:tc>
          <w:tcPr>
            <w:tcW w:w="1411" w:type="dxa"/>
            <w:vMerge w:val="restart"/>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预算执行情况（10分）</w:t>
            </w:r>
          </w:p>
        </w:tc>
        <w:tc>
          <w:tcPr>
            <w:tcW w:w="145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年度预算数（万元）</w:t>
            </w:r>
          </w:p>
        </w:tc>
        <w:tc>
          <w:tcPr>
            <w:tcW w:w="131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年初预算</w:t>
            </w:r>
          </w:p>
        </w:tc>
        <w:tc>
          <w:tcPr>
            <w:tcW w:w="1218"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调整后预算数</w:t>
            </w:r>
          </w:p>
        </w:tc>
        <w:tc>
          <w:tcPr>
            <w:tcW w:w="2639" w:type="dxa"/>
            <w:gridSpan w:val="3"/>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预算执行数</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预算执行率</w:t>
            </w: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权重%</w:t>
            </w:r>
          </w:p>
        </w:tc>
        <w:tc>
          <w:tcPr>
            <w:tcW w:w="793"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部门自评得分</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财政部门科室复评得分</w:t>
            </w:r>
          </w:p>
        </w:tc>
        <w:tc>
          <w:tcPr>
            <w:tcW w:w="317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原因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p>
        </w:tc>
        <w:tc>
          <w:tcPr>
            <w:tcW w:w="145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总额</w:t>
            </w:r>
          </w:p>
        </w:tc>
        <w:tc>
          <w:tcPr>
            <w:tcW w:w="131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1.82</w:t>
            </w:r>
          </w:p>
        </w:tc>
        <w:tc>
          <w:tcPr>
            <w:tcW w:w="121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1.82</w:t>
            </w:r>
          </w:p>
        </w:tc>
        <w:tc>
          <w:tcPr>
            <w:tcW w:w="2639" w:type="dxa"/>
            <w:gridSpan w:val="3"/>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1.82</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100.00%</w:t>
            </w: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vMerge w:val="restart"/>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1.预算执行率=预算执行数/调整后预算数，预算执行率未达到90%的需说明原因（100字以内）；2.年中发生预算调整的（追加或调减），应单独说明理由；3.其他资金包括、社会投入资金、银行贷款.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p>
        </w:tc>
        <w:tc>
          <w:tcPr>
            <w:tcW w:w="145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其中：财政资金</w:t>
            </w:r>
          </w:p>
        </w:tc>
        <w:tc>
          <w:tcPr>
            <w:tcW w:w="131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1.82</w:t>
            </w:r>
          </w:p>
        </w:tc>
        <w:tc>
          <w:tcPr>
            <w:tcW w:w="121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1.82</w:t>
            </w:r>
          </w:p>
        </w:tc>
        <w:tc>
          <w:tcPr>
            <w:tcW w:w="2639" w:type="dxa"/>
            <w:gridSpan w:val="3"/>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1.82</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79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p>
        </w:tc>
        <w:tc>
          <w:tcPr>
            <w:tcW w:w="145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财政专户管理资金</w:t>
            </w:r>
          </w:p>
        </w:tc>
        <w:tc>
          <w:tcPr>
            <w:tcW w:w="131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121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2639" w:type="dxa"/>
            <w:gridSpan w:val="3"/>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79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p>
        </w:tc>
        <w:tc>
          <w:tcPr>
            <w:tcW w:w="145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单位资金</w:t>
            </w:r>
          </w:p>
        </w:tc>
        <w:tc>
          <w:tcPr>
            <w:tcW w:w="131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121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2639" w:type="dxa"/>
            <w:gridSpan w:val="3"/>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79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11" w:type="dxa"/>
            <w:vMerge w:val="continue"/>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p>
        </w:tc>
        <w:tc>
          <w:tcPr>
            <w:tcW w:w="145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其他资金</w:t>
            </w:r>
          </w:p>
        </w:tc>
        <w:tc>
          <w:tcPr>
            <w:tcW w:w="131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121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2639" w:type="dxa"/>
            <w:gridSpan w:val="3"/>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79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vMerge w:val="continue"/>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jc w:val="center"/>
        </w:trPr>
        <w:tc>
          <w:tcPr>
            <w:tcW w:w="141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绩效指标（90分）</w:t>
            </w:r>
          </w:p>
        </w:tc>
        <w:tc>
          <w:tcPr>
            <w:tcW w:w="145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一级指标</w:t>
            </w:r>
          </w:p>
        </w:tc>
        <w:tc>
          <w:tcPr>
            <w:tcW w:w="131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二级指标</w:t>
            </w:r>
          </w:p>
        </w:tc>
        <w:tc>
          <w:tcPr>
            <w:tcW w:w="1218" w:type="dxa"/>
            <w:tcBorders>
              <w:top w:val="single" w:color="000000" w:sz="6" w:space="0"/>
              <w:left w:val="single" w:color="000000" w:sz="6" w:space="0"/>
              <w:bottom w:val="single" w:color="000000" w:sz="6" w:space="0"/>
              <w:right w:val="single" w:color="000000" w:sz="6" w:space="0"/>
            </w:tcBorders>
            <w:vAlign w:val="center"/>
          </w:tcPr>
          <w:p>
            <w:pPr>
              <w:pStyle w:val="35"/>
              <w:ind w:firstLine="328"/>
              <w:rPr>
                <w:rFonts w:cs="Times New Roman" w:eastAsiaTheme="minorEastAsia"/>
                <w:color w:val="auto"/>
                <w:spacing w:val="2"/>
              </w:rPr>
            </w:pPr>
            <w:r>
              <w:rPr>
                <w:rFonts w:hint="eastAsia" w:cs="Times New Roman" w:eastAsiaTheme="minorEastAsia"/>
                <w:color w:val="auto"/>
                <w:spacing w:val="2"/>
              </w:rPr>
              <w:t>三级指标</w:t>
            </w:r>
          </w:p>
        </w:tc>
        <w:tc>
          <w:tcPr>
            <w:tcW w:w="117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指标性质</w:t>
            </w:r>
          </w:p>
        </w:tc>
        <w:tc>
          <w:tcPr>
            <w:tcW w:w="102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指标值</w:t>
            </w:r>
          </w:p>
        </w:tc>
        <w:tc>
          <w:tcPr>
            <w:tcW w:w="434"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度量单位</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198" w:firstLineChars="121"/>
              <w:rPr>
                <w:rFonts w:cs="Times New Roman" w:eastAsiaTheme="minorEastAsia"/>
                <w:color w:val="auto"/>
                <w:spacing w:val="2"/>
              </w:rPr>
            </w:pPr>
            <w:r>
              <w:rPr>
                <w:rFonts w:hint="eastAsia" w:cs="Times New Roman" w:eastAsiaTheme="minorEastAsia"/>
                <w:color w:val="auto"/>
                <w:spacing w:val="2"/>
              </w:rPr>
              <w:t>完成值</w:t>
            </w: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权重</w:t>
            </w:r>
          </w:p>
        </w:tc>
        <w:tc>
          <w:tcPr>
            <w:tcW w:w="793"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部门自评得分</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rPr>
                <w:rFonts w:cs="Times New Roman" w:eastAsiaTheme="minorEastAsia"/>
                <w:color w:val="auto"/>
                <w:spacing w:val="2"/>
              </w:rPr>
            </w:pPr>
            <w:r>
              <w:rPr>
                <w:rFonts w:hint="eastAsia" w:cs="Times New Roman" w:eastAsiaTheme="minorEastAsia"/>
                <w:color w:val="auto"/>
                <w:spacing w:val="2"/>
              </w:rPr>
              <w:t>财政部门科室复评得分</w:t>
            </w:r>
          </w:p>
        </w:tc>
        <w:tc>
          <w:tcPr>
            <w:tcW w:w="317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未完成原因分析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41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1453" w:type="dxa"/>
            <w:vMerge w:val="restart"/>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产出指标</w:t>
            </w:r>
          </w:p>
        </w:tc>
        <w:tc>
          <w:tcPr>
            <w:tcW w:w="131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数量指标</w:t>
            </w:r>
          </w:p>
        </w:tc>
        <w:tc>
          <w:tcPr>
            <w:tcW w:w="1218"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帮扶黄金村脱贫户</w:t>
            </w:r>
          </w:p>
        </w:tc>
        <w:tc>
          <w:tcPr>
            <w:tcW w:w="117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109</w:t>
            </w:r>
          </w:p>
        </w:tc>
        <w:tc>
          <w:tcPr>
            <w:tcW w:w="434"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户</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109户</w:t>
            </w: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79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41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1453" w:type="dxa"/>
            <w:vMerge w:val="continue"/>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p>
        </w:tc>
        <w:tc>
          <w:tcPr>
            <w:tcW w:w="131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时效指标</w:t>
            </w:r>
          </w:p>
        </w:tc>
        <w:tc>
          <w:tcPr>
            <w:tcW w:w="1218"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完成时间</w:t>
            </w:r>
          </w:p>
        </w:tc>
        <w:tc>
          <w:tcPr>
            <w:tcW w:w="117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项目完成时间</w:t>
            </w:r>
          </w:p>
        </w:tc>
        <w:tc>
          <w:tcPr>
            <w:tcW w:w="102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12</w:t>
            </w:r>
          </w:p>
        </w:tc>
        <w:tc>
          <w:tcPr>
            <w:tcW w:w="434"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月</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12月</w:t>
            </w: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79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41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1453" w:type="dxa"/>
            <w:vMerge w:val="continue"/>
            <w:tcBorders>
              <w:top w:val="nil"/>
              <w:left w:val="single" w:color="000000" w:sz="6" w:space="0"/>
              <w:bottom w:val="nil"/>
              <w:right w:val="single" w:color="000000" w:sz="6" w:space="0"/>
            </w:tcBorders>
            <w:vAlign w:val="center"/>
          </w:tcPr>
          <w:p>
            <w:pPr>
              <w:pStyle w:val="35"/>
              <w:ind w:firstLine="328"/>
              <w:jc w:val="center"/>
              <w:rPr>
                <w:rFonts w:cs="Times New Roman" w:eastAsiaTheme="minorEastAsia"/>
                <w:color w:val="auto"/>
                <w:spacing w:val="2"/>
              </w:rPr>
            </w:pPr>
          </w:p>
        </w:tc>
        <w:tc>
          <w:tcPr>
            <w:tcW w:w="131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质量指标</w:t>
            </w:r>
          </w:p>
        </w:tc>
        <w:tc>
          <w:tcPr>
            <w:tcW w:w="1218"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做好各项帮扶工作</w:t>
            </w:r>
          </w:p>
        </w:tc>
        <w:tc>
          <w:tcPr>
            <w:tcW w:w="117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95%</w:t>
            </w:r>
          </w:p>
        </w:tc>
        <w:tc>
          <w:tcPr>
            <w:tcW w:w="434"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95%</w:t>
            </w: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141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145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成本指标</w:t>
            </w:r>
          </w:p>
        </w:tc>
        <w:tc>
          <w:tcPr>
            <w:tcW w:w="131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成本指标</w:t>
            </w:r>
          </w:p>
        </w:tc>
        <w:tc>
          <w:tcPr>
            <w:tcW w:w="1218"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帮扶工作差旅费等</w:t>
            </w:r>
          </w:p>
        </w:tc>
        <w:tc>
          <w:tcPr>
            <w:tcW w:w="117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1.82</w:t>
            </w:r>
          </w:p>
        </w:tc>
        <w:tc>
          <w:tcPr>
            <w:tcW w:w="434"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万元</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1.82万元</w:t>
            </w: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jc w:val="center"/>
        </w:trPr>
        <w:tc>
          <w:tcPr>
            <w:tcW w:w="141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145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效益指标</w:t>
            </w:r>
          </w:p>
        </w:tc>
        <w:tc>
          <w:tcPr>
            <w:tcW w:w="131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社会效益指标</w:t>
            </w:r>
          </w:p>
        </w:tc>
        <w:tc>
          <w:tcPr>
            <w:tcW w:w="1218"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持续帮扶脱贫村稳定脱贫做好乡村振兴有效衔接</w:t>
            </w:r>
          </w:p>
        </w:tc>
        <w:tc>
          <w:tcPr>
            <w:tcW w:w="117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434"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79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r>
    </w:tbl>
    <w:p>
      <w:pPr>
        <w:pStyle w:val="35"/>
        <w:ind w:firstLine="328"/>
        <w:jc w:val="both"/>
        <w:rPr>
          <w:rFonts w:cs="Times New Roman" w:eastAsiaTheme="minorEastAsia"/>
          <w:color w:val="auto"/>
          <w:spacing w:val="2"/>
        </w:rPr>
        <w:sectPr>
          <w:pgSz w:w="16837" w:h="11905"/>
          <w:pgMar w:top="1011" w:right="1157" w:bottom="650" w:left="1142" w:header="0" w:footer="454" w:gutter="0"/>
          <w:cols w:space="720" w:num="1"/>
        </w:sectPr>
      </w:pPr>
    </w:p>
    <w:p>
      <w:pPr>
        <w:pStyle w:val="35"/>
        <w:ind w:firstLine="328"/>
        <w:jc w:val="both"/>
        <w:rPr>
          <w:rFonts w:cs="Times New Roman" w:eastAsiaTheme="minorEastAsia"/>
          <w:color w:val="auto"/>
          <w:spacing w:val="2"/>
        </w:rPr>
      </w:pPr>
    </w:p>
    <w:tbl>
      <w:tblPr>
        <w:tblStyle w:val="36"/>
        <w:tblW w:w="145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1"/>
        <w:gridCol w:w="1453"/>
        <w:gridCol w:w="1316"/>
        <w:gridCol w:w="1218"/>
        <w:gridCol w:w="1177"/>
        <w:gridCol w:w="1028"/>
        <w:gridCol w:w="434"/>
        <w:gridCol w:w="906"/>
        <w:gridCol w:w="645"/>
        <w:gridCol w:w="793"/>
        <w:gridCol w:w="969"/>
        <w:gridCol w:w="31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41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145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满意度指标</w:t>
            </w:r>
          </w:p>
        </w:tc>
        <w:tc>
          <w:tcPr>
            <w:tcW w:w="1316"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服务对象满意度指标</w:t>
            </w:r>
          </w:p>
        </w:tc>
        <w:tc>
          <w:tcPr>
            <w:tcW w:w="121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群众满意度度</w:t>
            </w:r>
          </w:p>
        </w:tc>
        <w:tc>
          <w:tcPr>
            <w:tcW w:w="1177"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w:t>
            </w:r>
          </w:p>
        </w:tc>
        <w:tc>
          <w:tcPr>
            <w:tcW w:w="1028"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434" w:type="dxa"/>
            <w:tcBorders>
              <w:top w:val="single" w:color="000000" w:sz="6" w:space="0"/>
              <w:left w:val="single" w:color="000000" w:sz="6" w:space="0"/>
              <w:bottom w:val="single" w:color="000000" w:sz="6" w:space="0"/>
              <w:right w:val="single" w:color="000000" w:sz="6" w:space="0"/>
            </w:tcBorders>
            <w:vAlign w:val="center"/>
          </w:tcPr>
          <w:p>
            <w:pPr>
              <w:pStyle w:val="35"/>
              <w:ind w:firstLine="0" w:firstLineChars="0"/>
              <w:jc w:val="center"/>
              <w:rPr>
                <w:rFonts w:cs="Times New Roman" w:eastAsiaTheme="minorEastAsia"/>
                <w:color w:val="auto"/>
                <w:spacing w:val="2"/>
              </w:rPr>
            </w:pPr>
            <w:r>
              <w:rPr>
                <w:rFonts w:hint="eastAsia" w:cs="Times New Roman" w:eastAsiaTheme="minorEastAsia"/>
                <w:color w:val="auto"/>
                <w:spacing w:val="2"/>
              </w:rPr>
              <w:t>%</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98%</w:t>
            </w: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79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20</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4180" w:type="dxa"/>
            <w:gridSpan w:val="3"/>
            <w:tcBorders>
              <w:top w:val="single" w:color="000000" w:sz="6" w:space="0"/>
              <w:left w:val="single" w:color="000000" w:sz="6" w:space="0"/>
              <w:bottom w:val="single" w:color="000000" w:sz="6" w:space="0"/>
              <w:right w:val="nil"/>
            </w:tcBorders>
            <w:vAlign w:val="center"/>
          </w:tcPr>
          <w:p>
            <w:pPr>
              <w:pStyle w:val="35"/>
              <w:ind w:firstLine="328"/>
              <w:jc w:val="center"/>
              <w:rPr>
                <w:rFonts w:cs="Times New Roman" w:eastAsiaTheme="minorEastAsia"/>
                <w:color w:val="auto"/>
                <w:spacing w:val="2"/>
              </w:rPr>
            </w:pPr>
          </w:p>
        </w:tc>
        <w:tc>
          <w:tcPr>
            <w:tcW w:w="4763" w:type="dxa"/>
            <w:gridSpan w:val="5"/>
            <w:tcBorders>
              <w:top w:val="single" w:color="000000" w:sz="6" w:space="0"/>
              <w:left w:val="nil"/>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合计</w:t>
            </w:r>
          </w:p>
        </w:tc>
        <w:tc>
          <w:tcPr>
            <w:tcW w:w="645"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100</w:t>
            </w:r>
          </w:p>
        </w:tc>
        <w:tc>
          <w:tcPr>
            <w:tcW w:w="793"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100</w:t>
            </w:r>
          </w:p>
        </w:tc>
        <w:tc>
          <w:tcPr>
            <w:tcW w:w="969"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c>
          <w:tcPr>
            <w:tcW w:w="317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jc w:val="center"/>
        </w:trPr>
        <w:tc>
          <w:tcPr>
            <w:tcW w:w="141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部门（单位）自评结论</w:t>
            </w:r>
          </w:p>
        </w:tc>
        <w:tc>
          <w:tcPr>
            <w:tcW w:w="13110" w:type="dxa"/>
            <w:gridSpan w:val="11"/>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本项目自评为100分。我会驻村工作队通过入户走访、以购代扶等，完成我会帮扶工作。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8" w:hRule="atLeast"/>
          <w:jc w:val="center"/>
        </w:trPr>
        <w:tc>
          <w:tcPr>
            <w:tcW w:w="141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部门（单位）自评存在问题</w:t>
            </w:r>
          </w:p>
        </w:tc>
        <w:tc>
          <w:tcPr>
            <w:tcW w:w="13110" w:type="dxa"/>
            <w:gridSpan w:val="11"/>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8" w:hRule="atLeast"/>
          <w:jc w:val="center"/>
        </w:trPr>
        <w:tc>
          <w:tcPr>
            <w:tcW w:w="141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部门（单位）自评改进措施</w:t>
            </w:r>
          </w:p>
        </w:tc>
        <w:tc>
          <w:tcPr>
            <w:tcW w:w="13110" w:type="dxa"/>
            <w:gridSpan w:val="11"/>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p>
            <w:pPr>
              <w:pStyle w:val="35"/>
              <w:ind w:firstLine="328"/>
              <w:jc w:val="center"/>
              <w:rPr>
                <w:rFonts w:cs="Times New Roman" w:eastAsiaTheme="minorEastAsia"/>
                <w:color w:val="auto"/>
                <w:spacing w:val="2"/>
              </w:rPr>
            </w:pPr>
            <w:r>
              <w:rPr>
                <w:rFonts w:hint="eastAsia" w:cs="Times New Roman" w:eastAsiaTheme="minorEastAsia"/>
                <w:color w:val="auto"/>
                <w:spacing w:val="2"/>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8" w:hRule="atLeast"/>
          <w:jc w:val="center"/>
        </w:trPr>
        <w:tc>
          <w:tcPr>
            <w:tcW w:w="1411" w:type="dxa"/>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财政部门对口科室复评结论及整改要</w:t>
            </w:r>
          </w:p>
          <w:p>
            <w:pPr>
              <w:pStyle w:val="35"/>
              <w:ind w:firstLine="328"/>
              <w:jc w:val="center"/>
              <w:rPr>
                <w:rFonts w:cs="Times New Roman" w:eastAsiaTheme="minorEastAsia"/>
                <w:color w:val="auto"/>
                <w:spacing w:val="2"/>
              </w:rPr>
            </w:pPr>
            <w:r>
              <w:rPr>
                <w:rFonts w:hint="eastAsia" w:cs="Times New Roman" w:eastAsiaTheme="minorEastAsia"/>
                <w:color w:val="auto"/>
                <w:spacing w:val="2"/>
              </w:rPr>
              <w:t>求</w:t>
            </w:r>
          </w:p>
        </w:tc>
        <w:tc>
          <w:tcPr>
            <w:tcW w:w="13110" w:type="dxa"/>
            <w:gridSpan w:val="11"/>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6575" w:type="dxa"/>
            <w:gridSpan w:val="5"/>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单位项目负责人：王陇花</w:t>
            </w:r>
          </w:p>
        </w:tc>
        <w:tc>
          <w:tcPr>
            <w:tcW w:w="7946" w:type="dxa"/>
            <w:gridSpan w:val="7"/>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单位财务负责人：胡永军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6575" w:type="dxa"/>
            <w:gridSpan w:val="5"/>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部门项目负责人：</w:t>
            </w:r>
          </w:p>
        </w:tc>
        <w:tc>
          <w:tcPr>
            <w:tcW w:w="7946" w:type="dxa"/>
            <w:gridSpan w:val="7"/>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部门财务负责人：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jc w:val="center"/>
        </w:trPr>
        <w:tc>
          <w:tcPr>
            <w:tcW w:w="14521" w:type="dxa"/>
            <w:gridSpan w:val="12"/>
            <w:tcBorders>
              <w:top w:val="single" w:color="000000" w:sz="6" w:space="0"/>
              <w:left w:val="single" w:color="000000" w:sz="6" w:space="0"/>
              <w:bottom w:val="single" w:color="000000" w:sz="6" w:space="0"/>
              <w:right w:val="single" w:color="000000" w:sz="6" w:space="0"/>
            </w:tcBorders>
            <w:vAlign w:val="center"/>
          </w:tcPr>
          <w:p>
            <w:pPr>
              <w:pStyle w:val="35"/>
              <w:ind w:firstLine="328"/>
              <w:jc w:val="center"/>
              <w:rPr>
                <w:rFonts w:cs="Times New Roman" w:eastAsiaTheme="minorEastAsia"/>
                <w:color w:val="auto"/>
                <w:spacing w:val="2"/>
              </w:rPr>
            </w:pPr>
            <w:r>
              <w:rPr>
                <w:rFonts w:hint="eastAsia" w:cs="Times New Roman" w:eastAsiaTheme="minorEastAsia"/>
                <w:color w:val="auto"/>
                <w:spacing w:val="2"/>
              </w:rPr>
              <w:t>财政部门科室负责人：</w:t>
            </w:r>
          </w:p>
        </w:tc>
      </w:tr>
    </w:tbl>
    <w:p>
      <w:pPr>
        <w:pStyle w:val="35"/>
        <w:ind w:firstLine="328"/>
        <w:jc w:val="both"/>
        <w:rPr>
          <w:rFonts w:cs="Times New Roman" w:eastAsiaTheme="minorEastAsia"/>
          <w:color w:val="auto"/>
          <w:spacing w:val="2"/>
        </w:rPr>
        <w:sectPr>
          <w:headerReference r:id="rId12" w:type="default"/>
          <w:footerReference r:id="rId13" w:type="default"/>
          <w:pgSz w:w="16838" w:h="11906" w:orient="landscape"/>
          <w:pgMar w:top="1800" w:right="1440" w:bottom="1800" w:left="1440" w:header="851" w:footer="992" w:gutter="0"/>
          <w:cols w:space="720" w:num="1"/>
          <w:docGrid w:type="lines" w:linePitch="312" w:charSpace="0"/>
        </w:sectPr>
      </w:pPr>
    </w:p>
    <w:p>
      <w:pPr>
        <w:pStyle w:val="2"/>
        <w:spacing w:before="93"/>
        <w:ind w:firstLine="640"/>
        <w:rPr>
          <w:color w:val="auto"/>
          <w:sz w:val="32"/>
          <w:szCs w:val="32"/>
        </w:rPr>
      </w:pPr>
      <w:r>
        <w:rPr>
          <w:rFonts w:hint="eastAsia" w:hAnsi="宋体" w:cs="宋体"/>
          <w:color w:val="auto"/>
          <w:sz w:val="32"/>
          <w:szCs w:val="32"/>
          <w:shd w:val="clear" w:color="auto" w:fill="FFFFFF"/>
          <w:lang w:val="zh-CN"/>
        </w:rPr>
        <w:t>附件</w:t>
      </w:r>
      <w:r>
        <w:rPr>
          <w:rFonts w:hint="eastAsia" w:hAnsi="宋体" w:cs="宋体"/>
          <w:color w:val="auto"/>
          <w:sz w:val="32"/>
          <w:szCs w:val="32"/>
          <w:shd w:val="clear" w:color="auto" w:fill="FFFFFF"/>
        </w:rPr>
        <w:t>2</w:t>
      </w:r>
    </w:p>
    <w:p>
      <w:pPr>
        <w:pStyle w:val="27"/>
        <w:spacing w:line="578" w:lineRule="exact"/>
        <w:ind w:firstLine="640"/>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2023年“第七届中国（成都）智慧产业国际博览会暨中国（四川）信创产业展览会”绩效自评报告</w:t>
      </w:r>
    </w:p>
    <w:p>
      <w:pPr>
        <w:adjustRightInd w:val="0"/>
        <w:snapToGrid w:val="0"/>
        <w:spacing w:line="578" w:lineRule="exact"/>
        <w:ind w:firstLine="640"/>
        <w:rPr>
          <w:rFonts w:ascii="黑体" w:hAnsi="宋体" w:eastAsia="黑体"/>
          <w:color w:val="auto"/>
          <w:szCs w:val="32"/>
          <w:lang w:val="zh-CN"/>
        </w:rPr>
      </w:pPr>
    </w:p>
    <w:p>
      <w:pPr>
        <w:adjustRightInd w:val="0"/>
        <w:snapToGrid w:val="0"/>
        <w:spacing w:line="578" w:lineRule="exact"/>
        <w:ind w:firstLine="640"/>
        <w:rPr>
          <w:rFonts w:ascii="黑体" w:hAnsi="宋体" w:eastAsia="黑体"/>
          <w:color w:val="auto"/>
          <w:szCs w:val="32"/>
          <w:lang w:val="zh-CN"/>
        </w:rPr>
      </w:pPr>
      <w:r>
        <w:rPr>
          <w:rFonts w:hint="eastAsia" w:ascii="黑体" w:hAnsi="宋体" w:eastAsia="黑体"/>
          <w:color w:val="auto"/>
          <w:szCs w:val="32"/>
          <w:lang w:val="zh-CN"/>
        </w:rPr>
        <w:t>一、项目概况</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（一）项目基本情况</w:t>
      </w:r>
    </w:p>
    <w:p>
      <w:pPr>
        <w:widowControl/>
        <w:adjustRightInd w:val="0"/>
        <w:snapToGrid w:val="0"/>
        <w:spacing w:line="578" w:lineRule="exact"/>
        <w:ind w:firstLine="640"/>
        <w:contextualSpacing/>
        <w:jc w:val="left"/>
        <w:rPr>
          <w:rFonts w:ascii="仿宋_GB2312" w:hAnsi="仿宋_GB2312" w:cs="仿宋_GB2312"/>
          <w:color w:val="auto"/>
          <w:kern w:val="0"/>
          <w:szCs w:val="32"/>
          <w:shd w:val="clear" w:color="auto" w:fill="FFFFFF"/>
        </w:rPr>
      </w:pPr>
      <w:r>
        <w:rPr>
          <w:rFonts w:hint="eastAsia" w:ascii="仿宋_GB2312" w:hAnsi="仿宋_GB2312" w:cs="仿宋_GB2312"/>
          <w:color w:val="auto"/>
          <w:kern w:val="0"/>
          <w:szCs w:val="32"/>
          <w:shd w:val="clear" w:color="auto" w:fill="FFFFFF"/>
        </w:rPr>
        <w:t>“第七届中国（成都）智慧产业国际博览会暨中国（四川）信创产业展览会”（简称成都智博会）由省贸促会与省互联网信息办公室、省科协共同主办，于2022年8月26日至28日在成都世纪城新国际会展中心举办。</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（二）项目绩效目标</w:t>
      </w:r>
    </w:p>
    <w:p>
      <w:pPr>
        <w:widowControl/>
        <w:adjustRightInd w:val="0"/>
        <w:snapToGrid w:val="0"/>
        <w:spacing w:line="578" w:lineRule="exact"/>
        <w:ind w:firstLine="640"/>
        <w:contextualSpacing/>
        <w:jc w:val="left"/>
        <w:rPr>
          <w:rFonts w:ascii="仿宋_GB2312" w:hAnsi="仿宋_GB2312" w:cs="仿宋_GB2312"/>
          <w:color w:val="auto"/>
          <w:kern w:val="0"/>
          <w:szCs w:val="32"/>
          <w:shd w:val="clear" w:color="auto" w:fill="FFFFFF"/>
        </w:rPr>
      </w:pPr>
      <w:r>
        <w:rPr>
          <w:rFonts w:hint="eastAsia" w:ascii="仿宋_GB2312" w:hAnsi="仿宋_GB2312" w:cs="仿宋_GB2312"/>
          <w:color w:val="auto"/>
          <w:kern w:val="0"/>
          <w:szCs w:val="32"/>
          <w:shd w:val="clear" w:color="auto" w:fill="FFFFFF"/>
        </w:rPr>
        <w:t>1.展览贸易，设54平方米的广元展区进行特装展示，组织广元企业参展。</w:t>
      </w:r>
    </w:p>
    <w:p>
      <w:pPr>
        <w:widowControl/>
        <w:adjustRightInd w:val="0"/>
        <w:snapToGrid w:val="0"/>
        <w:spacing w:line="578" w:lineRule="exact"/>
        <w:ind w:firstLine="640"/>
        <w:contextualSpacing/>
        <w:jc w:val="left"/>
        <w:rPr>
          <w:rFonts w:ascii="仿宋_GB2312" w:hAnsi="仿宋_GB2312" w:cs="仿宋_GB2312"/>
          <w:color w:val="auto"/>
          <w:kern w:val="0"/>
          <w:szCs w:val="32"/>
          <w:shd w:val="clear" w:color="auto" w:fill="FFFFFF"/>
        </w:rPr>
      </w:pPr>
      <w:r>
        <w:rPr>
          <w:rFonts w:hint="eastAsia" w:ascii="仿宋_GB2312" w:hAnsi="仿宋_GB2312" w:cs="仿宋_GB2312"/>
          <w:color w:val="auto"/>
          <w:kern w:val="0"/>
          <w:szCs w:val="32"/>
          <w:shd w:val="clear" w:color="auto" w:fill="FFFFFF"/>
        </w:rPr>
        <w:t>2.参加同期举办的2022中国（四川）信创产业展览会、第四届IGS·中国（成都）国际数字娱乐博览会。</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（三）项目自评步骤及方法</w:t>
      </w:r>
    </w:p>
    <w:p>
      <w:pPr>
        <w:widowControl/>
        <w:adjustRightInd w:val="0"/>
        <w:snapToGrid w:val="0"/>
        <w:spacing w:line="578" w:lineRule="exact"/>
        <w:ind w:firstLine="640"/>
        <w:contextualSpacing/>
        <w:jc w:val="left"/>
        <w:rPr>
          <w:rFonts w:ascii="仿宋_GB2312" w:hAnsi="仿宋_GB2312" w:cs="仿宋_GB2312"/>
          <w:color w:val="auto"/>
          <w:kern w:val="0"/>
          <w:shd w:val="clear" w:color="auto" w:fill="FFFFFF"/>
          <w:lang w:val="zh-CN"/>
        </w:rPr>
      </w:pPr>
      <w:r>
        <w:rPr>
          <w:rFonts w:hint="eastAsia" w:ascii="仿宋_GB2312" w:hAnsi="仿宋_GB2312" w:cs="仿宋_GB2312"/>
          <w:color w:val="auto"/>
          <w:kern w:val="0"/>
          <w:szCs w:val="32"/>
          <w:shd w:val="clear" w:color="auto" w:fill="FFFFFF"/>
        </w:rPr>
        <w:t>申报内容结合广元实际出发，目标可量化、可考核，实际实施时合理可行。</w:t>
      </w:r>
    </w:p>
    <w:p>
      <w:pPr>
        <w:adjustRightInd w:val="0"/>
        <w:snapToGrid w:val="0"/>
        <w:spacing w:line="578" w:lineRule="exact"/>
        <w:ind w:firstLine="640"/>
        <w:rPr>
          <w:rFonts w:ascii="黑体" w:hAnsi="宋体" w:eastAsia="黑体"/>
          <w:color w:val="auto"/>
          <w:szCs w:val="32"/>
          <w:lang w:val="zh-CN"/>
        </w:rPr>
      </w:pPr>
      <w:r>
        <w:rPr>
          <w:rFonts w:hint="eastAsia" w:ascii="黑体" w:hAnsi="宋体" w:eastAsia="黑体"/>
          <w:color w:val="auto"/>
          <w:szCs w:val="32"/>
          <w:lang w:val="zh-CN"/>
        </w:rPr>
        <w:t>二、项目资金申报及使用情况</w:t>
      </w:r>
    </w:p>
    <w:p>
      <w:pPr>
        <w:adjustRightInd w:val="0"/>
        <w:snapToGrid w:val="0"/>
        <w:spacing w:line="578" w:lineRule="exact"/>
        <w:ind w:firstLine="640"/>
        <w:rPr>
          <w:rFonts w:ascii="楷体_GB2312" w:hAnsi="宋体" w:eastAsia="楷体_GB2312"/>
          <w:color w:val="auto"/>
          <w:lang w:val="zh-CN"/>
        </w:rPr>
      </w:pPr>
      <w:r>
        <w:rPr>
          <w:rFonts w:hint="eastAsia" w:ascii="楷体_GB2312" w:hAnsi="宋体" w:eastAsia="楷体_GB2312"/>
          <w:color w:val="auto"/>
          <w:szCs w:val="32"/>
          <w:lang w:val="zh-CN"/>
        </w:rPr>
        <w:t>（一）项目资金申报及批复情况</w:t>
      </w:r>
    </w:p>
    <w:p>
      <w:pPr>
        <w:widowControl/>
        <w:adjustRightInd w:val="0"/>
        <w:snapToGrid w:val="0"/>
        <w:spacing w:line="578" w:lineRule="exact"/>
        <w:ind w:firstLine="640"/>
        <w:contextualSpacing/>
        <w:jc w:val="left"/>
        <w:rPr>
          <w:rFonts w:ascii="仿宋_GB2312" w:hAnsi="仿宋_GB2312" w:cs="仿宋_GB2312"/>
          <w:color w:val="auto"/>
          <w:kern w:val="0"/>
          <w:szCs w:val="32"/>
          <w:shd w:val="clear" w:color="auto" w:fill="FFFFFF"/>
        </w:rPr>
      </w:pPr>
      <w:r>
        <w:rPr>
          <w:rFonts w:hint="eastAsia" w:ascii="仿宋_GB2312" w:hAnsi="仿宋_GB2312" w:cs="仿宋_GB2312"/>
          <w:color w:val="auto"/>
          <w:kern w:val="0"/>
          <w:szCs w:val="32"/>
          <w:shd w:val="clear" w:color="auto" w:fill="FFFFFF"/>
        </w:rPr>
        <w:t>为做好广元参会各项筹备工作，我会草拟了《广元参加“第七届中国（成都）智慧产业国际博览会暨中国（四川）信创产业展览会”建议方案》，并报请市政府审定同意。由市财政补贴8万元，主要用于展览展示场地租金、布展及参展企业食宿及交通费、产品运输等方面。</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（二）资金计划、到位及使用情况</w:t>
      </w:r>
    </w:p>
    <w:p>
      <w:pPr>
        <w:widowControl/>
        <w:adjustRightInd w:val="0"/>
        <w:snapToGrid w:val="0"/>
        <w:spacing w:line="578" w:lineRule="exact"/>
        <w:ind w:firstLine="640"/>
        <w:contextualSpacing/>
        <w:jc w:val="left"/>
        <w:rPr>
          <w:rFonts w:ascii="仿宋_GB2312" w:hAnsi="仿宋_GB2312" w:cs="仿宋_GB2312"/>
          <w:color w:val="auto"/>
          <w:kern w:val="0"/>
          <w:szCs w:val="32"/>
          <w:shd w:val="clear" w:color="auto" w:fill="FFFFFF"/>
        </w:rPr>
      </w:pPr>
      <w:r>
        <w:rPr>
          <w:rFonts w:hint="eastAsia" w:ascii="仿宋_GB2312" w:hAnsi="仿宋_GB2312" w:cs="仿宋_GB2312"/>
          <w:color w:val="auto"/>
          <w:kern w:val="0"/>
          <w:szCs w:val="32"/>
          <w:shd w:val="clear" w:color="auto" w:fill="FFFFFF"/>
        </w:rPr>
        <w:t>1.资金计划。该项目资金计划为市本级财政预算资金，无项目单位自筹和其他渠道资金。</w:t>
      </w:r>
    </w:p>
    <w:p>
      <w:pPr>
        <w:widowControl/>
        <w:adjustRightInd w:val="0"/>
        <w:snapToGrid w:val="0"/>
        <w:spacing w:line="578" w:lineRule="exact"/>
        <w:ind w:firstLine="640"/>
        <w:contextualSpacing/>
        <w:jc w:val="left"/>
        <w:rPr>
          <w:rFonts w:ascii="仿宋_GB2312" w:hAnsi="仿宋_GB2312" w:cs="仿宋_GB2312"/>
          <w:color w:val="auto"/>
          <w:kern w:val="0"/>
          <w:szCs w:val="32"/>
          <w:shd w:val="clear" w:color="auto" w:fill="FFFFFF"/>
        </w:rPr>
      </w:pPr>
      <w:r>
        <w:rPr>
          <w:rFonts w:hint="eastAsia" w:ascii="仿宋_GB2312" w:hAnsi="仿宋_GB2312" w:cs="仿宋_GB2312"/>
          <w:color w:val="auto"/>
          <w:kern w:val="0"/>
          <w:szCs w:val="32"/>
          <w:shd w:val="clear" w:color="auto" w:fill="FFFFFF"/>
        </w:rPr>
        <w:t>2.资金到位。市本级财政下达当年专项资金时该项目资金全额到位，资金到位率及时。</w:t>
      </w:r>
    </w:p>
    <w:p>
      <w:pPr>
        <w:widowControl/>
        <w:adjustRightInd w:val="0"/>
        <w:snapToGrid w:val="0"/>
        <w:spacing w:line="578" w:lineRule="exact"/>
        <w:ind w:firstLine="640"/>
        <w:contextualSpacing/>
        <w:jc w:val="left"/>
        <w:rPr>
          <w:rFonts w:ascii="仿宋_GB2312" w:hAnsi="仿宋_GB2312" w:cs="仿宋_GB2312"/>
          <w:color w:val="auto"/>
          <w:kern w:val="0"/>
          <w:szCs w:val="32"/>
          <w:shd w:val="clear" w:color="auto" w:fill="FFFFFF"/>
        </w:rPr>
      </w:pPr>
      <w:r>
        <w:rPr>
          <w:rFonts w:hint="eastAsia" w:ascii="仿宋_GB2312" w:hAnsi="仿宋_GB2312" w:cs="仿宋_GB2312"/>
          <w:color w:val="auto"/>
          <w:kern w:val="0"/>
          <w:szCs w:val="32"/>
          <w:shd w:val="clear" w:color="auto" w:fill="FFFFFF"/>
        </w:rPr>
        <w:t>3.资金使用。资金实行市级财政国库集中支付管理。资金专账核算，专人管理，确保资金管理的规范、安全、有效。项目严格按我会资金管理办法财务规定执行。资金支付范围按照部门预算批复、合同、项目执行进度等要求进行支付，未有超预算、超进度、超标准等行为发生。</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（三）项目财务管理情况</w:t>
      </w:r>
    </w:p>
    <w:p>
      <w:pPr>
        <w:widowControl/>
        <w:adjustRightInd w:val="0"/>
        <w:snapToGrid w:val="0"/>
        <w:spacing w:line="578" w:lineRule="exact"/>
        <w:ind w:firstLine="640"/>
        <w:contextualSpacing/>
        <w:jc w:val="left"/>
        <w:rPr>
          <w:rFonts w:ascii="仿宋_GB2312" w:hAnsi="仿宋_GB2312" w:cs="仿宋_GB2312"/>
          <w:color w:val="auto"/>
          <w:kern w:val="0"/>
          <w:szCs w:val="32"/>
          <w:shd w:val="clear" w:color="auto" w:fill="FFFFFF"/>
        </w:rPr>
      </w:pPr>
      <w:r>
        <w:rPr>
          <w:rFonts w:hint="eastAsia" w:ascii="仿宋_GB2312" w:hAnsi="仿宋_GB2312" w:cs="仿宋_GB2312"/>
          <w:color w:val="auto"/>
          <w:kern w:val="0"/>
          <w:szCs w:val="32"/>
          <w:shd w:val="clear" w:color="auto" w:fill="FFFFFF"/>
        </w:rPr>
        <w:t>单位项目实施单位财务管理制度健全，严格执行财务管理制度，账务处理及时，会计核算规范。</w:t>
      </w:r>
    </w:p>
    <w:p>
      <w:pPr>
        <w:adjustRightInd w:val="0"/>
        <w:snapToGrid w:val="0"/>
        <w:spacing w:line="578" w:lineRule="exact"/>
        <w:ind w:firstLine="640"/>
        <w:rPr>
          <w:rFonts w:ascii="黑体" w:hAnsi="宋体" w:eastAsia="黑体"/>
          <w:color w:val="auto"/>
          <w:szCs w:val="32"/>
          <w:lang w:val="zh-CN"/>
        </w:rPr>
      </w:pPr>
      <w:r>
        <w:rPr>
          <w:rFonts w:hint="eastAsia" w:ascii="黑体" w:hAnsi="宋体" w:eastAsia="黑体"/>
          <w:color w:val="auto"/>
          <w:szCs w:val="32"/>
          <w:lang w:val="zh-CN"/>
        </w:rPr>
        <w:t>三、项目实施及管理情况</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（一）项目组织架构及实施流程</w:t>
      </w:r>
    </w:p>
    <w:p>
      <w:pPr>
        <w:widowControl/>
        <w:adjustRightInd w:val="0"/>
        <w:snapToGrid w:val="0"/>
        <w:spacing w:line="578" w:lineRule="exact"/>
        <w:ind w:firstLine="640"/>
        <w:contextualSpacing/>
        <w:jc w:val="left"/>
        <w:rPr>
          <w:rFonts w:ascii="仿宋_GB2312" w:hAnsi="仿宋_GB2312" w:cs="仿宋_GB2312"/>
          <w:color w:val="auto"/>
          <w:kern w:val="0"/>
          <w:szCs w:val="32"/>
          <w:shd w:val="clear" w:color="auto" w:fill="FFFFFF"/>
        </w:rPr>
      </w:pPr>
      <w:r>
        <w:rPr>
          <w:rFonts w:hint="eastAsia" w:ascii="仿宋_GB2312" w:hAnsi="仿宋_GB2312" w:cs="仿宋_GB2312"/>
          <w:color w:val="auto"/>
          <w:kern w:val="0"/>
          <w:szCs w:val="32"/>
          <w:shd w:val="clear" w:color="auto" w:fill="FFFFFF"/>
        </w:rPr>
        <w:t>该项目由会长全面负责，副会长分管，贸易投资促进部具体组织实施，贸易投资促进部制定相关工作方案报经会党组同意后报市政府审定后，会同有关单位、部室组织实施。</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（二）项目管理情况</w:t>
      </w:r>
    </w:p>
    <w:p>
      <w:pPr>
        <w:widowControl/>
        <w:adjustRightInd w:val="0"/>
        <w:snapToGrid w:val="0"/>
        <w:spacing w:line="578" w:lineRule="exact"/>
        <w:ind w:firstLine="640"/>
        <w:contextualSpacing/>
        <w:jc w:val="left"/>
        <w:rPr>
          <w:rFonts w:ascii="仿宋_GB2312" w:hAnsi="仿宋_GB2312" w:cs="仿宋_GB2312"/>
          <w:color w:val="auto"/>
          <w:kern w:val="0"/>
          <w:szCs w:val="32"/>
          <w:shd w:val="clear" w:color="auto" w:fill="FFFFFF"/>
        </w:rPr>
      </w:pPr>
      <w:r>
        <w:rPr>
          <w:rFonts w:hint="eastAsia" w:ascii="仿宋_GB2312" w:hAnsi="仿宋_GB2312" w:cs="仿宋_GB2312"/>
          <w:color w:val="auto"/>
          <w:kern w:val="0"/>
          <w:szCs w:val="32"/>
          <w:shd w:val="clear" w:color="auto" w:fill="FFFFFF"/>
        </w:rPr>
        <w:t>该项目通过发布比选公告，确定项目承办人。</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（三）项目监管情况</w:t>
      </w:r>
    </w:p>
    <w:p>
      <w:pPr>
        <w:widowControl/>
        <w:adjustRightInd w:val="0"/>
        <w:snapToGrid w:val="0"/>
        <w:spacing w:line="578" w:lineRule="exact"/>
        <w:ind w:firstLine="640"/>
        <w:contextualSpacing/>
        <w:jc w:val="left"/>
        <w:rPr>
          <w:rFonts w:ascii="仿宋_GB2312" w:hAnsi="仿宋_GB2312" w:cs="仿宋_GB2312"/>
          <w:color w:val="auto"/>
          <w:kern w:val="0"/>
          <w:szCs w:val="32"/>
          <w:shd w:val="clear" w:color="auto" w:fill="FFFFFF"/>
        </w:rPr>
      </w:pPr>
      <w:r>
        <w:rPr>
          <w:rFonts w:hint="eastAsia" w:ascii="仿宋_GB2312" w:hAnsi="仿宋_GB2312" w:cs="仿宋_GB2312"/>
          <w:color w:val="auto"/>
          <w:kern w:val="0"/>
          <w:szCs w:val="32"/>
          <w:shd w:val="clear" w:color="auto" w:fill="FFFFFF"/>
        </w:rPr>
        <w:t>该项目比选、实施等全过程均有驻财政局纪检工作人员及会内部纪检干部参与监管。</w:t>
      </w:r>
    </w:p>
    <w:p>
      <w:pPr>
        <w:adjustRightInd w:val="0"/>
        <w:snapToGrid w:val="0"/>
        <w:spacing w:line="578" w:lineRule="exact"/>
        <w:ind w:firstLine="640"/>
        <w:rPr>
          <w:rFonts w:ascii="黑体" w:hAnsi="宋体" w:eastAsia="黑体"/>
          <w:color w:val="auto"/>
          <w:szCs w:val="32"/>
          <w:lang w:val="zh-CN"/>
        </w:rPr>
      </w:pPr>
      <w:r>
        <w:rPr>
          <w:rFonts w:hint="eastAsia" w:ascii="黑体" w:hAnsi="宋体" w:eastAsia="黑体"/>
          <w:color w:val="auto"/>
          <w:szCs w:val="32"/>
          <w:lang w:val="zh-CN"/>
        </w:rPr>
        <w:t>四、项目绩效情况</w:t>
      </w:r>
      <w:r>
        <w:rPr>
          <w:rFonts w:hint="eastAsia" w:ascii="黑体" w:hAnsi="宋体" w:eastAsia="黑体"/>
          <w:color w:val="auto"/>
          <w:szCs w:val="32"/>
          <w:lang w:val="zh-CN"/>
        </w:rPr>
        <w:tab/>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（一）项目完成情况</w:t>
      </w:r>
    </w:p>
    <w:p>
      <w:pPr>
        <w:widowControl/>
        <w:adjustRightInd w:val="0"/>
        <w:snapToGrid w:val="0"/>
        <w:spacing w:line="578" w:lineRule="exact"/>
        <w:ind w:firstLine="640"/>
        <w:contextualSpacing/>
        <w:jc w:val="left"/>
        <w:rPr>
          <w:rFonts w:ascii="仿宋_GB2312" w:hAnsi="仿宋_GB2312" w:cs="仿宋_GB2312"/>
          <w:color w:val="auto"/>
          <w:kern w:val="0"/>
          <w:szCs w:val="32"/>
          <w:shd w:val="clear" w:color="auto" w:fill="FFFFFF"/>
        </w:rPr>
      </w:pPr>
      <w:r>
        <w:rPr>
          <w:rFonts w:hint="eastAsia" w:ascii="仿宋_GB2312" w:hAnsi="仿宋_GB2312" w:cs="仿宋_GB2312"/>
          <w:color w:val="auto"/>
          <w:kern w:val="0"/>
          <w:szCs w:val="32"/>
          <w:shd w:val="clear" w:color="auto" w:fill="FFFFFF"/>
        </w:rPr>
        <w:t>我市组织艾力特电子科技、格莱思科技、嘉洁能科技、晟合鸿科技、金月光电5家代表性企业参展，集中展示了航空、电子等领域零部件、智能触控显示玻璃盖板、高压电网控制器及其配件、农场及户外用电子害虫驱赶器等20余种优势产品，以及广元智慧产业的发展成果和美好前景。截止2022年12月31日，我会均已按设定的目标完成任务。</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（二）项目效益情况</w:t>
      </w:r>
    </w:p>
    <w:p>
      <w:pPr>
        <w:widowControl/>
        <w:adjustRightInd w:val="0"/>
        <w:snapToGrid w:val="0"/>
        <w:spacing w:line="578" w:lineRule="exact"/>
        <w:ind w:firstLine="640"/>
        <w:contextualSpacing/>
        <w:jc w:val="left"/>
        <w:rPr>
          <w:rFonts w:ascii="仿宋_GB2312" w:hAnsi="仿宋_GB2312" w:cs="仿宋_GB2312"/>
          <w:color w:val="auto"/>
          <w:kern w:val="0"/>
          <w:szCs w:val="32"/>
          <w:shd w:val="clear" w:color="auto" w:fill="FFFFFF"/>
        </w:rPr>
      </w:pPr>
      <w:r>
        <w:rPr>
          <w:rFonts w:hint="eastAsia" w:ascii="仿宋_GB2312" w:hAnsi="仿宋_GB2312" w:cs="仿宋_GB2312"/>
          <w:color w:val="auto"/>
          <w:kern w:val="0"/>
          <w:szCs w:val="32"/>
          <w:shd w:val="clear" w:color="auto" w:fill="FFFFFF"/>
        </w:rPr>
        <w:t>会期达成合作意向金额5072万元，达到预期效果。</w:t>
      </w:r>
    </w:p>
    <w:p>
      <w:pPr>
        <w:adjustRightInd w:val="0"/>
        <w:snapToGrid w:val="0"/>
        <w:spacing w:line="578" w:lineRule="exact"/>
        <w:ind w:firstLine="640"/>
        <w:rPr>
          <w:rFonts w:ascii="黑体" w:hAnsi="宋体" w:eastAsia="黑体"/>
          <w:color w:val="auto"/>
          <w:szCs w:val="32"/>
          <w:lang w:val="zh-CN"/>
        </w:rPr>
      </w:pPr>
      <w:r>
        <w:rPr>
          <w:rFonts w:hint="eastAsia" w:ascii="黑体" w:hAnsi="宋体" w:eastAsia="黑体"/>
          <w:color w:val="auto"/>
          <w:szCs w:val="32"/>
          <w:lang w:val="zh-CN"/>
        </w:rPr>
        <w:t>五、评价结论及建议</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（一）评价结论</w:t>
      </w:r>
    </w:p>
    <w:p>
      <w:pPr>
        <w:adjustRightInd w:val="0"/>
        <w:snapToGrid w:val="0"/>
        <w:spacing w:line="578" w:lineRule="exact"/>
        <w:ind w:firstLine="640"/>
        <w:rPr>
          <w:rFonts w:ascii="仿宋_GB2312" w:hAnsi="仿宋_GB2312" w:cs="仿宋_GB2312"/>
          <w:color w:val="auto"/>
          <w:kern w:val="0"/>
          <w:szCs w:val="32"/>
          <w:shd w:val="clear" w:color="auto" w:fill="FFFFFF"/>
        </w:rPr>
      </w:pPr>
      <w:r>
        <w:rPr>
          <w:rFonts w:hint="eastAsia" w:ascii="仿宋_GB2312" w:hAnsi="仿宋_GB2312" w:cs="仿宋_GB2312"/>
          <w:color w:val="auto"/>
          <w:kern w:val="0"/>
          <w:szCs w:val="32"/>
          <w:shd w:val="clear" w:color="auto" w:fill="FFFFFF"/>
        </w:rPr>
        <w:t>成都智博会已成为主题突出、特色鲜明、博采众长的数字经济专业品牌展，促进四川数字经济与实体经济深度融合，助推制造强省、网络强省、数字四川、智慧社会建设。通过实施该项目，广元利用智博会搭建的平台，促进本地电子信息、智能制造、数字经济等产业不断发展壮大，实现投资促进转化为产业发展、展会资源转化为落地项目、产品展示转化为消费引领。</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（二）存在的问题</w:t>
      </w:r>
    </w:p>
    <w:p>
      <w:pPr>
        <w:adjustRightInd w:val="0"/>
        <w:snapToGrid w:val="0"/>
        <w:spacing w:line="578" w:lineRule="exact"/>
        <w:ind w:firstLine="640"/>
        <w:rPr>
          <w:rFonts w:ascii="仿宋_GB2312" w:hAnsi="仿宋_GB2312" w:cs="仿宋_GB2312"/>
          <w:color w:val="auto"/>
          <w:kern w:val="0"/>
          <w:szCs w:val="32"/>
          <w:shd w:val="clear" w:color="auto" w:fill="FFFFFF"/>
        </w:rPr>
      </w:pPr>
      <w:r>
        <w:rPr>
          <w:rFonts w:hint="eastAsia" w:ascii="仿宋_GB2312" w:hAnsi="仿宋_GB2312" w:cs="仿宋_GB2312"/>
          <w:color w:val="auto"/>
          <w:kern w:val="0"/>
          <w:szCs w:val="32"/>
          <w:shd w:val="clear" w:color="auto" w:fill="FFFFFF"/>
        </w:rPr>
        <w:t>因新冠疫情影响，企业“走出去”受阻，经贸交流、贸易投资活动受限，企业经营、拓展市场存在不同程度的困难。</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（三）相关建议</w:t>
      </w:r>
    </w:p>
    <w:p>
      <w:pPr>
        <w:adjustRightInd w:val="0"/>
        <w:snapToGrid w:val="0"/>
        <w:spacing w:line="578" w:lineRule="exact"/>
        <w:ind w:firstLine="640"/>
        <w:rPr>
          <w:rFonts w:ascii="仿宋_GB2312" w:hAnsi="仿宋_GB2312" w:cs="仿宋_GB2312"/>
          <w:color w:val="auto"/>
          <w:kern w:val="0"/>
          <w:szCs w:val="32"/>
          <w:shd w:val="clear" w:color="auto" w:fill="FFFFFF"/>
        </w:rPr>
      </w:pPr>
      <w:r>
        <w:rPr>
          <w:rFonts w:hint="eastAsia" w:ascii="仿宋_GB2312" w:hAnsi="仿宋_GB2312" w:cs="仿宋_GB2312"/>
          <w:color w:val="auto"/>
          <w:kern w:val="0"/>
          <w:szCs w:val="32"/>
          <w:shd w:val="clear" w:color="auto" w:fill="FFFFFF"/>
        </w:rPr>
        <w:t>无。</w:t>
      </w:r>
    </w:p>
    <w:p>
      <w:pPr>
        <w:widowControl/>
        <w:ind w:firstLine="883"/>
        <w:rPr>
          <w:rStyle w:val="19"/>
          <w:rFonts w:ascii="黑体" w:hAnsi="黑体"/>
          <w:b/>
          <w:color w:val="auto"/>
        </w:rPr>
      </w:pPr>
    </w:p>
    <w:p>
      <w:pPr>
        <w:pStyle w:val="2"/>
        <w:spacing w:before="93"/>
        <w:ind w:firstLine="600"/>
        <w:rPr>
          <w:color w:val="auto"/>
        </w:rPr>
      </w:pPr>
    </w:p>
    <w:p>
      <w:pPr>
        <w:pStyle w:val="2"/>
        <w:spacing w:before="93"/>
        <w:ind w:firstLine="600"/>
        <w:rPr>
          <w:color w:val="auto"/>
        </w:rPr>
      </w:pPr>
    </w:p>
    <w:p>
      <w:pPr>
        <w:pStyle w:val="2"/>
        <w:spacing w:before="93"/>
        <w:ind w:firstLine="600"/>
        <w:rPr>
          <w:color w:val="auto"/>
        </w:rPr>
      </w:pPr>
    </w:p>
    <w:p>
      <w:pPr>
        <w:pStyle w:val="2"/>
        <w:spacing w:before="93"/>
        <w:ind w:firstLine="600"/>
        <w:rPr>
          <w:color w:val="auto"/>
        </w:rPr>
      </w:pPr>
    </w:p>
    <w:p>
      <w:pPr>
        <w:pStyle w:val="2"/>
        <w:spacing w:before="93"/>
        <w:ind w:firstLine="600"/>
        <w:rPr>
          <w:color w:val="auto"/>
        </w:rPr>
      </w:pPr>
    </w:p>
    <w:p>
      <w:pPr>
        <w:pStyle w:val="2"/>
        <w:spacing w:before="93"/>
        <w:ind w:firstLine="600"/>
        <w:rPr>
          <w:color w:val="auto"/>
        </w:rPr>
      </w:pPr>
    </w:p>
    <w:p>
      <w:pPr>
        <w:pStyle w:val="2"/>
        <w:spacing w:before="93"/>
        <w:ind w:firstLine="600"/>
        <w:rPr>
          <w:color w:val="auto"/>
        </w:rPr>
      </w:pPr>
    </w:p>
    <w:p>
      <w:pPr>
        <w:pStyle w:val="2"/>
        <w:spacing w:before="93"/>
        <w:ind w:firstLine="600"/>
        <w:rPr>
          <w:color w:val="auto"/>
        </w:rPr>
      </w:pPr>
    </w:p>
    <w:p>
      <w:pPr>
        <w:pStyle w:val="2"/>
        <w:spacing w:before="93"/>
        <w:ind w:firstLine="600"/>
        <w:rPr>
          <w:color w:val="auto"/>
        </w:rPr>
      </w:pPr>
    </w:p>
    <w:p>
      <w:pPr>
        <w:pStyle w:val="2"/>
        <w:spacing w:before="93"/>
        <w:ind w:firstLine="600"/>
        <w:rPr>
          <w:color w:val="auto"/>
        </w:rPr>
      </w:pPr>
    </w:p>
    <w:p>
      <w:pPr>
        <w:pStyle w:val="2"/>
        <w:spacing w:before="93"/>
        <w:ind w:firstLine="600"/>
        <w:rPr>
          <w:color w:val="auto"/>
        </w:rPr>
      </w:pPr>
    </w:p>
    <w:p>
      <w:pPr>
        <w:pStyle w:val="2"/>
        <w:spacing w:before="93"/>
        <w:ind w:firstLine="600"/>
        <w:rPr>
          <w:color w:val="auto"/>
        </w:rPr>
      </w:pPr>
    </w:p>
    <w:p>
      <w:pPr>
        <w:pStyle w:val="2"/>
        <w:spacing w:before="93"/>
        <w:ind w:firstLine="600"/>
        <w:rPr>
          <w:color w:val="auto"/>
        </w:rPr>
      </w:pPr>
    </w:p>
    <w:p>
      <w:pPr>
        <w:pStyle w:val="2"/>
        <w:spacing w:before="93"/>
        <w:ind w:firstLine="600"/>
        <w:rPr>
          <w:color w:val="auto"/>
        </w:rPr>
      </w:pPr>
    </w:p>
    <w:p>
      <w:pPr>
        <w:pStyle w:val="2"/>
        <w:spacing w:before="93"/>
        <w:ind w:firstLine="600"/>
        <w:rPr>
          <w:color w:val="auto"/>
        </w:rPr>
      </w:pPr>
    </w:p>
    <w:p>
      <w:pPr>
        <w:pStyle w:val="2"/>
        <w:spacing w:before="93"/>
        <w:ind w:firstLine="600"/>
        <w:rPr>
          <w:color w:val="auto"/>
        </w:rPr>
      </w:pPr>
    </w:p>
    <w:p>
      <w:pPr>
        <w:pStyle w:val="2"/>
        <w:spacing w:before="93"/>
        <w:ind w:firstLine="0" w:firstLineChars="0"/>
        <w:rPr>
          <w:color w:val="auto"/>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2023年“</w:t>
      </w:r>
      <w:r>
        <w:rPr>
          <w:rFonts w:ascii="方正小标宋简体" w:hAnsi="方正小标宋简体" w:eastAsia="方正小标宋简体" w:cs="方正小标宋简体"/>
          <w:color w:val="auto"/>
          <w:kern w:val="2"/>
          <w:sz w:val="32"/>
          <w:szCs w:val="32"/>
          <w:lang w:val="en-US"/>
        </w:rPr>
        <w:t>2020</w:t>
      </w:r>
      <w:r>
        <w:rPr>
          <w:rFonts w:hint="eastAsia" w:ascii="方正小标宋简体" w:hAnsi="方正小标宋简体" w:eastAsia="方正小标宋简体" w:cs="方正小标宋简体"/>
          <w:color w:val="auto"/>
          <w:kern w:val="2"/>
          <w:sz w:val="32"/>
          <w:szCs w:val="32"/>
          <w:lang w:val="en-US"/>
        </w:rPr>
        <w:t>年迪拜世博会中国馆‘四川活动日’”</w:t>
      </w: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绩效自评报告</w:t>
      </w:r>
    </w:p>
    <w:p>
      <w:pPr>
        <w:pStyle w:val="27"/>
        <w:spacing w:line="578" w:lineRule="exact"/>
        <w:ind w:firstLine="640"/>
        <w:jc w:val="center"/>
        <w:rPr>
          <w:rFonts w:ascii="宋体" w:hAnsi="宋体"/>
          <w:color w:val="auto"/>
          <w:kern w:val="2"/>
          <w:sz w:val="32"/>
          <w:szCs w:val="32"/>
        </w:rPr>
      </w:pPr>
    </w:p>
    <w:p>
      <w:pPr>
        <w:adjustRightInd w:val="0"/>
        <w:snapToGrid w:val="0"/>
        <w:spacing w:line="578" w:lineRule="exact"/>
        <w:ind w:firstLine="640"/>
        <w:rPr>
          <w:rFonts w:ascii="黑体" w:hAnsi="宋体" w:eastAsia="黑体"/>
          <w:color w:val="auto"/>
          <w:szCs w:val="32"/>
          <w:lang w:val="zh-CN"/>
        </w:rPr>
      </w:pPr>
      <w:r>
        <w:rPr>
          <w:rFonts w:hint="eastAsia" w:ascii="黑体" w:hAnsi="宋体" w:eastAsia="黑体"/>
          <w:color w:val="auto"/>
          <w:szCs w:val="32"/>
          <w:lang w:val="zh-CN"/>
        </w:rPr>
        <w:t>一、项目概况</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（一）项目基本情况</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ascii="仿宋_GB2312" w:hAnsi="仿宋_GB2312" w:cs="仿宋_GB2312"/>
          <w:color w:val="auto"/>
          <w:kern w:val="0"/>
          <w:szCs w:val="32"/>
          <w:shd w:val="clear" w:color="auto" w:fill="FFFFFF"/>
          <w:lang w:val="zh-CN"/>
        </w:rPr>
        <w:t>2020</w:t>
      </w:r>
      <w:r>
        <w:rPr>
          <w:rFonts w:hint="eastAsia" w:ascii="仿宋_GB2312" w:hAnsi="仿宋_GB2312" w:cs="仿宋_GB2312"/>
          <w:color w:val="auto"/>
          <w:kern w:val="0"/>
          <w:szCs w:val="32"/>
          <w:shd w:val="clear" w:color="auto" w:fill="FFFFFF"/>
          <w:lang w:val="zh-CN"/>
        </w:rPr>
        <w:t>年迪拜世博会中国馆“四川活动日”（“2021年遇见巴蜀·国际融合采购洽谈会·世博专场”）由四川省人民政府主办，四川省委宣传部、四川省贸促会等单位承办，于2月19日—23日在成都举办。</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（二）项目绩效目标</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1.展览贸易，设63平方米的广元展区进行特装展示，组织企业参展。</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2.参加2020年迪拜世博会中国馆“四川活动日”系列活动（世博耀巴蜀·川渝优势产业展，同期参加“2021年遇见巴蜀·国际融合采购洽谈会·世博专场”）及专题活动。</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（三）项目自评步骤及方法</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申报内容结合广元实际出发，目标可量化、可考核，实际实施时合理可行。</w:t>
      </w:r>
    </w:p>
    <w:p>
      <w:pPr>
        <w:adjustRightInd w:val="0"/>
        <w:snapToGrid w:val="0"/>
        <w:spacing w:line="578" w:lineRule="exact"/>
        <w:ind w:firstLine="640"/>
        <w:rPr>
          <w:rFonts w:ascii="黑体" w:hAnsi="宋体" w:eastAsia="黑体"/>
          <w:color w:val="auto"/>
          <w:szCs w:val="32"/>
          <w:lang w:val="zh-CN"/>
        </w:rPr>
      </w:pPr>
      <w:r>
        <w:rPr>
          <w:rFonts w:hint="eastAsia" w:ascii="黑体" w:hAnsi="宋体" w:eastAsia="黑体"/>
          <w:color w:val="auto"/>
          <w:szCs w:val="32"/>
          <w:lang w:val="zh-CN"/>
        </w:rPr>
        <w:t>二、项目资金申报及使用情况</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（一）项目资金申报及批复情况</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为做好广元参会各项筹备工作，我会草拟了《广元参加</w:t>
      </w:r>
      <w:r>
        <w:rPr>
          <w:rFonts w:ascii="仿宋_GB2312" w:hAnsi="仿宋_GB2312" w:cs="仿宋_GB2312"/>
          <w:color w:val="auto"/>
          <w:kern w:val="0"/>
          <w:szCs w:val="32"/>
          <w:shd w:val="clear" w:color="auto" w:fill="FFFFFF"/>
          <w:lang w:val="zh-CN"/>
        </w:rPr>
        <w:t>2020</w:t>
      </w:r>
      <w:r>
        <w:rPr>
          <w:rFonts w:hint="eastAsia" w:ascii="仿宋_GB2312" w:hAnsi="仿宋_GB2312" w:cs="仿宋_GB2312"/>
          <w:color w:val="auto"/>
          <w:kern w:val="0"/>
          <w:szCs w:val="32"/>
          <w:shd w:val="clear" w:color="auto" w:fill="FFFFFF"/>
          <w:lang w:val="zh-CN"/>
        </w:rPr>
        <w:t>年迪拜世博会中国馆“四川活动日”方案》，并报请市政府审定同意。由市财政补贴3.55万元，主要用于展览展示场地租金、布展及参展企业食宿及交通费、产品运输等方面。</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（二）资金计划、到位及使用情况</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1.资金计划。该项目资金计划为市本级财政预算资金，无项目单位自筹和其他渠道资金。</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2.资金到位。市本级财政下达当年专项资金时该项目资金全额到位，资金到位率及时。</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3.资金使用。资金实行市级财政国库集中支付管理。资金专账核算，专人管理，确保资金管理的规范、安全、有效。项目严格按我会资金管理办法财务规定执行。资金支付范围按照部门预算批复、合同、项目执行进度等要求进行支付，未有超预算、超进度、超标准等行为发生。</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（三）项目财务管理情况</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单位项目实施单位财务管理制度健全，严格执行财务管理制度，账务处理及时，会计核算规范。</w:t>
      </w:r>
    </w:p>
    <w:p>
      <w:pPr>
        <w:adjustRightInd w:val="0"/>
        <w:snapToGrid w:val="0"/>
        <w:spacing w:line="578" w:lineRule="exact"/>
        <w:ind w:firstLine="640"/>
        <w:rPr>
          <w:rFonts w:ascii="黑体" w:hAnsi="宋体" w:eastAsia="黑体"/>
          <w:color w:val="auto"/>
          <w:szCs w:val="32"/>
          <w:lang w:val="zh-CN"/>
        </w:rPr>
      </w:pPr>
      <w:r>
        <w:rPr>
          <w:rFonts w:hint="eastAsia" w:ascii="黑体" w:hAnsi="宋体" w:eastAsia="黑体"/>
          <w:color w:val="auto"/>
          <w:szCs w:val="32"/>
          <w:lang w:val="zh-CN"/>
        </w:rPr>
        <w:t>三、项目实施及管理情况</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（一）项目组织架构及实施流程</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该项目由会长全面负责，副会长分管，贸易投资促进部具体组织实施，贸易投资促进部制定相关工作方案报经会党组同意后报市政府审定后，会同有关单位、部室组织实施。</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（二）项目管理情况</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该项目通过询价方式，确定项目承办人。</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（三）项目监管情况</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该项目询价、实施等全过程均有我会内部纪检干部参与监管。</w:t>
      </w:r>
    </w:p>
    <w:p>
      <w:pPr>
        <w:adjustRightInd w:val="0"/>
        <w:snapToGrid w:val="0"/>
        <w:spacing w:line="578" w:lineRule="exact"/>
        <w:ind w:firstLine="640"/>
        <w:rPr>
          <w:rFonts w:ascii="黑体" w:hAnsi="宋体" w:eastAsia="黑体"/>
          <w:color w:val="auto"/>
          <w:szCs w:val="32"/>
          <w:lang w:val="zh-CN"/>
        </w:rPr>
      </w:pPr>
      <w:r>
        <w:rPr>
          <w:rFonts w:hint="eastAsia" w:ascii="黑体" w:hAnsi="宋体" w:eastAsia="黑体"/>
          <w:color w:val="auto"/>
          <w:szCs w:val="32"/>
          <w:lang w:val="zh-CN"/>
        </w:rPr>
        <w:t>四、项目绩效情况</w:t>
      </w:r>
      <w:r>
        <w:rPr>
          <w:rFonts w:hint="eastAsia" w:ascii="黑体" w:hAnsi="宋体" w:eastAsia="黑体"/>
          <w:color w:val="auto"/>
          <w:szCs w:val="32"/>
          <w:lang w:val="zh-CN"/>
        </w:rPr>
        <w:tab/>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（一）项目完成情况</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广元设63平方米的广元特装展区，米茶山茶叶、速食牛肉面、“广元七绝”系列、女皇故里酒、“广元红”高端红茶等</w:t>
      </w:r>
      <w:r>
        <w:rPr>
          <w:rFonts w:ascii="仿宋_GB2312" w:hAnsi="仿宋_GB2312" w:cs="仿宋_GB2312"/>
          <w:color w:val="auto"/>
          <w:kern w:val="0"/>
          <w:szCs w:val="32"/>
          <w:shd w:val="clear" w:color="auto" w:fill="FFFFFF"/>
          <w:lang w:val="zh-CN"/>
        </w:rPr>
        <w:t>7</w:t>
      </w:r>
      <w:r>
        <w:rPr>
          <w:rFonts w:hint="eastAsia" w:ascii="仿宋_GB2312" w:hAnsi="仿宋_GB2312" w:cs="仿宋_GB2312"/>
          <w:color w:val="auto"/>
          <w:kern w:val="0"/>
          <w:szCs w:val="32"/>
          <w:shd w:val="clear" w:color="auto" w:fill="FFFFFF"/>
          <w:lang w:val="zh-CN"/>
        </w:rPr>
        <w:t>家企业</w:t>
      </w:r>
      <w:r>
        <w:rPr>
          <w:rFonts w:ascii="仿宋_GB2312" w:hAnsi="仿宋_GB2312" w:cs="仿宋_GB2312"/>
          <w:color w:val="auto"/>
          <w:kern w:val="0"/>
          <w:szCs w:val="32"/>
          <w:shd w:val="clear" w:color="auto" w:fill="FFFFFF"/>
          <w:lang w:val="zh-CN"/>
        </w:rPr>
        <w:t>60</w:t>
      </w:r>
      <w:r>
        <w:rPr>
          <w:rFonts w:hint="eastAsia" w:ascii="仿宋_GB2312" w:hAnsi="仿宋_GB2312" w:cs="仿宋_GB2312"/>
          <w:color w:val="auto"/>
          <w:kern w:val="0"/>
          <w:szCs w:val="32"/>
          <w:shd w:val="clear" w:color="auto" w:fill="FFFFFF"/>
          <w:lang w:val="zh-CN"/>
        </w:rPr>
        <w:t>余种优质产品亮相“活动日”。</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（二）项目效益情况</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会期达成销售及意向协议共</w:t>
      </w:r>
      <w:r>
        <w:rPr>
          <w:rFonts w:ascii="仿宋_GB2312" w:hAnsi="仿宋_GB2312" w:cs="仿宋_GB2312"/>
          <w:color w:val="auto"/>
          <w:kern w:val="0"/>
          <w:szCs w:val="32"/>
          <w:shd w:val="clear" w:color="auto" w:fill="FFFFFF"/>
          <w:lang w:val="zh-CN"/>
        </w:rPr>
        <w:t>450</w:t>
      </w:r>
      <w:r>
        <w:rPr>
          <w:rFonts w:hint="eastAsia" w:ascii="仿宋_GB2312" w:hAnsi="仿宋_GB2312" w:cs="仿宋_GB2312"/>
          <w:color w:val="auto"/>
          <w:kern w:val="0"/>
          <w:szCs w:val="32"/>
          <w:shd w:val="clear" w:color="auto" w:fill="FFFFFF"/>
          <w:lang w:val="zh-CN"/>
        </w:rPr>
        <w:t>余万元。</w:t>
      </w:r>
    </w:p>
    <w:p>
      <w:pPr>
        <w:adjustRightInd w:val="0"/>
        <w:snapToGrid w:val="0"/>
        <w:spacing w:line="578" w:lineRule="exact"/>
        <w:ind w:firstLine="640"/>
        <w:rPr>
          <w:rFonts w:ascii="黑体" w:hAnsi="宋体" w:eastAsia="黑体"/>
          <w:color w:val="auto"/>
          <w:szCs w:val="32"/>
          <w:lang w:val="zh-CN"/>
        </w:rPr>
      </w:pPr>
      <w:r>
        <w:rPr>
          <w:rFonts w:hint="eastAsia" w:ascii="黑体" w:hAnsi="宋体" w:eastAsia="黑体"/>
          <w:color w:val="auto"/>
          <w:szCs w:val="32"/>
          <w:lang w:val="zh-CN"/>
        </w:rPr>
        <w:t>五、评价结论及建议</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（一）评价结论</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迪拜世博会中国馆“四川活动日”（“2021年遇见巴蜀·国际融合采购洽谈会·世博专场”）已成为四川对外展示形象的重要窗口、促进经济发展的重要平台、推进合作共赢的重要纽带。通过实施该项目，广元企业充分展示了广元特色优势，同时，会期达成多项产业合作，为广元企业拓展国际市场打下扎实的基础。</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（二）存在的问题</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因新冠疫情影响，企业“走出去”受阻，经贸交流、贸易投资活动受限，企业经营存在不同程度的困难。</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（三）相关建议</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无。</w:t>
      </w:r>
    </w:p>
    <w:p>
      <w:pPr>
        <w:pStyle w:val="2"/>
        <w:spacing w:before="93"/>
        <w:ind w:firstLine="0" w:firstLineChars="0"/>
        <w:rPr>
          <w:color w:val="auto"/>
        </w:rPr>
      </w:pPr>
    </w:p>
    <w:p>
      <w:pPr>
        <w:pStyle w:val="2"/>
        <w:spacing w:before="93"/>
        <w:ind w:firstLine="0" w:firstLineChars="0"/>
        <w:rPr>
          <w:color w:val="auto"/>
        </w:rPr>
      </w:pPr>
    </w:p>
    <w:p>
      <w:pPr>
        <w:pStyle w:val="2"/>
        <w:spacing w:before="93"/>
        <w:ind w:firstLine="0" w:firstLineChars="0"/>
        <w:rPr>
          <w:color w:val="auto"/>
        </w:rPr>
      </w:pPr>
    </w:p>
    <w:p>
      <w:pPr>
        <w:pStyle w:val="27"/>
        <w:spacing w:line="578" w:lineRule="exact"/>
        <w:ind w:firstLine="0" w:firstLineChars="0"/>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2023年“遇见巴蜀.国际融合采洽会”绩效自评报告</w:t>
      </w:r>
    </w:p>
    <w:p>
      <w:pPr>
        <w:pStyle w:val="27"/>
        <w:spacing w:line="578" w:lineRule="exact"/>
        <w:ind w:firstLine="640"/>
        <w:jc w:val="center"/>
        <w:rPr>
          <w:rFonts w:ascii="宋体" w:hAnsi="宋体"/>
          <w:color w:val="auto"/>
          <w:kern w:val="2"/>
          <w:sz w:val="32"/>
          <w:szCs w:val="32"/>
          <w:lang w:val="en-US"/>
        </w:rPr>
      </w:pPr>
    </w:p>
    <w:p>
      <w:pPr>
        <w:adjustRightInd w:val="0"/>
        <w:snapToGrid w:val="0"/>
        <w:spacing w:line="578" w:lineRule="exact"/>
        <w:ind w:firstLine="640"/>
        <w:rPr>
          <w:rFonts w:ascii="黑体" w:hAnsi="宋体" w:eastAsia="黑体"/>
          <w:color w:val="auto"/>
          <w:szCs w:val="32"/>
          <w:lang w:val="zh-CN"/>
        </w:rPr>
      </w:pPr>
      <w:r>
        <w:rPr>
          <w:rFonts w:hint="eastAsia" w:ascii="黑体" w:hAnsi="宋体" w:eastAsia="黑体"/>
          <w:color w:val="auto"/>
          <w:szCs w:val="32"/>
          <w:lang w:val="zh-CN"/>
        </w:rPr>
        <w:t>一、项目概况</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（一）项目基本情况</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2022年“遇见巴蜀.国际融合采洽会”（简称融洽会）由四川省贸促会和重庆市贸促会共同主办，于2022年12月15日至18日在四川川投国际网球中心举行。</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（二）项目绩效目标</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1.展览贸易，设72平方米的广元展区进行特装展示，组织企业参展。</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2.组织企业参加2022年遇见巴蜀•国际融合采洽会抖音线上直播活动。</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（三）项目自评步骤及方法</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申报内容结合广元实际出发，目标可量化、可考核，实际实施时合理可行。</w:t>
      </w:r>
    </w:p>
    <w:p>
      <w:pPr>
        <w:adjustRightInd w:val="0"/>
        <w:snapToGrid w:val="0"/>
        <w:spacing w:line="578" w:lineRule="exact"/>
        <w:ind w:firstLine="640"/>
        <w:rPr>
          <w:rFonts w:ascii="黑体" w:hAnsi="宋体" w:eastAsia="黑体"/>
          <w:color w:val="auto"/>
          <w:szCs w:val="32"/>
          <w:lang w:val="zh-CN"/>
        </w:rPr>
      </w:pPr>
      <w:r>
        <w:rPr>
          <w:rFonts w:hint="eastAsia" w:ascii="黑体" w:hAnsi="宋体" w:eastAsia="黑体"/>
          <w:color w:val="auto"/>
          <w:szCs w:val="32"/>
          <w:lang w:val="zh-CN"/>
        </w:rPr>
        <w:t>二、项目资金申报及使用情况</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（一）项目资金申报及批复情况</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为做好广元参会各项筹备工作，我会草拟了《广元参加</w:t>
      </w:r>
      <w:bookmarkStart w:id="71" w:name="_Hlk98353712"/>
      <w:r>
        <w:rPr>
          <w:rFonts w:hint="eastAsia" w:ascii="仿宋_GB2312" w:hAnsi="仿宋_GB2312" w:cs="仿宋_GB2312"/>
          <w:color w:val="auto"/>
          <w:kern w:val="0"/>
          <w:szCs w:val="32"/>
          <w:shd w:val="clear" w:color="auto" w:fill="FFFFFF"/>
          <w:lang w:val="zh-CN"/>
        </w:rPr>
        <w:t>2022年遇见巴蜀国际融合采洽会</w:t>
      </w:r>
      <w:bookmarkEnd w:id="71"/>
      <w:r>
        <w:rPr>
          <w:rFonts w:hint="eastAsia" w:ascii="仿宋_GB2312" w:hAnsi="仿宋_GB2312" w:cs="仿宋_GB2312"/>
          <w:color w:val="auto"/>
          <w:kern w:val="0"/>
          <w:szCs w:val="32"/>
          <w:shd w:val="clear" w:color="auto" w:fill="FFFFFF"/>
          <w:lang w:val="zh-CN"/>
        </w:rPr>
        <w:t>建议方案》，并报请市政府审定同意。由市财政补贴2万元，主要用于展览展示场地租金、布展及参展企业食宿及交通费、产品运输等方面。</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（二）资金计划、到位及使用情况</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1.资金计划。该项目资金计划为市本级财政预算资金，无项目单位自筹和其他渠道资金。</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2.资金到位。市本级财政下达当年专项资金时该项目资金全额到位，资金到位率及时。</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3.资金使用。资金实行市级财政国库集中支付管理。资金专账核算，专人管理，确保资金管理的规范、安全、有效。项目严格按我会资金管理办法财务规定执行。资金支付范围按照部门预算批复、合同、项目执行进度等要求进行支付，未有超预算、超进度、超标准等行为发生。</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（三）项目财务管理情况</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单位项目实施单位财务管理制度健全，严格执行财务管理制度，账务处理及时，会计核算规范。</w:t>
      </w:r>
    </w:p>
    <w:p>
      <w:pPr>
        <w:adjustRightInd w:val="0"/>
        <w:snapToGrid w:val="0"/>
        <w:spacing w:line="578" w:lineRule="exact"/>
        <w:ind w:firstLine="640"/>
        <w:rPr>
          <w:rFonts w:ascii="黑体" w:hAnsi="宋体" w:eastAsia="黑体"/>
          <w:color w:val="auto"/>
          <w:szCs w:val="32"/>
          <w:lang w:val="zh-CN"/>
        </w:rPr>
      </w:pPr>
      <w:r>
        <w:rPr>
          <w:rFonts w:hint="eastAsia" w:ascii="黑体" w:hAnsi="宋体" w:eastAsia="黑体"/>
          <w:color w:val="auto"/>
          <w:szCs w:val="32"/>
          <w:lang w:val="zh-CN"/>
        </w:rPr>
        <w:t>三、项目实施及管理情况</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（一）项目组织架构及实施流程</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该项目由会长全面负责，副会长分管，贸易投资促进部具体组织实施，贸易投资促进部制定相关工作方案报经会党组同意后报市政府审定后，会同有关单位、部室组织实施。</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（二）项目管理情况</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该项目通过发布询价公告，确定项目承办人。</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（三）项目监管情况</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该项目询价、实施等全过程均有驻财政局纪检工作人员及会内部纪检干部参与监管。</w:t>
      </w:r>
    </w:p>
    <w:p>
      <w:pPr>
        <w:adjustRightInd w:val="0"/>
        <w:snapToGrid w:val="0"/>
        <w:spacing w:line="578" w:lineRule="exact"/>
        <w:ind w:firstLine="640"/>
        <w:rPr>
          <w:rFonts w:ascii="黑体" w:hAnsi="宋体" w:eastAsia="黑体"/>
          <w:color w:val="auto"/>
          <w:szCs w:val="32"/>
          <w:lang w:val="zh-CN"/>
        </w:rPr>
      </w:pPr>
      <w:r>
        <w:rPr>
          <w:rFonts w:hint="eastAsia" w:ascii="黑体" w:hAnsi="宋体" w:eastAsia="黑体"/>
          <w:color w:val="auto"/>
          <w:szCs w:val="32"/>
          <w:lang w:val="zh-CN"/>
        </w:rPr>
        <w:t>四、项目绩效情况</w:t>
      </w:r>
      <w:r>
        <w:rPr>
          <w:rFonts w:hint="eastAsia" w:ascii="黑体" w:hAnsi="宋体" w:eastAsia="黑体"/>
          <w:color w:val="auto"/>
          <w:szCs w:val="32"/>
          <w:lang w:val="zh-CN"/>
        </w:rPr>
        <w:tab/>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（一）项目完成情况</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我市设广元展馆72平方米，组织广元供销农产品集团有限公司、四川木门茶业等8家优势企业参展，广元七绝、苍溪大米、木门黄茶等60余种特色产品参展。截止2022年12月31日，我会均已按设定的目标完成任务。</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（二）项目效益情况</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会期达成合作意向协议12个、协议金额680余万元。我市还邀请2022年遇见巴蜀•国际融合采洽会抖音线上直播到广元展区进行专场直播，通过搭乘“短视频、直播+电商”新快车，推动我市特色优势企业扩大影响力、形成拉动“广元造”产品消费新优势。</w:t>
      </w:r>
    </w:p>
    <w:p>
      <w:pPr>
        <w:adjustRightInd w:val="0"/>
        <w:snapToGrid w:val="0"/>
        <w:spacing w:line="578" w:lineRule="exact"/>
        <w:ind w:firstLine="640"/>
        <w:rPr>
          <w:rFonts w:ascii="黑体" w:hAnsi="宋体" w:eastAsia="黑体"/>
          <w:color w:val="auto"/>
          <w:szCs w:val="32"/>
          <w:lang w:val="zh-CN"/>
        </w:rPr>
      </w:pPr>
      <w:r>
        <w:rPr>
          <w:rFonts w:hint="eastAsia" w:ascii="黑体" w:hAnsi="宋体" w:eastAsia="黑体"/>
          <w:color w:val="auto"/>
          <w:szCs w:val="32"/>
          <w:lang w:val="zh-CN"/>
        </w:rPr>
        <w:t>五、评价结论及建议</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（一）评价结论</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融洽会是在2020年</w:t>
      </w:r>
      <w:r>
        <w:rPr>
          <w:rFonts w:hint="eastAsia" w:ascii="仿宋_GB2312" w:hAnsi="仿宋_GB2312" w:cs="仿宋_GB2312"/>
          <w:color w:val="auto"/>
          <w:kern w:val="0"/>
          <w:szCs w:val="32"/>
          <w:shd w:val="clear" w:color="auto" w:fill="FFFFFF"/>
          <w:lang w:val="zh-CN"/>
        </w:rPr>
        <w:t>新冠感染疫情</w:t>
      </w:r>
      <w:r>
        <w:rPr>
          <w:rFonts w:hint="eastAsia" w:ascii="仿宋_GB2312" w:hAnsi="仿宋_GB2312" w:cs="仿宋_GB2312"/>
          <w:color w:val="auto"/>
          <w:kern w:val="0"/>
          <w:szCs w:val="32"/>
          <w:shd w:val="clear" w:color="auto" w:fill="FFFFFF"/>
          <w:lang w:val="zh-CN"/>
        </w:rPr>
        <w:t>暴发后，四川省贸促会与相关部门携手，以线上和线下结合模式，创新举办的新型展会活动。通过实施该项目，广元通过搭乘该活动暨贸易投资合作平台，引导本地企业加大与川渝企业之间的交流合作，进一步分享成渝地区双城经济圈建设蛋糕和红利。</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（二）存在的问题</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因新冠疫情影响，企业“走出去”受阻，经贸交流、贸易投资活动受限，企业经营存在不同程度的困难。</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（三）相关建议</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无。</w:t>
      </w: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p>
    <w:p>
      <w:pPr>
        <w:pStyle w:val="27"/>
        <w:spacing w:line="578" w:lineRule="exact"/>
        <w:ind w:firstLine="0" w:firstLineChars="0"/>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2023年“第八届成都国际汽车零配件及售后服务展览会”</w:t>
      </w:r>
    </w:p>
    <w:p>
      <w:pPr>
        <w:pStyle w:val="27"/>
        <w:spacing w:line="578" w:lineRule="exact"/>
        <w:ind w:firstLine="640"/>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绩效自评报告</w:t>
      </w:r>
    </w:p>
    <w:p>
      <w:pPr>
        <w:pStyle w:val="27"/>
        <w:spacing w:line="578" w:lineRule="exact"/>
        <w:ind w:firstLine="640"/>
        <w:jc w:val="center"/>
        <w:rPr>
          <w:rFonts w:ascii="宋体" w:hAnsi="宋体"/>
          <w:color w:val="auto"/>
          <w:kern w:val="2"/>
          <w:sz w:val="32"/>
          <w:szCs w:val="32"/>
        </w:rPr>
      </w:pPr>
    </w:p>
    <w:p>
      <w:pPr>
        <w:adjustRightInd w:val="0"/>
        <w:snapToGrid w:val="0"/>
        <w:spacing w:line="578" w:lineRule="exact"/>
        <w:ind w:firstLine="640"/>
        <w:rPr>
          <w:rFonts w:ascii="黑体" w:hAnsi="宋体" w:eastAsia="黑体"/>
          <w:color w:val="auto"/>
          <w:szCs w:val="32"/>
          <w:lang w:val="zh-CN"/>
        </w:rPr>
      </w:pPr>
      <w:r>
        <w:rPr>
          <w:rFonts w:hint="eastAsia" w:ascii="黑体" w:hAnsi="宋体" w:eastAsia="黑体"/>
          <w:color w:val="auto"/>
          <w:szCs w:val="32"/>
          <w:lang w:val="zh-CN"/>
        </w:rPr>
        <w:t>一、项目概况</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（一）项目基本情况</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第八届成都国际汽车零配件及售后服务展览会（以下简称“成都汽配展”）由四川省经济和信息化厅、中国国际贸易促进委员会四川省委员会共同主办，于8月18日至20日在成都世纪城新国际会展中心举办。</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（二）项目绩效目标</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1.开展展览贸易。设54㎡的广元展区，以我市汽车配件产业优势产品展示为主。展馆统一布展，展馆设计方案采用比选方式优选确定。</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2.组织企业参加同期“一带一路”全国上市公司国际论坛、国际新能源汽车大会等经贸活动。</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3.组织企业参加组委会举办的网络直播，推介和宣传“广元造”产品，吸引了众多客商和专业观众参观广元展区。</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（三）项目自评步骤及方法</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申报内容结合广元实际出发，目标可量化、可考核，实际实施时合理可行。</w:t>
      </w:r>
    </w:p>
    <w:p>
      <w:pPr>
        <w:adjustRightInd w:val="0"/>
        <w:snapToGrid w:val="0"/>
        <w:spacing w:line="578" w:lineRule="exact"/>
        <w:ind w:firstLine="640"/>
        <w:rPr>
          <w:rFonts w:ascii="黑体" w:hAnsi="宋体" w:eastAsia="黑体"/>
          <w:color w:val="auto"/>
          <w:szCs w:val="32"/>
          <w:lang w:val="zh-CN"/>
        </w:rPr>
      </w:pPr>
      <w:r>
        <w:rPr>
          <w:rFonts w:hint="eastAsia" w:ascii="黑体" w:hAnsi="宋体" w:eastAsia="黑体"/>
          <w:color w:val="auto"/>
          <w:szCs w:val="32"/>
          <w:lang w:val="zh-CN"/>
        </w:rPr>
        <w:t>二、项目资金申报及使用情况</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（一）项目资金申报及批复情况</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我会根据组委会文件精神，草拟了《广元参加第八届成都国际汽车零配件及售后服务展览会方案》报市政府审定同意。经费预算总额8万元，包括展览展示场地租金、设计布展及会务等费用。</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（二）资金计划、到位及使用情况</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1.资金计划。该项目资金计划为市本级财政预算资金，无项目单位自筹和其他渠道资金。</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2资金到位。市本级财政下达当年专项资金时该项目资金全额到位，资金到位率及时。</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3资金使用。资金实行市级财政国库集中支付管理。资金专账核算，专人管理，确保资金管理的规范、安全、有效。项目严格按我会资金管理办法财务规定执行。资金支付范围按照部门预算批复、合同、项目执行进度等要求进行支付，未有超预算、超进度、超标准等行为发生。</w:t>
      </w:r>
    </w:p>
    <w:p>
      <w:pPr>
        <w:adjustRightInd w:val="0"/>
        <w:snapToGrid w:val="0"/>
        <w:spacing w:line="578" w:lineRule="exact"/>
        <w:ind w:firstLine="640"/>
        <w:rPr>
          <w:rFonts w:ascii="楷体_GB2312" w:hAnsi="宋体" w:eastAsia="楷体_GB2312"/>
          <w:color w:val="auto"/>
          <w:lang w:val="zh-CN"/>
        </w:rPr>
      </w:pPr>
      <w:r>
        <w:rPr>
          <w:rFonts w:hint="eastAsia" w:ascii="楷体_GB2312" w:hAnsi="宋体" w:eastAsia="楷体_GB2312"/>
          <w:color w:val="auto"/>
          <w:szCs w:val="32"/>
          <w:lang w:val="zh-CN"/>
        </w:rPr>
        <w:t>（三）项目财务管理情况</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单位项目实施单位财务管理制度健全，严格执行财务管理制度，账务处理及时，会计核算规范。</w:t>
      </w:r>
    </w:p>
    <w:p>
      <w:pPr>
        <w:adjustRightInd w:val="0"/>
        <w:snapToGrid w:val="0"/>
        <w:spacing w:line="578" w:lineRule="exact"/>
        <w:ind w:firstLine="640"/>
        <w:rPr>
          <w:rFonts w:ascii="黑体" w:hAnsi="宋体" w:eastAsia="黑体"/>
          <w:color w:val="auto"/>
          <w:szCs w:val="32"/>
          <w:lang w:val="zh-CN"/>
        </w:rPr>
      </w:pPr>
      <w:r>
        <w:rPr>
          <w:rFonts w:hint="eastAsia" w:ascii="黑体" w:hAnsi="宋体" w:eastAsia="黑体"/>
          <w:color w:val="auto"/>
          <w:szCs w:val="32"/>
          <w:lang w:val="zh-CN"/>
        </w:rPr>
        <w:t>三、项目实施及管理情况</w:t>
      </w:r>
    </w:p>
    <w:p>
      <w:pPr>
        <w:adjustRightInd w:val="0"/>
        <w:snapToGrid w:val="0"/>
        <w:spacing w:line="578" w:lineRule="exact"/>
        <w:ind w:firstLine="640"/>
        <w:rPr>
          <w:rFonts w:ascii="楷体_GB2312" w:hAnsi="宋体" w:eastAsia="楷体_GB2312"/>
          <w:color w:val="auto"/>
          <w:lang w:val="zh-CN"/>
        </w:rPr>
      </w:pPr>
      <w:r>
        <w:rPr>
          <w:rFonts w:hint="eastAsia" w:ascii="楷体_GB2312" w:hAnsi="宋体" w:eastAsia="楷体_GB2312"/>
          <w:color w:val="auto"/>
          <w:szCs w:val="32"/>
          <w:lang w:val="zh-CN"/>
        </w:rPr>
        <w:t>（一）项目组织架构及实施流程</w:t>
      </w:r>
    </w:p>
    <w:p>
      <w:pPr>
        <w:adjustRightInd w:val="0"/>
        <w:snapToGrid w:val="0"/>
        <w:spacing w:line="576" w:lineRule="exact"/>
        <w:ind w:firstLine="640"/>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该项目由会长全面负责，副会长分管，贸易投资促进部具体组织实施，贸易投资促进部制定相关工作方案报经会党组同意后报市政府审定后，会同有关单位、部室组织实施。</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（二）项目管理情况</w:t>
      </w:r>
    </w:p>
    <w:p>
      <w:pPr>
        <w:widowControl/>
        <w:adjustRightInd w:val="0"/>
        <w:snapToGrid w:val="0"/>
        <w:spacing w:line="578" w:lineRule="exact"/>
        <w:ind w:firstLine="640"/>
        <w:contextualSpacing/>
        <w:jc w:val="left"/>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该项目通过发布比选公告，确定项目（展馆设计制作等）承办人。</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（三）项目监管情况</w:t>
      </w:r>
    </w:p>
    <w:p>
      <w:pPr>
        <w:widowControl/>
        <w:adjustRightInd w:val="0"/>
        <w:snapToGrid w:val="0"/>
        <w:spacing w:line="578" w:lineRule="exact"/>
        <w:ind w:firstLine="640"/>
        <w:contextualSpacing/>
        <w:jc w:val="left"/>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该项目比选、实施等全过程均有驻财政局纪检工作人员及会内部纪检干部参与。</w:t>
      </w:r>
    </w:p>
    <w:p>
      <w:pPr>
        <w:adjustRightInd w:val="0"/>
        <w:snapToGrid w:val="0"/>
        <w:spacing w:line="578" w:lineRule="exact"/>
        <w:ind w:firstLine="640"/>
        <w:rPr>
          <w:rFonts w:ascii="仿宋_GB2312" w:hAnsi="宋体"/>
          <w:color w:val="auto"/>
          <w:lang w:val="zh-CN"/>
        </w:rPr>
      </w:pPr>
      <w:r>
        <w:rPr>
          <w:rFonts w:hint="eastAsia" w:ascii="黑体" w:hAnsi="宋体" w:eastAsia="黑体"/>
          <w:color w:val="auto"/>
          <w:szCs w:val="32"/>
          <w:lang w:val="zh-CN"/>
        </w:rPr>
        <w:t>四、项目绩效情况</w:t>
      </w:r>
      <w:r>
        <w:rPr>
          <w:rFonts w:hint="eastAsia" w:ascii="仿宋_GB2312" w:hAnsi="宋体"/>
          <w:color w:val="auto"/>
          <w:lang w:val="zh-CN"/>
        </w:rPr>
        <w:tab/>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（一）项目完成情况</w:t>
      </w:r>
    </w:p>
    <w:p>
      <w:pPr>
        <w:widowControl/>
        <w:adjustRightInd w:val="0"/>
        <w:snapToGrid w:val="0"/>
        <w:spacing w:line="578" w:lineRule="exact"/>
        <w:ind w:firstLine="640"/>
        <w:contextualSpacing/>
        <w:jc w:val="left"/>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我市设54平方米的广元特装展馆，组织安驭铝合金车轮、天源机械、四川欣源设备等7家企业参展，截止2022年12月31日，我会均已按设定的目标完成任务。</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（二）项目效益情况</w:t>
      </w:r>
    </w:p>
    <w:p>
      <w:pPr>
        <w:widowControl/>
        <w:adjustRightInd w:val="0"/>
        <w:snapToGrid w:val="0"/>
        <w:spacing w:line="578" w:lineRule="exact"/>
        <w:ind w:firstLine="640"/>
        <w:contextualSpacing/>
        <w:jc w:val="left"/>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会期达成合作意向金额1196万元，达到预期效果，参展企业满意度达98%。</w:t>
      </w:r>
    </w:p>
    <w:p>
      <w:pPr>
        <w:adjustRightInd w:val="0"/>
        <w:snapToGrid w:val="0"/>
        <w:spacing w:line="578" w:lineRule="exact"/>
        <w:ind w:firstLine="640"/>
        <w:rPr>
          <w:rFonts w:ascii="黑体" w:hAnsi="宋体" w:eastAsia="黑体"/>
          <w:color w:val="auto"/>
          <w:szCs w:val="32"/>
          <w:lang w:val="zh-CN"/>
        </w:rPr>
      </w:pPr>
      <w:r>
        <w:rPr>
          <w:rFonts w:hint="eastAsia" w:ascii="黑体" w:hAnsi="宋体" w:eastAsia="黑体"/>
          <w:color w:val="auto"/>
          <w:szCs w:val="32"/>
          <w:lang w:val="zh-CN"/>
        </w:rPr>
        <w:t>五、评价结论及建议</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（一）评价结论</w:t>
      </w:r>
    </w:p>
    <w:p>
      <w:pPr>
        <w:widowControl/>
        <w:adjustRightInd w:val="0"/>
        <w:snapToGrid w:val="0"/>
        <w:spacing w:line="578" w:lineRule="exact"/>
        <w:ind w:firstLine="640"/>
        <w:contextualSpacing/>
        <w:jc w:val="left"/>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通过实施该项目，我会认真组织企业参加第八届成都国际汽车零配件及售后服务展览会，开展各种宣传推介、展览展示、经贸合作、品牌推广等活动，助力本地企业开拓市场。</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（二）存在的问题</w:t>
      </w:r>
    </w:p>
    <w:p>
      <w:pPr>
        <w:widowControl/>
        <w:adjustRightInd w:val="0"/>
        <w:snapToGrid w:val="0"/>
        <w:spacing w:line="578" w:lineRule="exact"/>
        <w:ind w:firstLine="640"/>
        <w:contextualSpacing/>
        <w:jc w:val="left"/>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因新冠疫情影响，采购商参加展会人数下降，企业“走出去”受阻，经贸交流、贸易投资活动受限，企业经营、拓展市场存在不同程度的困难。</w:t>
      </w:r>
    </w:p>
    <w:p>
      <w:pPr>
        <w:adjustRightInd w:val="0"/>
        <w:snapToGrid w:val="0"/>
        <w:spacing w:line="578" w:lineRule="exact"/>
        <w:ind w:firstLine="640"/>
        <w:rPr>
          <w:rFonts w:ascii="楷体_GB2312" w:hAnsi="宋体" w:eastAsia="楷体_GB2312"/>
          <w:color w:val="auto"/>
          <w:szCs w:val="32"/>
          <w:lang w:val="zh-CN"/>
        </w:rPr>
      </w:pPr>
      <w:r>
        <w:rPr>
          <w:rFonts w:hint="eastAsia" w:ascii="楷体_GB2312" w:hAnsi="宋体" w:eastAsia="楷体_GB2312"/>
          <w:color w:val="auto"/>
          <w:szCs w:val="32"/>
          <w:lang w:val="zh-CN"/>
        </w:rPr>
        <w:t>（三）相关建议</w:t>
      </w:r>
    </w:p>
    <w:p>
      <w:pPr>
        <w:widowControl/>
        <w:adjustRightInd w:val="0"/>
        <w:snapToGrid w:val="0"/>
        <w:spacing w:line="578" w:lineRule="exact"/>
        <w:ind w:firstLine="640"/>
        <w:contextualSpacing/>
        <w:jc w:val="left"/>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无。</w:t>
      </w:r>
    </w:p>
    <w:p>
      <w:pPr>
        <w:pStyle w:val="2"/>
        <w:spacing w:before="93"/>
        <w:ind w:firstLine="600"/>
        <w:rPr>
          <w:color w:val="auto"/>
        </w:rPr>
      </w:pPr>
    </w:p>
    <w:p>
      <w:pPr>
        <w:pStyle w:val="2"/>
        <w:spacing w:before="93"/>
        <w:ind w:firstLine="600"/>
        <w:rPr>
          <w:color w:val="auto"/>
        </w:rPr>
      </w:pPr>
    </w:p>
    <w:p>
      <w:pPr>
        <w:pStyle w:val="3"/>
        <w:ind w:firstLine="883"/>
        <w:rPr>
          <w:rStyle w:val="19"/>
          <w:rFonts w:ascii="黑体" w:hAnsi="黑体"/>
          <w:b/>
          <w:bCs w:val="0"/>
          <w:color w:val="auto"/>
        </w:rPr>
      </w:pPr>
      <w:bookmarkStart w:id="72" w:name="_Toc13478"/>
      <w:bookmarkStart w:id="73" w:name="_Toc15396618"/>
      <w:r>
        <w:rPr>
          <w:rFonts w:hint="eastAsia" w:ascii="黑体" w:hAnsi="黑体"/>
          <w:b/>
          <w:bCs w:val="0"/>
          <w:color w:val="auto"/>
        </w:rPr>
        <w:t>第五部分附表</w:t>
      </w:r>
      <w:bookmarkEnd w:id="68"/>
      <w:bookmarkEnd w:id="72"/>
      <w:bookmarkEnd w:id="73"/>
      <w:bookmarkStart w:id="74" w:name="_Toc15396619"/>
    </w:p>
    <w:p>
      <w:pPr>
        <w:pStyle w:val="2"/>
        <w:spacing w:before="93"/>
        <w:ind w:firstLine="600"/>
        <w:rPr>
          <w:color w:val="auto"/>
        </w:rPr>
      </w:pPr>
    </w:p>
    <w:p>
      <w:pPr>
        <w:pStyle w:val="4"/>
        <w:keepNext w:val="0"/>
        <w:keepLines w:val="0"/>
        <w:spacing w:line="560" w:lineRule="exact"/>
        <w:ind w:firstLine="640"/>
        <w:rPr>
          <w:rStyle w:val="20"/>
          <w:rFonts w:ascii="仿宋_GB2312" w:hAnsi="仿宋" w:eastAsia="仿宋_GB2312" w:cs="Times New Roman"/>
          <w:bCs w:val="0"/>
          <w:color w:val="auto"/>
        </w:rPr>
      </w:pPr>
      <w:bookmarkStart w:id="75" w:name="_Toc18007"/>
      <w:r>
        <w:rPr>
          <w:rStyle w:val="20"/>
          <w:rFonts w:hint="eastAsia" w:ascii="仿宋_GB2312" w:hAnsi="仿宋" w:eastAsia="仿宋_GB2312" w:cs="Times New Roman"/>
          <w:bCs w:val="0"/>
          <w:color w:val="auto"/>
        </w:rPr>
        <w:t>一、收入支出决算总表</w:t>
      </w:r>
      <w:bookmarkEnd w:id="74"/>
      <w:bookmarkEnd w:id="75"/>
    </w:p>
    <w:p>
      <w:pPr>
        <w:pStyle w:val="4"/>
        <w:keepNext w:val="0"/>
        <w:keepLines w:val="0"/>
        <w:spacing w:line="560" w:lineRule="exact"/>
        <w:ind w:firstLine="640"/>
        <w:rPr>
          <w:rStyle w:val="20"/>
          <w:rFonts w:ascii="仿宋_GB2312" w:hAnsi="仿宋" w:eastAsia="仿宋_GB2312" w:cs="Times New Roman"/>
          <w:bCs w:val="0"/>
          <w:color w:val="auto"/>
        </w:rPr>
      </w:pPr>
      <w:bookmarkStart w:id="76" w:name="_Toc9414"/>
      <w:bookmarkStart w:id="77" w:name="_Toc15396620"/>
      <w:r>
        <w:rPr>
          <w:rStyle w:val="20"/>
          <w:rFonts w:hint="eastAsia" w:ascii="仿宋_GB2312" w:hAnsi="仿宋" w:eastAsia="仿宋_GB2312" w:cs="Times New Roman"/>
          <w:bCs w:val="0"/>
          <w:color w:val="auto"/>
        </w:rPr>
        <w:t>二、收入决算表</w:t>
      </w:r>
      <w:bookmarkEnd w:id="76"/>
      <w:bookmarkEnd w:id="77"/>
    </w:p>
    <w:p>
      <w:pPr>
        <w:pStyle w:val="4"/>
        <w:keepNext w:val="0"/>
        <w:keepLines w:val="0"/>
        <w:spacing w:line="560" w:lineRule="exact"/>
        <w:ind w:firstLine="640"/>
        <w:rPr>
          <w:rStyle w:val="20"/>
          <w:rFonts w:ascii="仿宋_GB2312" w:hAnsi="仿宋" w:eastAsia="仿宋_GB2312" w:cs="Times New Roman"/>
          <w:bCs w:val="0"/>
          <w:color w:val="auto"/>
        </w:rPr>
      </w:pPr>
      <w:bookmarkStart w:id="78" w:name="_Toc15396621"/>
      <w:bookmarkStart w:id="79" w:name="_Toc8869"/>
      <w:r>
        <w:rPr>
          <w:rStyle w:val="20"/>
          <w:rFonts w:hint="eastAsia" w:ascii="仿宋_GB2312" w:hAnsi="仿宋" w:eastAsia="仿宋_GB2312" w:cs="Times New Roman"/>
          <w:bCs w:val="0"/>
          <w:color w:val="auto"/>
        </w:rPr>
        <w:t>三、支出决算表</w:t>
      </w:r>
      <w:bookmarkEnd w:id="78"/>
      <w:bookmarkEnd w:id="79"/>
    </w:p>
    <w:p>
      <w:pPr>
        <w:pStyle w:val="4"/>
        <w:keepNext w:val="0"/>
        <w:keepLines w:val="0"/>
        <w:spacing w:line="560" w:lineRule="exact"/>
        <w:ind w:firstLine="640"/>
        <w:rPr>
          <w:rStyle w:val="20"/>
          <w:rFonts w:ascii="仿宋_GB2312" w:hAnsi="仿宋" w:eastAsia="仿宋_GB2312" w:cs="Times New Roman"/>
          <w:bCs w:val="0"/>
          <w:color w:val="auto"/>
        </w:rPr>
      </w:pPr>
      <w:bookmarkStart w:id="80" w:name="_Toc15396622"/>
      <w:bookmarkStart w:id="81" w:name="_Toc8818"/>
      <w:r>
        <w:rPr>
          <w:rStyle w:val="20"/>
          <w:rFonts w:hint="eastAsia" w:ascii="仿宋_GB2312" w:hAnsi="仿宋" w:eastAsia="仿宋_GB2312" w:cs="Times New Roman"/>
          <w:bCs w:val="0"/>
          <w:color w:val="auto"/>
        </w:rPr>
        <w:t>四、财政拨款收入支出决算总表</w:t>
      </w:r>
      <w:bookmarkEnd w:id="80"/>
      <w:bookmarkEnd w:id="81"/>
    </w:p>
    <w:p>
      <w:pPr>
        <w:pStyle w:val="4"/>
        <w:keepNext w:val="0"/>
        <w:keepLines w:val="0"/>
        <w:spacing w:line="560" w:lineRule="exact"/>
        <w:ind w:firstLine="640"/>
        <w:rPr>
          <w:rStyle w:val="20"/>
          <w:rFonts w:ascii="仿宋_GB2312" w:hAnsi="仿宋" w:eastAsia="仿宋_GB2312" w:cs="Times New Roman"/>
          <w:bCs w:val="0"/>
          <w:color w:val="auto"/>
        </w:rPr>
      </w:pPr>
      <w:bookmarkStart w:id="82" w:name="_Toc15396623"/>
      <w:bookmarkStart w:id="83" w:name="_Toc10237"/>
      <w:r>
        <w:rPr>
          <w:rStyle w:val="20"/>
          <w:rFonts w:hint="eastAsia" w:ascii="仿宋_GB2312" w:hAnsi="仿宋" w:eastAsia="仿宋_GB2312" w:cs="Times New Roman"/>
          <w:bCs w:val="0"/>
          <w:color w:val="auto"/>
        </w:rPr>
        <w:t>五、财政拨款支出决算明细表</w:t>
      </w:r>
      <w:bookmarkEnd w:id="82"/>
      <w:bookmarkEnd w:id="83"/>
      <w:bookmarkStart w:id="84" w:name="_Toc15396624"/>
    </w:p>
    <w:p>
      <w:pPr>
        <w:pStyle w:val="4"/>
        <w:keepNext w:val="0"/>
        <w:keepLines w:val="0"/>
        <w:spacing w:line="560" w:lineRule="exact"/>
        <w:ind w:firstLine="640"/>
        <w:rPr>
          <w:rStyle w:val="20"/>
          <w:rFonts w:ascii="仿宋_GB2312" w:hAnsi="仿宋" w:eastAsia="仿宋_GB2312" w:cs="Times New Roman"/>
          <w:bCs w:val="0"/>
          <w:color w:val="auto"/>
        </w:rPr>
      </w:pPr>
      <w:bookmarkStart w:id="85" w:name="_Toc29946"/>
      <w:r>
        <w:rPr>
          <w:rStyle w:val="20"/>
          <w:rFonts w:hint="eastAsia" w:ascii="仿宋_GB2312" w:hAnsi="仿宋" w:eastAsia="仿宋_GB2312" w:cs="Times New Roman"/>
          <w:bCs w:val="0"/>
          <w:color w:val="auto"/>
        </w:rPr>
        <w:t>六、一般公共预算财政拨款支出决算表</w:t>
      </w:r>
      <w:bookmarkEnd w:id="84"/>
      <w:bookmarkEnd w:id="85"/>
    </w:p>
    <w:p>
      <w:pPr>
        <w:pStyle w:val="4"/>
        <w:keepNext w:val="0"/>
        <w:keepLines w:val="0"/>
        <w:spacing w:line="560" w:lineRule="exact"/>
        <w:ind w:firstLine="640"/>
        <w:rPr>
          <w:rStyle w:val="20"/>
          <w:rFonts w:ascii="仿宋_GB2312" w:hAnsi="仿宋" w:eastAsia="仿宋_GB2312" w:cs="Times New Roman"/>
          <w:bCs w:val="0"/>
          <w:color w:val="auto"/>
        </w:rPr>
      </w:pPr>
      <w:bookmarkStart w:id="86" w:name="_Toc28629"/>
      <w:bookmarkStart w:id="87" w:name="_Toc15396625"/>
      <w:r>
        <w:rPr>
          <w:rStyle w:val="20"/>
          <w:rFonts w:hint="eastAsia" w:ascii="仿宋_GB2312" w:hAnsi="仿宋" w:eastAsia="仿宋_GB2312" w:cs="Times New Roman"/>
          <w:bCs w:val="0"/>
          <w:color w:val="auto"/>
        </w:rPr>
        <w:t>七、一般公共预算财政拨款支出决算明细表</w:t>
      </w:r>
      <w:bookmarkEnd w:id="86"/>
      <w:bookmarkEnd w:id="87"/>
    </w:p>
    <w:p>
      <w:pPr>
        <w:pStyle w:val="4"/>
        <w:keepNext w:val="0"/>
        <w:keepLines w:val="0"/>
        <w:spacing w:line="560" w:lineRule="exact"/>
        <w:ind w:firstLine="640"/>
        <w:rPr>
          <w:rStyle w:val="20"/>
          <w:rFonts w:ascii="仿宋_GB2312" w:hAnsi="仿宋" w:eastAsia="仿宋_GB2312" w:cs="Times New Roman"/>
          <w:bCs w:val="0"/>
          <w:color w:val="auto"/>
        </w:rPr>
      </w:pPr>
      <w:bookmarkStart w:id="88" w:name="_Toc10683"/>
      <w:bookmarkStart w:id="89" w:name="_Toc15396626"/>
      <w:r>
        <w:rPr>
          <w:rStyle w:val="20"/>
          <w:rFonts w:hint="eastAsia" w:ascii="仿宋_GB2312" w:hAnsi="仿宋" w:eastAsia="仿宋_GB2312" w:cs="Times New Roman"/>
          <w:bCs w:val="0"/>
          <w:color w:val="auto"/>
        </w:rPr>
        <w:t>八、一般公共预算财政拨款基本支出决算表</w:t>
      </w:r>
      <w:bookmarkEnd w:id="88"/>
      <w:bookmarkEnd w:id="89"/>
    </w:p>
    <w:p>
      <w:pPr>
        <w:pStyle w:val="4"/>
        <w:keepNext w:val="0"/>
        <w:keepLines w:val="0"/>
        <w:spacing w:line="560" w:lineRule="exact"/>
        <w:ind w:firstLine="640"/>
        <w:rPr>
          <w:rStyle w:val="20"/>
          <w:rFonts w:ascii="仿宋_GB2312" w:hAnsi="仿宋" w:eastAsia="仿宋_GB2312" w:cs="Times New Roman"/>
          <w:bCs w:val="0"/>
          <w:color w:val="auto"/>
        </w:rPr>
      </w:pPr>
      <w:bookmarkStart w:id="90" w:name="_Toc15396627"/>
      <w:bookmarkStart w:id="91" w:name="_Toc19670"/>
      <w:r>
        <w:rPr>
          <w:rStyle w:val="20"/>
          <w:rFonts w:hint="eastAsia" w:ascii="仿宋_GB2312" w:hAnsi="仿宋" w:eastAsia="仿宋_GB2312" w:cs="Times New Roman"/>
          <w:bCs w:val="0"/>
          <w:color w:val="auto"/>
        </w:rPr>
        <w:t>九、一般公共预算财政拨款项目支出决算表</w:t>
      </w:r>
      <w:bookmarkEnd w:id="90"/>
      <w:bookmarkEnd w:id="91"/>
    </w:p>
    <w:p>
      <w:pPr>
        <w:pStyle w:val="4"/>
        <w:keepNext w:val="0"/>
        <w:keepLines w:val="0"/>
        <w:spacing w:line="560" w:lineRule="exact"/>
        <w:ind w:firstLine="640"/>
        <w:rPr>
          <w:rStyle w:val="20"/>
          <w:rFonts w:ascii="仿宋_GB2312" w:hAnsi="仿宋" w:eastAsia="仿宋_GB2312" w:cs="Times New Roman"/>
          <w:bCs w:val="0"/>
          <w:color w:val="auto"/>
        </w:rPr>
      </w:pPr>
      <w:bookmarkStart w:id="92" w:name="_Toc15396628"/>
      <w:bookmarkStart w:id="93" w:name="_Toc16527"/>
      <w:r>
        <w:rPr>
          <w:rStyle w:val="20"/>
          <w:rFonts w:hint="eastAsia" w:ascii="仿宋_GB2312" w:hAnsi="仿宋" w:eastAsia="仿宋_GB2312" w:cs="Times New Roman"/>
          <w:bCs w:val="0"/>
          <w:color w:val="auto"/>
        </w:rPr>
        <w:t>十、</w:t>
      </w:r>
      <w:bookmarkEnd w:id="92"/>
      <w:r>
        <w:rPr>
          <w:rStyle w:val="20"/>
          <w:rFonts w:hint="eastAsia" w:ascii="仿宋_GB2312" w:hAnsi="仿宋" w:eastAsia="仿宋_GB2312" w:cs="Times New Roman"/>
          <w:bCs w:val="0"/>
          <w:color w:val="auto"/>
        </w:rPr>
        <w:t>政府性基金预算财政拨款收入支出决算表</w:t>
      </w:r>
      <w:bookmarkEnd w:id="93"/>
    </w:p>
    <w:p>
      <w:pPr>
        <w:pStyle w:val="4"/>
        <w:keepNext w:val="0"/>
        <w:keepLines w:val="0"/>
        <w:spacing w:line="560" w:lineRule="exact"/>
        <w:ind w:firstLine="640"/>
        <w:rPr>
          <w:rStyle w:val="20"/>
          <w:rFonts w:ascii="仿宋_GB2312" w:hAnsi="仿宋" w:eastAsia="仿宋_GB2312" w:cs="Times New Roman"/>
          <w:bCs w:val="0"/>
          <w:color w:val="auto"/>
        </w:rPr>
      </w:pPr>
      <w:bookmarkStart w:id="94" w:name="_Toc15396629"/>
      <w:bookmarkStart w:id="95" w:name="_Toc8185"/>
      <w:r>
        <w:rPr>
          <w:rStyle w:val="20"/>
          <w:rFonts w:hint="eastAsia" w:ascii="仿宋_GB2312" w:hAnsi="仿宋" w:eastAsia="仿宋_GB2312" w:cs="Times New Roman"/>
          <w:bCs w:val="0"/>
          <w:color w:val="auto"/>
        </w:rPr>
        <w:t>十一、</w:t>
      </w:r>
      <w:bookmarkEnd w:id="94"/>
      <w:r>
        <w:rPr>
          <w:rStyle w:val="20"/>
          <w:rFonts w:hint="eastAsia" w:ascii="仿宋_GB2312" w:hAnsi="仿宋" w:eastAsia="仿宋_GB2312" w:cs="Times New Roman"/>
          <w:bCs w:val="0"/>
          <w:color w:val="auto"/>
        </w:rPr>
        <w:t>国有资本经营预算财政拨款收入支出决算表</w:t>
      </w:r>
      <w:bookmarkEnd w:id="95"/>
    </w:p>
    <w:p>
      <w:pPr>
        <w:pStyle w:val="4"/>
        <w:keepNext w:val="0"/>
        <w:keepLines w:val="0"/>
        <w:spacing w:line="560" w:lineRule="exact"/>
        <w:ind w:firstLine="640"/>
        <w:rPr>
          <w:rStyle w:val="20"/>
          <w:rFonts w:ascii="仿宋_GB2312" w:hAnsi="仿宋" w:eastAsia="仿宋_GB2312" w:cs="Times New Roman"/>
          <w:bCs w:val="0"/>
          <w:color w:val="auto"/>
        </w:rPr>
      </w:pPr>
      <w:bookmarkStart w:id="96" w:name="_Toc15396630"/>
      <w:bookmarkStart w:id="97" w:name="_Toc7401"/>
      <w:r>
        <w:rPr>
          <w:rStyle w:val="20"/>
          <w:rFonts w:hint="eastAsia" w:ascii="仿宋_GB2312" w:hAnsi="仿宋" w:eastAsia="仿宋_GB2312" w:cs="Times New Roman"/>
          <w:bCs w:val="0"/>
          <w:color w:val="auto"/>
        </w:rPr>
        <w:t>十二、</w:t>
      </w:r>
      <w:bookmarkEnd w:id="96"/>
      <w:r>
        <w:rPr>
          <w:rStyle w:val="20"/>
          <w:rFonts w:hint="eastAsia" w:ascii="仿宋_GB2312" w:hAnsi="仿宋" w:eastAsia="仿宋_GB2312" w:cs="Times New Roman"/>
          <w:bCs w:val="0"/>
          <w:color w:val="auto"/>
        </w:rPr>
        <w:t>国有资本经营预算财政拨款支出决算表</w:t>
      </w:r>
      <w:bookmarkEnd w:id="97"/>
    </w:p>
    <w:p>
      <w:pPr>
        <w:pStyle w:val="4"/>
        <w:keepNext w:val="0"/>
        <w:keepLines w:val="0"/>
        <w:spacing w:line="560" w:lineRule="exact"/>
        <w:ind w:firstLine="640"/>
        <w:rPr>
          <w:rStyle w:val="20"/>
          <w:rFonts w:ascii="仿宋_GB2312" w:hAnsi="仿宋" w:eastAsia="仿宋_GB2312" w:cs="Times New Roman"/>
          <w:bCs w:val="0"/>
          <w:color w:val="auto"/>
        </w:rPr>
      </w:pPr>
      <w:bookmarkStart w:id="98" w:name="_Toc15396631"/>
      <w:bookmarkStart w:id="99" w:name="_Toc13247"/>
      <w:r>
        <w:rPr>
          <w:rStyle w:val="20"/>
          <w:rFonts w:hint="eastAsia" w:ascii="仿宋_GB2312" w:hAnsi="仿宋" w:eastAsia="仿宋_GB2312" w:cs="Times New Roman"/>
          <w:bCs w:val="0"/>
          <w:color w:val="auto"/>
        </w:rPr>
        <w:t>十三、</w:t>
      </w:r>
      <w:bookmarkEnd w:id="98"/>
      <w:r>
        <w:rPr>
          <w:rStyle w:val="20"/>
          <w:rFonts w:hint="eastAsia" w:ascii="仿宋_GB2312" w:hAnsi="仿宋" w:eastAsia="仿宋_GB2312" w:cs="Times New Roman"/>
          <w:bCs w:val="0"/>
          <w:color w:val="auto"/>
        </w:rPr>
        <w:t>财政拨款“三公”经费支出决算表</w:t>
      </w:r>
      <w:bookmarkEnd w:id="99"/>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509F23C-EB48-41A9-ADB9-858D603BC091}"/>
  </w:font>
  <w:font w:name="黑体">
    <w:panose1 w:val="02010609060101010101"/>
    <w:charset w:val="86"/>
    <w:family w:val="auto"/>
    <w:pitch w:val="default"/>
    <w:sig w:usb0="800002BF" w:usb1="38CF7CFA" w:usb2="00000016" w:usb3="00000000" w:csb0="00040001" w:csb1="00000000"/>
    <w:embedRegular r:id="rId2" w:fontKey="{B246A905-0BE1-4ECD-AF7E-39D976EF319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4B4E19DF-F2DC-43AA-9956-FED89A7F13A7}"/>
  </w:font>
  <w:font w:name="Cambria">
    <w:panose1 w:val="02040503050406030204"/>
    <w:charset w:val="00"/>
    <w:family w:val="roman"/>
    <w:pitch w:val="default"/>
    <w:sig w:usb0="E00002FF" w:usb1="400004FF" w:usb2="00000000" w:usb3="00000000" w:csb0="2000019F" w:csb1="00000000"/>
    <w:embedRegular r:id="rId4" w:fontKey="{3BA9653F-55FC-4C7C-8F8D-605F23F7F77E}"/>
  </w:font>
  <w:font w:name="方正楷体简体">
    <w:panose1 w:val="03000509000000000000"/>
    <w:charset w:val="86"/>
    <w:family w:val="auto"/>
    <w:pitch w:val="default"/>
    <w:sig w:usb0="00000001" w:usb1="080E0000" w:usb2="00000000" w:usb3="00000000" w:csb0="00040000" w:csb1="00000000"/>
    <w:embedRegular r:id="rId5" w:fontKey="{4E271B09-3C24-42B3-8949-6978E423DAA8}"/>
  </w:font>
  <w:font w:name="仿宋">
    <w:panose1 w:val="02010609060101010101"/>
    <w:charset w:val="86"/>
    <w:family w:val="modern"/>
    <w:pitch w:val="default"/>
    <w:sig w:usb0="800002BF" w:usb1="38CF7CFA" w:usb2="00000016" w:usb3="00000000" w:csb0="00040001" w:csb1="00000000"/>
    <w:embedRegular r:id="rId6" w:fontKey="{961D209F-3C6B-4DB6-83FB-3D37E8E4B864}"/>
  </w:font>
  <w:font w:name="??">
    <w:altName w:val="微软雅黑"/>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embedRegular r:id="rId7" w:fontKey="{C3E23BCE-2FD9-4582-88C8-C4C8DCC6C0A9}"/>
  </w:font>
  <w:font w:name="方正仿宋简体">
    <w:altName w:val="微软雅黑"/>
    <w:panose1 w:val="02010601030101010101"/>
    <w:charset w:val="86"/>
    <w:family w:val="auto"/>
    <w:pitch w:val="default"/>
    <w:sig w:usb0="00000000" w:usb1="00000000" w:usb2="00000010" w:usb3="00000000" w:csb0="00040000" w:csb1="00000000"/>
    <w:embedRegular r:id="rId8" w:fontKey="{FE3E78D5-388C-49B1-88BA-4DE5F40EFFE9}"/>
  </w:font>
  <w:font w:name="楷体_GB2312">
    <w:panose1 w:val="02010609030101010101"/>
    <w:charset w:val="86"/>
    <w:family w:val="modern"/>
    <w:pitch w:val="default"/>
    <w:sig w:usb0="00000001" w:usb1="080E0000" w:usb2="00000000" w:usb3="00000000" w:csb0="00040000" w:csb1="00000000"/>
    <w:embedRegular r:id="rId9" w:fontKey="{FF38F12E-013E-4629-A7F3-8894976116B1}"/>
  </w:font>
  <w:font w:name="微软雅黑">
    <w:panose1 w:val="020B0503020204020204"/>
    <w:charset w:val="86"/>
    <w:family w:val="swiss"/>
    <w:pitch w:val="default"/>
    <w:sig w:usb0="80000287" w:usb1="280F3C52" w:usb2="00000016" w:usb3="00000000" w:csb0="0004001F" w:csb1="00000000"/>
    <w:embedRegular r:id="rId10" w:fontKey="{15134A3A-D82E-41A3-B267-48C85DAF7C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firstLineChars="0"/>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9"/>
                  <w:ind w:firstLine="0" w:firstLineChars="0"/>
                </w:pPr>
                <w:r>
                  <w:t>—</w:t>
                </w:r>
                <w:r>
                  <w:fldChar w:fldCharType="begin"/>
                </w:r>
                <w:r>
                  <w:instrText xml:space="preserve"> PAGE  \* MERGEFORMAT </w:instrText>
                </w:r>
                <w:r>
                  <w:fldChar w:fldCharType="separate"/>
                </w:r>
                <w:r>
                  <w:t>23</w:t>
                </w:r>
                <w:r>
                  <w:fldChar w:fldCharType="end"/>
                </w:r>
                <w: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firstLineChars="0"/>
    </w:pPr>
    <w:r>
      <w:pict>
        <v:shape id="_x0000_s4098" o:spid="_x0000_s4098"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weight="1.25pt" joinstyle="miter"/>
          <v:imagedata o:title=""/>
          <o:lock v:ext="edit"/>
          <v:textbox inset="0mm,0mm,0mm,0mm" style="mso-fit-shape-to-text:t;">
            <w:txbxContent>
              <w:p>
                <w:pPr>
                  <w:pStyle w:val="9"/>
                  <w:ind w:firstLine="0" w:firstLineChars="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sdt>
      <w:sdtPr>
        <w:id w:val="7455717"/>
        <w:showingPlcHdr/>
      </w:sdtP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pStyle w:val="9"/>
                  <w:ind w:firstLine="0" w:firstLineChars="0"/>
                  <w:jc w:val="both"/>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360A5A"/>
    <w:multiLevelType w:val="singleLevel"/>
    <w:tmpl w:val="48360A5A"/>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dkNmY3ZTgyOGFlMTUyNDE5ODMwYjMzMTE1ZjM0ODYifQ=="/>
  </w:docVars>
  <w:rsids>
    <w:rsidRoot w:val="00F1361C"/>
    <w:rsid w:val="000222C6"/>
    <w:rsid w:val="0002549F"/>
    <w:rsid w:val="000468DB"/>
    <w:rsid w:val="0006487A"/>
    <w:rsid w:val="00065F8F"/>
    <w:rsid w:val="00070A43"/>
    <w:rsid w:val="00070B33"/>
    <w:rsid w:val="000768F2"/>
    <w:rsid w:val="00081AAE"/>
    <w:rsid w:val="00087731"/>
    <w:rsid w:val="0009184B"/>
    <w:rsid w:val="00094236"/>
    <w:rsid w:val="0009593C"/>
    <w:rsid w:val="00097322"/>
    <w:rsid w:val="000A1CAD"/>
    <w:rsid w:val="000A6A92"/>
    <w:rsid w:val="000B047F"/>
    <w:rsid w:val="000B5923"/>
    <w:rsid w:val="000B5A48"/>
    <w:rsid w:val="000B6FF3"/>
    <w:rsid w:val="000C147F"/>
    <w:rsid w:val="000C3467"/>
    <w:rsid w:val="000C3CA6"/>
    <w:rsid w:val="000C5B96"/>
    <w:rsid w:val="000D1267"/>
    <w:rsid w:val="000D1D50"/>
    <w:rsid w:val="000D5782"/>
    <w:rsid w:val="000D5ACC"/>
    <w:rsid w:val="000E6613"/>
    <w:rsid w:val="000E7119"/>
    <w:rsid w:val="000F2008"/>
    <w:rsid w:val="00114E9B"/>
    <w:rsid w:val="001237B0"/>
    <w:rsid w:val="001250C9"/>
    <w:rsid w:val="00142216"/>
    <w:rsid w:val="00144D6A"/>
    <w:rsid w:val="0014729F"/>
    <w:rsid w:val="00157BAB"/>
    <w:rsid w:val="001654D1"/>
    <w:rsid w:val="00174518"/>
    <w:rsid w:val="0018037E"/>
    <w:rsid w:val="0018106D"/>
    <w:rsid w:val="001877A7"/>
    <w:rsid w:val="00191536"/>
    <w:rsid w:val="00196687"/>
    <w:rsid w:val="001A47D3"/>
    <w:rsid w:val="001B4F34"/>
    <w:rsid w:val="001C0962"/>
    <w:rsid w:val="001D7531"/>
    <w:rsid w:val="001E737D"/>
    <w:rsid w:val="001F0592"/>
    <w:rsid w:val="001F7506"/>
    <w:rsid w:val="002006CD"/>
    <w:rsid w:val="00200999"/>
    <w:rsid w:val="00202B36"/>
    <w:rsid w:val="00204B7A"/>
    <w:rsid w:val="00204CDE"/>
    <w:rsid w:val="0021101A"/>
    <w:rsid w:val="002175D6"/>
    <w:rsid w:val="00220536"/>
    <w:rsid w:val="00220F87"/>
    <w:rsid w:val="0023352D"/>
    <w:rsid w:val="00235629"/>
    <w:rsid w:val="00251EF2"/>
    <w:rsid w:val="00260C38"/>
    <w:rsid w:val="002616C0"/>
    <w:rsid w:val="00265372"/>
    <w:rsid w:val="002662AA"/>
    <w:rsid w:val="00280496"/>
    <w:rsid w:val="0028644A"/>
    <w:rsid w:val="00294DC9"/>
    <w:rsid w:val="00295495"/>
    <w:rsid w:val="002A31DE"/>
    <w:rsid w:val="002B2613"/>
    <w:rsid w:val="002D26D5"/>
    <w:rsid w:val="002D6D05"/>
    <w:rsid w:val="002F1818"/>
    <w:rsid w:val="002F567B"/>
    <w:rsid w:val="00313C63"/>
    <w:rsid w:val="003216A9"/>
    <w:rsid w:val="00335A74"/>
    <w:rsid w:val="003557D4"/>
    <w:rsid w:val="0036561B"/>
    <w:rsid w:val="0037013F"/>
    <w:rsid w:val="00380C92"/>
    <w:rsid w:val="003A484F"/>
    <w:rsid w:val="003A4883"/>
    <w:rsid w:val="003B0BE0"/>
    <w:rsid w:val="003B0C1B"/>
    <w:rsid w:val="003B688C"/>
    <w:rsid w:val="003C0291"/>
    <w:rsid w:val="003C39AE"/>
    <w:rsid w:val="003C7B60"/>
    <w:rsid w:val="003D0C0F"/>
    <w:rsid w:val="003D1FB2"/>
    <w:rsid w:val="003D5AD2"/>
    <w:rsid w:val="003D66DA"/>
    <w:rsid w:val="003E1310"/>
    <w:rsid w:val="003E6F55"/>
    <w:rsid w:val="003F4CEC"/>
    <w:rsid w:val="00406254"/>
    <w:rsid w:val="004168FB"/>
    <w:rsid w:val="00421A05"/>
    <w:rsid w:val="004223DE"/>
    <w:rsid w:val="00434489"/>
    <w:rsid w:val="00437085"/>
    <w:rsid w:val="00443880"/>
    <w:rsid w:val="004464F4"/>
    <w:rsid w:val="00471401"/>
    <w:rsid w:val="00473F31"/>
    <w:rsid w:val="0048263A"/>
    <w:rsid w:val="00487E5D"/>
    <w:rsid w:val="004A711F"/>
    <w:rsid w:val="004B199D"/>
    <w:rsid w:val="004B4690"/>
    <w:rsid w:val="004D49F9"/>
    <w:rsid w:val="004E0A2D"/>
    <w:rsid w:val="004E206B"/>
    <w:rsid w:val="004E2F7C"/>
    <w:rsid w:val="004E6DF7"/>
    <w:rsid w:val="004F0FBD"/>
    <w:rsid w:val="00505A47"/>
    <w:rsid w:val="00512FDA"/>
    <w:rsid w:val="0051324E"/>
    <w:rsid w:val="00520AAE"/>
    <w:rsid w:val="00520DA0"/>
    <w:rsid w:val="00521194"/>
    <w:rsid w:val="00543FC6"/>
    <w:rsid w:val="00551141"/>
    <w:rsid w:val="0056276D"/>
    <w:rsid w:val="005664BB"/>
    <w:rsid w:val="00566FFA"/>
    <w:rsid w:val="0057481D"/>
    <w:rsid w:val="00583F89"/>
    <w:rsid w:val="0058486E"/>
    <w:rsid w:val="00585B33"/>
    <w:rsid w:val="0059014D"/>
    <w:rsid w:val="005A23A2"/>
    <w:rsid w:val="005B4568"/>
    <w:rsid w:val="005B5C64"/>
    <w:rsid w:val="005C05CC"/>
    <w:rsid w:val="005C5337"/>
    <w:rsid w:val="005C6BD0"/>
    <w:rsid w:val="005D1C8B"/>
    <w:rsid w:val="005D468D"/>
    <w:rsid w:val="005D5CED"/>
    <w:rsid w:val="005F1A4C"/>
    <w:rsid w:val="006011BC"/>
    <w:rsid w:val="00605688"/>
    <w:rsid w:val="006070AF"/>
    <w:rsid w:val="00607E6C"/>
    <w:rsid w:val="006101B1"/>
    <w:rsid w:val="00614E44"/>
    <w:rsid w:val="00617E78"/>
    <w:rsid w:val="0062270A"/>
    <w:rsid w:val="00622830"/>
    <w:rsid w:val="00623DA0"/>
    <w:rsid w:val="00630AEF"/>
    <w:rsid w:val="006325F8"/>
    <w:rsid w:val="00633463"/>
    <w:rsid w:val="00634C9A"/>
    <w:rsid w:val="006440E4"/>
    <w:rsid w:val="0066343B"/>
    <w:rsid w:val="00664777"/>
    <w:rsid w:val="006748A4"/>
    <w:rsid w:val="00676569"/>
    <w:rsid w:val="00681A31"/>
    <w:rsid w:val="00683E73"/>
    <w:rsid w:val="006A3141"/>
    <w:rsid w:val="006A5E34"/>
    <w:rsid w:val="006B2422"/>
    <w:rsid w:val="006B2B9A"/>
    <w:rsid w:val="006B484C"/>
    <w:rsid w:val="006C1937"/>
    <w:rsid w:val="006E0FEA"/>
    <w:rsid w:val="006E68D9"/>
    <w:rsid w:val="006F020C"/>
    <w:rsid w:val="006F55E2"/>
    <w:rsid w:val="007074A4"/>
    <w:rsid w:val="007127B7"/>
    <w:rsid w:val="00716393"/>
    <w:rsid w:val="0071798E"/>
    <w:rsid w:val="007416B6"/>
    <w:rsid w:val="00746F48"/>
    <w:rsid w:val="0075404D"/>
    <w:rsid w:val="0076182A"/>
    <w:rsid w:val="00767B7E"/>
    <w:rsid w:val="007770C3"/>
    <w:rsid w:val="00784D24"/>
    <w:rsid w:val="00785FBA"/>
    <w:rsid w:val="00786CBB"/>
    <w:rsid w:val="00786E4A"/>
    <w:rsid w:val="007875EB"/>
    <w:rsid w:val="0079426B"/>
    <w:rsid w:val="007A077A"/>
    <w:rsid w:val="007A130A"/>
    <w:rsid w:val="007B44E4"/>
    <w:rsid w:val="007D1682"/>
    <w:rsid w:val="007D312A"/>
    <w:rsid w:val="007D38C4"/>
    <w:rsid w:val="007D3F19"/>
    <w:rsid w:val="007E23B0"/>
    <w:rsid w:val="007E23E5"/>
    <w:rsid w:val="007F1991"/>
    <w:rsid w:val="007F2C2F"/>
    <w:rsid w:val="007F55FC"/>
    <w:rsid w:val="007F5665"/>
    <w:rsid w:val="007F7675"/>
    <w:rsid w:val="00800112"/>
    <w:rsid w:val="00813348"/>
    <w:rsid w:val="00821B7A"/>
    <w:rsid w:val="008253BB"/>
    <w:rsid w:val="0083706E"/>
    <w:rsid w:val="008408F6"/>
    <w:rsid w:val="008423A5"/>
    <w:rsid w:val="00850571"/>
    <w:rsid w:val="00850625"/>
    <w:rsid w:val="00853718"/>
    <w:rsid w:val="00855221"/>
    <w:rsid w:val="00860645"/>
    <w:rsid w:val="00871F71"/>
    <w:rsid w:val="00872FD8"/>
    <w:rsid w:val="00885AF4"/>
    <w:rsid w:val="00887AEB"/>
    <w:rsid w:val="008939CD"/>
    <w:rsid w:val="008B768C"/>
    <w:rsid w:val="008C4DB1"/>
    <w:rsid w:val="008C4EAF"/>
    <w:rsid w:val="008C5176"/>
    <w:rsid w:val="008C7FD0"/>
    <w:rsid w:val="008E1DE7"/>
    <w:rsid w:val="008E5B32"/>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7CBB"/>
    <w:rsid w:val="0097099F"/>
    <w:rsid w:val="00971997"/>
    <w:rsid w:val="00971FFC"/>
    <w:rsid w:val="0098660A"/>
    <w:rsid w:val="009873E7"/>
    <w:rsid w:val="009931C3"/>
    <w:rsid w:val="009A6489"/>
    <w:rsid w:val="009B2C43"/>
    <w:rsid w:val="009B4EAE"/>
    <w:rsid w:val="009B7573"/>
    <w:rsid w:val="009C1215"/>
    <w:rsid w:val="009C22F4"/>
    <w:rsid w:val="009C2A4B"/>
    <w:rsid w:val="009C2E98"/>
    <w:rsid w:val="009D3447"/>
    <w:rsid w:val="009D4711"/>
    <w:rsid w:val="009F1185"/>
    <w:rsid w:val="009F18CD"/>
    <w:rsid w:val="009F2A13"/>
    <w:rsid w:val="009F2ECD"/>
    <w:rsid w:val="009F7527"/>
    <w:rsid w:val="00A04EB0"/>
    <w:rsid w:val="00A06143"/>
    <w:rsid w:val="00A0771B"/>
    <w:rsid w:val="00A13CC1"/>
    <w:rsid w:val="00A16847"/>
    <w:rsid w:val="00A17E50"/>
    <w:rsid w:val="00A237D8"/>
    <w:rsid w:val="00A268C4"/>
    <w:rsid w:val="00A307CD"/>
    <w:rsid w:val="00A331C8"/>
    <w:rsid w:val="00A40A00"/>
    <w:rsid w:val="00A4142F"/>
    <w:rsid w:val="00A422EB"/>
    <w:rsid w:val="00A45BB7"/>
    <w:rsid w:val="00A56DF2"/>
    <w:rsid w:val="00A56E6E"/>
    <w:rsid w:val="00A67AB5"/>
    <w:rsid w:val="00A733B2"/>
    <w:rsid w:val="00A741C2"/>
    <w:rsid w:val="00A863E6"/>
    <w:rsid w:val="00A91760"/>
    <w:rsid w:val="00A93B00"/>
    <w:rsid w:val="00A93C21"/>
    <w:rsid w:val="00A94132"/>
    <w:rsid w:val="00AA1D2F"/>
    <w:rsid w:val="00AB1BE8"/>
    <w:rsid w:val="00AB30D5"/>
    <w:rsid w:val="00AB64C9"/>
    <w:rsid w:val="00AC3C6A"/>
    <w:rsid w:val="00AD5620"/>
    <w:rsid w:val="00AD56B5"/>
    <w:rsid w:val="00AD624A"/>
    <w:rsid w:val="00AD656B"/>
    <w:rsid w:val="00AD7C1B"/>
    <w:rsid w:val="00AE16BA"/>
    <w:rsid w:val="00AE1EBE"/>
    <w:rsid w:val="00B03C9D"/>
    <w:rsid w:val="00B060AE"/>
    <w:rsid w:val="00B078A0"/>
    <w:rsid w:val="00B10517"/>
    <w:rsid w:val="00B14E76"/>
    <w:rsid w:val="00B161B8"/>
    <w:rsid w:val="00B2048C"/>
    <w:rsid w:val="00B310B9"/>
    <w:rsid w:val="00B35F3F"/>
    <w:rsid w:val="00B36CBB"/>
    <w:rsid w:val="00B40497"/>
    <w:rsid w:val="00B425E0"/>
    <w:rsid w:val="00B440AA"/>
    <w:rsid w:val="00B44B70"/>
    <w:rsid w:val="00B531DA"/>
    <w:rsid w:val="00B53C56"/>
    <w:rsid w:val="00B57DAF"/>
    <w:rsid w:val="00B77EA6"/>
    <w:rsid w:val="00B81598"/>
    <w:rsid w:val="00B81A10"/>
    <w:rsid w:val="00B841F1"/>
    <w:rsid w:val="00B944D6"/>
    <w:rsid w:val="00BB4DF0"/>
    <w:rsid w:val="00BC289F"/>
    <w:rsid w:val="00BC2D50"/>
    <w:rsid w:val="00BC3E6E"/>
    <w:rsid w:val="00BC5361"/>
    <w:rsid w:val="00BC5460"/>
    <w:rsid w:val="00BC6B50"/>
    <w:rsid w:val="00BD0E25"/>
    <w:rsid w:val="00BE2310"/>
    <w:rsid w:val="00BF5BD6"/>
    <w:rsid w:val="00C008BA"/>
    <w:rsid w:val="00C03E31"/>
    <w:rsid w:val="00C303A6"/>
    <w:rsid w:val="00C33E72"/>
    <w:rsid w:val="00C354B2"/>
    <w:rsid w:val="00C35554"/>
    <w:rsid w:val="00C42709"/>
    <w:rsid w:val="00C533CC"/>
    <w:rsid w:val="00C5751C"/>
    <w:rsid w:val="00C61BFC"/>
    <w:rsid w:val="00C62B85"/>
    <w:rsid w:val="00C65438"/>
    <w:rsid w:val="00C717E9"/>
    <w:rsid w:val="00C87FD8"/>
    <w:rsid w:val="00C91381"/>
    <w:rsid w:val="00C91CBB"/>
    <w:rsid w:val="00CB4E70"/>
    <w:rsid w:val="00CC09B6"/>
    <w:rsid w:val="00CC0FC4"/>
    <w:rsid w:val="00CC666F"/>
    <w:rsid w:val="00CD0E52"/>
    <w:rsid w:val="00CD1E3F"/>
    <w:rsid w:val="00CE44F6"/>
    <w:rsid w:val="00CE49DA"/>
    <w:rsid w:val="00CE59D4"/>
    <w:rsid w:val="00CE7B61"/>
    <w:rsid w:val="00D00095"/>
    <w:rsid w:val="00D114F0"/>
    <w:rsid w:val="00D20620"/>
    <w:rsid w:val="00D22E32"/>
    <w:rsid w:val="00D254F7"/>
    <w:rsid w:val="00D26091"/>
    <w:rsid w:val="00D2685C"/>
    <w:rsid w:val="00D34E7C"/>
    <w:rsid w:val="00D35489"/>
    <w:rsid w:val="00D36AFE"/>
    <w:rsid w:val="00D51276"/>
    <w:rsid w:val="00D7035F"/>
    <w:rsid w:val="00D923B4"/>
    <w:rsid w:val="00DA2079"/>
    <w:rsid w:val="00DA634F"/>
    <w:rsid w:val="00DA65AC"/>
    <w:rsid w:val="00DB1913"/>
    <w:rsid w:val="00DB6F33"/>
    <w:rsid w:val="00DC410D"/>
    <w:rsid w:val="00DC5A81"/>
    <w:rsid w:val="00DC5E4A"/>
    <w:rsid w:val="00DC68CA"/>
    <w:rsid w:val="00DC7CBA"/>
    <w:rsid w:val="00DD73B7"/>
    <w:rsid w:val="00DE4452"/>
    <w:rsid w:val="00DF28BC"/>
    <w:rsid w:val="00DF34B9"/>
    <w:rsid w:val="00E01053"/>
    <w:rsid w:val="00E07622"/>
    <w:rsid w:val="00E07ACF"/>
    <w:rsid w:val="00E331A1"/>
    <w:rsid w:val="00E33202"/>
    <w:rsid w:val="00E336A9"/>
    <w:rsid w:val="00E36129"/>
    <w:rsid w:val="00E472B1"/>
    <w:rsid w:val="00E50624"/>
    <w:rsid w:val="00E568DF"/>
    <w:rsid w:val="00E64269"/>
    <w:rsid w:val="00E82267"/>
    <w:rsid w:val="00E853CE"/>
    <w:rsid w:val="00E867B6"/>
    <w:rsid w:val="00EA010F"/>
    <w:rsid w:val="00EA7A07"/>
    <w:rsid w:val="00EC2EC5"/>
    <w:rsid w:val="00ED1B63"/>
    <w:rsid w:val="00ED3C1F"/>
    <w:rsid w:val="00ED4085"/>
    <w:rsid w:val="00ED420E"/>
    <w:rsid w:val="00ED6FBE"/>
    <w:rsid w:val="00EE1B1D"/>
    <w:rsid w:val="00EE2F57"/>
    <w:rsid w:val="00EE3101"/>
    <w:rsid w:val="00EF0469"/>
    <w:rsid w:val="00EF0665"/>
    <w:rsid w:val="00EF4C34"/>
    <w:rsid w:val="00EF77C6"/>
    <w:rsid w:val="00F004BA"/>
    <w:rsid w:val="00F05438"/>
    <w:rsid w:val="00F1361C"/>
    <w:rsid w:val="00F156F0"/>
    <w:rsid w:val="00F160C7"/>
    <w:rsid w:val="00F2408F"/>
    <w:rsid w:val="00F240E9"/>
    <w:rsid w:val="00F36D8F"/>
    <w:rsid w:val="00F417B1"/>
    <w:rsid w:val="00F45853"/>
    <w:rsid w:val="00F602DF"/>
    <w:rsid w:val="00F754A1"/>
    <w:rsid w:val="00F81FD9"/>
    <w:rsid w:val="00F82944"/>
    <w:rsid w:val="00F841AA"/>
    <w:rsid w:val="00F84A94"/>
    <w:rsid w:val="00F87E96"/>
    <w:rsid w:val="00FA23E8"/>
    <w:rsid w:val="00FB312F"/>
    <w:rsid w:val="00FD3CC1"/>
    <w:rsid w:val="00FE3BA2"/>
    <w:rsid w:val="00FF09F4"/>
    <w:rsid w:val="00FF1E02"/>
    <w:rsid w:val="00FF30B4"/>
    <w:rsid w:val="015975B8"/>
    <w:rsid w:val="02143E91"/>
    <w:rsid w:val="066E0107"/>
    <w:rsid w:val="07996F6E"/>
    <w:rsid w:val="081B54CF"/>
    <w:rsid w:val="091D076D"/>
    <w:rsid w:val="0A2032A3"/>
    <w:rsid w:val="0BA61E91"/>
    <w:rsid w:val="0C344DB1"/>
    <w:rsid w:val="0CB67574"/>
    <w:rsid w:val="0F98263C"/>
    <w:rsid w:val="101860EC"/>
    <w:rsid w:val="108F5D13"/>
    <w:rsid w:val="10BC5E76"/>
    <w:rsid w:val="10C055FF"/>
    <w:rsid w:val="118107EC"/>
    <w:rsid w:val="135350C1"/>
    <w:rsid w:val="13D50BC4"/>
    <w:rsid w:val="16BB723D"/>
    <w:rsid w:val="1BE8440E"/>
    <w:rsid w:val="1D155CEE"/>
    <w:rsid w:val="1FF35744"/>
    <w:rsid w:val="235447B0"/>
    <w:rsid w:val="23860B96"/>
    <w:rsid w:val="240371BF"/>
    <w:rsid w:val="24051BA8"/>
    <w:rsid w:val="26C26CF7"/>
    <w:rsid w:val="273B0EB4"/>
    <w:rsid w:val="28DD0F7E"/>
    <w:rsid w:val="29FD04D3"/>
    <w:rsid w:val="2C8A61B5"/>
    <w:rsid w:val="2DF04E50"/>
    <w:rsid w:val="2F040D46"/>
    <w:rsid w:val="306D4B10"/>
    <w:rsid w:val="318A28D4"/>
    <w:rsid w:val="319F7F4E"/>
    <w:rsid w:val="32A9493D"/>
    <w:rsid w:val="3304709D"/>
    <w:rsid w:val="36AA5135"/>
    <w:rsid w:val="376D39B2"/>
    <w:rsid w:val="37B6704D"/>
    <w:rsid w:val="37E16F03"/>
    <w:rsid w:val="38D469F0"/>
    <w:rsid w:val="3AD66EB0"/>
    <w:rsid w:val="3D98207C"/>
    <w:rsid w:val="3E78745D"/>
    <w:rsid w:val="3FCF0DAF"/>
    <w:rsid w:val="43A5310A"/>
    <w:rsid w:val="44E00044"/>
    <w:rsid w:val="44E268DA"/>
    <w:rsid w:val="4A18170C"/>
    <w:rsid w:val="4A627F82"/>
    <w:rsid w:val="4B0E749A"/>
    <w:rsid w:val="4B4F25DA"/>
    <w:rsid w:val="4BE068DB"/>
    <w:rsid w:val="4C835716"/>
    <w:rsid w:val="4D577224"/>
    <w:rsid w:val="4EAB630A"/>
    <w:rsid w:val="4ECE2238"/>
    <w:rsid w:val="50F23CDB"/>
    <w:rsid w:val="537E6D0A"/>
    <w:rsid w:val="55D65B5E"/>
    <w:rsid w:val="57A9565E"/>
    <w:rsid w:val="5AF92295"/>
    <w:rsid w:val="5BFC33FA"/>
    <w:rsid w:val="5CD71FC4"/>
    <w:rsid w:val="5D290C69"/>
    <w:rsid w:val="5FFB68ED"/>
    <w:rsid w:val="64210040"/>
    <w:rsid w:val="6841155D"/>
    <w:rsid w:val="68B27D65"/>
    <w:rsid w:val="6C4A05C8"/>
    <w:rsid w:val="6E7E3605"/>
    <w:rsid w:val="6F9A0A6F"/>
    <w:rsid w:val="6FF5CC65"/>
    <w:rsid w:val="715C0E4B"/>
    <w:rsid w:val="72734D90"/>
    <w:rsid w:val="72C232B3"/>
    <w:rsid w:val="73AD73D5"/>
    <w:rsid w:val="73B6EB34"/>
    <w:rsid w:val="744731E5"/>
    <w:rsid w:val="76E3355F"/>
    <w:rsid w:val="778769C8"/>
    <w:rsid w:val="79EE5BA4"/>
    <w:rsid w:val="7A894339"/>
    <w:rsid w:val="7DEEE243"/>
    <w:rsid w:val="7E3C698D"/>
    <w:rsid w:val="7EEF11D3"/>
    <w:rsid w:val="7FA30C79"/>
    <w:rsid w:val="7FB7269E"/>
    <w:rsid w:val="7FC96657"/>
    <w:rsid w:val="7FDFE3CA"/>
    <w:rsid w:val="7FE636E8"/>
    <w:rsid w:val="AD7B7D95"/>
    <w:rsid w:val="D8D6DB89"/>
    <w:rsid w:val="DB6F4CAB"/>
    <w:rsid w:val="DD8765E1"/>
    <w:rsid w:val="DF6F9789"/>
    <w:rsid w:val="EE7B0059"/>
    <w:rsid w:val="F1EEFF61"/>
    <w:rsid w:val="FDBFA79D"/>
    <w:rsid w:val="FE7F3D5F"/>
    <w:rsid w:val="FFAFEF4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9"/>
    <w:qFormat/>
    <w:uiPriority w:val="9"/>
    <w:pPr>
      <w:keepNext/>
      <w:keepLines/>
      <w:spacing w:before="340" w:after="330" w:line="600" w:lineRule="exact"/>
      <w:jc w:val="center"/>
      <w:outlineLvl w:val="0"/>
    </w:pPr>
    <w:rPr>
      <w:rFonts w:eastAsia="黑体"/>
      <w:bCs/>
      <w:kern w:val="44"/>
      <w:sz w:val="44"/>
      <w:szCs w:val="44"/>
    </w:rPr>
  </w:style>
  <w:style w:type="paragraph" w:styleId="4">
    <w:name w:val="heading 2"/>
    <w:basedOn w:val="1"/>
    <w:next w:val="1"/>
    <w:link w:val="20"/>
    <w:unhideWhenUsed/>
    <w:qFormat/>
    <w:uiPriority w:val="9"/>
    <w:pPr>
      <w:keepNext/>
      <w:keepLines/>
      <w:spacing w:line="600" w:lineRule="exact"/>
      <w:outlineLvl w:val="1"/>
    </w:pPr>
    <w:rPr>
      <w:rFonts w:ascii="Cambria" w:hAnsi="Cambria" w:eastAsia="黑体" w:cs="黑体"/>
      <w:bCs/>
      <w:szCs w:val="32"/>
    </w:rPr>
  </w:style>
  <w:style w:type="paragraph" w:styleId="5">
    <w:name w:val="heading 3"/>
    <w:basedOn w:val="1"/>
    <w:next w:val="1"/>
    <w:link w:val="21"/>
    <w:unhideWhenUsed/>
    <w:qFormat/>
    <w:uiPriority w:val="9"/>
    <w:pPr>
      <w:keepNext/>
      <w:keepLines/>
      <w:spacing w:line="560" w:lineRule="exact"/>
      <w:outlineLvl w:val="2"/>
    </w:pPr>
    <w:rPr>
      <w:rFonts w:eastAsia="方正楷体简体"/>
      <w:bCs/>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3"/>
    <w:qFormat/>
    <w:uiPriority w:val="99"/>
    <w:pPr>
      <w:spacing w:beforeLines="30"/>
    </w:pPr>
    <w:rPr>
      <w:rFonts w:ascii="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4"/>
    <w:unhideWhenUsed/>
    <w:qFormat/>
    <w:uiPriority w:val="99"/>
    <w:rPr>
      <w:sz w:val="18"/>
      <w:szCs w:val="18"/>
    </w:rPr>
  </w:style>
  <w:style w:type="paragraph" w:styleId="9">
    <w:name w:val="footer"/>
    <w:basedOn w:val="1"/>
    <w:link w:val="3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footnote text"/>
    <w:basedOn w:val="1"/>
    <w:unhideWhenUsed/>
    <w:qFormat/>
    <w:uiPriority w:val="0"/>
    <w:pPr>
      <w:snapToGrid w:val="0"/>
    </w:pPr>
    <w:rPr>
      <w:sz w:val="18"/>
      <w:szCs w:val="1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6"/>
    <w:unhideWhenUsed/>
    <w:qFormat/>
    <w:uiPriority w:val="99"/>
    <w:pPr>
      <w:ind w:firstLine="420"/>
    </w:pPr>
  </w:style>
  <w:style w:type="character" w:styleId="17">
    <w:name w:val="Strong"/>
    <w:basedOn w:val="16"/>
    <w:qFormat/>
    <w:uiPriority w:val="99"/>
    <w:rPr>
      <w:b/>
    </w:rPr>
  </w:style>
  <w:style w:type="character" w:styleId="18">
    <w:name w:val="Hyperlink"/>
    <w:basedOn w:val="16"/>
    <w:unhideWhenUsed/>
    <w:qFormat/>
    <w:uiPriority w:val="99"/>
    <w:rPr>
      <w:color w:val="0000FF"/>
      <w:u w:val="single"/>
    </w:rPr>
  </w:style>
  <w:style w:type="character" w:customStyle="1" w:styleId="19">
    <w:name w:val="标题 1 Char"/>
    <w:basedOn w:val="16"/>
    <w:link w:val="3"/>
    <w:qFormat/>
    <w:uiPriority w:val="9"/>
    <w:rPr>
      <w:rFonts w:eastAsia="黑体"/>
      <w:bCs/>
      <w:kern w:val="44"/>
      <w:sz w:val="44"/>
      <w:szCs w:val="44"/>
    </w:rPr>
  </w:style>
  <w:style w:type="character" w:customStyle="1" w:styleId="20">
    <w:name w:val="标题 2 Char"/>
    <w:basedOn w:val="16"/>
    <w:link w:val="4"/>
    <w:qFormat/>
    <w:uiPriority w:val="9"/>
    <w:rPr>
      <w:rFonts w:ascii="Cambria" w:hAnsi="Cambria" w:eastAsia="黑体" w:cs="黑体"/>
      <w:bCs/>
      <w:kern w:val="2"/>
      <w:sz w:val="32"/>
      <w:szCs w:val="32"/>
    </w:rPr>
  </w:style>
  <w:style w:type="character" w:customStyle="1" w:styleId="21">
    <w:name w:val="标题 3 Char"/>
    <w:basedOn w:val="16"/>
    <w:link w:val="5"/>
    <w:qFormat/>
    <w:uiPriority w:val="9"/>
    <w:rPr>
      <w:rFonts w:eastAsia="方正楷体简体"/>
      <w:bCs/>
      <w:kern w:val="2"/>
      <w:sz w:val="32"/>
      <w:szCs w:val="32"/>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列出段落1"/>
    <w:basedOn w:val="1"/>
    <w:qFormat/>
    <w:uiPriority w:val="34"/>
    <w:pPr>
      <w:ind w:firstLine="420"/>
    </w:pPr>
  </w:style>
  <w:style w:type="paragraph" w:customStyle="1" w:styleId="25">
    <w:name w:val="TOC 标题1"/>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26">
    <w:name w:val="TOC 标题2"/>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27">
    <w:name w:val="四号正文"/>
    <w:basedOn w:val="1"/>
    <w:qFormat/>
    <w:uiPriority w:val="0"/>
    <w:pPr>
      <w:spacing w:line="360" w:lineRule="auto"/>
    </w:pPr>
    <w:rPr>
      <w:rFonts w:ascii="??" w:hAnsi="??"/>
      <w:color w:val="000000"/>
      <w:kern w:val="0"/>
      <w:sz w:val="28"/>
      <w:szCs w:val="21"/>
      <w:lang w:val="zh-CN"/>
    </w:rPr>
  </w:style>
  <w:style w:type="character" w:customStyle="1" w:styleId="28">
    <w:name w:val="Header Char"/>
    <w:basedOn w:val="16"/>
    <w:semiHidden/>
    <w:qFormat/>
    <w:uiPriority w:val="99"/>
    <w:rPr>
      <w:rFonts w:ascii="Times New Roman" w:hAnsi="Times New Roman"/>
      <w:sz w:val="18"/>
      <w:szCs w:val="18"/>
    </w:rPr>
  </w:style>
  <w:style w:type="character" w:customStyle="1" w:styleId="29">
    <w:name w:val="页眉 Char"/>
    <w:link w:val="10"/>
    <w:semiHidden/>
    <w:qFormat/>
    <w:locked/>
    <w:uiPriority w:val="99"/>
    <w:rPr>
      <w:sz w:val="18"/>
    </w:rPr>
  </w:style>
  <w:style w:type="character" w:customStyle="1" w:styleId="30">
    <w:name w:val="Footer Char"/>
    <w:basedOn w:val="16"/>
    <w:semiHidden/>
    <w:qFormat/>
    <w:uiPriority w:val="99"/>
    <w:rPr>
      <w:rFonts w:ascii="Times New Roman" w:hAnsi="Times New Roman"/>
      <w:sz w:val="18"/>
      <w:szCs w:val="18"/>
    </w:rPr>
  </w:style>
  <w:style w:type="character" w:customStyle="1" w:styleId="31">
    <w:name w:val="页脚 Char"/>
    <w:link w:val="9"/>
    <w:qFormat/>
    <w:locked/>
    <w:uiPriority w:val="99"/>
    <w:rPr>
      <w:sz w:val="18"/>
    </w:rPr>
  </w:style>
  <w:style w:type="character" w:customStyle="1" w:styleId="32">
    <w:name w:val="Body Text Char"/>
    <w:basedOn w:val="16"/>
    <w:semiHidden/>
    <w:qFormat/>
    <w:uiPriority w:val="99"/>
    <w:rPr>
      <w:rFonts w:ascii="Times New Roman" w:hAnsi="Times New Roman"/>
      <w:szCs w:val="24"/>
    </w:rPr>
  </w:style>
  <w:style w:type="character" w:customStyle="1" w:styleId="33">
    <w:name w:val="正文文本 Char"/>
    <w:link w:val="2"/>
    <w:qFormat/>
    <w:locked/>
    <w:uiPriority w:val="99"/>
    <w:rPr>
      <w:rFonts w:ascii="仿宋_GB2312" w:hAnsi="Times New Roman" w:eastAsia="仿宋_GB2312"/>
      <w:sz w:val="24"/>
    </w:rPr>
  </w:style>
  <w:style w:type="character" w:customStyle="1" w:styleId="34">
    <w:name w:val="批注框文本 Char"/>
    <w:basedOn w:val="16"/>
    <w:link w:val="8"/>
    <w:semiHidden/>
    <w:qFormat/>
    <w:uiPriority w:val="99"/>
    <w:rPr>
      <w:rFonts w:ascii="Times New Roman" w:hAnsi="Times New Roman"/>
      <w:kern w:val="2"/>
      <w:sz w:val="18"/>
      <w:szCs w:val="18"/>
    </w:rPr>
  </w:style>
  <w:style w:type="paragraph" w:customStyle="1" w:styleId="35">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 w:val="16"/>
      <w:szCs w:val="16"/>
    </w:rPr>
  </w:style>
  <w:style w:type="table" w:customStyle="1" w:styleId="36">
    <w:name w:val="Table Normal"/>
    <w:basedOn w:val="15"/>
    <w:qFormat/>
    <w:uiPriority w:val="0"/>
    <w:rPr>
      <w:rFonts w:eastAsia="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63</Pages>
  <Words>5052</Words>
  <Characters>28803</Characters>
  <Lines>240</Lines>
  <Paragraphs>67</Paragraphs>
  <TotalTime>59</TotalTime>
  <ScaleCrop>false</ScaleCrop>
  <LinksUpToDate>false</LinksUpToDate>
  <CharactersWithSpaces>33788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2023-09-19T07:38:00Z</dcterms:created>
  <dc:creator>曹颖</dc:creator>
  <cp:lastModifiedBy> </cp:lastModifiedBy>
  <cp:lastPrinted>2023-08-01T18:35:00Z</cp:lastPrinted>
  <dcterms:modified xsi:type="dcterms:W3CDTF">2023-11-02T03:37:02Z</dcterms:modified>
  <dc:title>四川省***</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1BF328E4FCBC46E183310AF8D9815CC9</vt:lpwstr>
  </property>
</Properties>
</file>