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475"/>
      <w:bookmarkStart w:id="1" w:name="_Toc15377193"/>
      <w:bookmarkStart w:id="2" w:name="_Toc15378441"/>
      <w:bookmarkStart w:id="3" w:name="_Toc15396597"/>
      <w:bookmarkStart w:id="4" w:name="_Toc1537742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0476"/>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904"/>
      <w:bookmarkStart w:id="8" w:name="_Toc15396598"/>
      <w:bookmarkStart w:id="9" w:name="_Toc15377194"/>
      <w:bookmarkStart w:id="10" w:name="_Toc15377426"/>
      <w:bookmarkStart w:id="11" w:name="_Toc15396476"/>
      <w:bookmarkStart w:id="12" w:name="_Toc15378442"/>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人民检察院</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2106"/>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pPr>
        <w:pStyle w:val="14"/>
        <w:bidi w:val="0"/>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pacing w:val="480"/>
          <w:kern w:val="0"/>
          <w:sz w:val="48"/>
          <w:szCs w:val="48"/>
          <w:fitText w:val="1920" w:id="458235627"/>
        </w:rPr>
        <w:t>目</w:t>
      </w:r>
      <w:r>
        <w:rPr>
          <w:rFonts w:hint="eastAsia" w:ascii="黑体" w:hAnsi="黑体" w:eastAsia="黑体"/>
          <w:spacing w:val="0"/>
          <w:kern w:val="0"/>
          <w:sz w:val="48"/>
          <w:szCs w:val="48"/>
          <w:fitText w:val="1920" w:id="458235627"/>
        </w:rPr>
        <w:t>录</w:t>
      </w:r>
    </w:p>
    <w:p>
      <w:pPr>
        <w:pStyle w:val="14"/>
      </w:pPr>
      <w:r>
        <w:rPr>
          <w:rFonts w:hint="eastAsia"/>
        </w:rPr>
        <w:t>公开时间：2023年10月7日</w:t>
      </w:r>
    </w:p>
    <w:sdt>
      <w:sdtPr>
        <w:rPr>
          <w:rFonts w:ascii="宋体" w:hAnsi="宋体" w:eastAsia="宋体" w:cs="Times New Roman"/>
          <w:kern w:val="2"/>
          <w:sz w:val="21"/>
          <w:szCs w:val="24"/>
          <w:lang w:val="en-US" w:eastAsia="zh-CN" w:bidi="ar-SA"/>
        </w:rPr>
        <w:id w:val="147470671"/>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46"/>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_Toc24031 </w:instrText>
          </w:r>
          <w:r>
            <w:rPr>
              <w:b/>
            </w:rPr>
            <w:fldChar w:fldCharType="separate"/>
          </w:r>
          <w:r>
            <w:rPr>
              <w:rFonts w:hint="eastAsia" w:ascii="黑体" w:hAnsi="黑体" w:eastAsia="黑体"/>
              <w:b/>
            </w:rPr>
            <w:t>第一部分</w:t>
          </w:r>
          <w:r>
            <w:rPr>
              <w:rFonts w:hint="eastAsia" w:ascii="黑体" w:hAnsi="黑体" w:eastAsia="黑体"/>
              <w:b/>
              <w:bCs w:val="0"/>
            </w:rPr>
            <w:t>部门概况</w:t>
          </w:r>
          <w:r>
            <w:rPr>
              <w:b/>
            </w:rPr>
            <w:tab/>
          </w:r>
          <w:r>
            <w:rPr>
              <w:b/>
            </w:rPr>
            <w:fldChar w:fldCharType="begin"/>
          </w:r>
          <w:r>
            <w:rPr>
              <w:b/>
            </w:rPr>
            <w:instrText xml:space="preserve"> PAGEREF _Toc24031 \h </w:instrText>
          </w:r>
          <w:r>
            <w:rPr>
              <w:b/>
            </w:rPr>
            <w:fldChar w:fldCharType="separate"/>
          </w:r>
          <w:r>
            <w:rPr>
              <w:b/>
            </w:rPr>
            <w:t>3</w:t>
          </w:r>
          <w:r>
            <w:rPr>
              <w:b/>
            </w:rPr>
            <w:fldChar w:fldCharType="end"/>
          </w:r>
          <w:r>
            <w:rPr>
              <w:b/>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_Toc10256 </w:instrText>
          </w:r>
          <w:r>
            <w:rPr>
              <w:rFonts w:hint="eastAsia" w:ascii="仿宋" w:hAnsi="仿宋" w:eastAsia="仿宋" w:cs="仿宋"/>
            </w:rPr>
            <w:fldChar w:fldCharType="separate"/>
          </w:r>
          <w:r>
            <w:rPr>
              <w:rFonts w:hint="eastAsia" w:ascii="仿宋" w:hAnsi="仿宋" w:eastAsia="仿宋" w:cs="仿宋"/>
            </w:rPr>
            <w:t>一、部门职责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_Toc10256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_Toc7839 </w:instrText>
          </w:r>
          <w:r>
            <w:rPr>
              <w:rFonts w:hint="eastAsia" w:ascii="仿宋" w:hAnsi="仿宋" w:eastAsia="仿宋" w:cs="仿宋"/>
            </w:rPr>
            <w:fldChar w:fldCharType="separate"/>
          </w:r>
          <w:r>
            <w:rPr>
              <w:rFonts w:hint="eastAsia" w:ascii="仿宋" w:hAnsi="仿宋" w:eastAsia="仿宋" w:cs="仿宋"/>
            </w:rPr>
            <w:t>二、机</w:t>
          </w:r>
          <w:r>
            <w:rPr>
              <w:rFonts w:hint="eastAsia" w:ascii="仿宋" w:hAnsi="仿宋" w:eastAsia="仿宋" w:cs="仿宋"/>
              <w:bCs w:val="0"/>
            </w:rPr>
            <w:t>构设置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_Toc7839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46"/>
            <w:tabs>
              <w:tab w:val="right" w:leader="dot" w:pos="8306"/>
            </w:tabs>
            <w:rPr>
              <w:b/>
            </w:rPr>
          </w:pPr>
          <w:r>
            <w:rPr>
              <w:b/>
            </w:rPr>
            <w:fldChar w:fldCharType="begin"/>
          </w:r>
          <w:r>
            <w:rPr>
              <w:b/>
            </w:rPr>
            <w:instrText xml:space="preserve"> HYPERLINK \l _Toc29310 </w:instrText>
          </w:r>
          <w:r>
            <w:rPr>
              <w:b/>
            </w:rPr>
            <w:fldChar w:fldCharType="separate"/>
          </w:r>
          <w:r>
            <w:rPr>
              <w:rFonts w:hint="eastAsia" w:ascii="黑体" w:hAnsi="黑体" w:eastAsia="黑体"/>
              <w:b/>
            </w:rPr>
            <w:t>第二部分2022年度</w:t>
          </w:r>
          <w:r>
            <w:rPr>
              <w:rFonts w:hint="eastAsia" w:ascii="黑体" w:hAnsi="黑体" w:eastAsia="黑体"/>
              <w:b/>
              <w:bCs/>
            </w:rPr>
            <w:t>部门决算情况说明</w:t>
          </w:r>
          <w:r>
            <w:rPr>
              <w:b/>
            </w:rPr>
            <w:tab/>
          </w:r>
          <w:r>
            <w:rPr>
              <w:b/>
            </w:rPr>
            <w:fldChar w:fldCharType="begin"/>
          </w:r>
          <w:r>
            <w:rPr>
              <w:b/>
            </w:rPr>
            <w:instrText xml:space="preserve"> PAGEREF _Toc29310 \h </w:instrText>
          </w:r>
          <w:r>
            <w:rPr>
              <w:b/>
            </w:rPr>
            <w:fldChar w:fldCharType="separate"/>
          </w:r>
          <w:r>
            <w:rPr>
              <w:b/>
            </w:rPr>
            <w:t>4</w:t>
          </w:r>
          <w:r>
            <w:rPr>
              <w:b/>
            </w:rPr>
            <w:fldChar w:fldCharType="end"/>
          </w:r>
          <w:r>
            <w:rPr>
              <w:b/>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_Toc27499 </w:instrText>
          </w:r>
          <w:r>
            <w:rPr>
              <w:rFonts w:hint="eastAsia" w:ascii="仿宋" w:hAnsi="仿宋" w:eastAsia="仿宋" w:cs="仿宋"/>
            </w:rPr>
            <w:fldChar w:fldCharType="separate"/>
          </w:r>
          <w:r>
            <w:rPr>
              <w:rFonts w:hint="eastAsia" w:ascii="仿宋" w:hAnsi="仿宋" w:eastAsia="仿宋" w:cs="仿宋"/>
            </w:rPr>
            <w:t>一、</w:t>
          </w:r>
          <w:r>
            <w:rPr>
              <w:rFonts w:hint="eastAsia" w:ascii="仿宋" w:hAnsi="仿宋" w:eastAsia="仿宋" w:cs="仿宋"/>
              <w:szCs w:val="32"/>
            </w:rPr>
            <w:t>收</w:t>
          </w:r>
          <w:r>
            <w:rPr>
              <w:rFonts w:hint="eastAsia" w:ascii="仿宋" w:hAnsi="仿宋" w:eastAsia="仿宋" w:cs="仿宋"/>
            </w:rPr>
            <w:t>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_Toc27499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_Toc4472 </w:instrText>
          </w:r>
          <w:r>
            <w:rPr>
              <w:rFonts w:hint="eastAsia" w:ascii="仿宋" w:hAnsi="仿宋" w:eastAsia="仿宋" w:cs="仿宋"/>
            </w:rPr>
            <w:fldChar w:fldCharType="separate"/>
          </w:r>
          <w:r>
            <w:rPr>
              <w:rFonts w:hint="eastAsia" w:ascii="仿宋" w:hAnsi="仿宋" w:eastAsia="仿宋" w:cs="仿宋"/>
            </w:rPr>
            <w:t>二、</w:t>
          </w:r>
          <w:r>
            <w:rPr>
              <w:rFonts w:hint="eastAsia" w:ascii="仿宋" w:hAnsi="仿宋" w:eastAsia="仿宋" w:cs="仿宋"/>
              <w:szCs w:val="32"/>
            </w:rPr>
            <w:t>收</w:t>
          </w:r>
          <w:r>
            <w:rPr>
              <w:rFonts w:hint="eastAsia" w:ascii="仿宋" w:hAnsi="仿宋" w:eastAsia="仿宋" w:cs="仿宋"/>
            </w:rPr>
            <w:t>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_Toc4472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_Toc3271 </w:instrText>
          </w:r>
          <w:r>
            <w:rPr>
              <w:rFonts w:hint="eastAsia" w:ascii="仿宋" w:hAnsi="仿宋" w:eastAsia="仿宋" w:cs="仿宋"/>
            </w:rPr>
            <w:fldChar w:fldCharType="separate"/>
          </w:r>
          <w:r>
            <w:rPr>
              <w:rFonts w:hint="eastAsia" w:ascii="仿宋" w:hAnsi="仿宋" w:eastAsia="仿宋" w:cs="仿宋"/>
            </w:rPr>
            <w:t>三、</w:t>
          </w:r>
          <w:r>
            <w:rPr>
              <w:rFonts w:hint="eastAsia" w:ascii="仿宋" w:hAnsi="仿宋" w:eastAsia="仿宋" w:cs="仿宋"/>
              <w:szCs w:val="32"/>
            </w:rPr>
            <w:t>支</w:t>
          </w:r>
          <w:r>
            <w:rPr>
              <w:rFonts w:hint="eastAsia" w:ascii="仿宋" w:hAnsi="仿宋" w:eastAsia="仿宋" w:cs="仿宋"/>
            </w:rPr>
            <w:t>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_Toc3271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_Toc6551 </w:instrText>
          </w:r>
          <w:r>
            <w:rPr>
              <w:rFonts w:hint="eastAsia" w:ascii="仿宋" w:hAnsi="仿宋" w:eastAsia="仿宋" w:cs="仿宋"/>
            </w:rPr>
            <w:fldChar w:fldCharType="separate"/>
          </w:r>
          <w:r>
            <w:rPr>
              <w:rFonts w:hint="eastAsia" w:ascii="仿宋" w:hAnsi="仿宋" w:eastAsia="仿宋" w:cs="仿宋"/>
              <w:szCs w:val="32"/>
            </w:rPr>
            <w:t>四、财</w:t>
          </w:r>
          <w:r>
            <w:rPr>
              <w:rFonts w:hint="eastAsia" w:ascii="仿宋" w:hAnsi="仿宋" w:eastAsia="仿宋" w:cs="仿宋"/>
            </w:rPr>
            <w:t>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_Toc6551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_Toc26035 </w:instrText>
          </w:r>
          <w:r>
            <w:rPr>
              <w:rFonts w:hint="eastAsia" w:ascii="仿宋" w:hAnsi="仿宋" w:eastAsia="仿宋" w:cs="仿宋"/>
            </w:rPr>
            <w:fldChar w:fldCharType="separate"/>
          </w:r>
          <w:r>
            <w:rPr>
              <w:rFonts w:hint="eastAsia" w:ascii="仿宋" w:hAnsi="仿宋" w:eastAsia="仿宋" w:cs="仿宋"/>
              <w:szCs w:val="32"/>
            </w:rPr>
            <w:t>五、一</w:t>
          </w:r>
          <w:r>
            <w:rPr>
              <w:rFonts w:hint="eastAsia" w:ascii="仿宋" w:hAnsi="仿宋" w:eastAsia="仿宋" w:cs="仿宋"/>
            </w:rPr>
            <w:t>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_Toc26035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_Toc25768 </w:instrText>
          </w:r>
          <w:r>
            <w:rPr>
              <w:rFonts w:hint="eastAsia" w:ascii="仿宋" w:hAnsi="仿宋" w:eastAsia="仿宋" w:cs="仿宋"/>
            </w:rPr>
            <w:fldChar w:fldCharType="separate"/>
          </w:r>
          <w:r>
            <w:rPr>
              <w:rFonts w:hint="eastAsia" w:ascii="仿宋" w:hAnsi="仿宋" w:eastAsia="仿宋" w:cs="仿宋"/>
              <w:szCs w:val="32"/>
            </w:rPr>
            <w:t>六、一</w:t>
          </w:r>
          <w:r>
            <w:rPr>
              <w:rFonts w:hint="eastAsia" w:ascii="仿宋" w:hAnsi="仿宋" w:eastAsia="仿宋" w:cs="仿宋"/>
            </w:rPr>
            <w:t>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_Toc25768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_Toc9269 </w:instrText>
          </w:r>
          <w:r>
            <w:rPr>
              <w:rFonts w:hint="eastAsia" w:ascii="仿宋" w:hAnsi="仿宋" w:eastAsia="仿宋" w:cs="仿宋"/>
            </w:rPr>
            <w:fldChar w:fldCharType="separate"/>
          </w:r>
          <w:r>
            <w:rPr>
              <w:rFonts w:hint="eastAsia" w:ascii="仿宋" w:hAnsi="仿宋" w:eastAsia="仿宋" w:cs="仿宋"/>
              <w:szCs w:val="32"/>
            </w:rPr>
            <w:t>七、</w:t>
          </w:r>
          <w:r>
            <w:rPr>
              <w:rFonts w:hint="eastAsia" w:ascii="仿宋" w:hAnsi="仿宋" w:eastAsia="仿宋" w:cs="仿宋"/>
            </w:rPr>
            <w:t>财政拨款“三公”经费支出决算情况说明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_Toc9269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_Toc17518 </w:instrText>
          </w:r>
          <w:r>
            <w:rPr>
              <w:rFonts w:hint="eastAsia" w:ascii="仿宋" w:hAnsi="仿宋" w:eastAsia="仿宋" w:cs="仿宋"/>
            </w:rPr>
            <w:fldChar w:fldCharType="separate"/>
          </w:r>
          <w:r>
            <w:rPr>
              <w:rFonts w:hint="eastAsia" w:ascii="仿宋" w:hAnsi="仿宋" w:eastAsia="仿宋" w:cs="仿宋"/>
              <w:szCs w:val="32"/>
            </w:rPr>
            <w:t>八、</w:t>
          </w:r>
          <w:r>
            <w:rPr>
              <w:rFonts w:hint="eastAsia" w:ascii="仿宋" w:hAnsi="仿宋" w:eastAsia="仿宋" w:cs="仿宋"/>
            </w:rPr>
            <w:t>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_Toc17518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_Toc20240 </w:instrText>
          </w:r>
          <w:r>
            <w:rPr>
              <w:rFonts w:hint="eastAsia" w:ascii="仿宋" w:hAnsi="仿宋" w:eastAsia="仿宋" w:cs="仿宋"/>
            </w:rPr>
            <w:fldChar w:fldCharType="separate"/>
          </w:r>
          <w:r>
            <w:rPr>
              <w:rFonts w:hint="eastAsia" w:ascii="仿宋" w:hAnsi="仿宋" w:eastAsia="仿宋" w:cs="仿宋"/>
            </w:rPr>
            <w:t>九、国有资本经营预算支出决算情况说明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_Toc20240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_Toc5494 </w:instrText>
          </w:r>
          <w:r>
            <w:rPr>
              <w:rFonts w:hint="eastAsia" w:ascii="仿宋" w:hAnsi="仿宋" w:eastAsia="仿宋" w:cs="仿宋"/>
            </w:rPr>
            <w:fldChar w:fldCharType="separate"/>
          </w:r>
          <w:r>
            <w:rPr>
              <w:rFonts w:hint="eastAsia" w:ascii="仿宋" w:hAnsi="仿宋" w:eastAsia="仿宋" w:cs="仿宋"/>
            </w:rPr>
            <w:t>十、其他重要事项的情况说明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_Toc5494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46"/>
            <w:tabs>
              <w:tab w:val="right" w:leader="dot" w:pos="8306"/>
            </w:tabs>
            <w:rPr>
              <w:rFonts w:hint="eastAsia" w:eastAsia="宋体"/>
              <w:b/>
              <w:lang w:val="en-US" w:eastAsia="zh-CN"/>
            </w:rPr>
          </w:pPr>
          <w:r>
            <w:rPr>
              <w:b/>
            </w:rPr>
            <w:fldChar w:fldCharType="begin"/>
          </w:r>
          <w:r>
            <w:rPr>
              <w:b/>
            </w:rPr>
            <w:instrText xml:space="preserve"> HYPERLINK \l _Toc22225 </w:instrText>
          </w:r>
          <w:r>
            <w:rPr>
              <w:b/>
            </w:rPr>
            <w:fldChar w:fldCharType="separate"/>
          </w:r>
          <w:r>
            <w:rPr>
              <w:rFonts w:hint="eastAsia" w:ascii="黑体" w:hAnsi="黑体" w:eastAsia="黑体"/>
              <w:b/>
            </w:rPr>
            <w:t>第三部分</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_Toc22225 \h </w:instrText>
          </w:r>
          <w:r>
            <w:rPr>
              <w:b/>
            </w:rPr>
            <w:fldChar w:fldCharType="separate"/>
          </w:r>
          <w:r>
            <w:rPr>
              <w:b/>
            </w:rPr>
            <w:t>1</w:t>
          </w:r>
          <w:r>
            <w:rPr>
              <w:b/>
            </w:rPr>
            <w:fldChar w:fldCharType="end"/>
          </w:r>
          <w:r>
            <w:rPr>
              <w:b/>
            </w:rPr>
            <w:fldChar w:fldCharType="end"/>
          </w:r>
          <w:r>
            <w:rPr>
              <w:rFonts w:hint="eastAsia"/>
              <w:b/>
              <w:lang w:val="en-US" w:eastAsia="zh-CN"/>
            </w:rPr>
            <w:t>3</w:t>
          </w:r>
        </w:p>
        <w:p>
          <w:pPr>
            <w:pStyle w:val="46"/>
            <w:tabs>
              <w:tab w:val="right" w:leader="dot" w:pos="8306"/>
            </w:tabs>
            <w:rPr>
              <w:b/>
            </w:rPr>
          </w:pPr>
          <w:r>
            <w:rPr>
              <w:b/>
            </w:rPr>
            <w:fldChar w:fldCharType="begin"/>
          </w:r>
          <w:r>
            <w:rPr>
              <w:b/>
            </w:rPr>
            <w:instrText xml:space="preserve"> HYPERLINK \l _Toc1487 </w:instrText>
          </w:r>
          <w:r>
            <w:rPr>
              <w:b/>
            </w:rPr>
            <w:fldChar w:fldCharType="separate"/>
          </w:r>
          <w:r>
            <w:rPr>
              <w:rFonts w:hint="eastAsia" w:ascii="黑体" w:hAnsi="黑体" w:eastAsia="黑体"/>
              <w:b/>
              <w:szCs w:val="44"/>
            </w:rPr>
            <w:t>第</w:t>
          </w:r>
          <w:r>
            <w:rPr>
              <w:rFonts w:hint="eastAsia" w:ascii="黑体" w:hAnsi="黑体" w:eastAsia="黑体"/>
              <w:b/>
            </w:rPr>
            <w:t>四部分附件</w:t>
          </w:r>
          <w:r>
            <w:rPr>
              <w:b/>
            </w:rPr>
            <w:tab/>
          </w:r>
          <w:r>
            <w:rPr>
              <w:rFonts w:hint="eastAsia"/>
              <w:b/>
              <w:lang w:val="en-US" w:eastAsia="zh-CN"/>
            </w:rPr>
            <w:t>1</w:t>
          </w:r>
          <w:r>
            <w:rPr>
              <w:b/>
            </w:rPr>
            <w:fldChar w:fldCharType="begin"/>
          </w:r>
          <w:r>
            <w:rPr>
              <w:b/>
            </w:rPr>
            <w:instrText xml:space="preserve"> PAGEREF _Toc1487 \h </w:instrText>
          </w:r>
          <w:r>
            <w:rPr>
              <w:b/>
            </w:rPr>
            <w:fldChar w:fldCharType="separate"/>
          </w:r>
          <w:r>
            <w:rPr>
              <w:b/>
            </w:rPr>
            <w:t>4</w:t>
          </w:r>
          <w:r>
            <w:rPr>
              <w:b/>
            </w:rPr>
            <w:fldChar w:fldCharType="end"/>
          </w:r>
          <w:r>
            <w:rPr>
              <w:b/>
            </w:rPr>
            <w:fldChar w:fldCharType="end"/>
          </w:r>
        </w:p>
        <w:p>
          <w:pPr>
            <w:pStyle w:val="46"/>
            <w:tabs>
              <w:tab w:val="right" w:leader="dot" w:pos="8306"/>
            </w:tabs>
            <w:rPr>
              <w:b/>
            </w:rPr>
          </w:pPr>
          <w:r>
            <w:rPr>
              <w:b/>
            </w:rPr>
            <w:fldChar w:fldCharType="begin"/>
          </w:r>
          <w:r>
            <w:rPr>
              <w:b/>
            </w:rPr>
            <w:instrText xml:space="preserve"> HYPERLINK \l _Toc32432 </w:instrText>
          </w:r>
          <w:r>
            <w:rPr>
              <w:b/>
            </w:rPr>
            <w:fldChar w:fldCharType="separate"/>
          </w:r>
          <w:r>
            <w:rPr>
              <w:rFonts w:hint="eastAsia" w:ascii="黑体" w:hAnsi="黑体" w:eastAsia="黑体"/>
              <w:b/>
              <w:szCs w:val="44"/>
            </w:rPr>
            <w:t>第</w:t>
          </w:r>
          <w:r>
            <w:rPr>
              <w:rFonts w:hint="eastAsia" w:ascii="黑体" w:hAnsi="黑体" w:eastAsia="黑体"/>
              <w:b/>
            </w:rPr>
            <w:t>五部分附表</w:t>
          </w:r>
          <w:r>
            <w:rPr>
              <w:b/>
            </w:rPr>
            <w:tab/>
          </w:r>
          <w:r>
            <w:rPr>
              <w:b/>
            </w:rPr>
            <w:fldChar w:fldCharType="begin"/>
          </w:r>
          <w:r>
            <w:rPr>
              <w:b/>
            </w:rPr>
            <w:instrText xml:space="preserve"> PAGEREF _Toc32432 \h </w:instrText>
          </w:r>
          <w:r>
            <w:rPr>
              <w:b/>
            </w:rPr>
            <w:fldChar w:fldCharType="separate"/>
          </w:r>
          <w:r>
            <w:rPr>
              <w:b/>
            </w:rPr>
            <w:t>49</w:t>
          </w:r>
          <w:r>
            <w:rPr>
              <w:b/>
            </w:rPr>
            <w:fldChar w:fldCharType="end"/>
          </w:r>
          <w:r>
            <w:rPr>
              <w:b/>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_Toc6078 </w:instrText>
          </w:r>
          <w:r>
            <w:rPr>
              <w:rFonts w:hint="eastAsia" w:ascii="仿宋" w:hAnsi="仿宋" w:eastAsia="仿宋" w:cs="仿宋"/>
            </w:rPr>
            <w:fldChar w:fldCharType="separate"/>
          </w:r>
          <w:r>
            <w:rPr>
              <w:rFonts w:hint="eastAsia" w:ascii="仿宋" w:hAnsi="仿宋" w:eastAsia="仿宋" w:cs="仿宋"/>
            </w:rPr>
            <w:t>一、收</w:t>
          </w:r>
          <w:r>
            <w:rPr>
              <w:rFonts w:hint="eastAsia" w:ascii="仿宋" w:hAnsi="仿宋" w:eastAsia="仿宋" w:cs="仿宋"/>
              <w:bCs w:val="0"/>
            </w:rPr>
            <w:t>入支出决算总表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_Toc6078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_Toc16822 </w:instrText>
          </w:r>
          <w:r>
            <w:rPr>
              <w:rFonts w:hint="eastAsia" w:ascii="仿宋" w:hAnsi="仿宋" w:eastAsia="仿宋" w:cs="仿宋"/>
            </w:rPr>
            <w:fldChar w:fldCharType="separate"/>
          </w:r>
          <w:r>
            <w:rPr>
              <w:rFonts w:hint="eastAsia" w:ascii="仿宋" w:hAnsi="仿宋" w:eastAsia="仿宋" w:cs="仿宋"/>
            </w:rPr>
            <w:t>二、收</w:t>
          </w:r>
          <w:r>
            <w:rPr>
              <w:rFonts w:hint="eastAsia" w:ascii="仿宋" w:hAnsi="仿宋" w:eastAsia="仿宋" w:cs="仿宋"/>
              <w:bCs w:val="0"/>
            </w:rPr>
            <w:t>入决算表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_Toc16822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_Toc31068 </w:instrText>
          </w:r>
          <w:r>
            <w:rPr>
              <w:rFonts w:hint="eastAsia" w:ascii="仿宋" w:hAnsi="仿宋" w:eastAsia="仿宋" w:cs="仿宋"/>
            </w:rPr>
            <w:fldChar w:fldCharType="separate"/>
          </w:r>
          <w:r>
            <w:rPr>
              <w:rFonts w:hint="eastAsia" w:ascii="仿宋" w:hAnsi="仿宋" w:eastAsia="仿宋" w:cs="仿宋"/>
              <w:bCs w:val="0"/>
            </w:rPr>
            <w:t>三、</w:t>
          </w:r>
          <w:r>
            <w:rPr>
              <w:rFonts w:hint="eastAsia" w:ascii="仿宋" w:hAnsi="仿宋" w:eastAsia="仿宋" w:cs="仿宋"/>
            </w:rPr>
            <w:t>支</w:t>
          </w:r>
          <w:r>
            <w:rPr>
              <w:rFonts w:hint="eastAsia" w:ascii="仿宋" w:hAnsi="仿宋" w:eastAsia="仿宋" w:cs="仿宋"/>
              <w:bCs w:val="0"/>
            </w:rPr>
            <w:t>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_Toc31068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_Toc13038 </w:instrText>
          </w:r>
          <w:r>
            <w:rPr>
              <w:rFonts w:hint="eastAsia" w:ascii="仿宋" w:hAnsi="仿宋" w:eastAsia="仿宋" w:cs="仿宋"/>
            </w:rPr>
            <w:fldChar w:fldCharType="separate"/>
          </w:r>
          <w:r>
            <w:rPr>
              <w:rFonts w:hint="eastAsia" w:ascii="仿宋" w:hAnsi="仿宋" w:eastAsia="仿宋" w:cs="仿宋"/>
              <w:bCs w:val="0"/>
            </w:rPr>
            <w:t>四、</w:t>
          </w:r>
          <w:r>
            <w:rPr>
              <w:rFonts w:hint="eastAsia" w:ascii="仿宋" w:hAnsi="仿宋" w:eastAsia="仿宋" w:cs="仿宋"/>
            </w:rPr>
            <w:t>财</w:t>
          </w:r>
          <w:r>
            <w:rPr>
              <w:rFonts w:hint="eastAsia" w:ascii="仿宋" w:hAnsi="仿宋" w:eastAsia="仿宋" w:cs="仿宋"/>
              <w:bCs w:val="0"/>
            </w:rPr>
            <w:t>政拨款收入支出决算总表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_Toc13038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_Toc8476 </w:instrText>
          </w:r>
          <w:r>
            <w:rPr>
              <w:rFonts w:hint="eastAsia" w:ascii="仿宋" w:hAnsi="仿宋" w:eastAsia="仿宋" w:cs="仿宋"/>
            </w:rPr>
            <w:fldChar w:fldCharType="separate"/>
          </w:r>
          <w:r>
            <w:rPr>
              <w:rFonts w:hint="eastAsia" w:ascii="仿宋" w:hAnsi="仿宋" w:eastAsia="仿宋" w:cs="仿宋"/>
              <w:bCs w:val="0"/>
            </w:rPr>
            <w:t>五、</w:t>
          </w:r>
          <w:r>
            <w:rPr>
              <w:rFonts w:hint="eastAsia" w:ascii="仿宋" w:hAnsi="仿宋" w:eastAsia="仿宋" w:cs="仿宋"/>
            </w:rPr>
            <w:t>财</w:t>
          </w:r>
          <w:r>
            <w:rPr>
              <w:rFonts w:hint="eastAsia" w:ascii="仿宋" w:hAnsi="仿宋" w:eastAsia="仿宋" w:cs="仿宋"/>
              <w:bCs w:val="0"/>
            </w:rPr>
            <w:t>政拨款支出决算明细表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_Toc8476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_Toc4249 </w:instrText>
          </w:r>
          <w:r>
            <w:rPr>
              <w:rFonts w:hint="eastAsia" w:ascii="仿宋" w:hAnsi="仿宋" w:eastAsia="仿宋" w:cs="仿宋"/>
            </w:rPr>
            <w:fldChar w:fldCharType="separate"/>
          </w:r>
          <w:r>
            <w:rPr>
              <w:rFonts w:hint="eastAsia" w:ascii="仿宋" w:hAnsi="仿宋" w:eastAsia="仿宋" w:cs="仿宋"/>
              <w:bCs w:val="0"/>
            </w:rPr>
            <w:t>六、</w:t>
          </w:r>
          <w:r>
            <w:rPr>
              <w:rFonts w:hint="eastAsia" w:ascii="仿宋" w:hAnsi="仿宋" w:eastAsia="仿宋" w:cs="仿宋"/>
            </w:rPr>
            <w:t>一</w:t>
          </w:r>
          <w:r>
            <w:rPr>
              <w:rFonts w:hint="eastAsia" w:ascii="仿宋" w:hAnsi="仿宋" w:eastAsia="仿宋" w:cs="仿宋"/>
              <w:bCs w:val="0"/>
            </w:rPr>
            <w:t>般公共预算财政拨款支出决算表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_Toc4249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_Toc13307 </w:instrText>
          </w:r>
          <w:r>
            <w:rPr>
              <w:rFonts w:hint="eastAsia" w:ascii="仿宋" w:hAnsi="仿宋" w:eastAsia="仿宋" w:cs="仿宋"/>
            </w:rPr>
            <w:fldChar w:fldCharType="separate"/>
          </w:r>
          <w:r>
            <w:rPr>
              <w:rFonts w:hint="eastAsia" w:ascii="仿宋" w:hAnsi="仿宋" w:eastAsia="仿宋" w:cs="仿宋"/>
              <w:bCs w:val="0"/>
            </w:rPr>
            <w:t>七、</w:t>
          </w:r>
          <w:r>
            <w:rPr>
              <w:rFonts w:hint="eastAsia" w:ascii="仿宋" w:hAnsi="仿宋" w:eastAsia="仿宋" w:cs="仿宋"/>
            </w:rPr>
            <w:t>一</w:t>
          </w:r>
          <w:r>
            <w:rPr>
              <w:rFonts w:hint="eastAsia" w:ascii="仿宋" w:hAnsi="仿宋" w:eastAsia="仿宋" w:cs="仿宋"/>
              <w:bCs w:val="0"/>
            </w:rPr>
            <w:t>般公共预算财政拨款支出决算明细表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_Toc13307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_Toc21621 </w:instrText>
          </w:r>
          <w:r>
            <w:rPr>
              <w:rFonts w:hint="eastAsia" w:ascii="仿宋" w:hAnsi="仿宋" w:eastAsia="仿宋" w:cs="仿宋"/>
            </w:rPr>
            <w:fldChar w:fldCharType="separate"/>
          </w:r>
          <w:r>
            <w:rPr>
              <w:rFonts w:hint="eastAsia" w:ascii="仿宋" w:hAnsi="仿宋" w:eastAsia="仿宋" w:cs="仿宋"/>
              <w:bCs w:val="0"/>
            </w:rPr>
            <w:t>八、</w:t>
          </w:r>
          <w:r>
            <w:rPr>
              <w:rFonts w:hint="eastAsia" w:ascii="仿宋" w:hAnsi="仿宋" w:eastAsia="仿宋" w:cs="仿宋"/>
            </w:rPr>
            <w:t>一</w:t>
          </w:r>
          <w:r>
            <w:rPr>
              <w:rFonts w:hint="eastAsia" w:ascii="仿宋" w:hAnsi="仿宋" w:eastAsia="仿宋" w:cs="仿宋"/>
              <w:bCs w:val="0"/>
            </w:rPr>
            <w:t>般公共预算财政拨款基本支出决算表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_Toc21621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_Toc29333 </w:instrText>
          </w:r>
          <w:r>
            <w:rPr>
              <w:rFonts w:hint="eastAsia" w:ascii="仿宋" w:hAnsi="仿宋" w:eastAsia="仿宋" w:cs="仿宋"/>
            </w:rPr>
            <w:fldChar w:fldCharType="separate"/>
          </w:r>
          <w:r>
            <w:rPr>
              <w:rFonts w:hint="eastAsia" w:ascii="仿宋" w:hAnsi="仿宋" w:eastAsia="仿宋" w:cs="仿宋"/>
              <w:bCs w:val="0"/>
            </w:rPr>
            <w:t>九、</w:t>
          </w:r>
          <w:r>
            <w:rPr>
              <w:rFonts w:hint="eastAsia" w:ascii="仿宋" w:hAnsi="仿宋" w:eastAsia="仿宋" w:cs="仿宋"/>
            </w:rPr>
            <w:t>一</w:t>
          </w:r>
          <w:r>
            <w:rPr>
              <w:rFonts w:hint="eastAsia" w:ascii="仿宋" w:hAnsi="仿宋" w:eastAsia="仿宋" w:cs="仿宋"/>
              <w:bCs w:val="0"/>
            </w:rPr>
            <w:t>般公共预算财政拨款项目支出决算表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_Toc29333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_Toc31549 </w:instrText>
          </w:r>
          <w:r>
            <w:rPr>
              <w:rFonts w:hint="eastAsia" w:ascii="仿宋" w:hAnsi="仿宋" w:eastAsia="仿宋" w:cs="仿宋"/>
            </w:rPr>
            <w:fldChar w:fldCharType="separate"/>
          </w:r>
          <w:r>
            <w:rPr>
              <w:rFonts w:hint="eastAsia" w:ascii="仿宋" w:hAnsi="仿宋" w:eastAsia="仿宋" w:cs="仿宋"/>
              <w:bCs w:val="0"/>
            </w:rPr>
            <w:t>十、</w:t>
          </w:r>
          <w:r>
            <w:rPr>
              <w:rFonts w:hint="eastAsia" w:ascii="仿宋" w:hAnsi="仿宋" w:eastAsia="仿宋" w:cs="仿宋"/>
            </w:rPr>
            <w:t>政</w:t>
          </w:r>
          <w:r>
            <w:rPr>
              <w:rFonts w:hint="eastAsia" w:ascii="仿宋" w:hAnsi="仿宋" w:eastAsia="仿宋" w:cs="仿宋"/>
              <w:bCs w:val="0"/>
            </w:rPr>
            <w:t>府性基金预算财政拨款收入支出决算表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_Toc31549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_Toc21273 </w:instrText>
          </w:r>
          <w:r>
            <w:rPr>
              <w:rFonts w:hint="eastAsia" w:ascii="仿宋" w:hAnsi="仿宋" w:eastAsia="仿宋" w:cs="仿宋"/>
            </w:rPr>
            <w:fldChar w:fldCharType="separate"/>
          </w:r>
          <w:r>
            <w:rPr>
              <w:rFonts w:hint="eastAsia" w:ascii="仿宋" w:hAnsi="仿宋" w:eastAsia="仿宋" w:cs="仿宋"/>
              <w:bCs w:val="0"/>
            </w:rPr>
            <w:t>十一、</w:t>
          </w:r>
          <w:r>
            <w:rPr>
              <w:rFonts w:hint="eastAsia" w:ascii="仿宋" w:hAnsi="仿宋" w:eastAsia="仿宋" w:cs="仿宋"/>
            </w:rPr>
            <w:t>国</w:t>
          </w:r>
          <w:r>
            <w:rPr>
              <w:rFonts w:hint="eastAsia" w:ascii="仿宋" w:hAnsi="仿宋" w:eastAsia="仿宋" w:cs="仿宋"/>
              <w:bCs w:val="0"/>
            </w:rPr>
            <w:t>有资本经营预算财政拨款收入支出决算表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_Toc21273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_Toc25919 </w:instrText>
          </w:r>
          <w:r>
            <w:rPr>
              <w:rFonts w:hint="eastAsia" w:ascii="仿宋" w:hAnsi="仿宋" w:eastAsia="仿宋" w:cs="仿宋"/>
            </w:rPr>
            <w:fldChar w:fldCharType="separate"/>
          </w:r>
          <w:r>
            <w:rPr>
              <w:rFonts w:hint="eastAsia" w:ascii="仿宋" w:hAnsi="仿宋" w:eastAsia="仿宋" w:cs="仿宋"/>
              <w:bCs w:val="0"/>
            </w:rPr>
            <w:t>十二、国有资本经营预算财政拨款支出决算表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_Toc25919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pStyle w:val="47"/>
            <w:tabs>
              <w:tab w:val="right" w:leader="dot" w:pos="8306"/>
            </w:tabs>
          </w:pPr>
          <w:r>
            <w:rPr>
              <w:rFonts w:hint="eastAsia" w:ascii="仿宋" w:hAnsi="仿宋" w:eastAsia="仿宋" w:cs="仿宋"/>
            </w:rPr>
            <w:fldChar w:fldCharType="begin"/>
          </w:r>
          <w:r>
            <w:rPr>
              <w:rFonts w:hint="eastAsia" w:ascii="仿宋" w:hAnsi="仿宋" w:eastAsia="仿宋" w:cs="仿宋"/>
            </w:rPr>
            <w:instrText xml:space="preserve"> HYPERLINK \l _Toc21520 </w:instrText>
          </w:r>
          <w:r>
            <w:rPr>
              <w:rFonts w:hint="eastAsia" w:ascii="仿宋" w:hAnsi="仿宋" w:eastAsia="仿宋" w:cs="仿宋"/>
            </w:rPr>
            <w:fldChar w:fldCharType="separate"/>
          </w:r>
          <w:r>
            <w:rPr>
              <w:rFonts w:hint="eastAsia" w:ascii="仿宋" w:hAnsi="仿宋" w:eastAsia="仿宋" w:cs="仿宋"/>
              <w:bCs w:val="0"/>
            </w:rPr>
            <w:t>十三、财政拨款“三公”经费支出决算表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_Toc21520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pPr>
            <w:rPr>
              <w:rFonts w:hint="eastAsia" w:ascii="黑体" w:hAnsi="黑体" w:eastAsia="黑体"/>
              <w:b w:val="0"/>
            </w:rPr>
          </w:pPr>
          <w:r>
            <w:rPr>
              <w:b/>
            </w:rPr>
            <w:fldChar w:fldCharType="end"/>
          </w:r>
          <w:bookmarkStart w:id="15" w:name="_Toc15377196"/>
          <w:bookmarkStart w:id="16" w:name="_Toc15396599"/>
        </w:p>
      </w:sdtContent>
    </w:sdt>
    <w:p>
      <w:pPr>
        <w:rPr>
          <w:rFonts w:hint="eastAsia"/>
        </w:rPr>
      </w:pPr>
    </w:p>
    <w:p>
      <w:pPr>
        <w:pStyle w:val="4"/>
        <w:jc w:val="center"/>
        <w:rPr>
          <w:rFonts w:ascii="黑体" w:eastAsia="黑体"/>
          <w:sz w:val="32"/>
          <w:szCs w:val="32"/>
        </w:rPr>
      </w:pPr>
      <w:bookmarkStart w:id="17" w:name="_Toc24031"/>
      <w:r>
        <w:rPr>
          <w:rFonts w:hint="eastAsia" w:ascii="黑体" w:hAnsi="黑体" w:eastAsia="黑体"/>
          <w:b w:val="0"/>
        </w:rPr>
        <w:t>第一部分</w:t>
      </w:r>
      <w:r>
        <w:rPr>
          <w:rStyle w:val="22"/>
          <w:rFonts w:hint="eastAsia" w:ascii="黑体" w:hAnsi="黑体" w:eastAsia="黑体"/>
          <w:b w:val="0"/>
          <w:bCs w:val="0"/>
        </w:rPr>
        <w:t>部门概况</w:t>
      </w:r>
      <w:bookmarkEnd w:id="15"/>
      <w:bookmarkEnd w:id="16"/>
      <w:bookmarkEnd w:id="17"/>
    </w:p>
    <w:p>
      <w:pPr>
        <w:pStyle w:val="5"/>
        <w:ind w:firstLine="640" w:firstLineChars="200"/>
        <w:rPr>
          <w:rFonts w:ascii="黑体" w:hAnsi="黑体" w:eastAsia="黑体"/>
          <w:b w:val="0"/>
        </w:rPr>
      </w:pPr>
      <w:bookmarkStart w:id="18" w:name="_Toc10256"/>
      <w:r>
        <w:rPr>
          <w:rFonts w:hint="eastAsia" w:ascii="黑体" w:hAnsi="黑体" w:eastAsia="黑体"/>
          <w:b w:val="0"/>
        </w:rPr>
        <w:t>一、部门职责</w:t>
      </w:r>
      <w:bookmarkEnd w:id="18"/>
    </w:p>
    <w:p>
      <w:pPr>
        <w:pStyle w:val="16"/>
        <w:spacing w:line="580" w:lineRule="exact"/>
        <w:ind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广元市人民检察院是国家的法律监督机关，领导全市检察工作，对市人民代表大会及其常务委员会负责并报告工作。其主要职责是：依法行使检察权，按照最高人民检察院和省人民检察院确定的工作方针，部署全市检察工作任务；领导全市人民检察院的侦查工作以及对刑事犯罪案件的审查批捕（决定）逮捕、提起公诉等工作；依法对刑事诉讼、民事审判和行政诉讼实行法律监督，依法向人民法院提起抗诉；受理单位和个人的举报、控告、申诉以及犯罪嫌疑人的自首；研究国家机关工作人员职务犯罪预防和全市检察工作中的具体法律应用问题；规划和指导全市检察机关的检察技术、信息化和计划财务装备工作；负责全市检察机关的队伍建设、思想政治等工作；负责其他应当由市人民检察院承办的事项。</w:t>
      </w:r>
    </w:p>
    <w:p>
      <w:pPr>
        <w:pStyle w:val="5"/>
        <w:ind w:firstLine="640" w:firstLineChars="200"/>
        <w:rPr>
          <w:rStyle w:val="23"/>
          <w:b w:val="0"/>
          <w:bCs w:val="0"/>
        </w:rPr>
      </w:pPr>
      <w:bookmarkStart w:id="19" w:name="_Toc7839"/>
      <w:bookmarkStart w:id="20" w:name="_Toc15396601"/>
      <w:bookmarkStart w:id="21" w:name="_Toc15377200"/>
      <w:r>
        <w:rPr>
          <w:rFonts w:hint="eastAsia" w:ascii="黑体" w:hAnsi="黑体" w:eastAsia="黑体"/>
          <w:b w:val="0"/>
        </w:rPr>
        <w:t>二、机</w:t>
      </w:r>
      <w:r>
        <w:rPr>
          <w:rStyle w:val="23"/>
          <w:rFonts w:hint="eastAsia" w:ascii="黑体" w:hAnsi="黑体" w:eastAsia="黑体"/>
          <w:b w:val="0"/>
          <w:bCs w:val="0"/>
        </w:rPr>
        <w:t>构设置</w:t>
      </w:r>
      <w:bookmarkEnd w:id="19"/>
      <w:bookmarkEnd w:id="20"/>
      <w:bookmarkEnd w:id="21"/>
    </w:p>
    <w:p>
      <w:pPr>
        <w:pStyle w:val="16"/>
        <w:spacing w:beforeLines="50" w:afterLines="50" w:line="580" w:lineRule="exact"/>
        <w:ind w:firstLine="640" w:firstLineChars="200"/>
        <w:jc w:val="both"/>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广元市人民检察院下属二级单位0个，其中：行政单位1个，其他事业单位1个，分别是四川省广元市人民检察院机关，广元市人民检察院检察官培训中心（未独立核算）。</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2"/>
          <w:rFonts w:ascii="黑体" w:hAnsi="黑体" w:eastAsia="黑体"/>
          <w:b w:val="0"/>
          <w:bCs/>
        </w:rPr>
      </w:pPr>
      <w:bookmarkStart w:id="22" w:name="_Toc15396602"/>
      <w:bookmarkStart w:id="23" w:name="_Toc15377204"/>
      <w:bookmarkStart w:id="24" w:name="_Toc29310"/>
      <w:r>
        <w:rPr>
          <w:rFonts w:hint="eastAsia" w:ascii="黑体" w:hAnsi="黑体" w:eastAsia="黑体"/>
          <w:b w:val="0"/>
        </w:rPr>
        <w:t>第二部分2022年度</w:t>
      </w:r>
      <w:r>
        <w:rPr>
          <w:rStyle w:val="22"/>
          <w:rFonts w:hint="eastAsia" w:ascii="黑体" w:hAnsi="黑体" w:eastAsia="黑体"/>
          <w:b w:val="0"/>
          <w:bCs/>
        </w:rPr>
        <w:t>部门决算情况说明</w:t>
      </w:r>
      <w:bookmarkEnd w:id="22"/>
      <w:bookmarkEnd w:id="23"/>
      <w:bookmarkEnd w:id="24"/>
    </w:p>
    <w:p/>
    <w:p>
      <w:pPr>
        <w:pStyle w:val="33"/>
        <w:numPr>
          <w:ilvl w:val="0"/>
          <w:numId w:val="2"/>
        </w:numPr>
        <w:spacing w:line="600" w:lineRule="exact"/>
        <w:ind w:firstLineChars="0"/>
        <w:outlineLvl w:val="1"/>
        <w:rPr>
          <w:rStyle w:val="23"/>
          <w:rFonts w:ascii="黑体" w:hAnsi="黑体" w:eastAsia="黑体"/>
          <w:b w:val="0"/>
        </w:rPr>
      </w:pPr>
      <w:bookmarkStart w:id="25" w:name="_Toc27499"/>
      <w:bookmarkStart w:id="26" w:name="_Toc15377205"/>
      <w:bookmarkStart w:id="27" w:name="_Toc15396603"/>
      <w:r>
        <w:rPr>
          <w:rFonts w:hint="eastAsia" w:ascii="黑体" w:hAnsi="黑体" w:eastAsia="黑体"/>
          <w:sz w:val="32"/>
          <w:szCs w:val="32"/>
        </w:rPr>
        <w:t>收</w:t>
      </w:r>
      <w:r>
        <w:rPr>
          <w:rStyle w:val="23"/>
          <w:rFonts w:hint="eastAsia" w:ascii="黑体" w:hAnsi="黑体" w:eastAsia="黑体"/>
          <w:b w:val="0"/>
        </w:rPr>
        <w:t>入支出决算总体情况说明</w:t>
      </w:r>
      <w:bookmarkEnd w:id="25"/>
      <w:bookmarkEnd w:id="26"/>
      <w:bookmarkEnd w:id="27"/>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2022年度收、支总计4085.67万元。与2021年相比，收、支总计各减少660.46万元，下降13.92</w:t>
      </w:r>
      <w:r>
        <w:rPr>
          <w:rFonts w:ascii="仿宋" w:hAnsi="仿宋" w:eastAsia="仿宋"/>
          <w:sz w:val="32"/>
          <w:szCs w:val="32"/>
        </w:rPr>
        <w:t>%</w:t>
      </w:r>
      <w:r>
        <w:rPr>
          <w:rFonts w:hint="eastAsia" w:ascii="仿宋" w:hAnsi="仿宋" w:eastAsia="仿宋"/>
          <w:sz w:val="32"/>
          <w:szCs w:val="32"/>
        </w:rPr>
        <w:t>。主要变动原因是我院2022年开展项目建设资金较2021年大幅较少。</w:t>
      </w:r>
    </w:p>
    <w:p>
      <w:pPr>
        <w:pStyle w:val="17"/>
        <w:ind w:left="420"/>
      </w:pPr>
      <w:r>
        <w:drawing>
          <wp:inline distT="0" distB="0" distL="0" distR="0">
            <wp:extent cx="4210050" cy="1981200"/>
            <wp:effectExtent l="19050" t="0" r="19050" b="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33"/>
        <w:numPr>
          <w:ilvl w:val="0"/>
          <w:numId w:val="2"/>
        </w:numPr>
        <w:spacing w:line="600" w:lineRule="exact"/>
        <w:ind w:firstLineChars="0"/>
        <w:outlineLvl w:val="1"/>
        <w:rPr>
          <w:rStyle w:val="23"/>
          <w:rFonts w:ascii="黑体" w:hAnsi="黑体" w:eastAsia="黑体"/>
          <w:b w:val="0"/>
        </w:rPr>
      </w:pPr>
      <w:bookmarkStart w:id="28" w:name="_Toc4472"/>
      <w:bookmarkStart w:id="29" w:name="_Toc15377206"/>
      <w:bookmarkStart w:id="30" w:name="_Toc15396604"/>
      <w:r>
        <w:rPr>
          <w:rFonts w:hint="eastAsia" w:ascii="黑体" w:hAnsi="黑体" w:eastAsia="黑体"/>
          <w:sz w:val="32"/>
          <w:szCs w:val="32"/>
        </w:rPr>
        <w:t>收</w:t>
      </w:r>
      <w:r>
        <w:rPr>
          <w:rStyle w:val="23"/>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24961"/>
      <w:r>
        <w:rPr>
          <w:rFonts w:ascii="仿宋" w:hAnsi="仿宋" w:eastAsia="仿宋"/>
          <w:sz w:val="32"/>
          <w:szCs w:val="32"/>
        </w:rPr>
        <w:t>20</w:t>
      </w:r>
      <w:r>
        <w:rPr>
          <w:rFonts w:hint="eastAsia" w:ascii="仿宋" w:hAnsi="仿宋" w:eastAsia="仿宋"/>
          <w:sz w:val="32"/>
          <w:szCs w:val="32"/>
        </w:rPr>
        <w:t>22年本年收入合计3457.26万元，其中：一般公共预算财政拨款收入3454.65万元，占99.92</w:t>
      </w:r>
      <w:r>
        <w:rPr>
          <w:rFonts w:ascii="仿宋" w:hAnsi="仿宋" w:eastAsia="仿宋"/>
          <w:sz w:val="32"/>
          <w:szCs w:val="32"/>
        </w:rPr>
        <w:t>%</w:t>
      </w:r>
      <w:r>
        <w:rPr>
          <w:rFonts w:hint="eastAsia" w:ascii="仿宋" w:hAnsi="仿宋" w:eastAsia="仿宋"/>
          <w:sz w:val="32"/>
          <w:szCs w:val="32"/>
        </w:rPr>
        <w:t>；其他收入2.61万元，占0.08</w:t>
      </w:r>
      <w:r>
        <w:rPr>
          <w:rFonts w:ascii="仿宋" w:hAnsi="仿宋" w:eastAsia="仿宋"/>
          <w:sz w:val="32"/>
          <w:szCs w:val="32"/>
        </w:rPr>
        <w:t>%</w:t>
      </w:r>
      <w:r>
        <w:rPr>
          <w:rFonts w:hint="eastAsia" w:ascii="仿宋" w:hAnsi="仿宋" w:eastAsia="仿宋"/>
          <w:sz w:val="32"/>
          <w:szCs w:val="32"/>
        </w:rPr>
        <w:t>。</w:t>
      </w:r>
      <w:bookmarkEnd w:id="31"/>
    </w:p>
    <w:p>
      <w:pPr>
        <w:pStyle w:val="17"/>
        <w:ind w:left="420" w:firstLine="1680" w:firstLineChars="800"/>
      </w:pPr>
      <w:r>
        <w:rPr>
          <w:rFonts w:hint="eastAsia"/>
        </w:rPr>
        <w:drawing>
          <wp:inline distT="0" distB="0" distL="0" distR="0">
            <wp:extent cx="3038475" cy="1762125"/>
            <wp:effectExtent l="19050" t="0" r="9525"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440" w:firstLineChars="450"/>
        <w:rPr>
          <w:rFonts w:ascii="仿宋_GB2312" w:eastAsia="仿宋_GB2312"/>
          <w:sz w:val="32"/>
          <w:szCs w:val="32"/>
        </w:rPr>
      </w:pPr>
      <w:r>
        <w:rPr>
          <w:rFonts w:hint="eastAsia" w:ascii="仿宋" w:hAnsi="仿宋" w:eastAsia="仿宋"/>
          <w:sz w:val="32"/>
          <w:szCs w:val="32"/>
        </w:rPr>
        <w:t>（图2：收入决算结构图）（饼状图）</w:t>
      </w:r>
    </w:p>
    <w:p>
      <w:pPr>
        <w:pStyle w:val="33"/>
        <w:numPr>
          <w:ilvl w:val="0"/>
          <w:numId w:val="2"/>
        </w:numPr>
        <w:spacing w:line="600" w:lineRule="exact"/>
        <w:ind w:firstLineChars="0"/>
        <w:outlineLvl w:val="1"/>
        <w:rPr>
          <w:rStyle w:val="23"/>
          <w:rFonts w:ascii="黑体" w:hAnsi="黑体" w:eastAsia="黑体"/>
          <w:b w:val="0"/>
        </w:rPr>
      </w:pPr>
      <w:bookmarkStart w:id="32" w:name="_Toc15377207"/>
      <w:bookmarkStart w:id="33" w:name="_Toc3271"/>
      <w:bookmarkStart w:id="34" w:name="_Toc15396605"/>
      <w:r>
        <w:rPr>
          <w:rFonts w:hint="eastAsia" w:ascii="黑体" w:hAnsi="黑体" w:eastAsia="黑体"/>
          <w:sz w:val="32"/>
          <w:szCs w:val="32"/>
        </w:rPr>
        <w:t>支</w:t>
      </w:r>
      <w:r>
        <w:rPr>
          <w:rStyle w:val="23"/>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21251"/>
      <w:r>
        <w:rPr>
          <w:rFonts w:ascii="仿宋" w:hAnsi="仿宋" w:eastAsia="仿宋"/>
          <w:sz w:val="32"/>
          <w:szCs w:val="32"/>
        </w:rPr>
        <w:t>20</w:t>
      </w:r>
      <w:r>
        <w:rPr>
          <w:rFonts w:hint="eastAsia" w:ascii="仿宋" w:hAnsi="仿宋" w:eastAsia="仿宋"/>
          <w:sz w:val="32"/>
          <w:szCs w:val="32"/>
        </w:rPr>
        <w:t>22年本年支出合计4075.39万元，其中：基本支出3091.35万元，占75.85</w:t>
      </w:r>
      <w:r>
        <w:rPr>
          <w:rFonts w:ascii="仿宋" w:hAnsi="仿宋" w:eastAsia="仿宋"/>
          <w:sz w:val="32"/>
          <w:szCs w:val="32"/>
        </w:rPr>
        <w:t>%</w:t>
      </w:r>
      <w:r>
        <w:rPr>
          <w:rFonts w:hint="eastAsia" w:ascii="仿宋" w:hAnsi="仿宋" w:eastAsia="仿宋"/>
          <w:sz w:val="32"/>
          <w:szCs w:val="32"/>
        </w:rPr>
        <w:t>；项目支出984.05万元，占24.15</w:t>
      </w:r>
      <w:r>
        <w:rPr>
          <w:rFonts w:ascii="仿宋" w:hAnsi="仿宋" w:eastAsia="仿宋"/>
          <w:sz w:val="32"/>
          <w:szCs w:val="32"/>
        </w:rPr>
        <w:t>%</w:t>
      </w:r>
      <w:r>
        <w:rPr>
          <w:rFonts w:hint="eastAsia" w:ascii="仿宋" w:hAnsi="仿宋" w:eastAsia="仿宋"/>
          <w:sz w:val="32"/>
          <w:szCs w:val="32"/>
        </w:rPr>
        <w:t>。</w:t>
      </w:r>
      <w:bookmarkEnd w:id="35"/>
    </w:p>
    <w:p>
      <w:pPr>
        <w:pStyle w:val="17"/>
        <w:ind w:left="420" w:firstLine="1575" w:firstLineChars="750"/>
      </w:pPr>
      <w:r>
        <w:drawing>
          <wp:inline distT="0" distB="0" distL="0" distR="0">
            <wp:extent cx="2733675" cy="1657350"/>
            <wp:effectExtent l="19050" t="0" r="9525" b="0"/>
            <wp:docPr id="20"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440" w:firstLineChars="45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3"/>
          <w:rFonts w:ascii="黑体" w:hAnsi="黑体" w:eastAsia="黑体"/>
          <w:b w:val="0"/>
        </w:rPr>
      </w:pPr>
      <w:bookmarkStart w:id="36" w:name="_Toc15377208"/>
      <w:bookmarkStart w:id="37" w:name="_Toc15396606"/>
      <w:bookmarkStart w:id="38" w:name="_Toc6551"/>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36"/>
      <w:bookmarkEnd w:id="37"/>
      <w:bookmarkEnd w:id="3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22年财政拨款收、支总计4075.38万元。与</w:t>
      </w:r>
      <w:r>
        <w:rPr>
          <w:rFonts w:ascii="仿宋" w:hAnsi="仿宋" w:eastAsia="仿宋"/>
          <w:sz w:val="32"/>
          <w:szCs w:val="32"/>
        </w:rPr>
        <w:t>20</w:t>
      </w:r>
      <w:r>
        <w:rPr>
          <w:rFonts w:hint="eastAsia" w:ascii="仿宋" w:hAnsi="仿宋" w:eastAsia="仿宋"/>
          <w:sz w:val="32"/>
          <w:szCs w:val="32"/>
        </w:rPr>
        <w:t>21年相比，财政拨款收、支总计各减少658.38万元，下降13.91</w:t>
      </w:r>
      <w:r>
        <w:rPr>
          <w:rFonts w:ascii="仿宋" w:hAnsi="仿宋" w:eastAsia="仿宋"/>
          <w:sz w:val="32"/>
          <w:szCs w:val="32"/>
        </w:rPr>
        <w:t>%</w:t>
      </w:r>
      <w:r>
        <w:rPr>
          <w:rFonts w:hint="eastAsia" w:ascii="仿宋" w:hAnsi="仿宋" w:eastAsia="仿宋"/>
          <w:sz w:val="32"/>
          <w:szCs w:val="32"/>
        </w:rPr>
        <w:t>。主要变动原因是我院2022年开展项目建设资金较2021年大幅较少。</w:t>
      </w:r>
    </w:p>
    <w:p>
      <w:pPr>
        <w:pStyle w:val="8"/>
        <w:spacing w:before="93"/>
        <w:ind w:firstLine="1280" w:firstLineChars="400"/>
        <w:rPr>
          <w:rFonts w:ascii="仿宋" w:hAnsi="仿宋" w:eastAsia="仿宋"/>
          <w:sz w:val="32"/>
          <w:szCs w:val="32"/>
        </w:rPr>
      </w:pPr>
      <w:r>
        <w:rPr>
          <w:rFonts w:ascii="仿宋" w:hAnsi="仿宋" w:eastAsia="仿宋"/>
          <w:sz w:val="32"/>
          <w:szCs w:val="32"/>
        </w:rPr>
        <w:drawing>
          <wp:inline distT="0" distB="0" distL="0" distR="0">
            <wp:extent cx="3467100" cy="1790700"/>
            <wp:effectExtent l="19050" t="0" r="19050" b="0"/>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3"/>
          <w:rFonts w:ascii="黑体" w:hAnsi="黑体" w:eastAsia="黑体"/>
          <w:b w:val="0"/>
        </w:rPr>
      </w:pPr>
      <w:bookmarkStart w:id="39" w:name="_Toc15377209"/>
      <w:bookmarkStart w:id="40" w:name="_Toc15396607"/>
      <w:bookmarkStart w:id="41" w:name="_Toc26035"/>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22年一般公共预算财政拨款支出4075.38万元，占本年支出合计的99.99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21年相比，一般公共预算财政拨款支出增加58.73万元，增长1.46</w:t>
      </w:r>
      <w:r>
        <w:rPr>
          <w:rFonts w:ascii="仿宋" w:hAnsi="仿宋" w:eastAsia="仿宋"/>
          <w:sz w:val="32"/>
          <w:szCs w:val="32"/>
        </w:rPr>
        <w:t>%</w:t>
      </w:r>
      <w:r>
        <w:rPr>
          <w:rFonts w:hint="eastAsia" w:ascii="仿宋" w:hAnsi="仿宋" w:eastAsia="仿宋"/>
          <w:sz w:val="32"/>
          <w:szCs w:val="32"/>
        </w:rPr>
        <w:t>。与上年基本持平。</w:t>
      </w:r>
    </w:p>
    <w:p>
      <w:pPr>
        <w:pStyle w:val="17"/>
        <w:ind w:left="199" w:leftChars="95" w:firstLine="1155" w:firstLineChars="550"/>
      </w:pPr>
      <w:r>
        <w:drawing>
          <wp:inline distT="0" distB="0" distL="0" distR="0">
            <wp:extent cx="3552825" cy="1685925"/>
            <wp:effectExtent l="19050" t="0" r="9525" b="0"/>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22年一般公共预算财政拨款支出4075.38万元，主要用于以下方面</w:t>
      </w:r>
      <w:r>
        <w:rPr>
          <w:rFonts w:hint="eastAsia" w:ascii="仿宋" w:hAnsi="仿宋" w:eastAsia="仿宋"/>
          <w:sz w:val="32"/>
          <w:szCs w:val="32"/>
          <w:lang w:eastAsia="zh-CN"/>
        </w:rPr>
        <w:t>：</w:t>
      </w:r>
      <w:r>
        <w:rPr>
          <w:rFonts w:hint="eastAsia" w:ascii="仿宋" w:hAnsi="仿宋" w:eastAsia="仿宋"/>
          <w:b/>
          <w:bCs/>
          <w:sz w:val="32"/>
          <w:szCs w:val="32"/>
        </w:rPr>
        <w:t>公共安全支出</w:t>
      </w:r>
      <w:r>
        <w:rPr>
          <w:rFonts w:hint="eastAsia" w:ascii="仿宋" w:hAnsi="仿宋" w:eastAsia="仿宋"/>
          <w:sz w:val="32"/>
          <w:szCs w:val="32"/>
        </w:rPr>
        <w:t>3625.7</w:t>
      </w:r>
      <w:r>
        <w:rPr>
          <w:rFonts w:hint="eastAsia" w:ascii="仿宋" w:hAnsi="仿宋" w:eastAsia="仿宋"/>
          <w:sz w:val="32"/>
          <w:szCs w:val="32"/>
          <w:lang w:val="en-US" w:eastAsia="zh-CN"/>
        </w:rPr>
        <w:t>1</w:t>
      </w:r>
      <w:r>
        <w:rPr>
          <w:rFonts w:hint="eastAsia" w:ascii="仿宋" w:hAnsi="仿宋" w:eastAsia="仿宋"/>
          <w:sz w:val="32"/>
          <w:szCs w:val="32"/>
        </w:rPr>
        <w:t>万元，占88.97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164.51万元，占4.04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87.9万元，占2.16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197.26万元，占4.83</w:t>
      </w:r>
      <w:r>
        <w:rPr>
          <w:rFonts w:ascii="仿宋" w:hAnsi="仿宋" w:eastAsia="仿宋"/>
          <w:sz w:val="32"/>
          <w:szCs w:val="32"/>
        </w:rPr>
        <w:t>%</w:t>
      </w:r>
      <w:r>
        <w:rPr>
          <w:rFonts w:hint="eastAsia" w:ascii="仿宋" w:hAnsi="仿宋" w:eastAsia="仿宋"/>
          <w:sz w:val="32"/>
          <w:szCs w:val="32"/>
        </w:rPr>
        <w:t>。</w:t>
      </w:r>
    </w:p>
    <w:p>
      <w:pPr>
        <w:pStyle w:val="17"/>
        <w:ind w:left="420"/>
      </w:pPr>
      <w:r>
        <w:rPr>
          <w:rFonts w:hint="eastAsia"/>
        </w:rPr>
        <w:drawing>
          <wp:inline distT="0" distB="0" distL="0" distR="0">
            <wp:extent cx="3876675" cy="2009775"/>
            <wp:effectExtent l="19050" t="0" r="9525" b="0"/>
            <wp:docPr id="34"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2"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2" w:firstLineChars="200"/>
        <w:outlineLvl w:val="1"/>
        <w:rPr>
          <w:rFonts w:hint="eastAsia" w:asciiTheme="minorEastAsia" w:hAnsiTheme="minorEastAsia" w:eastAsiaTheme="minorEastAsia" w:cstheme="minorEastAsia"/>
          <w:sz w:val="32"/>
          <w:szCs w:val="32"/>
        </w:rPr>
      </w:pPr>
      <w:bookmarkStart w:id="45" w:name="_Toc15377213"/>
      <w:bookmarkStart w:id="46" w:name="_Toc15378460"/>
      <w:bookmarkStart w:id="47" w:name="_Toc15377444"/>
      <w:bookmarkStart w:id="48" w:name="_Toc7872"/>
      <w:r>
        <w:rPr>
          <w:rFonts w:hint="eastAsia" w:asciiTheme="minorEastAsia" w:hAnsiTheme="minorEastAsia" w:eastAsiaTheme="minorEastAsia" w:cstheme="minorEastAsia"/>
          <w:b/>
          <w:sz w:val="32"/>
          <w:szCs w:val="32"/>
        </w:rPr>
        <w:t>2022年一般公共预算支出决算数为4075.38</w:t>
      </w:r>
      <w:r>
        <w:rPr>
          <w:rFonts w:hint="eastAsia" w:asciiTheme="minorEastAsia" w:hAnsiTheme="minorEastAsia" w:eastAsiaTheme="minorEastAsia" w:cstheme="minorEastAsia"/>
          <w:sz w:val="32"/>
          <w:szCs w:val="32"/>
        </w:rPr>
        <w:t>，</w:t>
      </w:r>
      <w:r>
        <w:rPr>
          <w:rStyle w:val="20"/>
          <w:rFonts w:hint="eastAsia" w:asciiTheme="minorEastAsia" w:hAnsiTheme="minorEastAsia" w:eastAsiaTheme="minorEastAsia" w:cstheme="minorEastAsia"/>
          <w:bCs/>
          <w:sz w:val="32"/>
          <w:szCs w:val="32"/>
        </w:rPr>
        <w:t>完成预算100%。其中：</w:t>
      </w:r>
      <w:bookmarkEnd w:id="45"/>
      <w:bookmarkEnd w:id="46"/>
      <w:bookmarkEnd w:id="47"/>
      <w:bookmarkEnd w:id="48"/>
    </w:p>
    <w:p>
      <w:pPr>
        <w:spacing w:line="580" w:lineRule="exact"/>
        <w:ind w:firstLine="640"/>
        <w:rPr>
          <w:rFonts w:hint="eastAsia" w:asciiTheme="minorEastAsia" w:hAnsiTheme="minorEastAsia" w:eastAsiaTheme="minorEastAsia" w:cstheme="minorEastAsia"/>
          <w:sz w:val="32"/>
          <w:szCs w:val="32"/>
        </w:rPr>
      </w:pPr>
      <w:r>
        <w:rPr>
          <w:rStyle w:val="20"/>
          <w:rFonts w:hint="eastAsia" w:asciiTheme="minorEastAsia" w:hAnsiTheme="minorEastAsia" w:eastAsiaTheme="minorEastAsia" w:cstheme="minorEastAsia"/>
          <w:bCs/>
          <w:sz w:val="32"/>
          <w:szCs w:val="32"/>
        </w:rPr>
        <w:t>1.</w:t>
      </w:r>
      <w:r>
        <w:rPr>
          <w:rFonts w:hint="eastAsia" w:asciiTheme="minorEastAsia" w:hAnsiTheme="minorEastAsia" w:eastAsiaTheme="minorEastAsia" w:cstheme="minorEastAsia"/>
          <w:b/>
          <w:bCs/>
          <w:sz w:val="32"/>
          <w:szCs w:val="32"/>
        </w:rPr>
        <w:t>公共安全支出（类）检察（款）行政运行（项）</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sz w:val="32"/>
          <w:szCs w:val="32"/>
        </w:rPr>
        <w:t>支出决算为2448.58.00万元，完成预算100%。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Style w:val="20"/>
          <w:rFonts w:hint="eastAsia" w:asciiTheme="minorEastAsia" w:hAnsiTheme="minorEastAsia" w:eastAsiaTheme="minorEastAsia" w:cstheme="minorEastAsia"/>
          <w:bCs/>
          <w:sz w:val="32"/>
          <w:szCs w:val="32"/>
        </w:rPr>
        <w:t>2.</w:t>
      </w:r>
      <w:r>
        <w:rPr>
          <w:rFonts w:hint="eastAsia" w:asciiTheme="minorEastAsia" w:hAnsiTheme="minorEastAsia" w:eastAsiaTheme="minorEastAsia" w:cstheme="minorEastAsia"/>
          <w:b/>
          <w:bCs/>
          <w:sz w:val="32"/>
          <w:szCs w:val="32"/>
        </w:rPr>
        <w:t>公共安全支出（类）检察（款）一般行政管理事务（项）：</w:t>
      </w:r>
      <w:r>
        <w:rPr>
          <w:rFonts w:hint="eastAsia" w:asciiTheme="minorEastAsia" w:hAnsiTheme="minorEastAsia" w:eastAsiaTheme="minorEastAsia" w:cstheme="minorEastAsia"/>
          <w:sz w:val="32"/>
          <w:szCs w:val="32"/>
        </w:rPr>
        <w:t>620.73万元，完成预算100%。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Style w:val="20"/>
          <w:rFonts w:hint="eastAsia" w:asciiTheme="minorEastAsia" w:hAnsiTheme="minorEastAsia" w:eastAsiaTheme="minorEastAsia" w:cstheme="minorEastAsia"/>
          <w:bCs/>
          <w:sz w:val="32"/>
          <w:szCs w:val="32"/>
        </w:rPr>
        <w:t>3.</w:t>
      </w:r>
      <w:r>
        <w:rPr>
          <w:rFonts w:hint="eastAsia" w:asciiTheme="minorEastAsia" w:hAnsiTheme="minorEastAsia" w:eastAsiaTheme="minorEastAsia" w:cstheme="minorEastAsia"/>
          <w:b/>
          <w:bCs/>
          <w:sz w:val="32"/>
          <w:szCs w:val="32"/>
        </w:rPr>
        <w:t>公共安全支出（类）检察（款）机关服务（项）</w:t>
      </w:r>
      <w:r>
        <w:rPr>
          <w:rFonts w:hint="eastAsia" w:asciiTheme="minorEastAsia" w:hAnsiTheme="minorEastAsia" w:eastAsiaTheme="minorEastAsia" w:cstheme="minorEastAsia"/>
          <w:sz w:val="32"/>
          <w:szCs w:val="32"/>
        </w:rPr>
        <w:t>66.6万元，完成预算100%。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Style w:val="20"/>
          <w:rFonts w:hint="eastAsia" w:asciiTheme="minorEastAsia" w:hAnsiTheme="minorEastAsia" w:eastAsiaTheme="minorEastAsia" w:cstheme="minorEastAsia"/>
          <w:bCs/>
          <w:sz w:val="32"/>
          <w:szCs w:val="32"/>
        </w:rPr>
        <w:t>4.</w:t>
      </w:r>
      <w:r>
        <w:rPr>
          <w:rFonts w:hint="eastAsia" w:asciiTheme="minorEastAsia" w:hAnsiTheme="minorEastAsia" w:eastAsiaTheme="minorEastAsia" w:cstheme="minorEastAsia"/>
          <w:b/>
          <w:bCs/>
          <w:sz w:val="32"/>
          <w:szCs w:val="32"/>
        </w:rPr>
        <w:t>公共安全支出（类）检察（款）检察监督（项）</w:t>
      </w:r>
      <w:r>
        <w:rPr>
          <w:rFonts w:hint="eastAsia" w:asciiTheme="minorEastAsia" w:hAnsiTheme="minorEastAsia" w:eastAsiaTheme="minorEastAsia" w:cstheme="minorEastAsia"/>
          <w:sz w:val="32"/>
          <w:szCs w:val="32"/>
        </w:rPr>
        <w:t>208.26万元，完成预算100%。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Style w:val="20"/>
          <w:rFonts w:hint="eastAsia" w:asciiTheme="minorEastAsia" w:hAnsiTheme="minorEastAsia" w:eastAsiaTheme="minorEastAsia" w:cstheme="minorEastAsia"/>
          <w:bCs/>
          <w:sz w:val="32"/>
          <w:szCs w:val="32"/>
        </w:rPr>
        <w:t>5.</w:t>
      </w:r>
      <w:r>
        <w:rPr>
          <w:rFonts w:hint="eastAsia" w:asciiTheme="minorEastAsia" w:hAnsiTheme="minorEastAsia" w:eastAsiaTheme="minorEastAsia" w:cstheme="minorEastAsia"/>
          <w:b/>
          <w:bCs/>
          <w:sz w:val="32"/>
          <w:szCs w:val="32"/>
        </w:rPr>
        <w:t>公共安全支出（类）检察（款）事业运</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行（项）</w:t>
      </w:r>
      <w:r>
        <w:rPr>
          <w:rFonts w:hint="eastAsia" w:asciiTheme="minorEastAsia" w:hAnsiTheme="minorEastAsia" w:eastAsiaTheme="minorEastAsia" w:cstheme="minorEastAsia"/>
          <w:sz w:val="32"/>
          <w:szCs w:val="32"/>
        </w:rPr>
        <w:t>193.08万元，完成预算100%。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Style w:val="20"/>
          <w:rFonts w:hint="eastAsia" w:asciiTheme="minorEastAsia" w:hAnsiTheme="minorEastAsia" w:eastAsiaTheme="minorEastAsia" w:cstheme="minorEastAsia"/>
          <w:bCs/>
          <w:sz w:val="32"/>
          <w:szCs w:val="32"/>
        </w:rPr>
        <w:t>6.</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公共安全支出（类）检察（款）其他检察支出（项）</w:t>
      </w:r>
      <w:r>
        <w:rPr>
          <w:rFonts w:hint="eastAsia" w:asciiTheme="minorEastAsia" w:hAnsiTheme="minorEastAsia" w:eastAsiaTheme="minorEastAsia" w:cstheme="minorEastAsia"/>
          <w:sz w:val="32"/>
          <w:szCs w:val="32"/>
        </w:rPr>
        <w:t>88.45万元，完成预算98.22%</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与预算基本持平。</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7.社会保障和就业支出（类）行政事业单位养老支出（款）机关事业单位基本养老保险缴费支出（项）</w:t>
      </w:r>
      <w:r>
        <w:rPr>
          <w:rFonts w:hint="eastAsia" w:asciiTheme="minorEastAsia" w:hAnsiTheme="minorEastAsia" w:eastAsiaTheme="minorEastAsia" w:cstheme="minorEastAsia"/>
          <w:sz w:val="32"/>
          <w:szCs w:val="32"/>
        </w:rPr>
        <w:t>123.26万元，完成预算100%。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8.社会保障和就业支出（类）行政事业单位养老支出（款）机关事业单位职业年金缴费支出（项）</w:t>
      </w:r>
      <w:r>
        <w:rPr>
          <w:rFonts w:hint="eastAsia" w:asciiTheme="minorEastAsia" w:hAnsiTheme="minorEastAsia" w:eastAsiaTheme="minorEastAsia" w:cstheme="minorEastAsia"/>
          <w:sz w:val="32"/>
          <w:szCs w:val="32"/>
        </w:rPr>
        <w:t>41.25万元。完成预算100%。</w:t>
      </w:r>
    </w:p>
    <w:p>
      <w:pPr>
        <w:autoSpaceDE w:val="0"/>
        <w:autoSpaceDN w:val="0"/>
        <w:adjustRightInd w:val="0"/>
        <w:spacing w:line="580" w:lineRule="exact"/>
        <w:ind w:firstLine="642"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9.卫生健康支出（类）行政事业单位医疗（款）行政单位医疗（项）：</w:t>
      </w:r>
      <w:r>
        <w:rPr>
          <w:rFonts w:hint="eastAsia" w:asciiTheme="minorEastAsia" w:hAnsiTheme="minorEastAsia" w:eastAsiaTheme="minorEastAsia" w:cstheme="minorEastAsia"/>
          <w:sz w:val="32"/>
          <w:szCs w:val="32"/>
        </w:rPr>
        <w:t>87.9万元，完成预算100%。</w:t>
      </w:r>
    </w:p>
    <w:p>
      <w:pPr>
        <w:spacing w:line="580" w:lineRule="exact"/>
        <w:ind w:firstLine="642"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10.住房保障支出（类）住房改革支出（款）住房公积金（项）</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z w:val="32"/>
          <w:szCs w:val="32"/>
        </w:rPr>
        <w:t>197.26万元，完成预算100%。</w:t>
      </w:r>
    </w:p>
    <w:p>
      <w:pPr>
        <w:tabs>
          <w:tab w:val="right" w:pos="8306"/>
        </w:tabs>
        <w:spacing w:line="600" w:lineRule="exact"/>
        <w:ind w:firstLine="640"/>
        <w:outlineLvl w:val="1"/>
        <w:rPr>
          <w:rStyle w:val="23"/>
        </w:rPr>
      </w:pPr>
      <w:bookmarkStart w:id="49" w:name="_Toc25768"/>
      <w:bookmarkStart w:id="50" w:name="_Toc15377214"/>
      <w:bookmarkStart w:id="5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3"/>
          <w:rFonts w:hint="eastAsia" w:ascii="黑体" w:hAnsi="黑体" w:eastAsia="黑体"/>
          <w:b w:val="0"/>
        </w:rPr>
        <w:t>般公共预算财政拨款基本支出决算情况说明</w:t>
      </w:r>
      <w:bookmarkEnd w:id="49"/>
      <w:bookmarkEnd w:id="50"/>
      <w:bookmarkEnd w:id="51"/>
      <w:r>
        <w:rPr>
          <w:rStyle w:val="23"/>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22年一般公共预算财政拨款基本支出3091.34万元，其中：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2760.5万元，主要包括：基本工资、津贴补贴、奖金、伙食补助费、绩效工资、机关事业单位基本养老保险缴费、职业年金缴费、职工基本医疗保险缴费、住房公积金、其他工资福利支出、抚恤金、生活补助、奖励金。</w:t>
      </w:r>
    </w:p>
    <w:p>
      <w:pPr>
        <w:spacing w:line="600" w:lineRule="exact"/>
        <w:ind w:firstLine="645"/>
        <w:rPr>
          <w:rFonts w:eastAsia="仿宋"/>
        </w:rPr>
      </w:pPr>
      <w:r>
        <w:rPr>
          <w:rFonts w:hint="eastAsia" w:ascii="仿宋" w:hAnsi="仿宋" w:eastAsia="仿宋"/>
          <w:sz w:val="32"/>
          <w:szCs w:val="32"/>
        </w:rPr>
        <w:t>公用经费330.84万元，主要包括：办公费、印刷费、咨询费、水费、电费、邮电费、差旅费、维修（护）费、会议费、培训费、公务接待费、专用材料</w:t>
      </w:r>
      <w:r>
        <w:rPr>
          <w:rFonts w:hint="eastAsia" w:ascii="仿宋" w:hAnsi="仿宋" w:eastAsia="仿宋"/>
          <w:sz w:val="32"/>
          <w:szCs w:val="32"/>
          <w:lang w:val="en-US" w:eastAsia="zh-CN"/>
        </w:rPr>
        <w:t>费</w:t>
      </w:r>
      <w:r>
        <w:rPr>
          <w:rFonts w:hint="eastAsia" w:ascii="仿宋" w:hAnsi="仿宋" w:eastAsia="仿宋"/>
          <w:sz w:val="32"/>
          <w:szCs w:val="32"/>
        </w:rPr>
        <w:t>、劳务费、委托业务费、工会经费、福利费、公务用车运行维护费、其他交通费、</w:t>
      </w:r>
      <w:r>
        <w:rPr>
          <w:rFonts w:hint="eastAsia" w:ascii="仿宋" w:hAnsi="仿宋" w:eastAsia="仿宋"/>
          <w:color w:val="auto"/>
          <w:sz w:val="32"/>
          <w:szCs w:val="32"/>
        </w:rPr>
        <w:t>其他商品和服务支出、</w:t>
      </w:r>
      <w:r>
        <w:rPr>
          <w:rFonts w:hint="eastAsia" w:ascii="仿宋" w:hAnsi="仿宋" w:eastAsia="仿宋"/>
          <w:sz w:val="32"/>
          <w:szCs w:val="32"/>
        </w:rPr>
        <w:t>办公设备购置。</w:t>
      </w:r>
    </w:p>
    <w:p>
      <w:pPr>
        <w:spacing w:line="600" w:lineRule="exact"/>
        <w:ind w:firstLine="640"/>
        <w:outlineLvl w:val="1"/>
        <w:rPr>
          <w:rStyle w:val="23"/>
          <w:rFonts w:ascii="黑体" w:hAnsi="黑体" w:eastAsia="黑体"/>
          <w:b w:val="0"/>
        </w:rPr>
      </w:pPr>
      <w:bookmarkStart w:id="52" w:name="_Toc15396609"/>
      <w:bookmarkStart w:id="53" w:name="_Toc15377215"/>
      <w:bookmarkStart w:id="54" w:name="_Toc9269"/>
      <w:r>
        <w:rPr>
          <w:rFonts w:hint="eastAsia" w:ascii="黑体" w:eastAsia="黑体"/>
          <w:sz w:val="32"/>
          <w:szCs w:val="32"/>
        </w:rPr>
        <w:t>七、</w:t>
      </w:r>
      <w:r>
        <w:rPr>
          <w:rStyle w:val="23"/>
          <w:rFonts w:hint="eastAsia" w:ascii="黑体" w:hAnsi="黑体" w:eastAsia="黑体"/>
          <w:b w:val="0"/>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0"/>
        <w:rPr>
          <w:rFonts w:ascii="仿宋" w:hAnsi="仿宋" w:eastAsia="仿宋"/>
          <w:color w:val="C00000"/>
          <w:sz w:val="32"/>
          <w:szCs w:val="32"/>
        </w:rPr>
      </w:pPr>
      <w:r>
        <w:rPr>
          <w:rFonts w:ascii="仿宋" w:hAnsi="仿宋" w:eastAsia="仿宋"/>
          <w:sz w:val="32"/>
          <w:szCs w:val="32"/>
        </w:rPr>
        <w:t>20</w:t>
      </w:r>
      <w:r>
        <w:rPr>
          <w:rFonts w:hint="eastAsia" w:ascii="仿宋" w:hAnsi="仿宋" w:eastAsia="仿宋"/>
          <w:sz w:val="32"/>
          <w:szCs w:val="32"/>
        </w:rPr>
        <w:t>22年“三公”经费财政拨款支出决算为98.59万元，完成预算99.92</w:t>
      </w:r>
      <w:r>
        <w:rPr>
          <w:rFonts w:ascii="仿宋" w:hAnsi="仿宋" w:eastAsia="仿宋"/>
          <w:sz w:val="32"/>
          <w:szCs w:val="32"/>
        </w:rPr>
        <w:t>%</w:t>
      </w:r>
      <w:r>
        <w:rPr>
          <w:rFonts w:hint="eastAsia" w:ascii="仿宋" w:hAnsi="仿宋" w:eastAsia="仿宋"/>
          <w:sz w:val="32"/>
          <w:szCs w:val="32"/>
        </w:rPr>
        <w:t>，较上年减少2.89万元，下降2.85%。决算数与预算数基本持平。</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；公务用车购置及运行维护费支出决算96.18万元，占97.49</w:t>
      </w:r>
      <w:r>
        <w:rPr>
          <w:rFonts w:ascii="仿宋" w:hAnsi="仿宋" w:eastAsia="仿宋"/>
          <w:sz w:val="32"/>
          <w:szCs w:val="32"/>
        </w:rPr>
        <w:t>%</w:t>
      </w:r>
      <w:r>
        <w:rPr>
          <w:rFonts w:hint="eastAsia" w:ascii="仿宋" w:hAnsi="仿宋" w:eastAsia="仿宋"/>
          <w:sz w:val="32"/>
          <w:szCs w:val="32"/>
        </w:rPr>
        <w:t>；公务接待费支出决算2.41万元，占2.51</w:t>
      </w:r>
      <w:r>
        <w:rPr>
          <w:rFonts w:ascii="仿宋" w:hAnsi="仿宋" w:eastAsia="仿宋"/>
          <w:sz w:val="32"/>
          <w:szCs w:val="32"/>
        </w:rPr>
        <w:t>%</w:t>
      </w:r>
      <w:r>
        <w:rPr>
          <w:rFonts w:hint="eastAsia" w:ascii="仿宋" w:hAnsi="仿宋" w:eastAsia="仿宋"/>
          <w:sz w:val="32"/>
          <w:szCs w:val="32"/>
        </w:rPr>
        <w:t>。具体情况如下：</w:t>
      </w:r>
    </w:p>
    <w:p>
      <w:pPr>
        <w:pStyle w:val="17"/>
        <w:ind w:left="0" w:leftChars="0" w:firstLine="0" w:firstLineChars="0"/>
        <w:rPr>
          <w:rFonts w:hint="eastAsia"/>
        </w:rPr>
      </w:pPr>
    </w:p>
    <w:p>
      <w:pPr>
        <w:ind w:firstLine="1995" w:firstLineChars="950"/>
        <w:rPr>
          <w:rFonts w:hint="eastAsia"/>
        </w:rPr>
      </w:pPr>
      <w:r>
        <w:rPr>
          <w:rFonts w:hint="eastAsia"/>
        </w:rPr>
        <w:drawing>
          <wp:inline distT="0" distB="0" distL="0" distR="0">
            <wp:extent cx="3086100" cy="1750695"/>
            <wp:effectExtent l="19050" t="0" r="18691" b="1438"/>
            <wp:docPr id="8"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580" w:lineRule="exact"/>
        <w:ind w:firstLine="64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2"/>
          <w:szCs w:val="32"/>
        </w:rPr>
        <w:t>1.因公出国（境）经费支出</w:t>
      </w:r>
      <w:r>
        <w:rPr>
          <w:rFonts w:hint="eastAsia" w:asciiTheme="minorEastAsia" w:hAnsiTheme="minorEastAsia" w:eastAsiaTheme="minorEastAsia" w:cstheme="minorEastAsia"/>
          <w:sz w:val="32"/>
          <w:szCs w:val="32"/>
        </w:rPr>
        <w:t>0万元，年初未安排预算。因公出国（境）支出决算较2021年无变化。</w:t>
      </w:r>
    </w:p>
    <w:p>
      <w:pPr>
        <w:spacing w:line="600" w:lineRule="exact"/>
        <w:ind w:firstLine="64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2.公务用车购置及运行维护费支出</w:t>
      </w:r>
      <w:r>
        <w:rPr>
          <w:rFonts w:hint="eastAsia" w:asciiTheme="minorEastAsia" w:hAnsiTheme="minorEastAsia" w:eastAsiaTheme="minorEastAsia" w:cstheme="minorEastAsia"/>
          <w:sz w:val="32"/>
          <w:szCs w:val="32"/>
        </w:rPr>
        <w:t>96.18万元</w:t>
      </w:r>
      <w:r>
        <w:rPr>
          <w:rFonts w:hint="eastAsia" w:asciiTheme="minorEastAsia" w:hAnsiTheme="minorEastAsia" w:eastAsiaTheme="minorEastAsia" w:cstheme="minorEastAsia"/>
          <w:sz w:val="32"/>
          <w:szCs w:val="32"/>
          <w:lang w:eastAsia="zh-CN"/>
        </w:rPr>
        <w:t>，</w:t>
      </w:r>
      <w:r>
        <w:rPr>
          <w:rStyle w:val="20"/>
          <w:rFonts w:hint="eastAsia" w:asciiTheme="minorEastAsia" w:hAnsiTheme="minorEastAsia" w:eastAsiaTheme="minorEastAsia" w:cstheme="minorEastAsia"/>
          <w:b w:val="0"/>
          <w:bCs/>
          <w:sz w:val="32"/>
          <w:szCs w:val="32"/>
        </w:rPr>
        <w:t>完成预算99.92%。</w:t>
      </w:r>
      <w:r>
        <w:rPr>
          <w:rFonts w:hint="eastAsia" w:asciiTheme="minorEastAsia" w:hAnsiTheme="minorEastAsia" w:eastAsiaTheme="minorEastAsia" w:cstheme="minorEastAsia"/>
          <w:sz w:val="32"/>
          <w:szCs w:val="32"/>
        </w:rPr>
        <w:t>公务用车购置及运行维护费支出决算比2021年减少3.05万元，下降3.07%。主要原因是我院压减公务用车出行费用，运行维护费较去年减少7.21万元。</w:t>
      </w:r>
    </w:p>
    <w:p>
      <w:pPr>
        <w:spacing w:line="600" w:lineRule="exact"/>
        <w:ind w:firstLine="64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32"/>
          <w:szCs w:val="32"/>
        </w:rPr>
        <w:t>其中：</w:t>
      </w:r>
      <w:r>
        <w:rPr>
          <w:rFonts w:hint="eastAsia" w:asciiTheme="minorEastAsia" w:hAnsiTheme="minorEastAsia" w:eastAsiaTheme="minorEastAsia" w:cstheme="minorEastAsia"/>
          <w:b/>
          <w:sz w:val="32"/>
          <w:szCs w:val="32"/>
        </w:rPr>
        <w:t>公务用车购置支出</w:t>
      </w:r>
      <w:r>
        <w:rPr>
          <w:rFonts w:hint="eastAsia" w:asciiTheme="minorEastAsia" w:hAnsiTheme="minorEastAsia" w:eastAsiaTheme="minorEastAsia" w:cstheme="minorEastAsia"/>
          <w:sz w:val="32"/>
          <w:szCs w:val="32"/>
        </w:rPr>
        <w:t>49.92万元。全年按规定更新购置公务用车2辆，其中：轿车2辆、金额49.92万元，主要用于开展调查取证等工作。截至2022年12月底，单位共有公务用车15辆，轿车10辆、越野车4辆、小型载客汽车1辆。</w:t>
      </w:r>
    </w:p>
    <w:p>
      <w:pPr>
        <w:spacing w:line="600" w:lineRule="exact"/>
        <w:ind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公务用车运行维护费支出</w:t>
      </w:r>
      <w:r>
        <w:rPr>
          <w:rFonts w:hint="eastAsia" w:asciiTheme="minorEastAsia" w:hAnsiTheme="minorEastAsia" w:eastAsiaTheme="minorEastAsia" w:cstheme="minorEastAsia"/>
          <w:sz w:val="32"/>
          <w:szCs w:val="32"/>
        </w:rPr>
        <w:t>46.26万元。主要用于公益诉讼案件等各类案件调查取证、开展扶贫等工作所需的公务用车燃料费、维修费、过路过桥费、保险费等支出。</w:t>
      </w:r>
    </w:p>
    <w:p>
      <w:pPr>
        <w:spacing w:line="600" w:lineRule="exact"/>
        <w:ind w:firstLine="64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3.公务接待费支出</w:t>
      </w:r>
      <w:r>
        <w:rPr>
          <w:rFonts w:hint="eastAsia" w:asciiTheme="minorEastAsia" w:hAnsiTheme="minorEastAsia" w:eastAsiaTheme="minorEastAsia" w:cstheme="minorEastAsia"/>
          <w:sz w:val="32"/>
          <w:szCs w:val="32"/>
        </w:rPr>
        <w:t>2.41万元，</w:t>
      </w:r>
      <w:r>
        <w:rPr>
          <w:rStyle w:val="20"/>
          <w:rFonts w:hint="eastAsia" w:asciiTheme="minorEastAsia" w:hAnsiTheme="minorEastAsia" w:eastAsiaTheme="minorEastAsia" w:cstheme="minorEastAsia"/>
          <w:b w:val="0"/>
          <w:bCs/>
          <w:sz w:val="32"/>
          <w:szCs w:val="32"/>
        </w:rPr>
        <w:t>完成预算100%。</w:t>
      </w:r>
      <w:r>
        <w:rPr>
          <w:rFonts w:hint="eastAsia" w:asciiTheme="minorEastAsia" w:hAnsiTheme="minorEastAsia" w:eastAsiaTheme="minorEastAsia" w:cstheme="minorEastAsia"/>
          <w:sz w:val="32"/>
          <w:szCs w:val="32"/>
        </w:rPr>
        <w:t>公务接待费支出决算比2021年增加0.16万元，增长7.11%。主要原因是2022年接待工作开展比上年多。其中：</w:t>
      </w:r>
    </w:p>
    <w:p>
      <w:pPr>
        <w:spacing w:line="580" w:lineRule="exact"/>
        <w:ind w:firstLine="642" w:firstLineChars="200"/>
        <w:rPr>
          <w:rFonts w:hint="eastAsia" w:asciiTheme="minorEastAsia" w:hAnsiTheme="minorEastAsia" w:eastAsiaTheme="minorEastAsia" w:cstheme="minorEastAsia"/>
          <w:color w:val="C00000"/>
          <w:sz w:val="32"/>
          <w:szCs w:val="32"/>
          <w:highlight w:val="yellow"/>
        </w:rPr>
      </w:pPr>
      <w:r>
        <w:rPr>
          <w:rFonts w:hint="eastAsia" w:asciiTheme="minorEastAsia" w:hAnsiTheme="minorEastAsia" w:eastAsiaTheme="minorEastAsia" w:cstheme="minorEastAsia"/>
          <w:b/>
          <w:sz w:val="32"/>
          <w:szCs w:val="32"/>
        </w:rPr>
        <w:t>国内公务接待支出</w:t>
      </w:r>
      <w:r>
        <w:rPr>
          <w:rFonts w:hint="eastAsia" w:asciiTheme="minorEastAsia" w:hAnsiTheme="minorEastAsia" w:eastAsiaTheme="minorEastAsia" w:cstheme="minorEastAsia"/>
          <w:sz w:val="32"/>
          <w:szCs w:val="32"/>
        </w:rPr>
        <w:t>2.41万元，主要用于执行公务、接待上级机关检查、指导工作和其他地、市、州院来我院考察调研所需的交通费、住宿费、用餐费等。国内公务接待23批次，222人次（不包括陪同人员），共计支出2.41万元，具体内容包括</w:t>
      </w:r>
      <w:r>
        <w:rPr>
          <w:rFonts w:hint="eastAsia" w:asciiTheme="minorEastAsia" w:hAnsiTheme="minorEastAsia" w:eastAsiaTheme="minorEastAsia" w:cstheme="minorEastAsia"/>
          <w:bCs/>
          <w:sz w:val="32"/>
          <w:szCs w:val="32"/>
          <w:highlight w:val="none"/>
        </w:rPr>
        <w:t>分级保护项目验收测评接待费</w:t>
      </w:r>
      <w:r>
        <w:rPr>
          <w:rFonts w:hint="default" w:asciiTheme="minorEastAsia" w:hAnsiTheme="minorEastAsia" w:eastAsiaTheme="minorEastAsia" w:cstheme="minorEastAsia"/>
          <w:bCs/>
          <w:sz w:val="32"/>
          <w:szCs w:val="32"/>
          <w:highlight w:val="none"/>
        </w:rPr>
        <w:t>0.3万</w:t>
      </w:r>
      <w:r>
        <w:rPr>
          <w:rFonts w:hint="eastAsia" w:asciiTheme="minorEastAsia" w:hAnsiTheme="minorEastAsia" w:eastAsiaTheme="minorEastAsia" w:cstheme="minorEastAsia"/>
          <w:bCs/>
          <w:sz w:val="32"/>
          <w:szCs w:val="32"/>
          <w:highlight w:val="none"/>
        </w:rPr>
        <w:t>元、昭觉检察院考察接待费</w:t>
      </w:r>
      <w:r>
        <w:rPr>
          <w:rFonts w:hint="default" w:asciiTheme="minorEastAsia" w:hAnsiTheme="minorEastAsia" w:eastAsiaTheme="minorEastAsia" w:cstheme="minorEastAsia"/>
          <w:bCs/>
          <w:sz w:val="32"/>
          <w:szCs w:val="32"/>
          <w:highlight w:val="none"/>
        </w:rPr>
        <w:t>0.05万</w:t>
      </w:r>
      <w:r>
        <w:rPr>
          <w:rFonts w:hint="eastAsia" w:asciiTheme="minorEastAsia" w:hAnsiTheme="minorEastAsia" w:eastAsiaTheme="minorEastAsia" w:cstheme="minorEastAsia"/>
          <w:bCs/>
          <w:sz w:val="32"/>
          <w:szCs w:val="32"/>
          <w:highlight w:val="none"/>
        </w:rPr>
        <w:t>元，</w:t>
      </w:r>
      <w:r>
        <w:rPr>
          <w:rFonts w:hint="eastAsia" w:asciiTheme="minorEastAsia" w:hAnsiTheme="minorEastAsia" w:eastAsiaTheme="minorEastAsia" w:cstheme="minorEastAsia"/>
          <w:sz w:val="32"/>
          <w:szCs w:val="32"/>
          <w:highlight w:val="none"/>
        </w:rPr>
        <w:t>多次接待省检察院考察费合计</w:t>
      </w:r>
      <w:r>
        <w:rPr>
          <w:rFonts w:hint="default" w:asciiTheme="minorEastAsia" w:hAnsiTheme="minorEastAsia" w:eastAsiaTheme="minorEastAsia" w:cstheme="minorEastAsia"/>
          <w:sz w:val="32"/>
          <w:szCs w:val="32"/>
          <w:highlight w:val="none"/>
        </w:rPr>
        <w:t>2.06万</w:t>
      </w:r>
      <w:r>
        <w:rPr>
          <w:rFonts w:hint="eastAsia" w:asciiTheme="minorEastAsia" w:hAnsiTheme="minorEastAsia" w:eastAsiaTheme="minorEastAsia" w:cstheme="minorEastAsia"/>
          <w:sz w:val="32"/>
          <w:szCs w:val="32"/>
          <w:highlight w:val="none"/>
        </w:rPr>
        <w:t>元。</w:t>
      </w:r>
    </w:p>
    <w:p>
      <w:pPr>
        <w:spacing w:line="580" w:lineRule="exact"/>
        <w:ind w:firstLine="64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2"/>
          <w:szCs w:val="32"/>
        </w:rPr>
        <w:t>外事接待支出</w:t>
      </w:r>
      <w:r>
        <w:rPr>
          <w:rFonts w:hint="eastAsia" w:asciiTheme="minorEastAsia" w:hAnsiTheme="minorEastAsia" w:eastAsiaTheme="minorEastAsia" w:cstheme="minorEastAsia"/>
          <w:sz w:val="32"/>
          <w:szCs w:val="32"/>
        </w:rPr>
        <w:t>0万元，年初未安排预算。</w:t>
      </w:r>
      <w:bookmarkStart w:id="57" w:name="_Toc15396610"/>
      <w:bookmarkStart w:id="58" w:name="_Toc15377218"/>
    </w:p>
    <w:p>
      <w:pPr>
        <w:spacing w:line="600" w:lineRule="exact"/>
        <w:ind w:firstLine="640"/>
        <w:outlineLvl w:val="1"/>
        <w:rPr>
          <w:rStyle w:val="23"/>
          <w:rFonts w:ascii="黑体" w:hAnsi="黑体" w:eastAsia="黑体"/>
        </w:rPr>
      </w:pPr>
      <w:bookmarkStart w:id="59" w:name="_Toc17518"/>
      <w:r>
        <w:rPr>
          <w:rFonts w:hint="eastAsia" w:ascii="黑体" w:eastAsia="黑体"/>
          <w:sz w:val="32"/>
          <w:szCs w:val="32"/>
        </w:rPr>
        <w:t>八、</w:t>
      </w:r>
      <w:r>
        <w:rPr>
          <w:rStyle w:val="23"/>
          <w:rFonts w:hint="eastAsia" w:ascii="黑体" w:hAnsi="黑体" w:eastAsia="黑体"/>
          <w:b w:val="0"/>
        </w:rPr>
        <w:t>政府性基金预算支出决算情况说明</w:t>
      </w:r>
      <w:bookmarkEnd w:id="57"/>
      <w:bookmarkEnd w:id="58"/>
      <w:bookmarkEnd w:id="59"/>
    </w:p>
    <w:p>
      <w:pPr>
        <w:spacing w:line="600" w:lineRule="exact"/>
        <w:ind w:firstLine="640"/>
      </w:pPr>
      <w:r>
        <w:rPr>
          <w:rFonts w:hint="eastAsia" w:asciiTheme="minorEastAsia" w:hAnsiTheme="minorEastAsia" w:eastAsiaTheme="minorEastAsia" w:cstheme="minorEastAsia"/>
          <w:sz w:val="32"/>
          <w:szCs w:val="32"/>
        </w:rPr>
        <w:t>2022年政府性基金预算财政拨款支出0万元。</w:t>
      </w:r>
    </w:p>
    <w:p>
      <w:pPr>
        <w:numPr>
          <w:ilvl w:val="0"/>
          <w:numId w:val="3"/>
        </w:numPr>
        <w:spacing w:line="600" w:lineRule="exact"/>
        <w:ind w:firstLine="640"/>
        <w:outlineLvl w:val="1"/>
        <w:rPr>
          <w:rStyle w:val="23"/>
          <w:rFonts w:ascii="黑体" w:hAnsi="黑体" w:eastAsia="黑体"/>
          <w:b w:val="0"/>
        </w:rPr>
      </w:pPr>
      <w:bookmarkStart w:id="60" w:name="_Toc15377219"/>
      <w:bookmarkStart w:id="61" w:name="_Toc15396611"/>
      <w:bookmarkStart w:id="62" w:name="_Toc20240"/>
      <w:r>
        <w:rPr>
          <w:rStyle w:val="23"/>
          <w:rFonts w:hint="eastAsia" w:ascii="黑体" w:hAnsi="黑体" w:eastAsia="黑体"/>
          <w:b w:val="0"/>
        </w:rPr>
        <w:t>国有资本经营预算支出决算情况说明</w:t>
      </w:r>
      <w:bookmarkEnd w:id="60"/>
      <w:bookmarkEnd w:id="61"/>
      <w:bookmarkEnd w:id="62"/>
    </w:p>
    <w:p>
      <w:pPr>
        <w:spacing w:line="600" w:lineRule="exact"/>
        <w:ind w:firstLine="640"/>
      </w:pPr>
      <w:r>
        <w:rPr>
          <w:rFonts w:hint="eastAsia" w:ascii="宋体" w:hAnsi="宋体" w:eastAsia="宋体" w:cs="宋体"/>
          <w:sz w:val="32"/>
          <w:szCs w:val="32"/>
        </w:rPr>
        <w:t>2022年国有资本经营预算财政拨款支出0万元。</w:t>
      </w:r>
    </w:p>
    <w:p>
      <w:pPr>
        <w:spacing w:line="600" w:lineRule="exact"/>
        <w:ind w:firstLine="640" w:firstLineChars="200"/>
        <w:outlineLvl w:val="1"/>
      </w:pPr>
      <w:bookmarkStart w:id="63" w:name="_Toc15377221"/>
      <w:bookmarkStart w:id="64" w:name="_Toc15396612"/>
      <w:bookmarkStart w:id="65" w:name="_Toc5494"/>
      <w:r>
        <w:rPr>
          <w:rStyle w:val="23"/>
          <w:rFonts w:hint="eastAsia" w:ascii="黑体" w:hAnsi="黑体" w:eastAsia="黑体"/>
          <w:b w:val="0"/>
        </w:rPr>
        <w:t>十、其他重要事项的情况说明</w:t>
      </w:r>
      <w:bookmarkEnd w:id="63"/>
      <w:bookmarkEnd w:id="64"/>
      <w:bookmarkEnd w:id="65"/>
    </w:p>
    <w:p>
      <w:pPr>
        <w:spacing w:line="600" w:lineRule="exact"/>
        <w:ind w:firstLine="642"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pPr>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2022年，广元市人民检察院机关运行经费支出330.84万元，比2021年（416.98）减少86.14万元，下降20.66%。主要原因是我院积极响应过紧日子的号召</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大力压减各项开支。</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2022年，广元市人民检察院政府采购支出总额116.52万元，其中：政府采购货物支出49.92万元、政府采购服务支出66.6万元。主要用于购买执法执勤用车2辆49.92万元、物业管理服务费66.6万元。授予中小企业合同金额116.52万元，占政府采购支出总额的100%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pPr>
        <w:spacing w:line="57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截至2022年12月31日，广元市人民检察院共有车辆15辆，其中：一般执法执勤用车10辆、特种专业技术用车5辆。</w:t>
      </w:r>
    </w:p>
    <w:p>
      <w:pPr>
        <w:autoSpaceDE w:val="0"/>
        <w:autoSpaceDN w:val="0"/>
        <w:adjustRightInd w:val="0"/>
        <w:spacing w:line="60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单价100万元以上专用设备0台（套）。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宋体" w:hAnsi="宋体" w:eastAsia="宋体" w:cs="宋体"/>
          <w:sz w:val="32"/>
          <w:szCs w:val="32"/>
        </w:rPr>
      </w:pPr>
      <w:r>
        <w:rPr>
          <w:rFonts w:hint="eastAsia" w:ascii="宋体" w:hAnsi="宋体" w:eastAsia="宋体" w:cs="宋体"/>
          <w:sz w:val="32"/>
          <w:szCs w:val="32"/>
        </w:rPr>
        <w:t>根据预算绩效管理要求，本部门在2022年度预算编制阶段，对9个项目编制了绩效目标，预算执行过程中，选取9个项目开展绩效监控。</w:t>
      </w:r>
    </w:p>
    <w:p>
      <w:pPr>
        <w:spacing w:line="560" w:lineRule="exact"/>
        <w:ind w:firstLine="640" w:firstLineChars="200"/>
        <w:rPr>
          <w:rFonts w:hint="eastAsia" w:ascii="宋体" w:hAnsi="宋体" w:eastAsia="宋体" w:cs="宋体"/>
          <w:sz w:val="32"/>
          <w:szCs w:val="32"/>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宋体" w:hAnsi="宋体" w:eastAsia="宋体" w:cs="宋体"/>
          <w:sz w:val="32"/>
          <w:szCs w:val="32"/>
        </w:rPr>
        <w:t>组织对2022年度一般公共预算资金等全面开展绩效自评，形成广元市人民检察院部门整体（含部门预算项目）绩效自评报告、一体化网络建设等专项预算项目绩效自评报告，其中，广元市人民检察院部门整体（含部门预算项目）绩效自评得分为95.78分，绩效自评综述：2022年，我院围绕大局、服务中心，履职尽责，为全市经济社会发展提供了有力司法保障，部门整体预算绩效总体良好，自评为95.78分；一体化网络建设专项预算项目绩效自评得分为94分，绩效自评综述：2022年，我院围绕大局、服务中心，履职尽责，加快一体化网络建设项目进度多次召开部门会议，严格执行采购招标流程，该项目分为二期，一期涉密，二期又分公开和涉密，项目建设工程量大，前期在绩效目标设置时对设备购置的数量预判不准确，实际并未采购预设数量的设备，但项目部门整体预算绩效总体良好，自评为94分。分级保护项目专项预算项目自评得分为94分，绩效自评综述：2022年，我院围绕大局、服务中心，履职尽责，加快分级保护项目进度多次召开部门会议，严格执行涉密采购流程，但由于项目建设工程量大，时间统筹推进不力，项目完成时间与预期相比滞后1个月。但项目部门整体预算绩效总体良好，自评为98分。绩效自评报告详见附件。</w:t>
      </w:r>
    </w:p>
    <w:p>
      <w:pPr>
        <w:pStyle w:val="17"/>
        <w:ind w:left="0" w:leftChars="0" w:firstLine="0" w:firstLineChars="0"/>
      </w:pPr>
    </w:p>
    <w:p>
      <w:pPr>
        <w:numPr>
          <w:ilvl w:val="0"/>
          <w:numId w:val="4"/>
        </w:numPr>
        <w:spacing w:line="600" w:lineRule="exact"/>
        <w:ind w:firstLine="660" w:firstLineChars="150"/>
        <w:jc w:val="center"/>
        <w:outlineLvl w:val="0"/>
        <w:rPr>
          <w:rStyle w:val="22"/>
          <w:rFonts w:ascii="黑体" w:hAnsi="黑体" w:eastAsia="黑体"/>
          <w:b w:val="0"/>
        </w:rPr>
      </w:pPr>
      <w:bookmarkStart w:id="69" w:name="_Toc15377225"/>
      <w:bookmarkStart w:id="70" w:name="_Toc15396613"/>
      <w:bookmarkStart w:id="71" w:name="_Toc22225"/>
      <w:r>
        <w:rPr>
          <w:rFonts w:hint="eastAsia" w:ascii="黑体" w:hAnsi="黑体" w:eastAsia="黑体"/>
          <w:sz w:val="44"/>
          <w:szCs w:val="44"/>
        </w:rPr>
        <w:t>名</w:t>
      </w:r>
      <w:r>
        <w:rPr>
          <w:rStyle w:val="22"/>
          <w:rFonts w:hint="eastAsia" w:ascii="黑体" w:hAnsi="黑体" w:eastAsia="黑体"/>
          <w:b w:val="0"/>
        </w:rPr>
        <w:t>词解释</w:t>
      </w:r>
      <w:bookmarkEnd w:id="69"/>
      <w:bookmarkEnd w:id="70"/>
      <w:bookmarkEnd w:id="71"/>
    </w:p>
    <w:p>
      <w:pPr>
        <w:spacing w:line="600" w:lineRule="exact"/>
        <w:jc w:val="left"/>
        <w:rPr>
          <w:rFonts w:ascii="宋体"/>
          <w:b/>
          <w:sz w:val="44"/>
          <w:szCs w:val="44"/>
        </w:rPr>
      </w:pPr>
    </w:p>
    <w:p>
      <w:pPr>
        <w:pStyle w:val="32"/>
        <w:numPr>
          <w:ilvl w:val="0"/>
          <w:numId w:val="5"/>
        </w:numPr>
        <w:spacing w:line="560" w:lineRule="exact"/>
        <w:ind w:left="0" w:leftChars="0" w:firstLine="400" w:firstLineChars="0"/>
        <w:outlineLvl w:val="1"/>
        <w:rPr>
          <w:rFonts w:hint="eastAsia" w:ascii="宋体" w:hAnsi="宋体" w:eastAsia="宋体" w:cs="宋体"/>
          <w:color w:val="auto"/>
          <w:sz w:val="32"/>
          <w:szCs w:val="32"/>
        </w:rPr>
      </w:pPr>
      <w:bookmarkStart w:id="72" w:name="_Toc16069"/>
      <w:r>
        <w:rPr>
          <w:rFonts w:hint="eastAsia" w:ascii="宋体" w:hAnsi="宋体" w:eastAsia="宋体" w:cs="宋体"/>
          <w:color w:val="auto"/>
          <w:sz w:val="32"/>
          <w:szCs w:val="32"/>
        </w:rPr>
        <w:t>财政拨款收入：指单位从同级财政部门取得的财政预算资金。</w:t>
      </w:r>
      <w:bookmarkEnd w:id="72"/>
    </w:p>
    <w:p>
      <w:pPr>
        <w:pStyle w:val="32"/>
        <w:numPr>
          <w:ilvl w:val="0"/>
          <w:numId w:val="5"/>
        </w:numPr>
        <w:spacing w:line="56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其他收入：指单位取得的除上述收入以外的各项收入。主要是</w:t>
      </w:r>
      <w:r>
        <w:rPr>
          <w:rFonts w:hint="eastAsia" w:ascii="宋体" w:hAnsi="宋体" w:eastAsia="宋体" w:cs="宋体"/>
          <w:color w:val="auto"/>
          <w:sz w:val="32"/>
          <w:szCs w:val="32"/>
          <w:lang w:eastAsia="zh-CN"/>
        </w:rPr>
        <w:t>市直机关返拨的党费</w:t>
      </w:r>
      <w:r>
        <w:rPr>
          <w:rFonts w:hint="eastAsia" w:ascii="宋体" w:hAnsi="宋体" w:eastAsia="宋体" w:cs="宋体"/>
          <w:color w:val="auto"/>
          <w:sz w:val="32"/>
          <w:szCs w:val="32"/>
        </w:rPr>
        <w:t>等。</w:t>
      </w:r>
    </w:p>
    <w:p>
      <w:pPr>
        <w:pStyle w:val="32"/>
        <w:numPr>
          <w:ilvl w:val="0"/>
          <w:numId w:val="5"/>
        </w:numPr>
        <w:spacing w:line="56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年初结转和结余：指以前年度尚未完成、结转到本年按有关规定继续使用的资金。</w:t>
      </w:r>
    </w:p>
    <w:p>
      <w:pPr>
        <w:pStyle w:val="32"/>
        <w:numPr>
          <w:ilvl w:val="0"/>
          <w:numId w:val="5"/>
        </w:numPr>
        <w:spacing w:line="56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年末结转和结余：指单位按有关规定结转到下年或以后年度继续使用的资金。</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公共安全支出（类）检察（款）行政运行（项）</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反映检察机关单位基本支出。</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公共安全支出（类）检察（款）一般行政管理事务（项）</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反映检察机关未单独设置项级科目的其他项目支出。</w:t>
      </w:r>
    </w:p>
    <w:p>
      <w:pPr>
        <w:pStyle w:val="32"/>
        <w:numPr>
          <w:ilvl w:val="0"/>
          <w:numId w:val="5"/>
        </w:numPr>
        <w:spacing w:line="580" w:lineRule="exact"/>
        <w:ind w:left="0" w:leftChars="0" w:firstLine="400" w:firstLineChars="0"/>
        <w:jc w:val="both"/>
        <w:rPr>
          <w:rFonts w:hint="eastAsia" w:ascii="宋体" w:hAnsi="宋体" w:eastAsia="宋体" w:cs="宋体"/>
          <w:color w:val="auto"/>
          <w:sz w:val="32"/>
          <w:szCs w:val="32"/>
        </w:rPr>
      </w:pPr>
      <w:r>
        <w:rPr>
          <w:rFonts w:hint="eastAsia" w:ascii="宋体" w:hAnsi="宋体" w:eastAsia="宋体" w:cs="宋体"/>
          <w:color w:val="auto"/>
          <w:sz w:val="32"/>
          <w:szCs w:val="32"/>
        </w:rPr>
        <w:t>公共安全支出（类）检察（款）机关服务（项）：反映为检察机关提供各类后勤服务中心等附属事业单位的支出。</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公共安全支出（类）检察（款）检察监督（项）：反映检察机关依法开展法律监督工作的支出，包括侦察监督、公诉、审判监督、执行监督、民事行政监督、公益诉讼、控告申诉等。</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公共安全支出（类）检察（款）事业运行（项）：指为保障机构正常运转、完成日常工作任务而发生的事业人员工资支出。</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公共安全支出（类）检察（款）其他检察支出（项）：反映除上述项目以外其他用于检察方面的支出。</w:t>
      </w:r>
    </w:p>
    <w:p>
      <w:pPr>
        <w:pStyle w:val="32"/>
        <w:numPr>
          <w:ilvl w:val="0"/>
          <w:numId w:val="5"/>
        </w:numPr>
        <w:spacing w:line="580" w:lineRule="exact"/>
        <w:ind w:left="0" w:leftChars="0" w:firstLine="400" w:firstLineChars="0"/>
        <w:jc w:val="both"/>
        <w:rPr>
          <w:rFonts w:hint="eastAsia" w:ascii="宋体" w:hAnsi="宋体" w:eastAsia="宋体" w:cs="宋体"/>
          <w:color w:val="auto"/>
          <w:sz w:val="32"/>
          <w:szCs w:val="32"/>
        </w:rPr>
      </w:pPr>
      <w:r>
        <w:rPr>
          <w:rFonts w:hint="eastAsia" w:ascii="宋体" w:hAnsi="宋体" w:eastAsia="宋体" w:cs="宋体"/>
          <w:color w:val="auto"/>
          <w:sz w:val="32"/>
          <w:szCs w:val="32"/>
        </w:rPr>
        <w:t>社会保障和就业支出（类）行政事业单位养老支出（款）机关事业单位基本养老保险缴费支出（项）：反映机关事业单位实施养老保险制度由单位实际缴纳的基本养老保险费支出。</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社会保障和就业支出（类）行政事业单位养老支出（款）机关事业单位职业年金缴费支出（项）：反映机关事业单位实施养老保险制度由单位实际缴纳的职业年金支出。</w:t>
      </w:r>
    </w:p>
    <w:p>
      <w:pPr>
        <w:pStyle w:val="32"/>
        <w:numPr>
          <w:ilvl w:val="0"/>
          <w:numId w:val="5"/>
        </w:numPr>
        <w:spacing w:line="58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卫生健康支出（类）行政事业单位医疗（款）行政单位医疗（项）</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rPr>
        <w:t>反映财政部门集中安排的行政单位基本医疗保险缴费经费，未参加医疗保险的行政单位的公费医疗费，按国家规定享受离休人员、红军老战士待遇人员的医疗经费。</w:t>
      </w:r>
    </w:p>
    <w:p>
      <w:pPr>
        <w:pStyle w:val="32"/>
        <w:numPr>
          <w:ilvl w:val="0"/>
          <w:numId w:val="5"/>
        </w:numPr>
        <w:spacing w:line="580" w:lineRule="exact"/>
        <w:ind w:left="0" w:leftChars="0" w:firstLine="400" w:firstLineChars="0"/>
        <w:jc w:val="both"/>
        <w:rPr>
          <w:rFonts w:hint="eastAsia" w:ascii="宋体" w:hAnsi="宋体" w:eastAsia="宋体" w:cs="宋体"/>
          <w:color w:val="auto"/>
          <w:sz w:val="32"/>
          <w:szCs w:val="32"/>
        </w:rPr>
      </w:pPr>
      <w:r>
        <w:rPr>
          <w:rFonts w:hint="eastAsia" w:ascii="宋体" w:hAnsi="宋体" w:eastAsia="宋体" w:cs="宋体"/>
          <w:color w:val="auto"/>
          <w:sz w:val="32"/>
          <w:szCs w:val="32"/>
        </w:rPr>
        <w:t>住房保障支出（类）住房改革支出（款）住房公积金（项）：反映单位按人力资源和社会保障部、财政部规定的基本工资和津贴补贴以及规定比例为职工缴纳的住房公积金。</w:t>
      </w:r>
    </w:p>
    <w:p>
      <w:pPr>
        <w:numPr>
          <w:ilvl w:val="0"/>
          <w:numId w:val="5"/>
        </w:numPr>
        <w:ind w:left="0" w:leftChars="0" w:firstLine="400" w:firstLineChars="0"/>
        <w:rPr>
          <w:rFonts w:hint="eastAsia" w:ascii="宋体" w:hAnsi="宋体" w:eastAsia="宋体" w:cs="宋体"/>
          <w:sz w:val="32"/>
          <w:szCs w:val="32"/>
        </w:rPr>
      </w:pPr>
      <w:r>
        <w:rPr>
          <w:rFonts w:hint="eastAsia" w:ascii="宋体" w:hAnsi="宋体" w:eastAsia="宋体" w:cs="宋体"/>
          <w:sz w:val="32"/>
          <w:szCs w:val="32"/>
        </w:rPr>
        <w:t>基本支出：指为保障机构正常运转、完成日常工作任务而发生的人员支出和公用支出。</w:t>
      </w:r>
    </w:p>
    <w:p>
      <w:pPr>
        <w:numPr>
          <w:ilvl w:val="0"/>
          <w:numId w:val="5"/>
        </w:numPr>
        <w:ind w:left="0" w:leftChars="0" w:firstLine="400" w:firstLineChars="0"/>
        <w:rPr>
          <w:rFonts w:hint="eastAsia" w:ascii="宋体" w:hAnsi="宋体" w:eastAsia="宋体" w:cs="宋体"/>
          <w:sz w:val="32"/>
          <w:szCs w:val="32"/>
        </w:rPr>
      </w:pPr>
      <w:r>
        <w:rPr>
          <w:rFonts w:hint="eastAsia" w:ascii="宋体" w:hAnsi="宋体" w:eastAsia="宋体" w:cs="宋体"/>
          <w:sz w:val="32"/>
          <w:szCs w:val="32"/>
        </w:rPr>
        <w:t>项目支出：指在基本支出之外为完成特定行政任务和事业发展目标所发生的支出。</w:t>
      </w:r>
    </w:p>
    <w:p>
      <w:pPr>
        <w:pStyle w:val="32"/>
        <w:numPr>
          <w:ilvl w:val="0"/>
          <w:numId w:val="5"/>
        </w:numPr>
        <w:spacing w:line="560" w:lineRule="exact"/>
        <w:ind w:left="0" w:leftChars="0" w:firstLine="400" w:firstLineChars="0"/>
        <w:rPr>
          <w:rFonts w:hint="eastAsia" w:ascii="宋体" w:hAnsi="宋体" w:eastAsia="宋体" w:cs="宋体"/>
          <w:color w:val="auto"/>
          <w:sz w:val="32"/>
          <w:szCs w:val="32"/>
        </w:rPr>
      </w:pPr>
      <w:r>
        <w:rPr>
          <w:rFonts w:hint="eastAsia" w:ascii="宋体" w:hAnsi="宋体" w:eastAsia="宋体" w:cs="宋体"/>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pStyle w:val="32"/>
        <w:numPr>
          <w:ilvl w:val="0"/>
          <w:numId w:val="5"/>
        </w:numPr>
        <w:spacing w:line="580" w:lineRule="exact"/>
        <w:ind w:left="0" w:leftChars="0" w:firstLine="400" w:firstLineChars="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机关运行经费：为保障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32"/>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2"/>
          <w:rFonts w:ascii="黑体" w:hAnsi="黑体" w:eastAsia="黑体"/>
          <w:b w:val="0"/>
        </w:rPr>
      </w:pPr>
      <w:bookmarkStart w:id="73" w:name="_Toc15377226"/>
      <w:r>
        <w:rPr>
          <w:rFonts w:ascii="宋体"/>
          <w:b/>
          <w:sz w:val="44"/>
          <w:szCs w:val="44"/>
        </w:rPr>
        <w:br w:type="page"/>
      </w:r>
      <w:bookmarkStart w:id="74" w:name="_Toc1487"/>
      <w:bookmarkStart w:id="75" w:name="_Toc15396614"/>
      <w:r>
        <w:rPr>
          <w:rFonts w:hint="eastAsia" w:ascii="黑体" w:hAnsi="黑体" w:eastAsia="黑体"/>
          <w:sz w:val="44"/>
          <w:szCs w:val="44"/>
        </w:rPr>
        <w:t>第</w:t>
      </w:r>
      <w:r>
        <w:rPr>
          <w:rStyle w:val="22"/>
          <w:rFonts w:hint="eastAsia" w:ascii="黑体" w:hAnsi="黑体" w:eastAsia="黑体"/>
          <w:b w:val="0"/>
        </w:rPr>
        <w:t>四部分附件</w:t>
      </w:r>
      <w:bookmarkEnd w:id="74"/>
      <w:bookmarkEnd w:id="75"/>
    </w:p>
    <w:p>
      <w:pPr>
        <w:spacing w:line="572" w:lineRule="exact"/>
        <w:jc w:val="left"/>
        <w:outlineLvl w:val="1"/>
        <w:rPr>
          <w:rFonts w:ascii="方正小标宋简体" w:hAnsi="方正小标宋简体" w:eastAsia="方正小标宋简体" w:cs="方正小标宋简体"/>
          <w:sz w:val="44"/>
          <w:szCs w:val="44"/>
        </w:rPr>
      </w:pPr>
      <w:bookmarkStart w:id="76" w:name="_Toc27445"/>
      <w:r>
        <w:rPr>
          <w:rFonts w:hint="eastAsia" w:ascii="黑体" w:hAnsi="黑体" w:eastAsia="黑体" w:cs="黑体"/>
          <w:sz w:val="32"/>
          <w:szCs w:val="32"/>
        </w:rPr>
        <w:t>附件</w:t>
      </w:r>
      <w:bookmarkEnd w:id="76"/>
    </w:p>
    <w:p>
      <w:pPr>
        <w:widowControl/>
        <w:spacing w:line="560" w:lineRule="exact"/>
        <w:contextualSpacing/>
        <w:jc w:val="center"/>
        <w:rPr>
          <w:rFonts w:ascii="方正小标宋简体" w:hAnsi="方正小标宋简体" w:eastAsia="方正小标宋简体" w:cs="方正小标宋简体"/>
          <w:bCs/>
          <w:sz w:val="36"/>
          <w:szCs w:val="36"/>
          <w:shd w:val="clear" w:color="auto" w:fill="FFFFFF"/>
        </w:rPr>
      </w:pPr>
      <w:r>
        <w:rPr>
          <w:rFonts w:hint="eastAsia" w:ascii="方正小标宋简体" w:hAnsi="方正小标宋简体" w:eastAsia="方正小标宋简体" w:cs="方正小标宋简体"/>
          <w:bCs/>
          <w:sz w:val="36"/>
          <w:szCs w:val="36"/>
          <w:shd w:val="clear" w:color="auto" w:fill="FFFFFF"/>
        </w:rPr>
        <w:t>2022年广元市人民检察院</w:t>
      </w:r>
    </w:p>
    <w:p>
      <w:pPr>
        <w:widowControl/>
        <w:spacing w:line="560" w:lineRule="exact"/>
        <w:contextualSpacing/>
        <w:jc w:val="center"/>
        <w:rPr>
          <w:rFonts w:ascii="方正小标宋简体" w:hAnsi="方正小标宋简体" w:eastAsia="方正小标宋简体" w:cs="方正小标宋简体"/>
          <w:bCs/>
          <w:sz w:val="36"/>
          <w:szCs w:val="36"/>
          <w:shd w:val="clear" w:color="auto" w:fill="FFFFFF"/>
        </w:rPr>
      </w:pPr>
      <w:r>
        <w:rPr>
          <w:rFonts w:hint="eastAsia" w:ascii="方正小标宋简体" w:hAnsi="方正小标宋简体" w:eastAsia="方正小标宋简体" w:cs="方正小标宋简体"/>
          <w:bCs/>
          <w:sz w:val="36"/>
          <w:szCs w:val="36"/>
          <w:shd w:val="clear" w:color="auto" w:fill="FFFFFF"/>
        </w:rPr>
        <w:t>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6"/>
        </w:numPr>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77" w:name="_Toc9701"/>
      <w:r>
        <w:rPr>
          <w:rFonts w:hint="eastAsia" w:ascii="黑体" w:hAnsi="宋体" w:eastAsia="黑体" w:cs="宋体"/>
          <w:kern w:val="0"/>
          <w:sz w:val="32"/>
          <w:szCs w:val="32"/>
          <w:shd w:val="clear" w:color="auto" w:fill="FFFFFF"/>
          <w:lang w:val="zh-CN"/>
        </w:rPr>
        <w:t>部门（单位）基本情况</w:t>
      </w:r>
      <w:bookmarkEnd w:id="77"/>
    </w:p>
    <w:p>
      <w:pPr>
        <w:numPr>
          <w:ilvl w:val="0"/>
          <w:numId w:val="7"/>
        </w:numPr>
        <w:spacing w:line="580" w:lineRule="exact"/>
        <w:ind w:firstLine="645"/>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line="580" w:lineRule="exact"/>
        <w:ind w:firstLine="640" w:firstLineChars="200"/>
        <w:rPr>
          <w:rFonts w:ascii="楷体_GB2312" w:hAnsi="楷体_GB2312" w:eastAsia="楷体_GB2312" w:cs="楷体_GB2312"/>
          <w:b/>
          <w:bCs/>
          <w:kern w:val="0"/>
          <w:sz w:val="32"/>
          <w:szCs w:val="32"/>
          <w:shd w:val="clear" w:color="auto" w:fill="FFFFFF"/>
          <w:lang w:val="zh-CN"/>
        </w:rPr>
      </w:pPr>
      <w:r>
        <w:rPr>
          <w:rFonts w:hint="eastAsia" w:ascii="仿宋_GB2312" w:hAnsi="仿宋_GB2312" w:eastAsia="仿宋_GB2312" w:cs="仿宋_GB2312"/>
          <w:sz w:val="32"/>
          <w:szCs w:val="32"/>
        </w:rPr>
        <w:t>广元市人民检察院含所属单位2个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行政单位1个、事业单位1个，分别是四川省广元市人民检察院机关，广元市人民检察官培训中心。市检察院机关下设内设机构14个，机关党委（办）1个。</w:t>
      </w:r>
    </w:p>
    <w:p>
      <w:pPr>
        <w:widowControl/>
        <w:numPr>
          <w:ilvl w:val="0"/>
          <w:numId w:val="7"/>
        </w:numPr>
        <w:adjustRightInd w:val="0"/>
        <w:snapToGrid w:val="0"/>
        <w:spacing w:line="560" w:lineRule="exact"/>
        <w:ind w:firstLine="645"/>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spacing w:line="580" w:lineRule="exact"/>
        <w:ind w:firstLine="645"/>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广元市人民检察院是国家的法律监督机关，领导全市检察工作，对市人</w:t>
      </w:r>
      <w:r>
        <w:rPr>
          <w:rFonts w:hint="eastAsia" w:ascii="仿宋_GB2312" w:hAnsi="仿宋_GB2312" w:eastAsia="仿宋_GB2312" w:cs="仿宋_GB2312"/>
          <w:sz w:val="32"/>
          <w:szCs w:val="32"/>
          <w:lang w:eastAsia="zh-CN"/>
        </w:rPr>
        <w:t>民</w:t>
      </w:r>
      <w:bookmarkStart w:id="124" w:name="_GoBack"/>
      <w:bookmarkEnd w:id="124"/>
      <w:r>
        <w:rPr>
          <w:rFonts w:hint="eastAsia" w:ascii="仿宋_GB2312" w:hAnsi="仿宋_GB2312" w:eastAsia="仿宋_GB2312" w:cs="仿宋_GB2312"/>
          <w:sz w:val="32"/>
          <w:szCs w:val="32"/>
        </w:rPr>
        <w:t>代表大会及其常务委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负责并报告工作。其主要职责是：依法行使检察权，按照最高人民检察院和省人民检察院确定的工作方针，部署全市检察工作任务；领导全市人民检察院的侦查工作以及对刑事犯罪案件的审查批捕（决定）逮捕、提起公诉等工作；依法对刑事诉讼、民事审判和行政诉讼实行法律监督；依法向人民法院提起抗诉；受理单位和个人的举报、控告、申诉以及犯罪嫌疑人的自首；研究全市检察工作中的具体法律应用问题；规划和指导全市检察机关的队伍建设、思想政治等工作；负责其它应由人民检察院承办的事项。广元市人民检察院为一级预算单位，预算代码（204201），检察官培训中心是独立的事业单位，但没有单独预算。</w:t>
      </w:r>
    </w:p>
    <w:p>
      <w:pPr>
        <w:pStyle w:val="16"/>
        <w:spacing w:line="580" w:lineRule="exact"/>
        <w:ind w:left="60"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单位现有编制119人，其中：政法专项编制94人，事业编制25人，年末在职在册实有人数108人，其中专编94人，事业人员14人。</w:t>
      </w:r>
    </w:p>
    <w:p>
      <w:pPr>
        <w:widowControl/>
        <w:numPr>
          <w:ilvl w:val="0"/>
          <w:numId w:val="7"/>
        </w:numPr>
        <w:adjustRightInd w:val="0"/>
        <w:snapToGrid w:val="0"/>
        <w:spacing w:line="560" w:lineRule="exact"/>
        <w:ind w:firstLine="645"/>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spacing w:line="580" w:lineRule="exact"/>
        <w:ind w:firstLine="640" w:firstLineChars="200"/>
        <w:rPr>
          <w:rFonts w:ascii="仿宋_GB2312" w:hAnsi="仿宋_GB2312" w:eastAsia="仿宋_GB2312" w:cs="仿宋_GB2312"/>
          <w:kern w:val="0"/>
          <w:sz w:val="32"/>
          <w:szCs w:val="32"/>
        </w:rPr>
      </w:pPr>
      <w:r>
        <w:rPr>
          <w:rFonts w:eastAsia="仿宋_GB2312"/>
          <w:sz w:val="32"/>
          <w:szCs w:val="32"/>
        </w:rPr>
        <w:t>2022年，</w:t>
      </w:r>
      <w:r>
        <w:rPr>
          <w:rFonts w:hint="eastAsia"/>
          <w:sz w:val="32"/>
          <w:szCs w:val="32"/>
        </w:rPr>
        <w:t>广元市人民检察院</w:t>
      </w:r>
      <w:r>
        <w:rPr>
          <w:rFonts w:eastAsia="仿宋_GB2312"/>
          <w:sz w:val="32"/>
          <w:szCs w:val="32"/>
        </w:rPr>
        <w:t>在市委和省检察院的坚强领导下，强化法律监督工作，防风险、保安全、护稳定，为全市经济社会发展提供了有力司法保障。</w:t>
      </w:r>
      <w:r>
        <w:rPr>
          <w:rFonts w:hint="eastAsia" w:ascii="仿宋_GB2312" w:hAnsi="仿宋_GB2312" w:eastAsia="仿宋_GB2312" w:cs="仿宋_GB2312"/>
          <w:kern w:val="0"/>
          <w:sz w:val="32"/>
          <w:szCs w:val="32"/>
        </w:rPr>
        <w:t>领导全市办理各类检察案件</w:t>
      </w:r>
      <w:r>
        <w:rPr>
          <w:rFonts w:hint="eastAsia" w:ascii="仿宋_GB2312" w:hAnsi="仿宋_GB2312" w:cs="仿宋_GB2312"/>
          <w:kern w:val="0"/>
          <w:sz w:val="32"/>
          <w:szCs w:val="32"/>
        </w:rPr>
        <w:t>8454</w:t>
      </w:r>
      <w:r>
        <w:rPr>
          <w:rFonts w:hint="eastAsia" w:ascii="仿宋_GB2312" w:hAnsi="仿宋_GB2312" w:eastAsia="仿宋_GB2312" w:cs="仿宋_GB2312"/>
          <w:kern w:val="0"/>
          <w:sz w:val="32"/>
          <w:szCs w:val="32"/>
        </w:rPr>
        <w:t>件，同比上升</w:t>
      </w:r>
      <w:r>
        <w:rPr>
          <w:rFonts w:hint="eastAsia" w:ascii="仿宋_GB2312" w:hAnsi="仿宋_GB2312" w:cs="仿宋_GB2312"/>
          <w:kern w:val="0"/>
          <w:sz w:val="32"/>
          <w:szCs w:val="32"/>
        </w:rPr>
        <w:t>38.91</w:t>
      </w: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rPr>
        <w:t>。</w:t>
      </w:r>
      <w:r>
        <w:rPr>
          <w:rFonts w:eastAsia="仿宋_GB2312"/>
          <w:kern w:val="0"/>
          <w:sz w:val="32"/>
          <w:szCs w:val="32"/>
        </w:rPr>
        <w:t>检察核心业务指标连续两年位居全省第一方阵</w:t>
      </w:r>
      <w:r>
        <w:rPr>
          <w:rFonts w:hint="eastAsia"/>
          <w:kern w:val="0"/>
          <w:sz w:val="32"/>
          <w:szCs w:val="32"/>
        </w:rPr>
        <w:t>，</w:t>
      </w:r>
      <w:r>
        <w:rPr>
          <w:rFonts w:hint="eastAsia" w:ascii="仿宋_GB2312" w:hAnsi="仿宋_GB2312" w:eastAsia="仿宋_GB2312" w:cs="仿宋_GB2312"/>
          <w:kern w:val="0"/>
          <w:sz w:val="32"/>
          <w:szCs w:val="32"/>
        </w:rPr>
        <w:t>其中刑事检察案件</w:t>
      </w:r>
      <w:r>
        <w:rPr>
          <w:rFonts w:hint="eastAsia" w:ascii="仿宋_GB2312" w:hAnsi="仿宋_GB2312" w:cs="仿宋_GB2312"/>
          <w:kern w:val="0"/>
          <w:sz w:val="32"/>
          <w:szCs w:val="32"/>
        </w:rPr>
        <w:t>3812</w:t>
      </w:r>
      <w:r>
        <w:rPr>
          <w:rFonts w:hint="eastAsia" w:ascii="仿宋_GB2312" w:hAnsi="仿宋_GB2312" w:eastAsia="仿宋_GB2312" w:cs="仿宋_GB2312"/>
          <w:kern w:val="0"/>
          <w:sz w:val="32"/>
          <w:szCs w:val="32"/>
        </w:rPr>
        <w:t>件，同比</w:t>
      </w:r>
      <w:r>
        <w:rPr>
          <w:rFonts w:hint="eastAsia" w:ascii="仿宋_GB2312" w:hAnsi="仿宋_GB2312" w:cs="仿宋_GB2312"/>
          <w:kern w:val="0"/>
          <w:sz w:val="32"/>
          <w:szCs w:val="32"/>
        </w:rPr>
        <w:t>减少11.82</w:t>
      </w:r>
      <w:r>
        <w:rPr>
          <w:rFonts w:hint="eastAsia" w:ascii="仿宋_GB2312" w:hAnsi="仿宋_GB2312" w:eastAsia="仿宋_GB2312" w:cs="仿宋_GB2312"/>
          <w:kern w:val="0"/>
          <w:sz w:val="32"/>
          <w:szCs w:val="32"/>
        </w:rPr>
        <w:t>%；民事检察案件</w:t>
      </w:r>
      <w:r>
        <w:rPr>
          <w:rFonts w:hint="eastAsia" w:ascii="仿宋_GB2312" w:hAnsi="仿宋_GB2312" w:cs="仿宋_GB2312"/>
          <w:kern w:val="0"/>
          <w:sz w:val="32"/>
          <w:szCs w:val="32"/>
        </w:rPr>
        <w:t>6</w:t>
      </w:r>
      <w:r>
        <w:rPr>
          <w:rFonts w:hint="eastAsia" w:ascii="仿宋_GB2312" w:hAnsi="仿宋_GB2312" w:eastAsia="仿宋_GB2312" w:cs="仿宋_GB2312"/>
          <w:kern w:val="0"/>
          <w:sz w:val="32"/>
          <w:szCs w:val="32"/>
        </w:rPr>
        <w:t>11件，同比上升</w:t>
      </w:r>
      <w:r>
        <w:rPr>
          <w:rFonts w:hint="eastAsia" w:ascii="仿宋_GB2312" w:hAnsi="仿宋_GB2312" w:cs="仿宋_GB2312"/>
          <w:kern w:val="0"/>
          <w:sz w:val="32"/>
          <w:szCs w:val="32"/>
        </w:rPr>
        <w:t>19.57</w:t>
      </w:r>
      <w:r>
        <w:rPr>
          <w:rFonts w:hint="eastAsia" w:ascii="仿宋_GB2312" w:hAnsi="仿宋_GB2312" w:eastAsia="仿宋_GB2312" w:cs="仿宋_GB2312"/>
          <w:kern w:val="0"/>
          <w:sz w:val="32"/>
          <w:szCs w:val="32"/>
        </w:rPr>
        <w:t>%；行政检察案件1</w:t>
      </w:r>
      <w:r>
        <w:rPr>
          <w:rFonts w:hint="eastAsia" w:ascii="仿宋_GB2312" w:hAnsi="仿宋_GB2312" w:cs="仿宋_GB2312"/>
          <w:kern w:val="0"/>
          <w:sz w:val="32"/>
          <w:szCs w:val="32"/>
        </w:rPr>
        <w:t>13</w:t>
      </w:r>
      <w:r>
        <w:rPr>
          <w:rFonts w:hint="eastAsia" w:ascii="仿宋_GB2312" w:hAnsi="仿宋_GB2312" w:eastAsia="仿宋_GB2312" w:cs="仿宋_GB2312"/>
          <w:kern w:val="0"/>
          <w:sz w:val="32"/>
          <w:szCs w:val="32"/>
        </w:rPr>
        <w:t>件，同比上升</w:t>
      </w:r>
      <w:r>
        <w:rPr>
          <w:rFonts w:hint="eastAsia" w:ascii="仿宋_GB2312" w:hAnsi="仿宋_GB2312" w:cs="仿宋_GB2312"/>
          <w:kern w:val="0"/>
          <w:sz w:val="32"/>
          <w:szCs w:val="32"/>
        </w:rPr>
        <w:t>8.65</w:t>
      </w:r>
      <w:r>
        <w:rPr>
          <w:rFonts w:hint="eastAsia" w:ascii="仿宋_GB2312" w:hAnsi="仿宋_GB2312" w:eastAsia="仿宋_GB2312" w:cs="仿宋_GB2312"/>
          <w:kern w:val="0"/>
          <w:sz w:val="32"/>
          <w:szCs w:val="32"/>
        </w:rPr>
        <w:t>%；公益诉讼检察案件</w:t>
      </w:r>
      <w:r>
        <w:rPr>
          <w:rFonts w:hint="eastAsia" w:ascii="仿宋_GB2312" w:hAnsi="仿宋_GB2312" w:cs="仿宋_GB2312"/>
          <w:kern w:val="0"/>
          <w:sz w:val="32"/>
          <w:szCs w:val="32"/>
        </w:rPr>
        <w:t>1083</w:t>
      </w:r>
      <w:r>
        <w:rPr>
          <w:rFonts w:hint="eastAsia" w:ascii="仿宋_GB2312" w:hAnsi="仿宋_GB2312" w:eastAsia="仿宋_GB2312" w:cs="仿宋_GB2312"/>
          <w:kern w:val="0"/>
          <w:sz w:val="32"/>
          <w:szCs w:val="32"/>
        </w:rPr>
        <w:t>件，同比上升</w:t>
      </w:r>
      <w:r>
        <w:rPr>
          <w:rFonts w:hint="eastAsia" w:ascii="仿宋_GB2312" w:hAnsi="仿宋_GB2312" w:cs="仿宋_GB2312"/>
          <w:kern w:val="0"/>
          <w:sz w:val="32"/>
          <w:szCs w:val="32"/>
        </w:rPr>
        <w:t>172.11</w:t>
      </w:r>
      <w:r>
        <w:rPr>
          <w:rFonts w:hint="eastAsia" w:ascii="仿宋_GB2312" w:hAnsi="仿宋_GB2312" w:eastAsia="仿宋_GB2312" w:cs="仿宋_GB2312"/>
          <w:kern w:val="0"/>
          <w:sz w:val="32"/>
          <w:szCs w:val="32"/>
        </w:rPr>
        <w:t>%，其他类检察案件</w:t>
      </w:r>
      <w:r>
        <w:rPr>
          <w:rFonts w:hint="eastAsia" w:ascii="仿宋_GB2312" w:hAnsi="仿宋_GB2312" w:cs="仿宋_GB2312"/>
          <w:kern w:val="0"/>
          <w:sz w:val="32"/>
          <w:szCs w:val="32"/>
        </w:rPr>
        <w:t>1480</w:t>
      </w:r>
      <w:r>
        <w:rPr>
          <w:rFonts w:hint="eastAsia" w:ascii="仿宋_GB2312" w:hAnsi="仿宋_GB2312" w:eastAsia="仿宋_GB2312" w:cs="仿宋_GB2312"/>
          <w:kern w:val="0"/>
          <w:sz w:val="32"/>
          <w:szCs w:val="32"/>
        </w:rPr>
        <w:t>件。</w:t>
      </w:r>
    </w:p>
    <w:p>
      <w:pPr>
        <w:pStyle w:val="2"/>
        <w:spacing w:before="0" w:after="0" w:line="580" w:lineRule="exact"/>
        <w:ind w:firstLine="640" w:firstLineChars="200"/>
        <w:jc w:val="left"/>
        <w:rPr>
          <w:lang w:val="zh-CN"/>
        </w:rPr>
      </w:pPr>
      <w:r>
        <w:rPr>
          <w:rFonts w:hint="eastAsia" w:ascii="仿宋_GB2312" w:hAnsi="仿宋_GB2312" w:eastAsia="仿宋_GB2312" w:cs="仿宋_GB2312"/>
          <w:color w:val="auto"/>
          <w:kern w:val="0"/>
          <w:sz w:val="32"/>
          <w:szCs w:val="32"/>
        </w:rPr>
        <w:t>广元市人民检察院2022年共开展项目9个，预算总金额为4396.27万元，分别是基本支出2836.22万元，司法警察加班补助8.52万元，检察监督270万元，技侦大楼运行82.13万元，国家司法救助10万元，乡村振兴工作经费5.46万元，聘用制书记员工作经费166.2万元，一体化网络建设项目374.9万元，分级保护项目122.04万元，转移支付520.8万元。</w:t>
      </w:r>
    </w:p>
    <w:p>
      <w:pPr>
        <w:pStyle w:val="2"/>
        <w:numPr>
          <w:ilvl w:val="0"/>
          <w:numId w:val="7"/>
        </w:numPr>
        <w:spacing w:before="0" w:after="0" w:line="560" w:lineRule="exact"/>
        <w:ind w:right="-119" w:firstLine="645"/>
        <w:jc w:val="left"/>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部门整体支出绩效目标。</w:t>
      </w:r>
    </w:p>
    <w:p>
      <w:pPr>
        <w:pStyle w:val="2"/>
        <w:spacing w:before="0" w:after="0" w:line="560" w:lineRule="exact"/>
        <w:ind w:left="645" w:right="-119"/>
        <w:jc w:val="left"/>
        <w:rPr>
          <w:rFonts w:ascii="楷体_GB2312" w:hAnsi="楷体_GB2312" w:eastAsia="楷体_GB2312" w:cs="楷体_GB2312"/>
          <w:b/>
          <w:bCs/>
          <w:color w:val="auto"/>
          <w:kern w:val="0"/>
          <w:sz w:val="32"/>
          <w:szCs w:val="32"/>
          <w:shd w:val="clear" w:color="auto" w:fill="FFFFFF"/>
          <w:lang w:val="zh-CN"/>
        </w:rPr>
      </w:pPr>
      <w:r>
        <w:rPr>
          <w:rFonts w:hint="eastAsia" w:ascii="仿宋_GB2312" w:hAnsi="仿宋_GB2312" w:eastAsia="仿宋_GB2312" w:cs="仿宋_GB2312"/>
          <w:color w:val="auto"/>
          <w:kern w:val="0"/>
          <w:sz w:val="32"/>
          <w:szCs w:val="32"/>
          <w:lang w:val="zh-CN"/>
        </w:rPr>
        <w:t>高质量开展检察监督工作，助力广元司法有序发展。目标1：制发文件6000份。目标2：印制宣传资料20000份，拍摄专题片2部。目标3：保障机关各项工作正常运转。目标4：开展党建活动。目标5：开展基层党组织建设。目标6：举报线索核查目标7：及时更新“两微一端”，争取媒体采用量，同时完成检察日报征订任务。目标8：积极组织干警培训，争取参训率达100%。目标9：规划和指导全市检察机关检察技术和物证检验、鉴定、审查复核。目标10：依法办理各类案件。目标11：召开听证会议、组织观摩庭。目标12：开展未成年人法治教育10次以上。</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78" w:name="_Toc9687"/>
      <w:r>
        <w:rPr>
          <w:rFonts w:hint="eastAsia" w:ascii="黑体" w:hAnsi="宋体" w:eastAsia="黑体" w:cs="宋体"/>
          <w:kern w:val="0"/>
          <w:sz w:val="32"/>
          <w:szCs w:val="32"/>
          <w:shd w:val="clear" w:color="auto" w:fill="FFFFFF"/>
        </w:rPr>
        <w:t>二、部门资金收支情况</w:t>
      </w:r>
      <w:bookmarkEnd w:id="78"/>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spacing w:line="560" w:lineRule="exact"/>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年收入</w:t>
      </w:r>
      <w:r>
        <w:rPr>
          <w:rFonts w:hint="eastAsia" w:ascii="仿宋_GB2312" w:hAnsi="仿宋_GB2312" w:eastAsia="仿宋_GB2312" w:cs="仿宋_GB2312"/>
          <w:kern w:val="0"/>
          <w:sz w:val="32"/>
          <w:szCs w:val="32"/>
        </w:rPr>
        <w:t>4641.62</w:t>
      </w:r>
      <w:r>
        <w:rPr>
          <w:rFonts w:hint="eastAsia" w:ascii="仿宋_GB2312" w:hAnsi="仿宋_GB2312" w:eastAsia="仿宋_GB2312" w:cs="仿宋_GB2312"/>
          <w:kern w:val="0"/>
          <w:sz w:val="32"/>
          <w:szCs w:val="32"/>
          <w:lang w:val="zh-CN"/>
        </w:rPr>
        <w:t>万元。基本支出（含追加）</w:t>
      </w:r>
      <w:r>
        <w:rPr>
          <w:rFonts w:hint="eastAsia" w:ascii="仿宋_GB2312" w:hAnsi="仿宋_GB2312" w:eastAsia="仿宋_GB2312" w:cs="仿宋_GB2312"/>
          <w:kern w:val="0"/>
          <w:sz w:val="32"/>
          <w:szCs w:val="32"/>
        </w:rPr>
        <w:t>2985.2</w:t>
      </w:r>
      <w:r>
        <w:rPr>
          <w:rFonts w:hint="eastAsia" w:ascii="仿宋_GB2312" w:hAnsi="仿宋_GB2312" w:eastAsia="仿宋_GB2312" w:cs="仿宋_GB2312"/>
          <w:kern w:val="0"/>
          <w:sz w:val="32"/>
          <w:szCs w:val="32"/>
          <w:lang w:val="zh-CN"/>
        </w:rPr>
        <w:t>万元，上年结转项目资金</w:t>
      </w:r>
      <w:r>
        <w:rPr>
          <w:rFonts w:hint="eastAsia" w:ascii="仿宋_GB2312" w:hAnsi="仿宋_GB2312" w:eastAsia="仿宋_GB2312" w:cs="仿宋_GB2312"/>
          <w:kern w:val="0"/>
          <w:sz w:val="32"/>
          <w:szCs w:val="32"/>
        </w:rPr>
        <w:t>716.11万元（其中，一体化网络建设项目471.27万元，分级保护项目122.04万元，转移支付资金122.8万元），</w:t>
      </w:r>
      <w:r>
        <w:rPr>
          <w:rFonts w:hint="eastAsia" w:ascii="仿宋_GB2312" w:hAnsi="仿宋_GB2312" w:eastAsia="仿宋_GB2312" w:cs="仿宋_GB2312"/>
          <w:kern w:val="0"/>
          <w:sz w:val="32"/>
          <w:szCs w:val="32"/>
          <w:lang w:val="zh-CN"/>
        </w:rPr>
        <w:t>司法警察加班补助</w:t>
      </w:r>
      <w:r>
        <w:rPr>
          <w:rFonts w:hint="eastAsia" w:ascii="仿宋_GB2312" w:hAnsi="仿宋_GB2312" w:eastAsia="仿宋_GB2312" w:cs="仿宋_GB2312"/>
          <w:kern w:val="0"/>
          <w:sz w:val="32"/>
          <w:szCs w:val="32"/>
        </w:rPr>
        <w:t>8.5</w:t>
      </w:r>
      <w:r>
        <w:rPr>
          <w:rFonts w:hint="eastAsia" w:ascii="仿宋_GB2312" w:hAnsi="仿宋_GB2312" w:eastAsia="仿宋_GB2312" w:cs="仿宋_GB2312"/>
          <w:kern w:val="0"/>
          <w:sz w:val="32"/>
          <w:szCs w:val="32"/>
          <w:lang w:val="zh-CN"/>
        </w:rPr>
        <w:t>2万元，检察监督</w:t>
      </w:r>
      <w:r>
        <w:rPr>
          <w:rFonts w:hint="eastAsia" w:ascii="仿宋_GB2312" w:hAnsi="仿宋_GB2312" w:eastAsia="仿宋_GB2312" w:cs="仿宋_GB2312"/>
          <w:kern w:val="0"/>
          <w:sz w:val="32"/>
          <w:szCs w:val="32"/>
        </w:rPr>
        <w:t>270</w:t>
      </w:r>
      <w:r>
        <w:rPr>
          <w:rFonts w:hint="eastAsia" w:ascii="仿宋_GB2312" w:hAnsi="仿宋_GB2312" w:eastAsia="仿宋_GB2312" w:cs="仿宋_GB2312"/>
          <w:kern w:val="0"/>
          <w:sz w:val="32"/>
          <w:szCs w:val="32"/>
          <w:lang w:val="zh-CN"/>
        </w:rPr>
        <w:t>万元，技侦大楼运行维护</w:t>
      </w:r>
      <w:r>
        <w:rPr>
          <w:rFonts w:hint="eastAsia" w:ascii="仿宋_GB2312" w:hAnsi="仿宋_GB2312" w:eastAsia="仿宋_GB2312" w:cs="仿宋_GB2312"/>
          <w:kern w:val="0"/>
          <w:sz w:val="32"/>
          <w:szCs w:val="32"/>
        </w:rPr>
        <w:t>82.13</w:t>
      </w:r>
      <w:r>
        <w:rPr>
          <w:rFonts w:hint="eastAsia" w:ascii="仿宋_GB2312" w:hAnsi="仿宋_GB2312" w:eastAsia="仿宋_GB2312" w:cs="仿宋_GB2312"/>
          <w:kern w:val="0"/>
          <w:sz w:val="32"/>
          <w:szCs w:val="32"/>
          <w:lang w:val="zh-CN"/>
        </w:rPr>
        <w:t>万元，国家司法救助</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万元，扶贫工作经费</w:t>
      </w:r>
      <w:r>
        <w:rPr>
          <w:rFonts w:hint="eastAsia" w:ascii="仿宋_GB2312" w:hAnsi="仿宋_GB2312" w:eastAsia="仿宋_GB2312" w:cs="仿宋_GB2312"/>
          <w:kern w:val="0"/>
          <w:sz w:val="32"/>
          <w:szCs w:val="32"/>
        </w:rPr>
        <w:t>5.46</w:t>
      </w:r>
      <w:r>
        <w:rPr>
          <w:rFonts w:hint="eastAsia" w:ascii="仿宋_GB2312" w:hAnsi="仿宋_GB2312" w:eastAsia="仿宋_GB2312" w:cs="仿宋_GB2312"/>
          <w:kern w:val="0"/>
          <w:sz w:val="32"/>
          <w:szCs w:val="32"/>
          <w:lang w:val="zh-CN"/>
        </w:rPr>
        <w:t>万元，聘用制书记员工作经费</w:t>
      </w:r>
      <w:r>
        <w:rPr>
          <w:rFonts w:hint="eastAsia" w:ascii="仿宋_GB2312" w:hAnsi="仿宋_GB2312" w:eastAsia="仿宋_GB2312" w:cs="仿宋_GB2312"/>
          <w:kern w:val="0"/>
          <w:sz w:val="32"/>
          <w:szCs w:val="32"/>
        </w:rPr>
        <w:t>161.2</w:t>
      </w:r>
      <w:r>
        <w:rPr>
          <w:rFonts w:hint="eastAsia" w:ascii="仿宋_GB2312" w:hAnsi="仿宋_GB2312" w:eastAsia="仿宋_GB2312" w:cs="仿宋_GB2312"/>
          <w:kern w:val="0"/>
          <w:sz w:val="32"/>
          <w:szCs w:val="32"/>
          <w:lang w:val="zh-CN"/>
        </w:rPr>
        <w:t>万元，转移支付资金</w:t>
      </w:r>
      <w:r>
        <w:rPr>
          <w:rFonts w:hint="eastAsia" w:ascii="仿宋_GB2312" w:hAnsi="仿宋_GB2312" w:eastAsia="仿宋_GB2312" w:cs="仿宋_GB2312"/>
          <w:kern w:val="0"/>
          <w:sz w:val="32"/>
          <w:szCs w:val="32"/>
        </w:rPr>
        <w:t>398万元。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spacing w:line="560" w:lineRule="exact"/>
        <w:ind w:firstLine="640" w:firstLineChars="200"/>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年支出为</w:t>
      </w:r>
      <w:r>
        <w:rPr>
          <w:rFonts w:hint="eastAsia" w:ascii="仿宋_GB2312" w:hAnsi="仿宋_GB2312" w:eastAsia="仿宋_GB2312" w:cs="仿宋_GB2312"/>
          <w:kern w:val="0"/>
          <w:sz w:val="32"/>
          <w:szCs w:val="32"/>
        </w:rPr>
        <w:t>4075.38</w:t>
      </w:r>
      <w:r>
        <w:rPr>
          <w:rFonts w:hint="eastAsia" w:ascii="仿宋_GB2312" w:hAnsi="仿宋_GB2312" w:eastAsia="仿宋_GB2312" w:cs="仿宋_GB2312"/>
          <w:kern w:val="0"/>
          <w:sz w:val="32"/>
          <w:szCs w:val="32"/>
          <w:lang w:val="zh-CN"/>
        </w:rPr>
        <w:t>万元。当年预算支出中，人员经费2</w:t>
      </w:r>
      <w:r>
        <w:rPr>
          <w:rFonts w:hint="eastAsia" w:ascii="仿宋_GB2312" w:hAnsi="仿宋_GB2312" w:eastAsia="仿宋_GB2312" w:cs="仿宋_GB2312"/>
          <w:kern w:val="0"/>
          <w:sz w:val="32"/>
          <w:szCs w:val="32"/>
        </w:rPr>
        <w:t>786.3</w:t>
      </w:r>
      <w:r>
        <w:rPr>
          <w:rFonts w:hint="eastAsia" w:ascii="仿宋_GB2312" w:hAnsi="仿宋_GB2312" w:eastAsia="仿宋_GB2312" w:cs="仿宋_GB2312"/>
          <w:kern w:val="0"/>
          <w:sz w:val="32"/>
          <w:szCs w:val="32"/>
          <w:lang w:val="zh-CN"/>
        </w:rPr>
        <w:t>万元，一体化网络建设项目</w:t>
      </w:r>
      <w:r>
        <w:rPr>
          <w:rFonts w:hint="eastAsia" w:ascii="仿宋_GB2312" w:hAnsi="仿宋_GB2312" w:eastAsia="仿宋_GB2312" w:cs="仿宋_GB2312"/>
          <w:kern w:val="0"/>
          <w:sz w:val="32"/>
          <w:szCs w:val="32"/>
        </w:rPr>
        <w:t>374.9</w:t>
      </w:r>
      <w:r>
        <w:rPr>
          <w:rFonts w:hint="eastAsia" w:ascii="仿宋_GB2312" w:hAnsi="仿宋_GB2312" w:eastAsia="仿宋_GB2312" w:cs="仿宋_GB2312"/>
          <w:kern w:val="0"/>
          <w:sz w:val="32"/>
          <w:szCs w:val="32"/>
          <w:lang w:val="zh-CN"/>
        </w:rPr>
        <w:t>万元，分级保护</w:t>
      </w:r>
      <w:r>
        <w:rPr>
          <w:rFonts w:hint="eastAsia" w:ascii="仿宋_GB2312" w:hAnsi="仿宋_GB2312" w:eastAsia="仿宋_GB2312" w:cs="仿宋_GB2312"/>
          <w:kern w:val="0"/>
          <w:sz w:val="32"/>
          <w:szCs w:val="32"/>
        </w:rPr>
        <w:t>122.04万元，</w:t>
      </w:r>
      <w:r>
        <w:rPr>
          <w:rFonts w:hint="eastAsia" w:ascii="仿宋_GB2312" w:hAnsi="仿宋_GB2312" w:eastAsia="仿宋_GB2312" w:cs="仿宋_GB2312"/>
          <w:kern w:val="0"/>
          <w:sz w:val="32"/>
          <w:szCs w:val="32"/>
          <w:lang w:val="zh-CN"/>
        </w:rPr>
        <w:t>司法警察加班补助</w:t>
      </w:r>
      <w:r>
        <w:rPr>
          <w:rFonts w:hint="eastAsia" w:ascii="仿宋_GB2312" w:hAnsi="仿宋_GB2312" w:eastAsia="仿宋_GB2312" w:cs="仿宋_GB2312"/>
          <w:kern w:val="0"/>
          <w:sz w:val="32"/>
          <w:szCs w:val="32"/>
        </w:rPr>
        <w:t>8.52</w:t>
      </w:r>
      <w:r>
        <w:rPr>
          <w:rFonts w:hint="eastAsia" w:ascii="仿宋_GB2312" w:hAnsi="仿宋_GB2312" w:eastAsia="仿宋_GB2312" w:cs="仿宋_GB2312"/>
          <w:kern w:val="0"/>
          <w:sz w:val="32"/>
          <w:szCs w:val="32"/>
          <w:lang w:val="zh-CN"/>
        </w:rPr>
        <w:t>万元，检察监督</w:t>
      </w:r>
      <w:r>
        <w:rPr>
          <w:rFonts w:hint="eastAsia" w:ascii="仿宋_GB2312" w:hAnsi="仿宋_GB2312" w:eastAsia="仿宋_GB2312" w:cs="仿宋_GB2312"/>
          <w:kern w:val="0"/>
          <w:sz w:val="32"/>
          <w:szCs w:val="32"/>
        </w:rPr>
        <w:t>270</w:t>
      </w:r>
      <w:r>
        <w:rPr>
          <w:rFonts w:hint="eastAsia" w:ascii="仿宋_GB2312" w:hAnsi="仿宋_GB2312" w:eastAsia="仿宋_GB2312" w:cs="仿宋_GB2312"/>
          <w:kern w:val="0"/>
          <w:sz w:val="32"/>
          <w:szCs w:val="32"/>
          <w:lang w:val="zh-CN"/>
        </w:rPr>
        <w:t>万元，技侦大楼运行维护</w:t>
      </w:r>
      <w:r>
        <w:rPr>
          <w:rFonts w:hint="eastAsia" w:ascii="仿宋_GB2312" w:hAnsi="仿宋_GB2312" w:eastAsia="仿宋_GB2312" w:cs="仿宋_GB2312"/>
          <w:kern w:val="0"/>
          <w:sz w:val="32"/>
          <w:szCs w:val="32"/>
        </w:rPr>
        <w:t>82.13</w:t>
      </w:r>
      <w:r>
        <w:rPr>
          <w:rFonts w:hint="eastAsia" w:ascii="仿宋_GB2312" w:hAnsi="仿宋_GB2312" w:eastAsia="仿宋_GB2312" w:cs="仿宋_GB2312"/>
          <w:kern w:val="0"/>
          <w:sz w:val="32"/>
          <w:szCs w:val="32"/>
          <w:lang w:val="zh-CN"/>
        </w:rPr>
        <w:t>万元，国家司法救助</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万元，扶贫工作经费</w:t>
      </w:r>
      <w:r>
        <w:rPr>
          <w:rFonts w:hint="eastAsia" w:ascii="仿宋_GB2312" w:hAnsi="仿宋_GB2312" w:eastAsia="仿宋_GB2312" w:cs="仿宋_GB2312"/>
          <w:kern w:val="0"/>
          <w:sz w:val="32"/>
          <w:szCs w:val="32"/>
        </w:rPr>
        <w:t>5.46</w:t>
      </w:r>
      <w:r>
        <w:rPr>
          <w:rFonts w:hint="eastAsia" w:ascii="仿宋_GB2312" w:hAnsi="仿宋_GB2312" w:eastAsia="仿宋_GB2312" w:cs="仿宋_GB2312"/>
          <w:kern w:val="0"/>
          <w:sz w:val="32"/>
          <w:szCs w:val="32"/>
          <w:lang w:val="zh-CN"/>
        </w:rPr>
        <w:t>万元，聘用制书记员工作经费</w:t>
      </w:r>
      <w:r>
        <w:rPr>
          <w:rFonts w:hint="eastAsia" w:ascii="仿宋_GB2312" w:hAnsi="仿宋_GB2312" w:eastAsia="仿宋_GB2312" w:cs="仿宋_GB2312"/>
          <w:kern w:val="0"/>
          <w:sz w:val="32"/>
          <w:szCs w:val="32"/>
        </w:rPr>
        <w:t>161.2</w:t>
      </w:r>
      <w:r>
        <w:rPr>
          <w:rFonts w:hint="eastAsia" w:ascii="仿宋_GB2312" w:hAnsi="仿宋_GB2312" w:eastAsia="仿宋_GB2312" w:cs="仿宋_GB2312"/>
          <w:kern w:val="0"/>
          <w:sz w:val="32"/>
          <w:szCs w:val="32"/>
          <w:lang w:val="zh-CN"/>
        </w:rPr>
        <w:t>万元，转移支付资金</w:t>
      </w:r>
      <w:r>
        <w:rPr>
          <w:rFonts w:hint="eastAsia" w:ascii="仿宋_GB2312" w:hAnsi="仿宋_GB2312" w:eastAsia="仿宋_GB2312" w:cs="仿宋_GB2312"/>
          <w:kern w:val="0"/>
          <w:sz w:val="32"/>
          <w:szCs w:val="32"/>
        </w:rPr>
        <w:t>249.83万元。</w:t>
      </w:r>
    </w:p>
    <w:p>
      <w:pPr>
        <w:widowControl/>
        <w:adjustRightInd w:val="0"/>
        <w:snapToGrid w:val="0"/>
        <w:spacing w:line="560" w:lineRule="exact"/>
        <w:ind w:left="420" w:leftChars="200" w:firstLine="320" w:firstLineChars="1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2022年总体结转结余566.24万元。</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spacing w:line="560" w:lineRule="exact"/>
        <w:ind w:firstLine="640" w:firstLineChars="200"/>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年收入</w:t>
      </w:r>
      <w:r>
        <w:rPr>
          <w:rFonts w:hint="eastAsia" w:ascii="仿宋_GB2312" w:hAnsi="仿宋_GB2312" w:eastAsia="仿宋_GB2312" w:cs="仿宋_GB2312"/>
          <w:kern w:val="0"/>
          <w:sz w:val="32"/>
          <w:szCs w:val="32"/>
        </w:rPr>
        <w:t>4641.62</w:t>
      </w:r>
      <w:r>
        <w:rPr>
          <w:rFonts w:hint="eastAsia" w:ascii="仿宋_GB2312" w:hAnsi="仿宋_GB2312" w:eastAsia="仿宋_GB2312" w:cs="仿宋_GB2312"/>
          <w:kern w:val="0"/>
          <w:sz w:val="32"/>
          <w:szCs w:val="32"/>
          <w:lang w:val="zh-CN"/>
        </w:rPr>
        <w:t>万元。基本支出（含追加）</w:t>
      </w:r>
      <w:r>
        <w:rPr>
          <w:rFonts w:hint="eastAsia" w:ascii="仿宋_GB2312" w:hAnsi="仿宋_GB2312" w:eastAsia="仿宋_GB2312" w:cs="仿宋_GB2312"/>
          <w:kern w:val="0"/>
          <w:sz w:val="32"/>
          <w:szCs w:val="32"/>
        </w:rPr>
        <w:t>2985.2</w:t>
      </w:r>
      <w:r>
        <w:rPr>
          <w:rFonts w:hint="eastAsia" w:ascii="仿宋_GB2312" w:hAnsi="仿宋_GB2312" w:eastAsia="仿宋_GB2312" w:cs="仿宋_GB2312"/>
          <w:kern w:val="0"/>
          <w:sz w:val="32"/>
          <w:szCs w:val="32"/>
          <w:lang w:val="zh-CN"/>
        </w:rPr>
        <w:t>万元，上年结转项目资金</w:t>
      </w:r>
      <w:r>
        <w:rPr>
          <w:rFonts w:hint="eastAsia" w:ascii="仿宋_GB2312" w:hAnsi="仿宋_GB2312" w:eastAsia="仿宋_GB2312" w:cs="仿宋_GB2312"/>
          <w:kern w:val="0"/>
          <w:sz w:val="32"/>
          <w:szCs w:val="32"/>
        </w:rPr>
        <w:t>716.11万元（其中，一体化网络建设项目471.27万元，分级保护项目122.04万元，转移支付资金122.8万元），</w:t>
      </w:r>
      <w:r>
        <w:rPr>
          <w:rFonts w:hint="eastAsia" w:ascii="仿宋_GB2312" w:hAnsi="仿宋_GB2312" w:eastAsia="仿宋_GB2312" w:cs="仿宋_GB2312"/>
          <w:kern w:val="0"/>
          <w:sz w:val="32"/>
          <w:szCs w:val="32"/>
          <w:lang w:val="zh-CN"/>
        </w:rPr>
        <w:t>司法警察加班补助</w:t>
      </w:r>
      <w:r>
        <w:rPr>
          <w:rFonts w:hint="eastAsia" w:ascii="仿宋_GB2312" w:hAnsi="仿宋_GB2312" w:eastAsia="仿宋_GB2312" w:cs="仿宋_GB2312"/>
          <w:kern w:val="0"/>
          <w:sz w:val="32"/>
          <w:szCs w:val="32"/>
        </w:rPr>
        <w:t>8.5</w:t>
      </w:r>
      <w:r>
        <w:rPr>
          <w:rFonts w:hint="eastAsia" w:ascii="仿宋_GB2312" w:hAnsi="仿宋_GB2312" w:eastAsia="仿宋_GB2312" w:cs="仿宋_GB2312"/>
          <w:kern w:val="0"/>
          <w:sz w:val="32"/>
          <w:szCs w:val="32"/>
          <w:lang w:val="zh-CN"/>
        </w:rPr>
        <w:t>2万元，检察监督</w:t>
      </w:r>
      <w:r>
        <w:rPr>
          <w:rFonts w:hint="eastAsia" w:ascii="仿宋_GB2312" w:hAnsi="仿宋_GB2312" w:eastAsia="仿宋_GB2312" w:cs="仿宋_GB2312"/>
          <w:kern w:val="0"/>
          <w:sz w:val="32"/>
          <w:szCs w:val="32"/>
        </w:rPr>
        <w:t>270</w:t>
      </w:r>
      <w:r>
        <w:rPr>
          <w:rFonts w:hint="eastAsia" w:ascii="仿宋_GB2312" w:hAnsi="仿宋_GB2312" w:eastAsia="仿宋_GB2312" w:cs="仿宋_GB2312"/>
          <w:kern w:val="0"/>
          <w:sz w:val="32"/>
          <w:szCs w:val="32"/>
          <w:lang w:val="zh-CN"/>
        </w:rPr>
        <w:t>万元，技侦大楼运行维护</w:t>
      </w:r>
      <w:r>
        <w:rPr>
          <w:rFonts w:hint="eastAsia" w:ascii="仿宋_GB2312" w:hAnsi="仿宋_GB2312" w:eastAsia="仿宋_GB2312" w:cs="仿宋_GB2312"/>
          <w:kern w:val="0"/>
          <w:sz w:val="32"/>
          <w:szCs w:val="32"/>
        </w:rPr>
        <w:t>82.13</w:t>
      </w:r>
      <w:r>
        <w:rPr>
          <w:rFonts w:hint="eastAsia" w:ascii="仿宋_GB2312" w:hAnsi="仿宋_GB2312" w:eastAsia="仿宋_GB2312" w:cs="仿宋_GB2312"/>
          <w:kern w:val="0"/>
          <w:sz w:val="32"/>
          <w:szCs w:val="32"/>
          <w:lang w:val="zh-CN"/>
        </w:rPr>
        <w:t>万元，国家司法救助</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万元，扶贫工作经费</w:t>
      </w:r>
      <w:r>
        <w:rPr>
          <w:rFonts w:hint="eastAsia" w:ascii="仿宋_GB2312" w:hAnsi="仿宋_GB2312" w:eastAsia="仿宋_GB2312" w:cs="仿宋_GB2312"/>
          <w:kern w:val="0"/>
          <w:sz w:val="32"/>
          <w:szCs w:val="32"/>
        </w:rPr>
        <w:t>5.46</w:t>
      </w:r>
      <w:r>
        <w:rPr>
          <w:rFonts w:hint="eastAsia" w:ascii="仿宋_GB2312" w:hAnsi="仿宋_GB2312" w:eastAsia="仿宋_GB2312" w:cs="仿宋_GB2312"/>
          <w:kern w:val="0"/>
          <w:sz w:val="32"/>
          <w:szCs w:val="32"/>
          <w:lang w:val="zh-CN"/>
        </w:rPr>
        <w:t>万元，聘用制书记员工作经费</w:t>
      </w:r>
      <w:r>
        <w:rPr>
          <w:rFonts w:hint="eastAsia" w:ascii="仿宋_GB2312" w:hAnsi="仿宋_GB2312" w:eastAsia="仿宋_GB2312" w:cs="仿宋_GB2312"/>
          <w:kern w:val="0"/>
          <w:sz w:val="32"/>
          <w:szCs w:val="32"/>
        </w:rPr>
        <w:t>161.2</w:t>
      </w:r>
      <w:r>
        <w:rPr>
          <w:rFonts w:hint="eastAsia" w:ascii="仿宋_GB2312" w:hAnsi="仿宋_GB2312" w:eastAsia="仿宋_GB2312" w:cs="仿宋_GB2312"/>
          <w:kern w:val="0"/>
          <w:sz w:val="32"/>
          <w:szCs w:val="32"/>
          <w:lang w:val="zh-CN"/>
        </w:rPr>
        <w:t>万元，转移支付资金</w:t>
      </w:r>
      <w:r>
        <w:rPr>
          <w:rFonts w:hint="eastAsia" w:ascii="仿宋_GB2312" w:hAnsi="仿宋_GB2312" w:eastAsia="仿宋_GB2312" w:cs="仿宋_GB2312"/>
          <w:kern w:val="0"/>
          <w:sz w:val="32"/>
          <w:szCs w:val="32"/>
        </w:rPr>
        <w:t>398万元。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spacing w:line="560" w:lineRule="exact"/>
        <w:ind w:firstLine="640" w:firstLineChars="200"/>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年支出为</w:t>
      </w:r>
      <w:r>
        <w:rPr>
          <w:rFonts w:hint="eastAsia" w:ascii="仿宋_GB2312" w:hAnsi="仿宋_GB2312" w:eastAsia="仿宋_GB2312" w:cs="仿宋_GB2312"/>
          <w:kern w:val="0"/>
          <w:sz w:val="32"/>
          <w:szCs w:val="32"/>
        </w:rPr>
        <w:t>4075.38</w:t>
      </w:r>
      <w:r>
        <w:rPr>
          <w:rFonts w:hint="eastAsia" w:ascii="仿宋_GB2312" w:hAnsi="仿宋_GB2312" w:eastAsia="仿宋_GB2312" w:cs="仿宋_GB2312"/>
          <w:kern w:val="0"/>
          <w:sz w:val="32"/>
          <w:szCs w:val="32"/>
          <w:lang w:val="zh-CN"/>
        </w:rPr>
        <w:t>万元。当年预算支出中，人员经费</w:t>
      </w:r>
      <w:r>
        <w:rPr>
          <w:rFonts w:hint="eastAsia" w:ascii="仿宋_GB2312" w:hAnsi="仿宋_GB2312" w:eastAsia="仿宋_GB2312" w:cs="仿宋_GB2312"/>
          <w:kern w:val="0"/>
          <w:sz w:val="32"/>
          <w:szCs w:val="32"/>
        </w:rPr>
        <w:t>2786.3</w:t>
      </w:r>
      <w:r>
        <w:rPr>
          <w:rFonts w:hint="eastAsia" w:ascii="仿宋_GB2312" w:hAnsi="仿宋_GB2312" w:eastAsia="仿宋_GB2312" w:cs="仿宋_GB2312"/>
          <w:kern w:val="0"/>
          <w:sz w:val="32"/>
          <w:szCs w:val="32"/>
          <w:lang w:val="zh-CN"/>
        </w:rPr>
        <w:t>万元，一体化网络建设项目</w:t>
      </w:r>
      <w:r>
        <w:rPr>
          <w:rFonts w:hint="eastAsia" w:ascii="仿宋_GB2312" w:hAnsi="仿宋_GB2312" w:eastAsia="仿宋_GB2312" w:cs="仿宋_GB2312"/>
          <w:kern w:val="0"/>
          <w:sz w:val="32"/>
          <w:szCs w:val="32"/>
        </w:rPr>
        <w:t>374.9</w:t>
      </w:r>
      <w:r>
        <w:rPr>
          <w:rFonts w:hint="eastAsia" w:ascii="仿宋_GB2312" w:hAnsi="仿宋_GB2312" w:eastAsia="仿宋_GB2312" w:cs="仿宋_GB2312"/>
          <w:kern w:val="0"/>
          <w:sz w:val="32"/>
          <w:szCs w:val="32"/>
          <w:lang w:val="zh-CN"/>
        </w:rPr>
        <w:t>万元，分级保护</w:t>
      </w:r>
      <w:r>
        <w:rPr>
          <w:rFonts w:hint="eastAsia" w:ascii="仿宋_GB2312" w:hAnsi="仿宋_GB2312" w:eastAsia="仿宋_GB2312" w:cs="仿宋_GB2312"/>
          <w:kern w:val="0"/>
          <w:sz w:val="32"/>
          <w:szCs w:val="32"/>
        </w:rPr>
        <w:t>122.04万元，</w:t>
      </w:r>
      <w:r>
        <w:rPr>
          <w:rFonts w:hint="eastAsia" w:ascii="仿宋_GB2312" w:hAnsi="仿宋_GB2312" w:eastAsia="仿宋_GB2312" w:cs="仿宋_GB2312"/>
          <w:kern w:val="0"/>
          <w:sz w:val="32"/>
          <w:szCs w:val="32"/>
          <w:lang w:val="zh-CN"/>
        </w:rPr>
        <w:t>司法警察加班补助</w:t>
      </w:r>
      <w:r>
        <w:rPr>
          <w:rFonts w:hint="eastAsia" w:ascii="仿宋_GB2312" w:hAnsi="仿宋_GB2312" w:eastAsia="仿宋_GB2312" w:cs="仿宋_GB2312"/>
          <w:kern w:val="0"/>
          <w:sz w:val="32"/>
          <w:szCs w:val="32"/>
        </w:rPr>
        <w:t>8.52</w:t>
      </w:r>
      <w:r>
        <w:rPr>
          <w:rFonts w:hint="eastAsia" w:ascii="仿宋_GB2312" w:hAnsi="仿宋_GB2312" w:eastAsia="仿宋_GB2312" w:cs="仿宋_GB2312"/>
          <w:kern w:val="0"/>
          <w:sz w:val="32"/>
          <w:szCs w:val="32"/>
          <w:lang w:val="zh-CN"/>
        </w:rPr>
        <w:t>万元，检察监督</w:t>
      </w:r>
      <w:r>
        <w:rPr>
          <w:rFonts w:hint="eastAsia" w:ascii="仿宋_GB2312" w:hAnsi="仿宋_GB2312" w:eastAsia="仿宋_GB2312" w:cs="仿宋_GB2312"/>
          <w:kern w:val="0"/>
          <w:sz w:val="32"/>
          <w:szCs w:val="32"/>
        </w:rPr>
        <w:t>270</w:t>
      </w:r>
      <w:r>
        <w:rPr>
          <w:rFonts w:hint="eastAsia" w:ascii="仿宋_GB2312" w:hAnsi="仿宋_GB2312" w:eastAsia="仿宋_GB2312" w:cs="仿宋_GB2312"/>
          <w:kern w:val="0"/>
          <w:sz w:val="32"/>
          <w:szCs w:val="32"/>
          <w:lang w:val="zh-CN"/>
        </w:rPr>
        <w:t>万元，技侦大楼运行维护</w:t>
      </w:r>
      <w:r>
        <w:rPr>
          <w:rFonts w:hint="eastAsia" w:ascii="仿宋_GB2312" w:hAnsi="仿宋_GB2312" w:eastAsia="仿宋_GB2312" w:cs="仿宋_GB2312"/>
          <w:kern w:val="0"/>
          <w:sz w:val="32"/>
          <w:szCs w:val="32"/>
        </w:rPr>
        <w:t>82.13</w:t>
      </w:r>
      <w:r>
        <w:rPr>
          <w:rFonts w:hint="eastAsia" w:ascii="仿宋_GB2312" w:hAnsi="仿宋_GB2312" w:eastAsia="仿宋_GB2312" w:cs="仿宋_GB2312"/>
          <w:kern w:val="0"/>
          <w:sz w:val="32"/>
          <w:szCs w:val="32"/>
          <w:lang w:val="zh-CN"/>
        </w:rPr>
        <w:t>万元，国家司法救助</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万元，扶贫工作经费</w:t>
      </w:r>
      <w:r>
        <w:rPr>
          <w:rFonts w:hint="eastAsia" w:ascii="仿宋_GB2312" w:hAnsi="仿宋_GB2312" w:eastAsia="仿宋_GB2312" w:cs="仿宋_GB2312"/>
          <w:kern w:val="0"/>
          <w:sz w:val="32"/>
          <w:szCs w:val="32"/>
        </w:rPr>
        <w:t>5.46</w:t>
      </w:r>
      <w:r>
        <w:rPr>
          <w:rFonts w:hint="eastAsia" w:ascii="仿宋_GB2312" w:hAnsi="仿宋_GB2312" w:eastAsia="仿宋_GB2312" w:cs="仿宋_GB2312"/>
          <w:kern w:val="0"/>
          <w:sz w:val="32"/>
          <w:szCs w:val="32"/>
          <w:lang w:val="zh-CN"/>
        </w:rPr>
        <w:t>万元，聘用制书记员工作经费</w:t>
      </w:r>
      <w:r>
        <w:rPr>
          <w:rFonts w:hint="eastAsia" w:ascii="仿宋_GB2312" w:hAnsi="仿宋_GB2312" w:eastAsia="仿宋_GB2312" w:cs="仿宋_GB2312"/>
          <w:kern w:val="0"/>
          <w:sz w:val="32"/>
          <w:szCs w:val="32"/>
        </w:rPr>
        <w:t>161.2</w:t>
      </w:r>
      <w:r>
        <w:rPr>
          <w:rFonts w:hint="eastAsia" w:ascii="仿宋_GB2312" w:hAnsi="仿宋_GB2312" w:eastAsia="仿宋_GB2312" w:cs="仿宋_GB2312"/>
          <w:kern w:val="0"/>
          <w:sz w:val="32"/>
          <w:szCs w:val="32"/>
          <w:lang w:val="zh-CN"/>
        </w:rPr>
        <w:t>万元，转移支付资金</w:t>
      </w:r>
      <w:r>
        <w:rPr>
          <w:rFonts w:hint="eastAsia" w:ascii="仿宋_GB2312" w:hAnsi="仿宋_GB2312" w:eastAsia="仿宋_GB2312" w:cs="仿宋_GB2312"/>
          <w:kern w:val="0"/>
          <w:sz w:val="32"/>
          <w:szCs w:val="32"/>
        </w:rPr>
        <w:t>249.83万元。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spacing w:line="560" w:lineRule="exact"/>
        <w:ind w:firstLine="640" w:firstLineChars="200"/>
      </w:pPr>
      <w:r>
        <w:rPr>
          <w:rFonts w:hint="eastAsia" w:ascii="仿宋_GB2312" w:hAnsi="仿宋_GB2312" w:eastAsia="仿宋_GB2312" w:cs="仿宋_GB2312"/>
          <w:kern w:val="0"/>
          <w:sz w:val="32"/>
          <w:szCs w:val="32"/>
        </w:rPr>
        <w:t>2022年总体结转结余566.24万元。</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zh-CN"/>
        </w:rPr>
        <w:t>绩效目标制定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预算编制严格按照市财政局预算编制口径及有关要求，依据我院2021年工作任务测算细化预算，按时完成了绩效目标编制工作，绩效目标要素完整，指标细化量化，审核通过情况良好。我院人员类项目是基本支出中的人员经费，金额为2654.36万元。2022年在整体绩效目标中设置人员类项目绩效目标任务，涉及指标数5个。</w:t>
      </w:r>
    </w:p>
    <w:p>
      <w:pPr>
        <w:spacing w:line="560" w:lineRule="exact"/>
        <w:ind w:firstLine="640" w:firstLineChars="200"/>
        <w:rPr>
          <w:rFonts w:ascii="黑体" w:hAnsi="黑体" w:eastAsia="黑体" w:cs="黑体"/>
          <w:color w:val="auto"/>
          <w:kern w:val="0"/>
          <w:sz w:val="32"/>
          <w:szCs w:val="32"/>
          <w:lang w:val="zh-CN"/>
        </w:rPr>
      </w:pPr>
      <w:r>
        <w:rPr>
          <w:rFonts w:hint="eastAsia" w:ascii="黑体" w:hAnsi="黑体" w:eastAsia="黑体" w:cs="黑体"/>
          <w:color w:val="auto"/>
          <w:kern w:val="0"/>
          <w:sz w:val="32"/>
          <w:szCs w:val="32"/>
          <w:lang w:val="zh-CN"/>
        </w:rPr>
        <w:t>目标实现情况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w:t>
      </w:r>
      <w:r>
        <w:rPr>
          <w:rFonts w:hint="eastAsia" w:ascii="仿宋_GB2312" w:hAnsi="仿宋_GB2312" w:eastAsia="仿宋_GB2312" w:cs="仿宋_GB2312"/>
          <w:kern w:val="0"/>
          <w:sz w:val="32"/>
          <w:szCs w:val="32"/>
        </w:rPr>
        <w:t>完成年初设置绩效指标5个，完成5个，完成率100%。</w:t>
      </w:r>
    </w:p>
    <w:p>
      <w:pPr>
        <w:spacing w:line="560" w:lineRule="exact"/>
        <w:ind w:firstLine="640" w:firstLineChars="200"/>
        <w:rPr>
          <w:rFonts w:ascii="黑体" w:hAnsi="黑体" w:eastAsia="黑体" w:cs="黑体"/>
          <w:color w:val="auto"/>
          <w:kern w:val="0"/>
          <w:sz w:val="32"/>
          <w:szCs w:val="32"/>
          <w:lang w:val="zh-CN"/>
        </w:rPr>
      </w:pPr>
      <w:r>
        <w:rPr>
          <w:rFonts w:hint="eastAsia" w:ascii="黑体" w:hAnsi="黑体" w:eastAsia="黑体" w:cs="黑体"/>
          <w:color w:val="auto"/>
          <w:kern w:val="0"/>
          <w:sz w:val="32"/>
          <w:szCs w:val="32"/>
          <w:lang w:val="zh-CN"/>
        </w:rPr>
        <w:t>支出控制</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经费预算执行过程中，大力倡导发扬艰苦奋斗，精打细算，厉行节约精神，反对奢侈浪费，在经费开支单据审核过程中，严格把关，大力控制和压缩经费支出，按照人员工资标准严格发放，本着保基本、保运转的理念，在经费供需预算十分突出的情况下，较好地保障了我院人员经费。</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及时处置</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我院按照财政部门要求的时间节点，按时报送各项与绩效管理有关的资料，按照时间进度、项目执行进度合理安排经费支出，及时拨付项目款。</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执行进度及预算完成情况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人员类项目执行进度为</w:t>
      </w:r>
      <w:r>
        <w:rPr>
          <w:rFonts w:hint="eastAsia" w:ascii="仿宋_GB2312" w:hAnsi="仿宋_GB2312" w:eastAsia="仿宋_GB2312" w:cs="仿宋_GB2312"/>
          <w:kern w:val="0"/>
          <w:sz w:val="32"/>
          <w:szCs w:val="32"/>
        </w:rPr>
        <w:t>100%。按照</w:t>
      </w:r>
      <w:r>
        <w:rPr>
          <w:rFonts w:hint="eastAsia" w:ascii="仿宋_GB2312" w:hAnsi="仿宋_GB2312" w:eastAsia="仿宋_GB2312" w:cs="仿宋_GB2312"/>
          <w:kern w:val="0"/>
          <w:sz w:val="32"/>
          <w:szCs w:val="32"/>
          <w:lang w:val="zh-CN"/>
        </w:rPr>
        <w:t>时许进度安排支出。我院人员类项目预算金额</w:t>
      </w:r>
      <w:r>
        <w:rPr>
          <w:rFonts w:hint="eastAsia" w:ascii="仿宋_GB2312" w:hAnsi="仿宋_GB2312" w:eastAsia="仿宋_GB2312" w:cs="仿宋_GB2312"/>
          <w:kern w:val="0"/>
          <w:sz w:val="32"/>
          <w:szCs w:val="32"/>
        </w:rPr>
        <w:t>2654.36</w:t>
      </w:r>
      <w:r>
        <w:rPr>
          <w:rFonts w:hint="eastAsia" w:ascii="仿宋_GB2312" w:hAnsi="仿宋_GB2312" w:eastAsia="仿宋_GB2312" w:cs="仿宋_GB2312"/>
          <w:kern w:val="0"/>
          <w:sz w:val="32"/>
          <w:szCs w:val="32"/>
          <w:lang w:val="zh-CN"/>
        </w:rPr>
        <w:t>万元全年实现支出</w:t>
      </w:r>
      <w:r>
        <w:rPr>
          <w:rFonts w:hint="eastAsia" w:ascii="仿宋_GB2312" w:hAnsi="仿宋_GB2312" w:eastAsia="仿宋_GB2312" w:cs="仿宋_GB2312"/>
          <w:kern w:val="0"/>
          <w:sz w:val="32"/>
          <w:szCs w:val="32"/>
        </w:rPr>
        <w:t>2455.46</w:t>
      </w:r>
      <w:r>
        <w:rPr>
          <w:rFonts w:hint="eastAsia" w:ascii="仿宋_GB2312" w:hAnsi="仿宋_GB2312" w:eastAsia="仿宋_GB2312" w:cs="仿宋_GB2312"/>
          <w:kern w:val="0"/>
          <w:sz w:val="32"/>
          <w:szCs w:val="32"/>
          <w:lang w:val="zh-CN"/>
        </w:rPr>
        <w:t>万元，完成预算的</w:t>
      </w:r>
      <w:r>
        <w:rPr>
          <w:rFonts w:hint="eastAsia" w:ascii="仿宋_GB2312" w:hAnsi="仿宋_GB2312" w:eastAsia="仿宋_GB2312" w:cs="仿宋_GB2312"/>
          <w:kern w:val="0"/>
          <w:sz w:val="32"/>
          <w:szCs w:val="32"/>
        </w:rPr>
        <w:t>92.51%。</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资金结余率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人员类项目资金结余率为</w:t>
      </w:r>
      <w:r>
        <w:rPr>
          <w:rFonts w:hint="eastAsia" w:ascii="仿宋_GB2312" w:hAnsi="仿宋_GB2312" w:eastAsia="仿宋_GB2312" w:cs="仿宋_GB2312"/>
          <w:kern w:val="0"/>
          <w:sz w:val="32"/>
          <w:szCs w:val="32"/>
        </w:rPr>
        <w:t>7.49%。</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违规记录</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年，我院不存在违规支出等行为。</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zh-CN"/>
        </w:rPr>
        <w:t>绩效目标制定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预算编制严格按照市财政局预算编制口径及有关要求，依据我院2021年工作任务测算细化预算，按时完成了绩效目标编制工作，绩效目标要素完整，指标细化量化，审核通过情况良好。我院运转类项目是基本支出中的公用经费项目，金额为330.84万元。2022年在整体绩效目标中设置人员类项目绩效目标任务，涉及指标数5个。</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目标实现情况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w:t>
      </w:r>
      <w:r>
        <w:rPr>
          <w:rFonts w:hint="eastAsia" w:ascii="仿宋_GB2312" w:hAnsi="仿宋_GB2312" w:eastAsia="仿宋_GB2312" w:cs="仿宋_GB2312"/>
          <w:kern w:val="0"/>
          <w:sz w:val="32"/>
          <w:szCs w:val="32"/>
        </w:rPr>
        <w:t>完成年初设置绩效指标5个，完成5个，完成率100%。</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支出控制</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经费预算执行过程中，大力倡导发扬艰苦奋斗，精打细算，厉行节约精神，反对奢侈浪费，在经费开支单据审核过程中，严格把关，大力控制和压缩经费支出，按照人员工资标准严格发放，本着保基本、保运转的理念，在经费供需预算十分突出的情况下，较好地保障了我院运转经费。</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及时处置</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我院按照财政部门要求的时间节点，按时报送各项与绩效管理有关的资料，按照时间进度、项目执行进度合理安排经费支出，及时拨付项目款。</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执行进度及预算完成情况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运转类项目执行进度为</w:t>
      </w:r>
      <w:r>
        <w:rPr>
          <w:rFonts w:hint="eastAsia" w:ascii="仿宋_GB2312" w:hAnsi="仿宋_GB2312" w:eastAsia="仿宋_GB2312" w:cs="仿宋_GB2312"/>
          <w:kern w:val="0"/>
          <w:sz w:val="32"/>
          <w:szCs w:val="32"/>
        </w:rPr>
        <w:t>100%。按照</w:t>
      </w:r>
      <w:r>
        <w:rPr>
          <w:rFonts w:hint="eastAsia" w:ascii="仿宋_GB2312" w:hAnsi="仿宋_GB2312" w:eastAsia="仿宋_GB2312" w:cs="仿宋_GB2312"/>
          <w:kern w:val="0"/>
          <w:sz w:val="32"/>
          <w:szCs w:val="32"/>
          <w:lang w:val="zh-CN"/>
        </w:rPr>
        <w:t>时许进度安排支出。我院运转类项目预算金额</w:t>
      </w:r>
      <w:r>
        <w:rPr>
          <w:rFonts w:hint="eastAsia" w:ascii="仿宋_GB2312" w:hAnsi="仿宋_GB2312" w:eastAsia="仿宋_GB2312" w:cs="仿宋_GB2312"/>
          <w:kern w:val="0"/>
          <w:sz w:val="32"/>
          <w:szCs w:val="32"/>
        </w:rPr>
        <w:t>330.84</w:t>
      </w:r>
      <w:r>
        <w:rPr>
          <w:rFonts w:hint="eastAsia" w:ascii="仿宋_GB2312" w:hAnsi="仿宋_GB2312" w:eastAsia="仿宋_GB2312" w:cs="仿宋_GB2312"/>
          <w:kern w:val="0"/>
          <w:sz w:val="32"/>
          <w:szCs w:val="32"/>
          <w:lang w:val="zh-CN"/>
        </w:rPr>
        <w:t>万元全年实现支出</w:t>
      </w:r>
      <w:r>
        <w:rPr>
          <w:rFonts w:hint="eastAsia" w:ascii="仿宋_GB2312" w:hAnsi="仿宋_GB2312" w:eastAsia="仿宋_GB2312" w:cs="仿宋_GB2312"/>
          <w:kern w:val="0"/>
          <w:sz w:val="32"/>
          <w:szCs w:val="32"/>
        </w:rPr>
        <w:t>330.84</w:t>
      </w:r>
      <w:r>
        <w:rPr>
          <w:rFonts w:hint="eastAsia" w:ascii="仿宋_GB2312" w:hAnsi="仿宋_GB2312" w:eastAsia="仿宋_GB2312" w:cs="仿宋_GB2312"/>
          <w:kern w:val="0"/>
          <w:sz w:val="32"/>
          <w:szCs w:val="32"/>
          <w:lang w:val="zh-CN"/>
        </w:rPr>
        <w:t>万元，完成预算的</w:t>
      </w:r>
      <w:r>
        <w:rPr>
          <w:rFonts w:hint="eastAsia" w:ascii="仿宋_GB2312" w:hAnsi="仿宋_GB2312" w:eastAsia="仿宋_GB2312" w:cs="仿宋_GB2312"/>
          <w:kern w:val="0"/>
          <w:sz w:val="32"/>
          <w:szCs w:val="32"/>
        </w:rPr>
        <w:t>100%。</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资金结余率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运转类项目资金结余率为</w:t>
      </w:r>
      <w:r>
        <w:rPr>
          <w:rFonts w:hint="eastAsia" w:ascii="仿宋_GB2312" w:hAnsi="仿宋_GB2312" w:eastAsia="仿宋_GB2312" w:cs="仿宋_GB2312"/>
          <w:kern w:val="0"/>
          <w:sz w:val="32"/>
          <w:szCs w:val="32"/>
        </w:rPr>
        <w:t>0。</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违规记录</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年，我院不存在违规支出等行为。</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zh-CN"/>
        </w:rPr>
        <w:t>绩效目标制定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预算编制严格按照市财政局预算编制口径及有关要求，依据我院2021年工作任务测算细化预算，按时完成了绩效目标编制工作，绩效目标要素完整，指标细化量化，审核通过情况良好。我院运转类项目为9个，分别是国家司法救助10万元，检察监督270万元，司法警察加班补助8.52万元，一体化网络建设项目471.27万元，分级保护项目122.04万元，技侦大楼运行维护82.13万元，聘用人员及聘用制书记员经费166.2万元，乡村振兴工作经费5.46万元，转移支付520.8万元，共计1656.42万元，其中，转移支付已单独进行自评，不再重复评价。其余8个项目共设置绩效目标数量为90个，如办理各类案件数6607件，召开听证会3次。</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目标实现情况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w:t>
      </w:r>
      <w:r>
        <w:rPr>
          <w:rFonts w:hint="eastAsia" w:ascii="仿宋_GB2312" w:hAnsi="仿宋_GB2312" w:eastAsia="仿宋_GB2312" w:cs="仿宋_GB2312"/>
          <w:kern w:val="0"/>
          <w:sz w:val="32"/>
          <w:szCs w:val="32"/>
        </w:rPr>
        <w:t>完成年初设置绩效指标90个，完成85个，完成率4.44%，还有5个任务未实现，分别是文件印制错误率0%，技术装备闲置率0%，市目标考核一等次，新增设备数量215个，时效指标为6个月。</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支出控制</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经费预算执行过程中，大力倡导发扬艰苦奋斗，精打细算，厉行节约精神，反对奢侈浪费，在经费开支单据审核过程中，严格把关，大力控制和压缩经费支出，在经费供需预算十分突出的情况下，较好地保障了我院特定项目的支出。</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及时处置</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我院按照财政部门要求的时间节点，按时报送各项与绩效管理有关的资料，基本能够按照时间进度、项目执行进度合理安排经费支出，及时拨付项目款。</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执行进度及预算完成情况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特定目标类项目执行进度为</w:t>
      </w:r>
      <w:r>
        <w:rPr>
          <w:rFonts w:hint="eastAsia" w:ascii="仿宋_GB2312" w:hAnsi="仿宋_GB2312" w:eastAsia="仿宋_GB2312" w:cs="仿宋_GB2312"/>
          <w:kern w:val="0"/>
          <w:sz w:val="32"/>
          <w:szCs w:val="32"/>
        </w:rPr>
        <w:t>77.82%。主要原因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zh-CN"/>
        </w:rPr>
        <w:t>一是第二批转移支付资金下达转晚，在十月左右下达，无法及时使用基本要在次年上半年才能完成全部采购；二是部分资金为政府采购资金，采购流程较为复杂，周期较长，审批程序严格，如苍溪县院执法执勤车辆购置资金尚未使用，原因在于</w:t>
      </w:r>
      <w:r>
        <w:rPr>
          <w:rFonts w:hint="eastAsia" w:ascii="仿宋_GB2312" w:hAnsi="仿宋_GB2312" w:eastAsia="仿宋_GB2312" w:cs="仿宋_GB2312"/>
          <w:kern w:val="0"/>
          <w:sz w:val="32"/>
          <w:szCs w:val="32"/>
        </w:rPr>
        <w:t>2022年工作启动较晚，办理资产报废评估、政府报废批复等工作持续到年末，2023年将执行采购；三是2022年10月-12月，广元由于新冠疫情</w:t>
      </w:r>
      <w:r>
        <w:rPr>
          <w:rFonts w:hint="eastAsia" w:ascii="仿宋_GB2312" w:hAnsi="仿宋_GB2312" w:eastAsia="仿宋_GB2312" w:cs="仿宋_GB2312"/>
          <w:kern w:val="0"/>
          <w:sz w:val="32"/>
          <w:szCs w:val="32"/>
          <w:lang w:eastAsia="zh-CN"/>
        </w:rPr>
        <w:t>暴</w:t>
      </w:r>
      <w:r>
        <w:rPr>
          <w:rFonts w:hint="eastAsia" w:ascii="仿宋_GB2312" w:hAnsi="仿宋_GB2312" w:eastAsia="仿宋_GB2312" w:cs="仿宋_GB2312"/>
          <w:kern w:val="0"/>
          <w:sz w:val="32"/>
          <w:szCs w:val="32"/>
        </w:rPr>
        <w:t>发，采取了几轮应急封城，导致许多工作进度较慢，转移支付资金使用进度不高。</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资金结余率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特定项目类项目资金结余率为</w:t>
      </w:r>
      <w:r>
        <w:rPr>
          <w:rFonts w:hint="eastAsia" w:ascii="仿宋_GB2312" w:hAnsi="仿宋_GB2312" w:eastAsia="仿宋_GB2312" w:cs="仿宋_GB2312"/>
          <w:kern w:val="0"/>
          <w:sz w:val="32"/>
          <w:szCs w:val="32"/>
        </w:rPr>
        <w:t>22.18%。</w:t>
      </w:r>
    </w:p>
    <w:p>
      <w:pPr>
        <w:spacing w:line="560" w:lineRule="exact"/>
        <w:ind w:firstLine="640" w:firstLineChars="200"/>
        <w:rPr>
          <w:rFonts w:ascii="黑体" w:hAnsi="黑体" w:eastAsia="黑体" w:cs="黑体"/>
          <w:kern w:val="0"/>
          <w:sz w:val="32"/>
          <w:szCs w:val="32"/>
          <w:lang w:val="zh-CN"/>
        </w:rPr>
      </w:pPr>
      <w:r>
        <w:rPr>
          <w:rFonts w:hint="eastAsia" w:ascii="黑体" w:hAnsi="黑体" w:eastAsia="黑体" w:cs="黑体"/>
          <w:kern w:val="0"/>
          <w:sz w:val="32"/>
          <w:szCs w:val="32"/>
          <w:lang w:val="zh-CN"/>
        </w:rPr>
        <w:t>违规记录</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年，我院不存在违规支出等行为。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围绕部门整体绩效目标完成情况和部门履职情况进行绩效分析。</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绩效目标制定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预算编制严格按照市财政局预算编制口径及有关要求，依据我院2021年工作任务测算细化预算，按时完成了绩效目标编制工作，绩效目标要素完整，指标细化量化，审核通过情况良好。2022年编制绩效目标项目共9个，其中涉及指标数90个。</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2.目标实现情况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w:t>
      </w:r>
      <w:r>
        <w:rPr>
          <w:rFonts w:hint="eastAsia" w:ascii="仿宋_GB2312" w:hAnsi="仿宋_GB2312" w:eastAsia="仿宋_GB2312" w:cs="仿宋_GB2312"/>
          <w:kern w:val="0"/>
          <w:sz w:val="32"/>
          <w:szCs w:val="32"/>
        </w:rPr>
        <w:t>完成年初设置绩效指标90个，完成85个，完成率94.44%。</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3.支出控制</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的预算执行管理工作在院党组的领导下，在其他内设机构的大力支持下，认真贯彻执行党中央国务院和省委、省政府关于党政机关厉行节约的各项要求，始终坚持“严格执行经费预算，突出经费保障重点”的原则。在经费预算执行过程中，大力倡导发扬艰苦奋斗，精打细算，厉行节约精神，反对奢侈浪费，在经费开支单据审核过程中，严格把关，大力控制和压缩经费支出，努力降低行政运行成本，在经费供需预算十分突出的情况下，基本实现了年度经费收支综合平衡的目标，较好地保障了我院各项检察事业任务的完成。</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4.及时处置</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我院按照财政部门要求的时间节点，按时报送各项与绩效管理有关的资料，按照时间进度、项目执行进度合理安排经费支出，及时拨付项目款。</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5.执行进度</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整体来看，总体执行进度为</w:t>
      </w:r>
      <w:r>
        <w:rPr>
          <w:rFonts w:hint="eastAsia" w:ascii="仿宋_GB2312" w:hAnsi="仿宋_GB2312" w:eastAsia="仿宋_GB2312" w:cs="仿宋_GB2312"/>
          <w:kern w:val="0"/>
          <w:sz w:val="32"/>
          <w:szCs w:val="32"/>
        </w:rPr>
        <w:t>87.81%，基本能</w:t>
      </w:r>
      <w:r>
        <w:rPr>
          <w:rFonts w:hint="eastAsia" w:ascii="仿宋_GB2312" w:hAnsi="仿宋_GB2312" w:eastAsia="仿宋_GB2312" w:cs="仿宋_GB2312"/>
          <w:kern w:val="0"/>
          <w:sz w:val="32"/>
          <w:szCs w:val="32"/>
          <w:lang w:val="zh-CN"/>
        </w:rPr>
        <w:t>根据时序进度安排支出。</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6.预算完成情况</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我院年初预算金额</w:t>
      </w:r>
      <w:r>
        <w:rPr>
          <w:rFonts w:hint="eastAsia" w:ascii="仿宋_GB2312" w:hAnsi="仿宋_GB2312" w:eastAsia="仿宋_GB2312" w:cs="仿宋_GB2312"/>
          <w:kern w:val="0"/>
          <w:sz w:val="32"/>
          <w:szCs w:val="32"/>
        </w:rPr>
        <w:t>2796.54</w:t>
      </w:r>
      <w:r>
        <w:rPr>
          <w:rFonts w:hint="eastAsia" w:ascii="仿宋_GB2312" w:hAnsi="仿宋_GB2312" w:eastAsia="仿宋_GB2312" w:cs="仿宋_GB2312"/>
          <w:kern w:val="0"/>
          <w:sz w:val="32"/>
          <w:szCs w:val="32"/>
          <w:lang w:val="zh-CN"/>
        </w:rPr>
        <w:t>万元，预算调整后</w:t>
      </w:r>
      <w:r>
        <w:rPr>
          <w:rFonts w:hint="eastAsia" w:ascii="仿宋_GB2312" w:hAnsi="仿宋_GB2312" w:eastAsia="仿宋_GB2312" w:cs="仿宋_GB2312"/>
          <w:kern w:val="0"/>
          <w:sz w:val="32"/>
          <w:szCs w:val="32"/>
        </w:rPr>
        <w:t>4641.62</w:t>
      </w:r>
      <w:r>
        <w:rPr>
          <w:rFonts w:hint="eastAsia" w:ascii="仿宋_GB2312" w:hAnsi="仿宋_GB2312" w:eastAsia="仿宋_GB2312" w:cs="仿宋_GB2312"/>
          <w:kern w:val="0"/>
          <w:sz w:val="32"/>
          <w:szCs w:val="32"/>
          <w:lang w:val="zh-CN"/>
        </w:rPr>
        <w:t>万元，全年实现支出</w:t>
      </w:r>
      <w:r>
        <w:rPr>
          <w:rFonts w:hint="eastAsia" w:ascii="仿宋_GB2312" w:hAnsi="仿宋_GB2312" w:eastAsia="仿宋_GB2312" w:cs="仿宋_GB2312"/>
          <w:kern w:val="0"/>
          <w:sz w:val="32"/>
          <w:szCs w:val="32"/>
        </w:rPr>
        <w:t>4075.38</w:t>
      </w:r>
      <w:r>
        <w:rPr>
          <w:rFonts w:hint="eastAsia" w:ascii="仿宋_GB2312" w:hAnsi="仿宋_GB2312" w:eastAsia="仿宋_GB2312" w:cs="仿宋_GB2312"/>
          <w:kern w:val="0"/>
          <w:sz w:val="32"/>
          <w:szCs w:val="32"/>
          <w:lang w:val="zh-CN"/>
        </w:rPr>
        <w:t>万元，占预算的</w:t>
      </w:r>
      <w:r>
        <w:rPr>
          <w:rFonts w:hint="eastAsia" w:ascii="仿宋_GB2312" w:hAnsi="仿宋_GB2312" w:eastAsia="仿宋_GB2312" w:cs="仿宋_GB2312"/>
          <w:kern w:val="0"/>
          <w:sz w:val="32"/>
          <w:szCs w:val="32"/>
        </w:rPr>
        <w:t>87.81</w:t>
      </w:r>
      <w:r>
        <w:rPr>
          <w:rFonts w:hint="eastAsia" w:ascii="仿宋_GB2312" w:hAnsi="仿宋_GB2312" w:eastAsia="仿宋_GB2312" w:cs="仿宋_GB2312"/>
          <w:kern w:val="0"/>
          <w:sz w:val="32"/>
          <w:szCs w:val="32"/>
          <w:lang w:val="zh-CN"/>
        </w:rPr>
        <w:t>%。</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7.资金结余率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我院资金结余率为</w:t>
      </w:r>
      <w:r>
        <w:rPr>
          <w:rFonts w:hint="eastAsia" w:ascii="仿宋_GB2312" w:hAnsi="仿宋_GB2312" w:eastAsia="仿宋_GB2312" w:cs="仿宋_GB2312"/>
          <w:kern w:val="0"/>
          <w:sz w:val="32"/>
          <w:szCs w:val="32"/>
        </w:rPr>
        <w:t>12.19%。</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8.违规记录</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年，我院不存在违规支出等行为。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1.内部应用。2022年，我院根据资金情况安排、预算执行、绩效目标完成情况，调整了资金安排，将2021年转移支付资金17万元调整为采购预算，用于执法执勤车辆的购置。</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信息公开。202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年，我院按照市财政局统一时间、统一口径、统一格式在广元市政府和局门户网站上向社会公开了202</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年部门预算及财政资金安排的“三公”经费预算、绩效目标及其他按要求应公开的绩效信息，同时将转移支付绩效自评向同级人大部门进行了报送。</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整改反馈。我院积极应用绩效结果，将绩效管理结果与预算安排进行挂钩。根据上年度单位整体支出绩效目标和项目绩效目标完成情况，在安排预算时对相应单位和项目的预算进行相应调整。</w:t>
      </w:r>
    </w:p>
    <w:p>
      <w:pPr>
        <w:widowControl/>
        <w:numPr>
          <w:ilvl w:val="0"/>
          <w:numId w:val="8"/>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我院严格按照“市级部门整体支出绩效评价指标体系”计分标准逐项对照开展自评，</w:t>
      </w:r>
      <w:r>
        <w:rPr>
          <w:rFonts w:hint="eastAsia" w:ascii="仿宋_GB2312" w:hAnsi="仿宋_GB2312" w:eastAsia="仿宋_GB2312" w:cs="仿宋_GB2312"/>
          <w:kern w:val="0"/>
          <w:sz w:val="32"/>
          <w:szCs w:val="32"/>
          <w:lang w:val="zh-CN"/>
        </w:rPr>
        <w:t>部门整体绩效目标、项目绩效目标编制全面准确，对绩效指标尽量量化。整体绩效目标涵盖了单位基本支出和所有项目支出，绩效监控情况。按照财政预算批复，建立了资金监控台账，随时监控预算实施进度。同时，按照财政要求填报了相关报表，自评准确性较高。</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79" w:name="_Toc1002"/>
      <w:r>
        <w:rPr>
          <w:rFonts w:hint="eastAsia" w:ascii="黑体" w:hAnsi="宋体" w:eastAsia="黑体" w:cs="宋体"/>
          <w:kern w:val="0"/>
          <w:sz w:val="32"/>
          <w:szCs w:val="32"/>
          <w:shd w:val="clear" w:color="auto" w:fill="FFFFFF"/>
        </w:rPr>
        <w:t>四、评价结论及建议</w:t>
      </w:r>
      <w:bookmarkEnd w:id="79"/>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spacing w:line="560" w:lineRule="exact"/>
        <w:ind w:firstLine="640" w:firstLineChars="200"/>
        <w:rPr>
          <w:lang w:val="zh-CN"/>
        </w:rPr>
      </w:pPr>
      <w:r>
        <w:rPr>
          <w:rFonts w:hint="eastAsia" w:ascii="仿宋_GB2312" w:hAnsi="仿宋_GB2312" w:eastAsia="仿宋_GB2312" w:cs="仿宋_GB2312"/>
          <w:kern w:val="0"/>
          <w:sz w:val="32"/>
          <w:szCs w:val="32"/>
        </w:rPr>
        <w:t>2022年，我院围绕大局、服务中心，</w:t>
      </w:r>
      <w:r>
        <w:rPr>
          <w:rFonts w:hint="eastAsia" w:ascii="仿宋_GB2312" w:hAnsi="仿宋_GB2312" w:eastAsia="仿宋_GB2312" w:cs="仿宋_GB2312"/>
          <w:kern w:val="0"/>
          <w:sz w:val="32"/>
          <w:szCs w:val="32"/>
          <w:lang w:val="zh-CN"/>
        </w:rPr>
        <w:t>履职尽责，为全市经济社会发展提供了有力司法保障，</w:t>
      </w:r>
      <w:r>
        <w:rPr>
          <w:rFonts w:hint="eastAsia" w:ascii="仿宋_GB2312" w:hAnsi="仿宋_GB2312" w:eastAsia="仿宋_GB2312" w:cs="仿宋_GB2312"/>
          <w:kern w:val="0"/>
          <w:sz w:val="32"/>
          <w:szCs w:val="32"/>
        </w:rPr>
        <w:t>部门整体预算绩效总体良好，自评为95.78分。</w:t>
      </w:r>
    </w:p>
    <w:p>
      <w:pPr>
        <w:widowControl/>
        <w:numPr>
          <w:ilvl w:val="0"/>
          <w:numId w:val="9"/>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预算执行进度不均衡。预算执行进度总体呈现前松后紧的状态，大部分项目资金支付集中在年末，造成整个年度预算执行进度不均衡。</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们将进一步重视预算的编制工作，提高预算编制的精确度，细化预算编制工作，提高预算编制的科学性、合理性、严谨性和可控性，同时加强同财政部门的沟通协调。一是加强绩效管理工作宣传，进一步明确财务部门与业务部门在预算绩效管理中的职能职责，财务部门为绩效管理牵头组织主体、业务部门为绩效管理责任主体。二是积极参加组织绩效指标设置等实操方面的专业培训，提升绩效管理水平。三是提高算完成率，加强预算编制准确性。</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2.提高预算执行率，均衡预算执行进度，将绩效考核与内部控制相结合，进一步细化内部绩效考核评价机制，按季度对预算执行情况进行监控，提高预算执行率。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3.细化财务制度，加强内部控制建设，以契合精细化、规范化、高效管理的现实需求。提高财政资金使用效率，尽量减少预算执行中的调整。</w:t>
      </w:r>
    </w:p>
    <w:p>
      <w:pPr>
        <w:pStyle w:val="17"/>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8"/>
        <w:spacing w:before="93"/>
        <w:rPr>
          <w:rFonts w:hAnsi="宋体" w:cs="宋体"/>
          <w:sz w:val="32"/>
          <w:szCs w:val="32"/>
          <w:shd w:val="clear" w:color="auto" w:fill="FFFFFF"/>
          <w:lang w:val="zh-CN"/>
        </w:rPr>
      </w:pPr>
    </w:p>
    <w:p>
      <w:pPr>
        <w:pStyle w:val="8"/>
        <w:spacing w:before="93"/>
        <w:rPr>
          <w:rFonts w:hAnsi="宋体" w:cs="宋体"/>
          <w:sz w:val="32"/>
          <w:szCs w:val="32"/>
          <w:shd w:val="clear" w:color="auto" w:fill="FFFFFF"/>
          <w:lang w:val="zh-CN"/>
        </w:rPr>
      </w:pPr>
    </w:p>
    <w:p>
      <w:pPr>
        <w:pStyle w:val="8"/>
        <w:spacing w:before="93"/>
        <w:outlineLvl w:val="1"/>
        <w:rPr>
          <w:rFonts w:hAnsi="宋体" w:cs="宋体"/>
          <w:sz w:val="32"/>
          <w:szCs w:val="32"/>
          <w:shd w:val="clear" w:color="auto" w:fill="FFFFFF"/>
        </w:rPr>
      </w:pPr>
      <w:bookmarkStart w:id="80" w:name="_Toc17964"/>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80"/>
    </w:p>
    <w:p/>
    <w:p>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2023年市级专项资金预算项目支出绩效</w:t>
      </w:r>
    </w:p>
    <w:p>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自评报告（分级保护项目）</w:t>
      </w:r>
    </w:p>
    <w:p>
      <w:pPr>
        <w:pStyle w:val="37"/>
        <w:spacing w:line="578" w:lineRule="exact"/>
        <w:ind w:firstLine="640"/>
        <w:jc w:val="center"/>
        <w:rPr>
          <w:rFonts w:ascii="宋体" w:hAnsi="宋体"/>
          <w:color w:val="auto"/>
          <w:kern w:val="2"/>
          <w:sz w:val="32"/>
          <w:szCs w:val="32"/>
        </w:rPr>
      </w:pPr>
    </w:p>
    <w:p>
      <w:pPr>
        <w:adjustRightInd w:val="0"/>
        <w:snapToGrid w:val="0"/>
        <w:spacing w:line="578" w:lineRule="exact"/>
        <w:ind w:firstLine="720"/>
        <w:outlineLvl w:val="1"/>
        <w:rPr>
          <w:rFonts w:ascii="黑体" w:hAnsi="宋体" w:eastAsia="黑体"/>
          <w:sz w:val="32"/>
          <w:szCs w:val="32"/>
          <w:lang w:val="zh-CN"/>
        </w:rPr>
      </w:pPr>
      <w:bookmarkStart w:id="81" w:name="_Toc18284"/>
      <w:r>
        <w:rPr>
          <w:rFonts w:hint="eastAsia" w:ascii="黑体" w:hAnsi="宋体" w:eastAsia="黑体"/>
          <w:sz w:val="32"/>
          <w:szCs w:val="32"/>
        </w:rPr>
        <w:t>一、</w:t>
      </w:r>
      <w:r>
        <w:rPr>
          <w:rFonts w:hint="eastAsia" w:ascii="黑体" w:hAnsi="宋体" w:eastAsia="黑体"/>
          <w:sz w:val="32"/>
          <w:szCs w:val="32"/>
          <w:lang w:val="zh-CN"/>
        </w:rPr>
        <w:t>项目概况</w:t>
      </w:r>
      <w:bookmarkEnd w:id="81"/>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完成检察专网涉密信息系统分级保护建设，建设满足现代检察机关保密工作的网络环境。</w:t>
      </w:r>
    </w:p>
    <w:p>
      <w:pPr>
        <w:pStyle w:val="16"/>
        <w:numPr>
          <w:ilvl w:val="0"/>
          <w:numId w:val="10"/>
        </w:numPr>
        <w:shd w:val="clear" w:color="auto" w:fill="FFFFFF"/>
        <w:ind w:firstLine="640" w:firstLineChars="200"/>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项目立项、资金申报的依据，</w:t>
      </w:r>
      <w:r>
        <w:rPr>
          <w:rFonts w:hint="eastAsia" w:ascii="仿宋_GB2312" w:hAnsi="仿宋_GB2312" w:eastAsia="仿宋_GB2312" w:cs="仿宋_GB2312"/>
          <w:sz w:val="32"/>
          <w:szCs w:val="32"/>
          <w:shd w:val="clear" w:color="auto" w:fill="FFFFFF"/>
        </w:rPr>
        <w:t>包括但不限于</w:t>
      </w:r>
      <w:r>
        <w:rPr>
          <w:rFonts w:hint="eastAsia" w:ascii="仿宋_GB2312" w:hAnsi="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项目涉及</w:t>
      </w:r>
      <w:r>
        <w:rPr>
          <w:rFonts w:hint="eastAsia" w:ascii="仿宋_GB2312" w:hAnsi="仿宋_GB2312" w:cs="仿宋_GB2312"/>
          <w:sz w:val="32"/>
          <w:szCs w:val="32"/>
          <w:shd w:val="clear" w:color="auto" w:fill="FFFFFF"/>
        </w:rPr>
        <w:t>的中省</w:t>
      </w:r>
      <w:r>
        <w:rPr>
          <w:rFonts w:hint="eastAsia" w:ascii="仿宋_GB2312" w:hAnsi="仿宋_GB2312" w:eastAsia="仿宋_GB2312" w:cs="仿宋_GB2312"/>
          <w:sz w:val="32"/>
          <w:szCs w:val="32"/>
          <w:shd w:val="clear" w:color="auto" w:fill="FFFFFF"/>
        </w:rPr>
        <w:t>相关政策文件</w:t>
      </w:r>
      <w:r>
        <w:rPr>
          <w:rFonts w:hint="eastAsia" w:ascii="仿宋_GB2312" w:hAnsi="仿宋_GB2312" w:cs="仿宋_GB2312"/>
          <w:sz w:val="32"/>
          <w:szCs w:val="32"/>
          <w:shd w:val="clear" w:color="auto" w:fill="FFFFFF"/>
        </w:rPr>
        <w:t>和</w:t>
      </w:r>
      <w:r>
        <w:rPr>
          <w:rFonts w:hint="eastAsia" w:ascii="仿宋_GB2312" w:hAnsi="仿宋_GB2312" w:eastAsia="仿宋_GB2312" w:cs="仿宋_GB2312"/>
          <w:sz w:val="32"/>
          <w:szCs w:val="32"/>
          <w:shd w:val="clear" w:color="auto" w:fill="FFFFFF"/>
        </w:rPr>
        <w:t>规划</w:t>
      </w:r>
      <w:r>
        <w:rPr>
          <w:rFonts w:hint="eastAsia" w:ascii="仿宋_GB2312" w:hAnsi="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项目设立论证资料</w:t>
      </w:r>
      <w:r>
        <w:rPr>
          <w:rFonts w:hint="eastAsia" w:ascii="仿宋_GB2312" w:hAnsi="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资金安排相关文件</w:t>
      </w:r>
      <w:r>
        <w:rPr>
          <w:rFonts w:hint="eastAsia" w:ascii="仿宋_GB2312" w:hAnsi="仿宋_GB2312" w:cs="仿宋_GB2312"/>
          <w:sz w:val="32"/>
          <w:szCs w:val="32"/>
          <w:shd w:val="clear" w:color="auto" w:fill="FFFFFF"/>
        </w:rPr>
        <w:t>等</w:t>
      </w:r>
      <w:r>
        <w:rPr>
          <w:rFonts w:hint="eastAsia" w:ascii="仿宋_GB2312" w:hAnsi="仿宋_GB2312" w:eastAsia="仿宋_GB2312" w:cs="仿宋_GB2312"/>
          <w:sz w:val="32"/>
          <w:szCs w:val="32"/>
          <w:shd w:val="clear" w:color="auto" w:fill="FFFFFF"/>
        </w:rPr>
        <w:t>。附相关文件资料</w:t>
      </w:r>
      <w:r>
        <w:rPr>
          <w:rFonts w:hint="eastAsia" w:ascii="仿宋_GB2312" w:hAnsi="仿宋_GB2312" w:eastAsia="仿宋_GB2312" w:cs="仿宋_GB2312"/>
          <w:sz w:val="32"/>
          <w:szCs w:val="32"/>
          <w:shd w:val="clear" w:color="auto" w:fill="FFFFFF"/>
          <w:lang w:val="zh-CN"/>
        </w:rPr>
        <w:t>。</w:t>
      </w:r>
    </w:p>
    <w:p>
      <w:pPr>
        <w:pStyle w:val="16"/>
        <w:shd w:val="clear" w:color="auto" w:fill="FFFFFF"/>
        <w:ind w:firstLine="640" w:firstLineChars="200"/>
        <w:rPr>
          <w:rFonts w:ascii="仿宋" w:eastAsia="仿宋" w:cs="仿宋_GB2312"/>
          <w:sz w:val="32"/>
          <w:szCs w:val="32"/>
        </w:rPr>
      </w:pPr>
      <w:r>
        <w:rPr>
          <w:rFonts w:hint="eastAsia" w:ascii="仿宋_GB2312" w:hAnsi="仿宋_GB2312" w:eastAsia="仿宋_GB2312" w:cs="仿宋_GB2312"/>
          <w:sz w:val="32"/>
          <w:szCs w:val="32"/>
          <w:shd w:val="clear" w:color="auto" w:fill="FFFFFF"/>
          <w:lang w:val="zh-CN"/>
        </w:rPr>
        <w:t>（一）提高现代化保障能力的重要手段。近年来，全国检察机关加大信息化投入，检察专网基础建设取得了巨大的成就。但由于检察专网没有能过分级保护测评，不能处理、传输涉密信息，其使用范围受很大限制。深入推进分级保护建设，确保各种涉密信息在检察专网上产生、处理、传输和存储，就能“盘活”网络资源，提高网络效用，为检察工作提供坚实的安全保密和信息化保障。</w:t>
      </w:r>
      <w:r>
        <w:rPr>
          <w:rFonts w:hint="eastAsia" w:ascii="仿宋" w:eastAsia="仿宋" w:cs="仿宋_GB2312"/>
          <w:sz w:val="32"/>
          <w:szCs w:val="32"/>
        </w:rPr>
        <w:t> </w:t>
      </w:r>
    </w:p>
    <w:p>
      <w:pPr>
        <w:pStyle w:val="16"/>
        <w:shd w:val="clear" w:color="auto" w:fill="FFFFFF"/>
        <w:rPr>
          <w:rFonts w:ascii="仿宋_GB2312" w:hAnsi="仿宋_GB2312" w:eastAsia="仿宋_GB2312" w:cs="仿宋_GB2312"/>
          <w:sz w:val="32"/>
          <w:szCs w:val="32"/>
          <w:shd w:val="clear" w:color="auto" w:fill="FFFFFF"/>
          <w:lang w:val="zh-CN"/>
        </w:rPr>
      </w:pPr>
      <w:r>
        <w:rPr>
          <w:rFonts w:hint="eastAsia" w:ascii="仿宋" w:eastAsia="仿宋" w:cs="仿宋_GB2312"/>
          <w:sz w:val="32"/>
          <w:szCs w:val="32"/>
        </w:rPr>
        <w:t>　　</w:t>
      </w:r>
      <w:r>
        <w:rPr>
          <w:rFonts w:hint="eastAsia" w:ascii="仿宋" w:eastAsia="仿宋" w:cs="仿宋_GB2312"/>
          <w:sz w:val="32"/>
          <w:szCs w:val="32"/>
          <w:lang w:eastAsia="zh-CN"/>
        </w:rPr>
        <w:t>（</w:t>
      </w:r>
      <w:r>
        <w:rPr>
          <w:rFonts w:hint="eastAsia" w:ascii="仿宋_GB2312" w:hAnsi="仿宋_GB2312" w:eastAsia="仿宋_GB2312" w:cs="仿宋_GB2312"/>
          <w:sz w:val="32"/>
          <w:szCs w:val="32"/>
          <w:shd w:val="clear" w:color="auto" w:fill="FFFFFF"/>
          <w:lang w:val="zh-CN"/>
        </w:rPr>
        <w:t>二）提高科学管理水平的重要举措。信息网络的建设和应用，涉及机关工作的各个方面，通过分级保护建设，可以构建科学、规范的日常管理体系，促进机关管理科学化、规范化。 </w:t>
      </w:r>
    </w:p>
    <w:p>
      <w:pPr>
        <w:pStyle w:val="16"/>
        <w:shd w:val="clear" w:color="auto" w:fill="FFFFFF"/>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　　（三）提高保密队伍专业化水平的重要平台。分级保护构建的保密管理体系，提出了明确具体的管理要求和管理责任，使每位工作人员必须牢固树立保密意识、责任意识和规矩意识，能够促进检察机关专业化队伍的建立和形成。 </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根据指导方案，该项目须188.55万元的建设经费，</w:t>
      </w:r>
      <w:r>
        <w:rPr>
          <w:rFonts w:hint="eastAsia" w:ascii="仿宋_GB2312" w:hAnsi="仿宋_GB2312" w:eastAsia="仿宋_GB2312" w:cs="仿宋_GB2312"/>
          <w:kern w:val="0"/>
          <w:sz w:val="32"/>
          <w:szCs w:val="32"/>
          <w:shd w:val="clear" w:color="auto" w:fill="FFFFFF"/>
        </w:rPr>
        <w:t>2021年已使用66.51万元，结转122.04万元到2022年。</w:t>
      </w:r>
    </w:p>
    <w:p>
      <w:pPr>
        <w:widowControl/>
        <w:numPr>
          <w:ilvl w:val="0"/>
          <w:numId w:val="1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p>
    <w:p>
      <w:pPr>
        <w:widowControl/>
        <w:adjustRightInd w:val="0"/>
        <w:snapToGrid w:val="0"/>
        <w:spacing w:line="578" w:lineRule="exact"/>
        <w:ind w:firstLine="640" w:firstLineChars="200"/>
        <w:contextualSpacing/>
        <w:jc w:val="left"/>
        <w:rPr>
          <w:lang w:val="zh-CN"/>
        </w:rPr>
      </w:pPr>
      <w:r>
        <w:rPr>
          <w:rFonts w:hint="eastAsia" w:ascii="仿宋_GB2312" w:hAnsi="仿宋_GB2312" w:eastAsia="仿宋_GB2312" w:cs="仿宋_GB2312"/>
          <w:kern w:val="0"/>
          <w:sz w:val="32"/>
          <w:szCs w:val="32"/>
          <w:shd w:val="clear" w:color="auto" w:fill="FFFFFF"/>
          <w:lang w:val="zh-CN"/>
        </w:rPr>
        <w:t>采用财政国库集中支付，严格执行单位内部控制制度。项目采购管理办法、财务管理办法等有关制度，严肃财经纪律，严格按照预算执行专款专用，科学计划资金使用进度，每笔支出力求规范、合理。项目经费主要用于涉密设备的采购、集成费、测评费。</w:t>
      </w:r>
    </w:p>
    <w:p>
      <w:pPr>
        <w:widowControl/>
        <w:numPr>
          <w:ilvl w:val="0"/>
          <w:numId w:val="10"/>
        </w:num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pPr>
        <w:pStyle w:val="17"/>
        <w:ind w:left="0" w:leftChars="0" w:firstLine="640"/>
        <w:rPr>
          <w:rFonts w:hAnsi="仿宋_GB2312" w:eastAsia="仿宋_GB2312" w:cs="仿宋_GB2312"/>
          <w:kern w:val="0"/>
          <w:sz w:val="32"/>
          <w:shd w:val="clear" w:color="auto" w:fill="FFFFFF"/>
          <w:lang w:val="zh-CN"/>
        </w:rPr>
      </w:pPr>
      <w:r>
        <w:rPr>
          <w:rFonts w:hint="eastAsia" w:hAnsi="仿宋_GB2312" w:eastAsia="仿宋_GB2312" w:cs="仿宋_GB2312"/>
          <w:kern w:val="0"/>
          <w:sz w:val="32"/>
          <w:shd w:val="clear" w:color="auto" w:fill="FFFFFF"/>
          <w:lang w:val="zh-CN"/>
        </w:rPr>
        <w:t>资金使用坚持先审批后支付的原则，对项目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600" w:lineRule="exact"/>
        <w:ind w:firstLine="640" w:firstLineChars="20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以“保障应用、确保安全”为前提，完成检察专网涉密信息系统分级保护建设，建设满足现代检察机关保密工作的网络环境，通过涉密网络安全分级保护测评。</w:t>
      </w:r>
    </w:p>
    <w:p>
      <w:pPr>
        <w:numPr>
          <w:ilvl w:val="0"/>
          <w:numId w:val="11"/>
        </w:numPr>
        <w:spacing w:line="600" w:lineRule="exact"/>
        <w:ind w:firstLine="644"/>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分级保护建设为一次性项目。绩效目标：数量指标为新增设备数量100件，时效指标为</w:t>
      </w:r>
      <w:r>
        <w:rPr>
          <w:rFonts w:hint="eastAsia" w:ascii="仿宋_GB2312" w:hAnsi="仿宋_GB2312" w:eastAsia="仿宋_GB2312" w:cs="仿宋_GB2312"/>
          <w:kern w:val="0"/>
          <w:sz w:val="32"/>
          <w:szCs w:val="32"/>
          <w:shd w:val="clear" w:color="auto" w:fill="FFFFFF"/>
        </w:rPr>
        <w:t>6个</w:t>
      </w:r>
      <w:r>
        <w:rPr>
          <w:rFonts w:hint="eastAsia" w:ascii="仿宋_GB2312" w:hAnsi="仿宋_GB2312" w:eastAsia="仿宋_GB2312" w:cs="仿宋_GB2312"/>
          <w:kern w:val="0"/>
          <w:sz w:val="32"/>
          <w:szCs w:val="32"/>
          <w:shd w:val="clear" w:color="auto" w:fill="FFFFFF"/>
          <w:lang w:val="zh-CN"/>
        </w:rPr>
        <w:t>月31日前完工，成本指标为经费控制在</w:t>
      </w:r>
      <w:r>
        <w:rPr>
          <w:rFonts w:hint="eastAsia" w:ascii="仿宋_GB2312" w:hAnsi="仿宋_GB2312" w:eastAsia="仿宋_GB2312" w:cs="仿宋_GB2312"/>
          <w:kern w:val="0"/>
          <w:sz w:val="32"/>
          <w:szCs w:val="32"/>
          <w:shd w:val="clear" w:color="auto" w:fill="FFFFFF"/>
        </w:rPr>
        <w:t>122.04万元，质量指标为设备合格率90%，</w:t>
      </w:r>
      <w:r>
        <w:rPr>
          <w:rFonts w:hint="eastAsia" w:ascii="仿宋_GB2312" w:hAnsi="仿宋_GB2312" w:eastAsia="仿宋_GB2312" w:cs="仿宋_GB2312"/>
          <w:kern w:val="0"/>
          <w:sz w:val="32"/>
          <w:szCs w:val="32"/>
          <w:shd w:val="clear" w:color="auto" w:fill="FFFFFF"/>
          <w:lang w:val="zh-CN"/>
        </w:rPr>
        <w:t>社会效益指标为办案效率明显提高，社会满意度为干警满意度95%。</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根据项目进度安排和建设情况，我院计划在</w:t>
      </w:r>
      <w:r>
        <w:rPr>
          <w:rFonts w:hint="eastAsia" w:ascii="仿宋_GB2312" w:hAnsi="仿宋_GB2312" w:eastAsia="仿宋_GB2312" w:cs="仿宋_GB2312"/>
          <w:kern w:val="0"/>
          <w:sz w:val="32"/>
          <w:szCs w:val="32"/>
          <w:shd w:val="clear" w:color="auto" w:fill="FFFFFF"/>
        </w:rPr>
        <w:t>2022年3月、6月对项目资金按照时序进度进行拨付。</w:t>
      </w:r>
    </w:p>
    <w:p>
      <w:pPr>
        <w:numPr>
          <w:ilvl w:val="0"/>
          <w:numId w:val="11"/>
        </w:numPr>
        <w:adjustRightInd w:val="0"/>
        <w:snapToGrid w:val="0"/>
        <w:spacing w:line="578" w:lineRule="exact"/>
        <w:ind w:firstLine="644"/>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绩效目标设置上，我院从收集、上报、筛查、费用控制和可持续发展上明确了合理的目标任务，符合实际。</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前期准备：按照绩效自评工作要求，组成以杨红梅同志为组长的绩效评价工作小组，组织、编写可行性研究报告，制订项目设计方案，组织工程实施和质量管理，协调工程的验收和移交。根据项目制定了项目支出绩效评价实施方案，设计了绩效评价指标体系。</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组织实施：编制资金预算，协调落实政府资金，负责项目资金管理、支付。由项目相关领域的专家组成专家组，为本项目的设计和实施提供咨询和建议，协助审核各阶段的计划、报告、方案，对重大变更向领导小组提供建议。</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3.分析评价：对评价过程中收集资料进行归纳，汇总分析，依据项目支出绩效评价指标体系进行了评分，形成了综合性书面报告。</w:t>
      </w:r>
    </w:p>
    <w:p>
      <w:pPr>
        <w:adjustRightInd w:val="0"/>
        <w:snapToGrid w:val="0"/>
        <w:spacing w:line="578" w:lineRule="exact"/>
        <w:ind w:firstLine="720"/>
        <w:outlineLvl w:val="1"/>
        <w:rPr>
          <w:rFonts w:ascii="黑体" w:hAnsi="宋体" w:eastAsia="黑体"/>
          <w:sz w:val="32"/>
          <w:szCs w:val="32"/>
        </w:rPr>
      </w:pPr>
      <w:bookmarkStart w:id="82" w:name="_Toc4937"/>
      <w:r>
        <w:rPr>
          <w:rFonts w:hint="eastAsia" w:ascii="黑体" w:hAnsi="宋体" w:eastAsia="黑体"/>
          <w:sz w:val="32"/>
          <w:szCs w:val="32"/>
        </w:rPr>
        <w:t>二、项目资金申报及使用情况</w:t>
      </w:r>
      <w:bookmarkEnd w:id="82"/>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分级保护项目为上年结转项目，结转资金为</w:t>
      </w:r>
      <w:r>
        <w:rPr>
          <w:rFonts w:hint="eastAsia" w:ascii="仿宋_GB2312" w:hAnsi="仿宋_GB2312" w:eastAsia="仿宋_GB2312" w:cs="仿宋_GB2312"/>
          <w:kern w:val="0"/>
          <w:sz w:val="32"/>
          <w:szCs w:val="32"/>
          <w:shd w:val="clear" w:color="auto" w:fill="FFFFFF"/>
        </w:rPr>
        <w:t>122.04万元，实际到位资金为122.04万元。</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1．资金计划。</w:t>
      </w:r>
      <w:r>
        <w:rPr>
          <w:rFonts w:hint="eastAsia" w:ascii="仿宋_GB2312" w:hAnsi="仿宋_GB2312" w:eastAsia="仿宋_GB2312" w:cs="仿宋_GB2312"/>
          <w:kern w:val="0"/>
          <w:sz w:val="32"/>
          <w:szCs w:val="32"/>
          <w:shd w:val="clear" w:color="auto" w:fill="FFFFFF"/>
        </w:rPr>
        <w:t>分级保护项目资金年初结转122.04万元，并于批复后下达指标，2022年项目实际到位资金122.04万元，资金到位率100%。</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2．资金到位。分级保护项目资金年初结转</w:t>
      </w:r>
      <w:r>
        <w:rPr>
          <w:rFonts w:hint="eastAsia" w:ascii="仿宋_GB2312" w:hAnsi="仿宋_GB2312" w:eastAsia="仿宋_GB2312" w:cs="仿宋_GB2312"/>
          <w:kern w:val="0"/>
          <w:sz w:val="32"/>
          <w:szCs w:val="32"/>
          <w:shd w:val="clear" w:color="auto" w:fill="FFFFFF"/>
        </w:rPr>
        <w:t>122.04</w:t>
      </w:r>
      <w:r>
        <w:rPr>
          <w:rFonts w:hint="eastAsia" w:ascii="仿宋_GB2312" w:hAnsi="仿宋_GB2312" w:eastAsia="仿宋_GB2312" w:cs="仿宋_GB2312"/>
          <w:kern w:val="0"/>
          <w:sz w:val="32"/>
          <w:szCs w:val="32"/>
          <w:shd w:val="clear" w:color="auto" w:fill="FFFFFF"/>
          <w:lang w:val="zh-CN"/>
        </w:rPr>
        <w:t>万元，并于批复后下达指标，202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年项目实际到位资金</w:t>
      </w:r>
      <w:r>
        <w:rPr>
          <w:rFonts w:hint="eastAsia" w:ascii="仿宋_GB2312" w:hAnsi="仿宋_GB2312" w:eastAsia="仿宋_GB2312" w:cs="仿宋_GB2312"/>
          <w:kern w:val="0"/>
          <w:sz w:val="32"/>
          <w:szCs w:val="32"/>
          <w:shd w:val="clear" w:color="auto" w:fill="FFFFFF"/>
        </w:rPr>
        <w:t>122.04</w:t>
      </w:r>
      <w:r>
        <w:rPr>
          <w:rFonts w:hint="eastAsia" w:ascii="仿宋_GB2312" w:hAnsi="仿宋_GB2312" w:eastAsia="仿宋_GB2312" w:cs="仿宋_GB2312"/>
          <w:kern w:val="0"/>
          <w:sz w:val="32"/>
          <w:szCs w:val="32"/>
          <w:shd w:val="clear" w:color="auto" w:fill="FFFFFF"/>
          <w:lang w:val="zh-CN"/>
        </w:rPr>
        <w:t>万元，资金到位率100%。</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截止202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年12月31日，分级保护项目支出</w:t>
      </w:r>
      <w:r>
        <w:rPr>
          <w:rFonts w:hint="eastAsia" w:ascii="仿宋_GB2312" w:hAnsi="仿宋_GB2312" w:eastAsia="仿宋_GB2312" w:cs="仿宋_GB2312"/>
          <w:kern w:val="0"/>
          <w:sz w:val="32"/>
          <w:szCs w:val="32"/>
          <w:shd w:val="clear" w:color="auto" w:fill="FFFFFF"/>
        </w:rPr>
        <w:t>122.04</w:t>
      </w:r>
      <w:r>
        <w:rPr>
          <w:rFonts w:hint="eastAsia" w:ascii="仿宋_GB2312" w:hAnsi="仿宋_GB2312" w:eastAsia="仿宋_GB2312" w:cs="仿宋_GB2312"/>
          <w:kern w:val="0"/>
          <w:sz w:val="32"/>
          <w:szCs w:val="32"/>
          <w:shd w:val="clear" w:color="auto" w:fill="FFFFFF"/>
          <w:lang w:val="zh-CN"/>
        </w:rPr>
        <w:t>万元，完成预算率</w:t>
      </w:r>
      <w:r>
        <w:rPr>
          <w:rFonts w:hint="eastAsia" w:ascii="仿宋_GB2312" w:hAnsi="仿宋_GB2312" w:eastAsia="仿宋_GB2312" w:cs="仿宋_GB2312"/>
          <w:kern w:val="0"/>
          <w:sz w:val="32"/>
          <w:szCs w:val="32"/>
          <w:shd w:val="clear" w:color="auto" w:fill="FFFFFF"/>
        </w:rPr>
        <w:t>100</w:t>
      </w:r>
      <w:r>
        <w:rPr>
          <w:rFonts w:hint="eastAsia" w:ascii="仿宋_GB2312" w:hAnsi="仿宋_GB2312" w:eastAsia="仿宋_GB2312" w:cs="仿宋_GB2312"/>
          <w:kern w:val="0"/>
          <w:sz w:val="32"/>
          <w:szCs w:val="32"/>
          <w:shd w:val="clear" w:color="auto" w:fill="FFFFFF"/>
          <w:lang w:val="zh-CN"/>
        </w:rPr>
        <w:t>%。资金支付方式为财政国库集中支付，与预算相符，程序规范、票据齐全。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我院财务管理制度健全，并严格执行财务管理制度，账务处理及时准确，会计核算规范。</w:t>
      </w:r>
    </w:p>
    <w:p>
      <w:pPr>
        <w:adjustRightInd w:val="0"/>
        <w:snapToGrid w:val="0"/>
        <w:spacing w:line="578" w:lineRule="exact"/>
        <w:ind w:firstLine="720"/>
        <w:outlineLvl w:val="1"/>
        <w:rPr>
          <w:rFonts w:ascii="黑体" w:hAnsi="宋体" w:eastAsia="黑体"/>
          <w:sz w:val="32"/>
          <w:szCs w:val="32"/>
        </w:rPr>
      </w:pPr>
      <w:bookmarkStart w:id="83" w:name="_Toc2504"/>
      <w:r>
        <w:rPr>
          <w:rFonts w:hint="eastAsia" w:ascii="黑体" w:hAnsi="宋体" w:eastAsia="黑体"/>
          <w:sz w:val="32"/>
          <w:szCs w:val="32"/>
        </w:rPr>
        <w:t>三、项目实施及管理情况</w:t>
      </w:r>
      <w:bookmarkEnd w:id="83"/>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numPr>
          <w:ilvl w:val="0"/>
          <w:numId w:val="12"/>
        </w:num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adjustRightInd w:val="0"/>
        <w:snapToGrid w:val="0"/>
        <w:spacing w:line="560" w:lineRule="exact"/>
        <w:ind w:firstLine="720"/>
        <w:rPr>
          <w:lang w:val="zh-CN"/>
        </w:rPr>
      </w:pPr>
      <w:r>
        <w:rPr>
          <w:rFonts w:hint="eastAsia" w:ascii="仿宋_GB2312" w:hAnsi="仿宋_GB2312" w:eastAsia="仿宋_GB2312" w:cs="仿宋_GB2312"/>
          <w:kern w:val="0"/>
          <w:sz w:val="32"/>
          <w:szCs w:val="32"/>
          <w:shd w:val="clear" w:color="auto" w:fill="FFFFFF"/>
          <w:lang w:val="zh-CN"/>
        </w:rPr>
        <w:t>该项目由检察长刘萍部署，分管领导杨红梅负责，部门负责人黄小珉组织实施。按绩效事前评估、绩效目标管理、绩效运行监控、绩效评价管理、评价结果应用等各环节实施管理流程。</w:t>
      </w:r>
    </w:p>
    <w:p>
      <w:pPr>
        <w:numPr>
          <w:ilvl w:val="0"/>
          <w:numId w:val="12"/>
        </w:numPr>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实施过程中，严格执行相关法律法规及项目管理制度，由于该项目为涉密项目，因此由单位自行采购。资金使用符合规定，项目成果达到预期。本项目资金仅限于网络建设费用及集成费报酬。支出依据规范，无虚列支出，无截留、挤占、挪用现象。</w:t>
      </w:r>
    </w:p>
    <w:p>
      <w:pPr>
        <w:numPr>
          <w:ilvl w:val="0"/>
          <w:numId w:val="12"/>
        </w:num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严格按照预算执行专款专用，科学计划资金使用进度，每笔支出力求规范、合理。内控领导小组与检务督察部门定期对项目的实施和支付情况进行审核。</w:t>
      </w:r>
    </w:p>
    <w:p>
      <w:pPr>
        <w:adjustRightInd w:val="0"/>
        <w:snapToGrid w:val="0"/>
        <w:spacing w:line="578" w:lineRule="exact"/>
        <w:ind w:left="640"/>
        <w:outlineLvl w:val="1"/>
        <w:rPr>
          <w:rFonts w:ascii="仿宋_GB2312" w:hAnsi="宋体"/>
          <w:sz w:val="32"/>
          <w:szCs w:val="32"/>
          <w:lang w:val="zh-CN"/>
        </w:rPr>
      </w:pPr>
      <w:bookmarkStart w:id="84" w:name="_Toc32053"/>
      <w:r>
        <w:rPr>
          <w:rFonts w:hint="eastAsia" w:ascii="黑体" w:hAnsi="宋体" w:eastAsia="黑体"/>
          <w:sz w:val="32"/>
          <w:szCs w:val="32"/>
        </w:rPr>
        <w:t>四、项目绩效情况</w:t>
      </w:r>
      <w:bookmarkEnd w:id="84"/>
      <w:r>
        <w:rPr>
          <w:rFonts w:hint="eastAsia" w:ascii="仿宋_GB2312" w:hAnsi="宋体"/>
          <w:sz w:val="32"/>
          <w:szCs w:val="32"/>
          <w:lang w:val="zh-CN"/>
        </w:rPr>
        <w:tab/>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分级保护项目全年预算</w:t>
      </w:r>
      <w:r>
        <w:rPr>
          <w:rFonts w:hint="eastAsia" w:ascii="仿宋_GB2312" w:hAnsi="仿宋_GB2312" w:eastAsia="仿宋_GB2312" w:cs="仿宋_GB2312"/>
          <w:kern w:val="0"/>
          <w:sz w:val="32"/>
          <w:szCs w:val="32"/>
          <w:shd w:val="clear" w:color="auto" w:fill="FFFFFF"/>
        </w:rPr>
        <w:t>122.04</w:t>
      </w:r>
      <w:r>
        <w:rPr>
          <w:rFonts w:hint="eastAsia" w:ascii="仿宋_GB2312" w:hAnsi="仿宋_GB2312" w:eastAsia="仿宋_GB2312" w:cs="仿宋_GB2312"/>
          <w:kern w:val="0"/>
          <w:sz w:val="32"/>
          <w:szCs w:val="32"/>
          <w:shd w:val="clear" w:color="auto" w:fill="FFFFFF"/>
          <w:lang w:val="zh-CN"/>
        </w:rPr>
        <w:t>万元，支出</w:t>
      </w:r>
      <w:r>
        <w:rPr>
          <w:rFonts w:hint="eastAsia" w:ascii="仿宋_GB2312" w:hAnsi="仿宋_GB2312" w:eastAsia="仿宋_GB2312" w:cs="仿宋_GB2312"/>
          <w:kern w:val="0"/>
          <w:sz w:val="32"/>
          <w:szCs w:val="32"/>
          <w:shd w:val="clear" w:color="auto" w:fill="FFFFFF"/>
        </w:rPr>
        <w:t>122.04</w:t>
      </w:r>
      <w:r>
        <w:rPr>
          <w:rFonts w:hint="eastAsia" w:ascii="仿宋_GB2312" w:hAnsi="仿宋_GB2312" w:eastAsia="仿宋_GB2312" w:cs="仿宋_GB2312"/>
          <w:kern w:val="0"/>
          <w:sz w:val="32"/>
          <w:szCs w:val="32"/>
          <w:shd w:val="clear" w:color="auto" w:fill="FFFFFF"/>
          <w:lang w:val="zh-CN"/>
        </w:rPr>
        <w:t>万元，完成预算率</w:t>
      </w:r>
      <w:r>
        <w:rPr>
          <w:rFonts w:hint="eastAsia" w:ascii="仿宋_GB2312" w:hAnsi="仿宋_GB2312" w:eastAsia="仿宋_GB2312" w:cs="仿宋_GB2312"/>
          <w:kern w:val="0"/>
          <w:sz w:val="32"/>
          <w:szCs w:val="32"/>
          <w:shd w:val="clear" w:color="auto" w:fill="FFFFFF"/>
        </w:rPr>
        <w:t>100</w:t>
      </w:r>
      <w:r>
        <w:rPr>
          <w:rFonts w:hint="eastAsia" w:ascii="仿宋_GB2312" w:hAnsi="仿宋_GB2312" w:eastAsia="仿宋_GB2312" w:cs="仿宋_GB2312"/>
          <w:kern w:val="0"/>
          <w:sz w:val="32"/>
          <w:szCs w:val="32"/>
          <w:shd w:val="clear" w:color="auto" w:fill="FFFFFF"/>
          <w:lang w:val="zh-CN"/>
        </w:rPr>
        <w:t>%。绩效目标设置</w:t>
      </w:r>
      <w:r>
        <w:rPr>
          <w:rFonts w:hint="eastAsia" w:ascii="仿宋_GB2312" w:hAnsi="仿宋_GB2312" w:eastAsia="仿宋_GB2312" w:cs="仿宋_GB2312"/>
          <w:kern w:val="0"/>
          <w:sz w:val="32"/>
          <w:szCs w:val="32"/>
          <w:shd w:val="clear" w:color="auto" w:fill="FFFFFF"/>
        </w:rPr>
        <w:t>6个，完成5个，未完成指标为时效指标，即在6个月内完成项目建设，实际为7个月完成。该项目无违规记录。截止2022年12月31日，项目已建成，并通过验收，所有产品合格率为100%，成本控制目标实现。</w:t>
      </w:r>
    </w:p>
    <w:p>
      <w:pPr>
        <w:adjustRightInd w:val="0"/>
        <w:snapToGrid w:val="0"/>
        <w:spacing w:line="578" w:lineRule="exact"/>
        <w:ind w:firstLine="720"/>
        <w:outlineLvl w:val="1"/>
        <w:rPr>
          <w:rFonts w:ascii="仿宋_GB2312" w:hAnsi="宋体"/>
          <w:sz w:val="32"/>
          <w:szCs w:val="32"/>
          <w:lang w:val="zh-CN"/>
        </w:rPr>
      </w:pPr>
      <w:bookmarkStart w:id="85" w:name="_Toc11936"/>
      <w:r>
        <w:rPr>
          <w:rFonts w:hint="eastAsia" w:ascii="黑体" w:hAnsi="宋体" w:eastAsia="黑体"/>
          <w:sz w:val="32"/>
          <w:szCs w:val="32"/>
        </w:rPr>
        <w:t>四、项目绩效情况</w:t>
      </w:r>
      <w:bookmarkEnd w:id="85"/>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分项目类别对应项目安排时确定的绩效目标完成情况</w:t>
      </w:r>
      <w:r>
        <w:rPr>
          <w:rFonts w:hint="eastAsia" w:ascii="仿宋_GB2312" w:hAnsi="仿宋_GB2312" w:cs="仿宋_GB2312"/>
          <w:kern w:val="0"/>
          <w:sz w:val="32"/>
          <w:szCs w:val="32"/>
          <w:shd w:val="clear" w:color="auto" w:fill="FFFFFF"/>
        </w:rPr>
        <w:t>进行</w:t>
      </w:r>
      <w:r>
        <w:rPr>
          <w:rFonts w:hint="eastAsia" w:ascii="仿宋_GB2312" w:hAnsi="仿宋_GB2312" w:eastAsia="仿宋_GB2312" w:cs="仿宋_GB2312"/>
          <w:kern w:val="0"/>
          <w:sz w:val="32"/>
          <w:szCs w:val="32"/>
          <w:shd w:val="clear" w:color="auto" w:fill="FFFFFF"/>
        </w:rPr>
        <w:t>分析，</w:t>
      </w:r>
      <w:r>
        <w:rPr>
          <w:rFonts w:hint="eastAsia" w:ascii="仿宋_GB2312" w:hAnsi="仿宋_GB2312" w:eastAsia="仿宋_GB2312" w:cs="仿宋_GB2312"/>
          <w:kern w:val="0"/>
          <w:sz w:val="32"/>
          <w:szCs w:val="32"/>
          <w:shd w:val="clear" w:color="auto" w:fill="FFFFFF"/>
          <w:lang w:val="zh-CN"/>
        </w:rPr>
        <w:t>包括项目完成数量、质量、时效、成本等情况，资金结余情况，违规记录等，对照项目计划完成目标对截止评价时点的任务量完成、质量标准、进度计划、成本控制目标的实现程度进行评价，并进行分析说明。</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通过该项目，我院完成检察工作网、涉密内网的网络安全升级，构建科学、规范的日常管理体系，促进机关管理科学化、规范化，安全保密工作进一步加强，确保检察信息安全，为检察业务工作保驾护航。202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年，我院分级保护项目新增新增设备</w:t>
      </w:r>
      <w:r>
        <w:rPr>
          <w:rFonts w:hint="eastAsia" w:ascii="仿宋_GB2312" w:hAnsi="仿宋_GB2312" w:eastAsia="仿宋_GB2312" w:cs="仿宋_GB2312"/>
          <w:kern w:val="0"/>
          <w:sz w:val="32"/>
          <w:szCs w:val="32"/>
          <w:shd w:val="clear" w:color="auto" w:fill="FFFFFF"/>
        </w:rPr>
        <w:t>102</w:t>
      </w:r>
      <w:r>
        <w:rPr>
          <w:rFonts w:hint="eastAsia" w:ascii="仿宋_GB2312" w:hAnsi="仿宋_GB2312" w:eastAsia="仿宋_GB2312" w:cs="仿宋_GB2312"/>
          <w:kern w:val="0"/>
          <w:sz w:val="32"/>
          <w:szCs w:val="32"/>
          <w:shd w:val="clear" w:color="auto" w:fill="FFFFFF"/>
          <w:lang w:val="zh-CN"/>
        </w:rPr>
        <w:t>件，所有到场设备均通过验收，合格率100%，项目总体进度</w:t>
      </w:r>
      <w:r>
        <w:rPr>
          <w:rFonts w:hint="eastAsia" w:ascii="仿宋_GB2312" w:hAnsi="仿宋_GB2312" w:eastAsia="仿宋_GB2312" w:cs="仿宋_GB2312"/>
          <w:kern w:val="0"/>
          <w:sz w:val="32"/>
          <w:szCs w:val="32"/>
          <w:shd w:val="clear" w:color="auto" w:fill="FFFFFF"/>
        </w:rPr>
        <w:t>100</w:t>
      </w:r>
      <w:r>
        <w:rPr>
          <w:rFonts w:hint="eastAsia" w:ascii="仿宋_GB2312" w:hAnsi="仿宋_GB2312" w:eastAsia="仿宋_GB2312" w:cs="仿宋_GB2312"/>
          <w:kern w:val="0"/>
          <w:sz w:val="32"/>
          <w:szCs w:val="32"/>
          <w:shd w:val="clear" w:color="auto" w:fill="FFFFFF"/>
          <w:lang w:val="zh-CN"/>
        </w:rPr>
        <w:t>%左右，干警满意度100%，供应商满意度100%。</w:t>
      </w:r>
    </w:p>
    <w:p>
      <w:pPr>
        <w:adjustRightInd w:val="0"/>
        <w:snapToGrid w:val="0"/>
        <w:spacing w:line="578" w:lineRule="exact"/>
        <w:ind w:firstLine="720"/>
        <w:outlineLvl w:val="1"/>
        <w:rPr>
          <w:rFonts w:ascii="黑体" w:hAnsi="宋体" w:eastAsia="黑体"/>
          <w:sz w:val="32"/>
          <w:szCs w:val="32"/>
        </w:rPr>
      </w:pPr>
      <w:bookmarkStart w:id="86" w:name="_Toc1524"/>
      <w:r>
        <w:rPr>
          <w:rFonts w:hint="eastAsia" w:ascii="黑体" w:hAnsi="宋体" w:eastAsia="黑体"/>
          <w:sz w:val="32"/>
          <w:szCs w:val="32"/>
        </w:rPr>
        <w:t>五、评价结论及建议</w:t>
      </w:r>
      <w:bookmarkEnd w:id="86"/>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2022年，我院围绕大局、服务中心，</w:t>
      </w:r>
      <w:r>
        <w:rPr>
          <w:rFonts w:hint="eastAsia" w:ascii="仿宋_GB2312" w:hAnsi="仿宋_GB2312" w:eastAsia="仿宋_GB2312" w:cs="仿宋_GB2312"/>
          <w:kern w:val="0"/>
          <w:sz w:val="32"/>
          <w:szCs w:val="32"/>
          <w:shd w:val="clear" w:color="auto" w:fill="FFFFFF"/>
          <w:lang w:val="zh-CN"/>
        </w:rPr>
        <w:t>履职尽责，加快分级保护项目进度多次召开部门会议，严格执行涉密采购流程，但由于项目建设工程量大，时间统筹推进不力，项目完成时间与预期相比滞后</w:t>
      </w:r>
      <w:r>
        <w:rPr>
          <w:rFonts w:hint="eastAsia" w:ascii="仿宋_GB2312" w:hAnsi="仿宋_GB2312" w:eastAsia="仿宋_GB2312" w:cs="仿宋_GB2312"/>
          <w:kern w:val="0"/>
          <w:sz w:val="32"/>
          <w:szCs w:val="32"/>
          <w:shd w:val="clear" w:color="auto" w:fill="FFFFFF"/>
        </w:rPr>
        <w:t>1个月。</w:t>
      </w:r>
      <w:r>
        <w:rPr>
          <w:rFonts w:hint="eastAsia" w:ascii="仿宋_GB2312" w:hAnsi="仿宋_GB2312" w:eastAsia="仿宋_GB2312" w:cs="仿宋_GB2312"/>
          <w:kern w:val="0"/>
          <w:sz w:val="32"/>
          <w:szCs w:val="32"/>
          <w:shd w:val="clear" w:color="auto" w:fill="FFFFFF"/>
          <w:lang w:val="zh-CN"/>
        </w:rPr>
        <w:t>但项目</w:t>
      </w:r>
      <w:r>
        <w:rPr>
          <w:rFonts w:hint="eastAsia" w:ascii="仿宋_GB2312" w:hAnsi="仿宋_GB2312" w:eastAsia="仿宋_GB2312" w:cs="仿宋_GB2312"/>
          <w:kern w:val="0"/>
          <w:sz w:val="32"/>
          <w:szCs w:val="32"/>
          <w:shd w:val="clear" w:color="auto" w:fill="FFFFFF"/>
        </w:rPr>
        <w:t>部门整体预算绩效总体良好，自评为98分。</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我院严格执行采购招标流程，项目</w:t>
      </w:r>
      <w:r>
        <w:rPr>
          <w:rFonts w:hint="eastAsia" w:ascii="仿宋_GB2312" w:hAnsi="仿宋_GB2312" w:eastAsia="仿宋_GB2312" w:cs="仿宋_GB2312"/>
          <w:kern w:val="0"/>
          <w:sz w:val="32"/>
          <w:szCs w:val="32"/>
          <w:shd w:val="clear" w:color="auto" w:fill="FFFFFF"/>
        </w:rPr>
        <w:t>部门整体预算绩效总体良好，但仍存在一个问题：</w:t>
      </w:r>
      <w:r>
        <w:rPr>
          <w:rFonts w:hint="eastAsia" w:ascii="仿宋_GB2312" w:hAnsi="仿宋_GB2312" w:eastAsia="仿宋_GB2312" w:cs="仿宋_GB2312"/>
          <w:kern w:val="0"/>
          <w:sz w:val="32"/>
          <w:szCs w:val="32"/>
          <w:shd w:val="clear" w:color="auto" w:fill="FFFFFF"/>
          <w:lang w:val="zh-CN"/>
        </w:rPr>
        <w:t>项目完成时间与预期相比滞后</w:t>
      </w:r>
      <w:r>
        <w:rPr>
          <w:rFonts w:hint="eastAsia" w:ascii="仿宋_GB2312" w:hAnsi="仿宋_GB2312" w:eastAsia="仿宋_GB2312" w:cs="仿宋_GB2312"/>
          <w:kern w:val="0"/>
          <w:sz w:val="32"/>
          <w:szCs w:val="32"/>
          <w:shd w:val="clear" w:color="auto" w:fill="FFFFFF"/>
        </w:rPr>
        <w:t>1个月。此外，</w:t>
      </w:r>
      <w:r>
        <w:rPr>
          <w:rFonts w:hint="eastAsia" w:ascii="仿宋_GB2312" w:hAnsi="仿宋_GB2312" w:eastAsia="仿宋_GB2312" w:cs="仿宋_GB2312"/>
          <w:kern w:val="0"/>
          <w:sz w:val="32"/>
          <w:szCs w:val="32"/>
          <w:shd w:val="clear" w:color="auto" w:fill="FFFFFF"/>
          <w:lang w:val="zh-CN"/>
        </w:rPr>
        <w:t>随着高科技手段的运用，办案难度大、周期长，投入经费将越来越多，项目经费实难周全。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继续做好资金管理，响应政府“过紧日子”的号召，同时争取重点项目财政拨款。</w:t>
      </w:r>
    </w:p>
    <w:p>
      <w:pPr>
        <w:widowControl/>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autoSpaceDE w:val="0"/>
        <w:autoSpaceDN w:val="0"/>
        <w:adjustRightInd w:val="0"/>
        <w:spacing w:line="600" w:lineRule="exact"/>
        <w:ind w:firstLine="640" w:firstLineChars="200"/>
        <w:rPr>
          <w:rFonts w:ascii="仿宋_GB2312" w:hAnsi="仿宋_GB2312" w:eastAsia="仿宋_GB2312" w:cs="仿宋_GB2312"/>
          <w:sz w:val="32"/>
          <w:szCs w:val="32"/>
        </w:rPr>
      </w:pPr>
    </w:p>
    <w:p>
      <w:pPr>
        <w:pStyle w:val="17"/>
        <w:ind w:left="420" w:firstLine="640"/>
        <w:rPr>
          <w:rFonts w:hAnsi="仿宋_GB2312" w:eastAsia="仿宋_GB2312" w:cs="仿宋_GB2312"/>
          <w:sz w:val="32"/>
        </w:rPr>
      </w:pPr>
    </w:p>
    <w:p>
      <w:pPr>
        <w:rPr>
          <w:rFonts w:ascii="仿宋_GB2312" w:hAnsi="仿宋_GB2312" w:eastAsia="仿宋_GB2312" w:cs="仿宋_GB2312"/>
          <w:sz w:val="32"/>
          <w:szCs w:val="32"/>
        </w:rPr>
      </w:pPr>
    </w:p>
    <w:p>
      <w:pPr>
        <w:pStyle w:val="17"/>
        <w:ind w:left="420" w:firstLine="640"/>
        <w:rPr>
          <w:rFonts w:hAnsi="仿宋_GB2312" w:eastAsia="仿宋_GB2312" w:cs="仿宋_GB2312"/>
          <w:sz w:val="32"/>
        </w:rPr>
      </w:pPr>
    </w:p>
    <w:p>
      <w:pPr>
        <w:rPr>
          <w:rFonts w:ascii="仿宋_GB2312" w:hAnsi="仿宋_GB2312" w:eastAsia="仿宋_GB2312" w:cs="仿宋_GB2312"/>
          <w:sz w:val="32"/>
          <w:szCs w:val="32"/>
        </w:rPr>
      </w:pPr>
    </w:p>
    <w:p>
      <w:pPr>
        <w:pStyle w:val="17"/>
        <w:ind w:left="420" w:firstLine="640"/>
        <w:rPr>
          <w:rFonts w:hint="eastAsia" w:hAnsi="仿宋_GB2312" w:eastAsia="仿宋_GB2312" w:cs="仿宋_GB2312"/>
          <w:sz w:val="32"/>
        </w:rPr>
      </w:pPr>
    </w:p>
    <w:p/>
    <w:p>
      <w:pPr>
        <w:pStyle w:val="2"/>
      </w:pPr>
    </w:p>
    <w:p>
      <w:pPr>
        <w:rPr>
          <w:rFonts w:hint="eastAsia"/>
        </w:rPr>
      </w:pPr>
    </w:p>
    <w:p>
      <w:pPr>
        <w:pStyle w:val="17"/>
        <w:ind w:left="420"/>
      </w:pPr>
    </w:p>
    <w:p>
      <w:pPr>
        <w:pStyle w:val="8"/>
        <w:spacing w:before="93"/>
        <w:outlineLvl w:val="1"/>
        <w:rPr>
          <w:rFonts w:hAnsi="宋体" w:cs="宋体"/>
          <w:sz w:val="32"/>
          <w:szCs w:val="32"/>
          <w:shd w:val="clear" w:color="auto" w:fill="FFFFFF"/>
        </w:rPr>
      </w:pPr>
      <w:bookmarkStart w:id="87" w:name="_Toc20781"/>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87"/>
    </w:p>
    <w:p/>
    <w:p>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2023年市级专项资金预算项目支出绩效</w:t>
      </w:r>
    </w:p>
    <w:p>
      <w:pPr>
        <w:pStyle w:val="37"/>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自评报告（一体化网络建设项目）</w:t>
      </w:r>
    </w:p>
    <w:p>
      <w:pPr>
        <w:pStyle w:val="37"/>
        <w:spacing w:line="578" w:lineRule="exact"/>
        <w:jc w:val="center"/>
        <w:rPr>
          <w:rFonts w:ascii="方正小标宋简体" w:hAnsi="方正小标宋简体" w:eastAsia="方正小标宋简体" w:cs="方正小标宋简体"/>
          <w:color w:val="auto"/>
          <w:kern w:val="2"/>
          <w:sz w:val="44"/>
          <w:szCs w:val="44"/>
          <w:lang w:val="en-US"/>
        </w:rPr>
      </w:pPr>
    </w:p>
    <w:p>
      <w:pPr>
        <w:adjustRightInd w:val="0"/>
        <w:snapToGrid w:val="0"/>
        <w:spacing w:line="578" w:lineRule="exact"/>
        <w:ind w:firstLine="720"/>
        <w:outlineLvl w:val="1"/>
        <w:rPr>
          <w:rFonts w:ascii="黑体" w:hAnsi="宋体" w:eastAsia="黑体"/>
          <w:sz w:val="32"/>
          <w:szCs w:val="32"/>
          <w:lang w:val="zh-CN"/>
        </w:rPr>
      </w:pPr>
      <w:bookmarkStart w:id="88" w:name="_Toc23"/>
      <w:r>
        <w:rPr>
          <w:rFonts w:hint="eastAsia" w:ascii="黑体" w:hAnsi="宋体" w:eastAsia="黑体"/>
          <w:sz w:val="32"/>
          <w:szCs w:val="32"/>
          <w:lang w:val="zh-CN"/>
        </w:rPr>
        <w:t>一、项目概况</w:t>
      </w:r>
      <w:bookmarkEnd w:id="88"/>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pStyle w:val="38"/>
        <w:numPr>
          <w:ilvl w:val="0"/>
          <w:numId w:val="0"/>
        </w:numPr>
        <w:spacing w:line="560" w:lineRule="exact"/>
        <w:ind w:firstLine="560"/>
        <w:rPr>
          <w:rFonts w:ascii="仿宋_GB2312" w:hAnsi="仿宋_GB2312" w:eastAsia="仿宋_GB2312" w:cs="仿宋_GB2312"/>
          <w:b w:val="0"/>
          <w:bCs w:val="0"/>
          <w:kern w:val="0"/>
          <w:sz w:val="32"/>
          <w:szCs w:val="32"/>
          <w:shd w:val="clear" w:color="auto" w:fill="FFFFFF"/>
          <w:lang w:val="en-GB"/>
        </w:rPr>
      </w:pPr>
      <w:r>
        <w:rPr>
          <w:rFonts w:hint="eastAsia" w:ascii="仿宋_GB2312" w:hAnsi="仿宋_GB2312" w:eastAsia="仿宋_GB2312" w:cs="仿宋_GB2312"/>
          <w:b w:val="0"/>
          <w:bCs w:val="0"/>
          <w:kern w:val="0"/>
          <w:sz w:val="32"/>
          <w:szCs w:val="32"/>
          <w:shd w:val="clear" w:color="auto" w:fill="FFFFFF"/>
          <w:lang w:val="en-GB"/>
        </w:rPr>
        <w:t>四川省检察机关将建设覆盖省、市、县人民检察院的“检察工作网”和一体化网络。“检察工作网”是最高人民检察院于2015年建设的网络，与互联网、检察专网均物理隔离，全国检察机关机房均已联通到检察工作网主干。一体化网络以检察工作网为承载的网络基础，是检察工作网的延伸。一体化网络建设是坚持“以安全为保障、以数据为基础、以需求为导向、以应用为核心”的理念，一方面用于办理非涉密的检察办公办案业务，并通过智能辅助办案系统提升办公办案质效，另一方面为加快推进网络融合与数据融通，在符合保密规定的前提下，通过加强检察工作网、安全互信边界和网间交换系统建设，实现跨业务条线、跨部门业务协同和跨单位资源共享，为后续与公安、法院、司法行政机关和其他行政执法机关进行更深层次的网络连接和数据交互协同应用奠定基础。</w:t>
      </w:r>
    </w:p>
    <w:p>
      <w:pPr>
        <w:numPr>
          <w:ilvl w:val="0"/>
          <w:numId w:val="13"/>
        </w:numPr>
        <w:adjustRightInd w:val="0"/>
        <w:snapToGrid w:val="0"/>
        <w:spacing w:line="560" w:lineRule="exact"/>
        <w:ind w:firstLine="720"/>
        <w:rPr>
          <w:rFonts w:eastAsia="仿宋"/>
          <w:kern w:val="0"/>
          <w:sz w:val="32"/>
          <w:szCs w:val="32"/>
          <w:lang w:val="en-GB"/>
        </w:rPr>
      </w:pP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cs="仿宋_GB2312"/>
          <w:kern w:val="0"/>
          <w:sz w:val="32"/>
          <w:szCs w:val="32"/>
          <w:shd w:val="clear" w:color="auto" w:fill="FFFFFF"/>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en-GB"/>
        </w:rPr>
      </w:pPr>
      <w:r>
        <w:rPr>
          <w:rFonts w:hint="eastAsia" w:ascii="仿宋_GB2312" w:hAnsi="仿宋_GB2312" w:eastAsia="仿宋_GB2312" w:cs="仿宋_GB2312"/>
          <w:kern w:val="0"/>
          <w:sz w:val="32"/>
          <w:szCs w:val="32"/>
          <w:shd w:val="clear" w:color="auto" w:fill="FFFFFF"/>
          <w:lang w:val="en-GB"/>
        </w:rPr>
        <w:t>广元市经济和信息化委员会《关于广元市人民检察院一体化网络建设项目通过预审的复函》（广经信函〔2018〕140号）</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en-GB"/>
        </w:rPr>
      </w:pPr>
      <w:r>
        <w:rPr>
          <w:rFonts w:hint="eastAsia" w:ascii="仿宋_GB2312" w:hAnsi="仿宋_GB2312" w:eastAsia="仿宋_GB2312" w:cs="仿宋_GB2312"/>
          <w:kern w:val="0"/>
          <w:sz w:val="32"/>
          <w:szCs w:val="32"/>
          <w:shd w:val="clear" w:color="auto" w:fill="FFFFFF"/>
          <w:lang w:val="en-GB"/>
        </w:rPr>
        <w:t>广元市财政局《关于市人民政府办公室交办0677号文件办理情况的报告》（广财办理〔2019〕51号）</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en-GB"/>
        </w:rPr>
      </w:pPr>
      <w:r>
        <w:rPr>
          <w:rFonts w:hint="eastAsia" w:ascii="仿宋_GB2312" w:hAnsi="仿宋_GB2312" w:eastAsia="仿宋_GB2312" w:cs="仿宋_GB2312"/>
          <w:kern w:val="0"/>
          <w:sz w:val="32"/>
          <w:szCs w:val="32"/>
          <w:shd w:val="clear" w:color="auto" w:fill="FFFFFF"/>
          <w:lang w:val="en-GB"/>
        </w:rPr>
        <w:t>广元市发展和改革委员会《关于市人民政府办公室0677号交办件办理情况的报告》（广发改〔2019〕239号）</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en-GB"/>
        </w:rPr>
      </w:pPr>
      <w:r>
        <w:rPr>
          <w:rFonts w:hint="eastAsia" w:ascii="仿宋_GB2312" w:hAnsi="仿宋_GB2312" w:eastAsia="仿宋_GB2312" w:cs="仿宋_GB2312"/>
          <w:kern w:val="0"/>
          <w:sz w:val="32"/>
          <w:szCs w:val="32"/>
          <w:shd w:val="clear" w:color="auto" w:fill="FFFFFF"/>
          <w:lang w:val="en-GB"/>
        </w:rPr>
        <w:t>广元市发展和改革委员会《关于广元市人民检察院一体化网络建设项目可行性研究报告的批复》（广发改〔2019〕527号）</w:t>
      </w:r>
    </w:p>
    <w:p>
      <w:pPr>
        <w:numPr>
          <w:ilvl w:val="0"/>
          <w:numId w:val="13"/>
        </w:numPr>
        <w:adjustRightInd w:val="0"/>
        <w:snapToGrid w:val="0"/>
        <w:spacing w:line="578" w:lineRule="exact"/>
        <w:ind w:firstLine="72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智慧检察项目资金按合同约定和工程进度以及院内财务管理制度、审批流程进行支付。采用财政国库集中支付，严格按照预算执行专款专用，科学计划资金使用进度，每笔支出力求规范、合理。</w:t>
      </w:r>
    </w:p>
    <w:p>
      <w:pPr>
        <w:numPr>
          <w:ilvl w:val="0"/>
          <w:numId w:val="13"/>
        </w:numPr>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使用坚持先审批后支付的原则，对项目资金建立严格的支付审批程序，加强内控管理，规范会计核算，对资金使用程序严格控制把关。充分考虑项目申报立项、资金拨付与会计处理、资金到位、项目资金使用绩效评价等各个环节，从源头上予以规范，确保程序完整，操作合法合规。项目资金按合同约定和工程进度以及单位财务管理制度、审批流程进行支付。采用财政国库集中支付，严格按照预算执行专款专用，科学计划资金使用进度，每笔支出力求规范、合理。</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6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以“保障应用、确保安全”为前提，依据国家网络安全等级保护三级标准要求，建立和完善检察工作网网络安全保障系统，提高检察工作网整体防护水平，形成与智慧检察相适应的智能化网络安全保障系统，在此基础上，部署应用系统和信息资源，使检察工作人员能够在检察工作网中完成非涉密信息办公、办案和智能辅助，同时实现与公安、法院、司法等政法部门的业务协同，与其他检察办案相关行政执法部门之间进行数据交换。</w:t>
      </w:r>
    </w:p>
    <w:p>
      <w:pPr>
        <w:numPr>
          <w:ilvl w:val="0"/>
          <w:numId w:val="14"/>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一体化网络建设项目为阶段性项目，是上年结转到</w:t>
      </w:r>
      <w:r>
        <w:rPr>
          <w:rFonts w:hint="eastAsia" w:ascii="仿宋_GB2312" w:hAnsi="仿宋_GB2312" w:eastAsia="仿宋_GB2312" w:cs="仿宋_GB2312"/>
          <w:kern w:val="0"/>
          <w:sz w:val="32"/>
          <w:szCs w:val="32"/>
          <w:shd w:val="clear" w:color="auto" w:fill="FFFFFF"/>
        </w:rPr>
        <w:t>2022年的建设项目。</w:t>
      </w:r>
      <w:r>
        <w:rPr>
          <w:rFonts w:hint="eastAsia" w:ascii="仿宋_GB2312" w:hAnsi="仿宋_GB2312" w:eastAsia="仿宋_GB2312" w:cs="仿宋_GB2312"/>
          <w:kern w:val="0"/>
          <w:sz w:val="32"/>
          <w:szCs w:val="32"/>
          <w:shd w:val="clear" w:color="auto" w:fill="FFFFFF"/>
          <w:lang w:val="zh-CN"/>
        </w:rPr>
        <w:t>年初设置7个具体绩效目标。数量质量为：新增新增设备数量</w:t>
      </w:r>
      <w:r>
        <w:rPr>
          <w:rFonts w:hint="eastAsia" w:ascii="仿宋_GB2312" w:hAnsi="仿宋_GB2312" w:eastAsia="仿宋_GB2312" w:cs="仿宋_GB2312"/>
          <w:kern w:val="0"/>
          <w:sz w:val="32"/>
          <w:szCs w:val="32"/>
          <w:shd w:val="clear" w:color="auto" w:fill="FFFFFF"/>
        </w:rPr>
        <w:t>215</w:t>
      </w:r>
      <w:r>
        <w:rPr>
          <w:rFonts w:hint="eastAsia" w:ascii="仿宋_GB2312" w:hAnsi="仿宋_GB2312" w:eastAsia="仿宋_GB2312" w:cs="仿宋_GB2312"/>
          <w:kern w:val="0"/>
          <w:sz w:val="32"/>
          <w:szCs w:val="32"/>
          <w:shd w:val="clear" w:color="auto" w:fill="FFFFFF"/>
          <w:lang w:val="zh-CN"/>
        </w:rPr>
        <w:t>个；质量指标为货物合格率9</w:t>
      </w:r>
      <w:r>
        <w:rPr>
          <w:rFonts w:hint="eastAsia" w:ascii="仿宋_GB2312" w:hAnsi="仿宋_GB2312" w:eastAsia="仿宋_GB2312" w:cs="仿宋_GB2312"/>
          <w:kern w:val="0"/>
          <w:sz w:val="32"/>
          <w:szCs w:val="32"/>
          <w:shd w:val="clear" w:color="auto" w:fill="FFFFFF"/>
        </w:rPr>
        <w:t>0</w:t>
      </w:r>
      <w:r>
        <w:rPr>
          <w:rFonts w:hint="eastAsia" w:ascii="仿宋_GB2312" w:hAnsi="仿宋_GB2312" w:eastAsia="仿宋_GB2312" w:cs="仿宋_GB2312"/>
          <w:kern w:val="0"/>
          <w:sz w:val="32"/>
          <w:szCs w:val="32"/>
          <w:shd w:val="clear" w:color="auto" w:fill="FFFFFF"/>
          <w:lang w:val="zh-CN"/>
        </w:rPr>
        <w:t>%；成本指标为成本控制在</w:t>
      </w:r>
      <w:r>
        <w:rPr>
          <w:rFonts w:hint="eastAsia" w:ascii="仿宋_GB2312" w:hAnsi="仿宋_GB2312" w:eastAsia="仿宋_GB2312" w:cs="仿宋_GB2312"/>
          <w:kern w:val="0"/>
          <w:sz w:val="32"/>
          <w:szCs w:val="32"/>
          <w:shd w:val="clear" w:color="auto" w:fill="FFFFFF"/>
        </w:rPr>
        <w:t>374.9万元；</w:t>
      </w:r>
      <w:r>
        <w:rPr>
          <w:rFonts w:hint="eastAsia" w:ascii="仿宋_GB2312" w:hAnsi="仿宋_GB2312" w:eastAsia="仿宋_GB2312" w:cs="仿宋_GB2312"/>
          <w:kern w:val="0"/>
          <w:sz w:val="32"/>
          <w:szCs w:val="32"/>
          <w:shd w:val="clear" w:color="auto" w:fill="FFFFFF"/>
          <w:lang w:val="zh-CN"/>
        </w:rPr>
        <w:t>时效指标为项目在</w:t>
      </w:r>
      <w:r>
        <w:rPr>
          <w:rFonts w:hint="eastAsia" w:ascii="仿宋_GB2312" w:hAnsi="仿宋_GB2312" w:eastAsia="仿宋_GB2312" w:cs="仿宋_GB2312"/>
          <w:kern w:val="0"/>
          <w:sz w:val="32"/>
          <w:szCs w:val="32"/>
          <w:shd w:val="clear" w:color="auto" w:fill="FFFFFF"/>
        </w:rPr>
        <w:t>6个月完工；</w:t>
      </w:r>
      <w:r>
        <w:rPr>
          <w:rFonts w:hint="eastAsia" w:ascii="仿宋_GB2312" w:hAnsi="仿宋_GB2312" w:eastAsia="仿宋_GB2312" w:cs="仿宋_GB2312"/>
          <w:kern w:val="0"/>
          <w:sz w:val="32"/>
          <w:szCs w:val="32"/>
          <w:shd w:val="clear" w:color="auto" w:fill="FFFFFF"/>
          <w:lang w:val="zh-CN"/>
        </w:rPr>
        <w:t>社会效益指标为推动检察工作智能化；可持续影响指标为实现检察工作网互联互通；满意度指标为干警满意度100%。根据项目进度安排和建设情况，我院计划在</w:t>
      </w:r>
      <w:r>
        <w:rPr>
          <w:rFonts w:hint="eastAsia" w:ascii="仿宋_GB2312" w:hAnsi="仿宋_GB2312" w:eastAsia="仿宋_GB2312" w:cs="仿宋_GB2312"/>
          <w:kern w:val="0"/>
          <w:sz w:val="32"/>
          <w:szCs w:val="32"/>
          <w:shd w:val="clear" w:color="auto" w:fill="FFFFFF"/>
        </w:rPr>
        <w:t>2022年3月、6月对项目资金按照时序进度进行拨付。</w:t>
      </w:r>
    </w:p>
    <w:p>
      <w:pPr>
        <w:numPr>
          <w:ilvl w:val="0"/>
          <w:numId w:val="14"/>
        </w:num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分析评价申报内容是否与实际相符，申报目标是否合理可行。</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绩效目标设置上，我院从收集、上报、筛查、费用控制和可持续发展上明确了合理的目标任务，符合实际。</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前期准备：按照绩效自评工作要求，组成以杨红梅同志为组长的绩效评价工作小组，组织、编写可行性研究报告，制订项目设计方案，组织工程实施和质量管理，协调工程的验收和移交。根据一体化网络建设项目制定了项目支出绩效评价实施方案，设计了绩效评价指标体系。</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组织实施：编制资金预算，协调落实政府资金，负责项目资金管理、支付。由项目相关领域的专家组成专家组，为本项目的设计和实施提供咨询和建议，协助审核各阶段的计划、报告、方案，对重大变更向领导小组提供建议。</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3.分析评价：对评价过程中收集资料进行归纳，汇总分析，依据项目支出绩效评价指标体系进行了评分，形成了综合性书面报告。</w:t>
      </w:r>
    </w:p>
    <w:p>
      <w:pPr>
        <w:adjustRightInd w:val="0"/>
        <w:snapToGrid w:val="0"/>
        <w:spacing w:line="578" w:lineRule="exact"/>
        <w:ind w:firstLine="640" w:firstLineChars="200"/>
        <w:outlineLvl w:val="1"/>
        <w:rPr>
          <w:rFonts w:ascii="黑体" w:hAnsi="宋体" w:eastAsia="黑体"/>
          <w:sz w:val="32"/>
          <w:szCs w:val="32"/>
        </w:rPr>
      </w:pPr>
      <w:bookmarkStart w:id="89" w:name="_Toc29960"/>
      <w:r>
        <w:rPr>
          <w:rFonts w:hint="eastAsia" w:ascii="黑体" w:hAnsi="宋体" w:eastAsia="黑体"/>
          <w:sz w:val="32"/>
          <w:szCs w:val="32"/>
        </w:rPr>
        <w:t>二、项目资金申报及使用情况</w:t>
      </w:r>
      <w:bookmarkEnd w:id="89"/>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一体化网络建设项目资金年初结转</w:t>
      </w:r>
      <w:r>
        <w:rPr>
          <w:rFonts w:hint="eastAsia" w:ascii="仿宋_GB2312" w:hAnsi="仿宋_GB2312" w:eastAsia="仿宋_GB2312" w:cs="仿宋_GB2312"/>
          <w:kern w:val="0"/>
          <w:sz w:val="32"/>
          <w:szCs w:val="32"/>
          <w:shd w:val="clear" w:color="auto" w:fill="FFFFFF"/>
        </w:rPr>
        <w:t>471.27</w:t>
      </w:r>
      <w:r>
        <w:rPr>
          <w:rFonts w:hint="eastAsia" w:ascii="仿宋_GB2312" w:hAnsi="仿宋_GB2312" w:eastAsia="仿宋_GB2312" w:cs="仿宋_GB2312"/>
          <w:kern w:val="0"/>
          <w:sz w:val="32"/>
          <w:szCs w:val="32"/>
          <w:shd w:val="clear" w:color="auto" w:fill="FFFFFF"/>
          <w:lang w:val="zh-CN"/>
        </w:rPr>
        <w:t>万元，均为财政资金。</w:t>
      </w:r>
    </w:p>
    <w:p>
      <w:pPr>
        <w:adjustRightInd w:val="0"/>
        <w:snapToGrid w:val="0"/>
        <w:spacing w:line="578" w:lineRule="exact"/>
        <w:ind w:firstLine="642" w:firstLineChars="200"/>
        <w:rPr>
          <w:rFonts w:ascii="仿宋_GB2312" w:hAnsi="宋体"/>
          <w:sz w:val="32"/>
          <w:szCs w:val="32"/>
          <w:lang w:val="zh-CN"/>
        </w:rPr>
      </w:pPr>
      <w:r>
        <w:rPr>
          <w:rFonts w:hint="eastAsia" w:ascii="楷体_GB2312" w:hAnsi="宋体" w:eastAsia="楷体_GB2312"/>
          <w:b/>
          <w:sz w:val="32"/>
          <w:szCs w:val="32"/>
          <w:lang w:val="zh-CN"/>
        </w:rPr>
        <w:t>（二）资金计划、到位及使用情况</w:t>
      </w:r>
      <w:r>
        <w:rPr>
          <w:rFonts w:hint="eastAsia" w:ascii="楷体_GB2312" w:hAnsi="宋体" w:eastAsia="楷体_GB2312"/>
          <w:sz w:val="32"/>
          <w:szCs w:val="32"/>
          <w:lang w:val="zh-CN"/>
        </w:rPr>
        <w:t>。</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1．资金计划。一体化网络建设项目资金年初结转</w:t>
      </w:r>
      <w:r>
        <w:rPr>
          <w:rFonts w:hint="eastAsia" w:ascii="仿宋_GB2312" w:hAnsi="仿宋_GB2312" w:eastAsia="仿宋_GB2312" w:cs="仿宋_GB2312"/>
          <w:kern w:val="0"/>
          <w:sz w:val="32"/>
          <w:szCs w:val="32"/>
          <w:shd w:val="clear" w:color="auto" w:fill="FFFFFF"/>
        </w:rPr>
        <w:t>471.27</w:t>
      </w:r>
      <w:r>
        <w:rPr>
          <w:rFonts w:hint="eastAsia" w:ascii="仿宋_GB2312" w:hAnsi="仿宋_GB2312" w:eastAsia="仿宋_GB2312" w:cs="仿宋_GB2312"/>
          <w:kern w:val="0"/>
          <w:sz w:val="32"/>
          <w:szCs w:val="32"/>
          <w:shd w:val="clear" w:color="auto" w:fill="FFFFFF"/>
          <w:lang w:val="zh-CN"/>
        </w:rPr>
        <w:t>万元，并于批复后下达指标，202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年项目实际到位资金</w:t>
      </w:r>
      <w:r>
        <w:rPr>
          <w:rFonts w:hint="eastAsia" w:ascii="仿宋_GB2312" w:hAnsi="仿宋_GB2312" w:eastAsia="仿宋_GB2312" w:cs="仿宋_GB2312"/>
          <w:kern w:val="0"/>
          <w:sz w:val="32"/>
          <w:szCs w:val="32"/>
          <w:shd w:val="clear" w:color="auto" w:fill="FFFFFF"/>
        </w:rPr>
        <w:t>471.27</w:t>
      </w:r>
      <w:r>
        <w:rPr>
          <w:rFonts w:hint="eastAsia" w:ascii="仿宋_GB2312" w:hAnsi="仿宋_GB2312" w:eastAsia="仿宋_GB2312" w:cs="仿宋_GB2312"/>
          <w:kern w:val="0"/>
          <w:sz w:val="32"/>
          <w:szCs w:val="32"/>
          <w:shd w:val="clear" w:color="auto" w:fill="FFFFFF"/>
          <w:lang w:val="zh-CN"/>
        </w:rPr>
        <w:t>万元，资金到位率100%。</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2．资金到位。一体化网络建设项目资金年初结转</w:t>
      </w:r>
      <w:r>
        <w:rPr>
          <w:rFonts w:hint="eastAsia" w:ascii="仿宋_GB2312" w:hAnsi="仿宋_GB2312" w:eastAsia="仿宋_GB2312" w:cs="仿宋_GB2312"/>
          <w:kern w:val="0"/>
          <w:sz w:val="32"/>
          <w:szCs w:val="32"/>
          <w:shd w:val="clear" w:color="auto" w:fill="FFFFFF"/>
        </w:rPr>
        <w:t>471.27</w:t>
      </w:r>
      <w:r>
        <w:rPr>
          <w:rFonts w:hint="eastAsia" w:ascii="仿宋_GB2312" w:hAnsi="仿宋_GB2312" w:eastAsia="仿宋_GB2312" w:cs="仿宋_GB2312"/>
          <w:kern w:val="0"/>
          <w:sz w:val="32"/>
          <w:szCs w:val="32"/>
          <w:shd w:val="clear" w:color="auto" w:fill="FFFFFF"/>
          <w:lang w:val="zh-CN"/>
        </w:rPr>
        <w:t>万元，并于批复后下达指标，202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年项目实际到位资金</w:t>
      </w:r>
      <w:r>
        <w:rPr>
          <w:rFonts w:hint="eastAsia" w:ascii="仿宋_GB2312" w:hAnsi="仿宋_GB2312" w:eastAsia="仿宋_GB2312" w:cs="仿宋_GB2312"/>
          <w:kern w:val="0"/>
          <w:sz w:val="32"/>
          <w:szCs w:val="32"/>
          <w:shd w:val="clear" w:color="auto" w:fill="FFFFFF"/>
        </w:rPr>
        <w:t>471.27</w:t>
      </w:r>
      <w:r>
        <w:rPr>
          <w:rFonts w:hint="eastAsia" w:ascii="仿宋_GB2312" w:hAnsi="仿宋_GB2312" w:eastAsia="仿宋_GB2312" w:cs="仿宋_GB2312"/>
          <w:kern w:val="0"/>
          <w:sz w:val="32"/>
          <w:szCs w:val="32"/>
          <w:shd w:val="clear" w:color="auto" w:fill="FFFFFF"/>
          <w:lang w:val="zh-CN"/>
        </w:rPr>
        <w:t>万元，资金到位率100%。</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3．资金使用。截止202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年12月31日，一体化网络建设项目支出3</w:t>
      </w:r>
      <w:r>
        <w:rPr>
          <w:rFonts w:hint="eastAsia" w:ascii="仿宋_GB2312" w:hAnsi="仿宋_GB2312" w:eastAsia="仿宋_GB2312" w:cs="仿宋_GB2312"/>
          <w:kern w:val="0"/>
          <w:sz w:val="32"/>
          <w:szCs w:val="32"/>
          <w:shd w:val="clear" w:color="auto" w:fill="FFFFFF"/>
        </w:rPr>
        <w:t>74.9</w:t>
      </w:r>
      <w:r>
        <w:rPr>
          <w:rFonts w:hint="eastAsia" w:ascii="仿宋_GB2312" w:hAnsi="仿宋_GB2312" w:eastAsia="仿宋_GB2312" w:cs="仿宋_GB2312"/>
          <w:kern w:val="0"/>
          <w:sz w:val="32"/>
          <w:szCs w:val="32"/>
          <w:shd w:val="clear" w:color="auto" w:fill="FFFFFF"/>
          <w:lang w:val="zh-CN"/>
        </w:rPr>
        <w:t>万元，完成预算率</w:t>
      </w:r>
      <w:r>
        <w:rPr>
          <w:rFonts w:hint="eastAsia" w:ascii="仿宋_GB2312" w:hAnsi="仿宋_GB2312" w:eastAsia="仿宋_GB2312" w:cs="仿宋_GB2312"/>
          <w:kern w:val="0"/>
          <w:sz w:val="32"/>
          <w:szCs w:val="32"/>
          <w:shd w:val="clear" w:color="auto" w:fill="FFFFFF"/>
        </w:rPr>
        <w:t>79.55</w:t>
      </w:r>
      <w:r>
        <w:rPr>
          <w:rFonts w:hint="eastAsia" w:ascii="仿宋_GB2312" w:hAnsi="仿宋_GB2312" w:eastAsia="仿宋_GB2312" w:cs="仿宋_GB2312"/>
          <w:kern w:val="0"/>
          <w:sz w:val="32"/>
          <w:szCs w:val="32"/>
          <w:shd w:val="clear" w:color="auto" w:fill="FFFFFF"/>
          <w:lang w:val="zh-CN"/>
        </w:rPr>
        <w:t>%。资金支付方式为财政国库集中支付，与预算相符，程序规范、票据齐全。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我院财务管理制度健全，并严格执行财务管理制度，账务处理及时准确，会计核算规范。</w:t>
      </w:r>
    </w:p>
    <w:p>
      <w:pPr>
        <w:adjustRightInd w:val="0"/>
        <w:snapToGrid w:val="0"/>
        <w:spacing w:line="578" w:lineRule="exact"/>
        <w:ind w:firstLine="640" w:firstLineChars="200"/>
        <w:outlineLvl w:val="1"/>
        <w:rPr>
          <w:rFonts w:ascii="黑体" w:hAnsi="宋体" w:eastAsia="黑体"/>
          <w:sz w:val="32"/>
          <w:szCs w:val="32"/>
        </w:rPr>
      </w:pPr>
      <w:bookmarkStart w:id="90" w:name="_Toc14042"/>
      <w:r>
        <w:rPr>
          <w:rFonts w:hint="eastAsia" w:ascii="黑体" w:hAnsi="宋体" w:eastAsia="黑体"/>
          <w:sz w:val="32"/>
          <w:szCs w:val="32"/>
        </w:rPr>
        <w:t>三、项目实施及管理情况</w:t>
      </w:r>
      <w:bookmarkEnd w:id="90"/>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60" w:lineRule="exact"/>
        <w:ind w:firstLine="642"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（一）项目组织架构及实施流程。</w:t>
      </w:r>
      <w:r>
        <w:rPr>
          <w:rFonts w:hint="eastAsia" w:ascii="仿宋_GB2312" w:hAnsi="仿宋_GB2312" w:eastAsia="仿宋_GB2312" w:cs="仿宋_GB2312"/>
          <w:kern w:val="0"/>
          <w:sz w:val="32"/>
          <w:szCs w:val="32"/>
          <w:shd w:val="clear" w:color="auto" w:fill="FFFFFF"/>
          <w:lang w:val="zh-CN"/>
        </w:rPr>
        <w:t>该项目由检察长刘萍部署，分管领导杨红梅负责，部门负责人黄小珉组织实施。按绩效事前评估、绩效目标管理、绩效运行监控、绩效评价管理、评价结果应用等各环节实施管理流程。</w:t>
      </w:r>
    </w:p>
    <w:p>
      <w:pPr>
        <w:spacing w:line="560" w:lineRule="exact"/>
        <w:ind w:firstLine="642"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项目实施过程中，严格执行相关法律法规及项目管理制度，由于该项目分为两期，且部分属于涉密，部分非涉密，因此涉密部分由单位自行采购，非涉密部分委托代理机构采用公开招标的方式进行采购，资金使用符合规定，项目成果达到预期。本项目资金仅限于网络建设费用及集成费报酬。支出依据规范，无虚列支出，无截留、挤占、挪用现象。</w:t>
      </w:r>
    </w:p>
    <w:p>
      <w:pPr>
        <w:adjustRightInd w:val="0"/>
        <w:snapToGrid w:val="0"/>
        <w:spacing w:line="560" w:lineRule="exact"/>
        <w:ind w:firstLine="642" w:firstLineChars="20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严格按照预算执行专款专用，科学计划资金使用进度，每笔支出力求规范、合理。内控领导小组与检务督察部门定期对项目的实施和支付情况进行审核。</w:t>
      </w:r>
    </w:p>
    <w:p>
      <w:pPr>
        <w:adjustRightInd w:val="0"/>
        <w:snapToGrid w:val="0"/>
        <w:spacing w:line="578" w:lineRule="exact"/>
        <w:ind w:firstLine="640" w:firstLineChars="200"/>
        <w:outlineLvl w:val="1"/>
        <w:rPr>
          <w:rFonts w:ascii="仿宋_GB2312" w:hAnsi="宋体"/>
          <w:sz w:val="32"/>
          <w:szCs w:val="32"/>
          <w:lang w:val="zh-CN"/>
        </w:rPr>
      </w:pPr>
      <w:bookmarkStart w:id="91" w:name="_Toc24159"/>
      <w:r>
        <w:rPr>
          <w:rFonts w:hint="eastAsia" w:ascii="黑体" w:hAnsi="宋体" w:eastAsia="黑体"/>
          <w:sz w:val="32"/>
          <w:szCs w:val="32"/>
        </w:rPr>
        <w:t>四、项目绩效情况</w:t>
      </w:r>
      <w:bookmarkEnd w:id="91"/>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一体化网络建设项目全年预算</w:t>
      </w:r>
      <w:r>
        <w:rPr>
          <w:rFonts w:hint="eastAsia" w:ascii="仿宋_GB2312" w:hAnsi="仿宋_GB2312" w:eastAsia="仿宋_GB2312" w:cs="仿宋_GB2312"/>
          <w:kern w:val="0"/>
          <w:sz w:val="32"/>
          <w:szCs w:val="32"/>
          <w:shd w:val="clear" w:color="auto" w:fill="FFFFFF"/>
        </w:rPr>
        <w:t>471.27</w:t>
      </w:r>
      <w:r>
        <w:rPr>
          <w:rFonts w:hint="eastAsia" w:ascii="仿宋_GB2312" w:hAnsi="仿宋_GB2312" w:eastAsia="仿宋_GB2312" w:cs="仿宋_GB2312"/>
          <w:kern w:val="0"/>
          <w:sz w:val="32"/>
          <w:szCs w:val="32"/>
          <w:shd w:val="clear" w:color="auto" w:fill="FFFFFF"/>
          <w:lang w:val="zh-CN"/>
        </w:rPr>
        <w:t>万元，支出</w:t>
      </w:r>
      <w:r>
        <w:rPr>
          <w:rFonts w:hint="eastAsia" w:ascii="仿宋_GB2312" w:hAnsi="仿宋_GB2312" w:eastAsia="仿宋_GB2312" w:cs="仿宋_GB2312"/>
          <w:kern w:val="0"/>
          <w:sz w:val="32"/>
          <w:szCs w:val="32"/>
          <w:shd w:val="clear" w:color="auto" w:fill="FFFFFF"/>
        </w:rPr>
        <w:t>374.9</w:t>
      </w:r>
      <w:r>
        <w:rPr>
          <w:rFonts w:hint="eastAsia" w:ascii="仿宋_GB2312" w:hAnsi="仿宋_GB2312" w:eastAsia="仿宋_GB2312" w:cs="仿宋_GB2312"/>
          <w:kern w:val="0"/>
          <w:sz w:val="32"/>
          <w:szCs w:val="32"/>
          <w:shd w:val="clear" w:color="auto" w:fill="FFFFFF"/>
          <w:lang w:val="zh-CN"/>
        </w:rPr>
        <w:t>万元，完成预算率</w:t>
      </w:r>
      <w:r>
        <w:rPr>
          <w:rFonts w:hint="eastAsia" w:ascii="仿宋_GB2312" w:hAnsi="仿宋_GB2312" w:eastAsia="仿宋_GB2312" w:cs="仿宋_GB2312"/>
          <w:kern w:val="0"/>
          <w:sz w:val="32"/>
          <w:szCs w:val="32"/>
          <w:shd w:val="clear" w:color="auto" w:fill="FFFFFF"/>
        </w:rPr>
        <w:t>79.55</w:t>
      </w:r>
      <w:r>
        <w:rPr>
          <w:rFonts w:hint="eastAsia" w:ascii="仿宋_GB2312" w:hAnsi="仿宋_GB2312" w:eastAsia="仿宋_GB2312" w:cs="仿宋_GB2312"/>
          <w:kern w:val="0"/>
          <w:sz w:val="32"/>
          <w:szCs w:val="32"/>
          <w:shd w:val="clear" w:color="auto" w:fill="FFFFFF"/>
          <w:lang w:val="zh-CN"/>
        </w:rPr>
        <w:t>%。绩效目标设置</w:t>
      </w:r>
      <w:r>
        <w:rPr>
          <w:rFonts w:hint="eastAsia" w:ascii="仿宋_GB2312" w:hAnsi="仿宋_GB2312" w:eastAsia="仿宋_GB2312" w:cs="仿宋_GB2312"/>
          <w:kern w:val="0"/>
          <w:sz w:val="32"/>
          <w:szCs w:val="32"/>
          <w:shd w:val="clear" w:color="auto" w:fill="FFFFFF"/>
        </w:rPr>
        <w:t>7个，完成6个，未完成指标为数量指标，即新增设备数量215个，实际完成210个。该项目无违规记录。截止2022年12月31日，项目已建成，并通过验收，所有产品合格率为95%，不合格产品已全部更换并安装好，成本控制目标实现。</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通过该项目，我院完成检察工作网的全面更新，初步实现各单位数据共享，大大节约传统人工办案模式带来的成本损坏。其次，有利于提高司法工作效率和效益。采用信息化手段使检察院在案件审理、诉讼效率和得到改善和提高。在促进检察手段现代化的基础上，实现有关公检法信息资源、物质资源及技术管理方面资源的合理配置，在资源充分共享的基础上更好的促进司法统一。202</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年，我院一体化网络建设项目新增LED屏幕、音响、话筒、日志审计系统等信息化设备</w:t>
      </w:r>
      <w:r>
        <w:rPr>
          <w:rFonts w:hint="eastAsia" w:ascii="仿宋_GB2312" w:hAnsi="仿宋_GB2312" w:eastAsia="仿宋_GB2312" w:cs="仿宋_GB2312"/>
          <w:kern w:val="0"/>
          <w:sz w:val="32"/>
          <w:szCs w:val="32"/>
          <w:shd w:val="clear" w:color="auto" w:fill="FFFFFF"/>
        </w:rPr>
        <w:t>210</w:t>
      </w:r>
      <w:r>
        <w:rPr>
          <w:rFonts w:hint="eastAsia" w:ascii="仿宋_GB2312" w:hAnsi="仿宋_GB2312" w:eastAsia="仿宋_GB2312" w:cs="仿宋_GB2312"/>
          <w:kern w:val="0"/>
          <w:sz w:val="32"/>
          <w:szCs w:val="32"/>
          <w:shd w:val="clear" w:color="auto" w:fill="FFFFFF"/>
          <w:lang w:val="zh-CN"/>
        </w:rPr>
        <w:t>项，所有到场设备均通过验收，合格率100%，严控项目经费开支，干警满意度100%，供应商满意度100%。</w:t>
      </w:r>
    </w:p>
    <w:p>
      <w:pPr>
        <w:adjustRightInd w:val="0"/>
        <w:snapToGrid w:val="0"/>
        <w:spacing w:line="578" w:lineRule="exact"/>
        <w:ind w:firstLine="640" w:firstLineChars="200"/>
        <w:outlineLvl w:val="1"/>
        <w:rPr>
          <w:rFonts w:ascii="黑体" w:hAnsi="宋体" w:eastAsia="黑体"/>
          <w:sz w:val="32"/>
          <w:szCs w:val="32"/>
        </w:rPr>
      </w:pPr>
      <w:bookmarkStart w:id="92" w:name="_Toc29711"/>
      <w:r>
        <w:rPr>
          <w:rFonts w:hint="eastAsia" w:ascii="黑体" w:hAnsi="宋体" w:eastAsia="黑体"/>
          <w:sz w:val="32"/>
          <w:szCs w:val="32"/>
        </w:rPr>
        <w:t>五、评价结论及建议</w:t>
      </w:r>
      <w:bookmarkEnd w:id="92"/>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2022年，我院围绕大局、服务中心，</w:t>
      </w:r>
      <w:r>
        <w:rPr>
          <w:rFonts w:hint="eastAsia" w:ascii="仿宋_GB2312" w:hAnsi="仿宋_GB2312" w:eastAsia="仿宋_GB2312" w:cs="仿宋_GB2312"/>
          <w:kern w:val="0"/>
          <w:sz w:val="32"/>
          <w:szCs w:val="32"/>
          <w:shd w:val="clear" w:color="auto" w:fill="FFFFFF"/>
          <w:lang w:val="zh-CN"/>
        </w:rPr>
        <w:t>履职尽责，加快一体化网络建设项目进度多次召开部门会议，严格执行采购招标流程，该项目分为二期，一期涉密，二期又分公开和涉密，项目建设工程量大，前期在绩效目标设置时对设备购置的数量预判不准确，实际并未采购预设数量的设备，但项目</w:t>
      </w:r>
      <w:r>
        <w:rPr>
          <w:rFonts w:hint="eastAsia" w:ascii="仿宋_GB2312" w:hAnsi="仿宋_GB2312" w:eastAsia="仿宋_GB2312" w:cs="仿宋_GB2312"/>
          <w:kern w:val="0"/>
          <w:sz w:val="32"/>
          <w:szCs w:val="32"/>
          <w:shd w:val="clear" w:color="auto" w:fill="FFFFFF"/>
        </w:rPr>
        <w:t>部门整体预算绩效总体良好，自评为94分。</w:t>
      </w:r>
    </w:p>
    <w:p>
      <w:pPr>
        <w:adjustRightInd w:val="0"/>
        <w:snapToGrid w:val="0"/>
        <w:spacing w:line="578" w:lineRule="exact"/>
        <w:ind w:firstLine="642" w:firstLineChars="200"/>
        <w:rPr>
          <w:rFonts w:ascii="楷体_GB2312" w:hAnsi="宋体" w:eastAsia="楷体_GB2312"/>
          <w:sz w:val="32"/>
          <w:szCs w:val="32"/>
          <w:lang w:val="zh-CN"/>
        </w:rPr>
      </w:pPr>
      <w:r>
        <w:rPr>
          <w:rFonts w:hint="eastAsia" w:ascii="楷体_GB2312" w:hAnsi="宋体" w:eastAsia="楷体_GB2312"/>
          <w:b/>
          <w:sz w:val="32"/>
          <w:szCs w:val="32"/>
          <w:lang w:val="zh-CN"/>
        </w:rPr>
        <w:t>（二）存在的问题</w:t>
      </w:r>
      <w:r>
        <w:rPr>
          <w:rFonts w:hint="eastAsia" w:ascii="楷体_GB2312" w:hAnsi="宋体" w:eastAsia="楷体_GB2312"/>
          <w:sz w:val="32"/>
          <w:szCs w:val="32"/>
          <w:lang w:val="zh-CN"/>
        </w:rPr>
        <w:t>。</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我院严格执行采购招标流程，项目</w:t>
      </w:r>
      <w:r>
        <w:rPr>
          <w:rFonts w:hint="eastAsia" w:ascii="仿宋_GB2312" w:hAnsi="仿宋_GB2312" w:eastAsia="仿宋_GB2312" w:cs="仿宋_GB2312"/>
          <w:kern w:val="0"/>
          <w:sz w:val="32"/>
          <w:szCs w:val="32"/>
          <w:shd w:val="clear" w:color="auto" w:fill="FFFFFF"/>
        </w:rPr>
        <w:t>部门整体预算绩效总体良好，但仍存在一个问题：</w:t>
      </w:r>
      <w:r>
        <w:rPr>
          <w:rFonts w:hint="eastAsia" w:ascii="仿宋_GB2312" w:hAnsi="仿宋_GB2312" w:eastAsia="仿宋_GB2312" w:cs="仿宋_GB2312"/>
          <w:kern w:val="0"/>
          <w:sz w:val="32"/>
          <w:szCs w:val="32"/>
          <w:shd w:val="clear" w:color="auto" w:fill="FFFFFF"/>
          <w:lang w:val="zh-CN"/>
        </w:rPr>
        <w:t>前期在绩效目标设置时对设备购置的数量预判不准确，实际并未采购预设数量的设备。</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今后在项目建设初期，要更有预判性，对项目建设内容由相关各部门严格把关，按照方案严格落实和采购，避免类似情况发生。</w:t>
      </w:r>
    </w:p>
    <w:p>
      <w:pPr>
        <w:spacing w:line="580" w:lineRule="exact"/>
        <w:rPr>
          <w:rStyle w:val="22"/>
          <w:rFonts w:ascii="黑体" w:hAnsi="黑体" w:eastAsia="黑体"/>
          <w:b w:val="0"/>
        </w:rPr>
      </w:pPr>
    </w:p>
    <w:p>
      <w:pPr>
        <w:widowControl/>
        <w:jc w:val="left"/>
        <w:rPr>
          <w:rStyle w:val="22"/>
          <w:rFonts w:ascii="黑体" w:hAnsi="黑体" w:eastAsia="黑体"/>
          <w:b w:val="0"/>
        </w:rPr>
      </w:pPr>
    </w:p>
    <w:p>
      <w:pPr>
        <w:widowControl/>
        <w:jc w:val="left"/>
        <w:rPr>
          <w:rStyle w:val="22"/>
          <w:rFonts w:ascii="黑体" w:hAnsi="黑体" w:eastAsia="黑体"/>
          <w:b w:val="0"/>
        </w:rPr>
      </w:pPr>
    </w:p>
    <w:p>
      <w:pPr>
        <w:widowControl/>
        <w:jc w:val="left"/>
        <w:rPr>
          <w:rStyle w:val="22"/>
          <w:rFonts w:ascii="黑体" w:hAnsi="黑体" w:eastAsia="黑体"/>
          <w:b w:val="0"/>
        </w:rPr>
      </w:pPr>
    </w:p>
    <w:p>
      <w:pPr>
        <w:widowControl/>
        <w:jc w:val="left"/>
        <w:rPr>
          <w:rStyle w:val="22"/>
          <w:rFonts w:ascii="黑体" w:hAnsi="黑体" w:eastAsia="黑体"/>
          <w:b w:val="0"/>
        </w:rPr>
      </w:pPr>
    </w:p>
    <w:p>
      <w:pPr>
        <w:widowControl/>
        <w:jc w:val="left"/>
        <w:rPr>
          <w:rStyle w:val="22"/>
          <w:rFonts w:ascii="黑体" w:hAnsi="黑体" w:eastAsia="黑体"/>
          <w:b w:val="0"/>
        </w:rPr>
      </w:pPr>
    </w:p>
    <w:p>
      <w:pPr>
        <w:widowControl/>
        <w:jc w:val="left"/>
        <w:rPr>
          <w:rStyle w:val="22"/>
          <w:rFonts w:ascii="黑体" w:hAnsi="黑体" w:eastAsia="黑体"/>
          <w:b w:val="0"/>
        </w:rPr>
      </w:pPr>
    </w:p>
    <w:p>
      <w:pPr>
        <w:widowControl/>
        <w:jc w:val="left"/>
        <w:rPr>
          <w:rStyle w:val="22"/>
          <w:rFonts w:ascii="黑体" w:hAnsi="黑体" w:eastAsia="黑体"/>
          <w:b w:val="0"/>
        </w:rPr>
      </w:pPr>
    </w:p>
    <w:p>
      <w:pPr>
        <w:pStyle w:val="2"/>
      </w:pPr>
    </w:p>
    <w:p>
      <w:pPr>
        <w:widowControl/>
        <w:jc w:val="left"/>
        <w:rPr>
          <w:rStyle w:val="22"/>
          <w:rFonts w:ascii="黑体" w:hAnsi="黑体" w:eastAsia="黑体"/>
          <w:b w:val="0"/>
        </w:rPr>
      </w:pPr>
    </w:p>
    <w:p>
      <w:pPr>
        <w:widowControl/>
        <w:jc w:val="center"/>
        <w:rPr>
          <w:rStyle w:val="22"/>
          <w:rFonts w:ascii="黑体" w:hAnsi="黑体" w:eastAsia="黑体"/>
          <w:b w:val="0"/>
        </w:rPr>
      </w:pPr>
      <w:bookmarkStart w:id="93" w:name="_Toc21682"/>
      <w:r>
        <w:rPr>
          <w:rStyle w:val="22"/>
          <w:rFonts w:hint="eastAsia" w:ascii="黑体" w:hAnsi="黑体" w:eastAsia="黑体"/>
          <w:b w:val="0"/>
        </w:rPr>
        <w:t>部门整体支出绩效目标自评表</w:t>
      </w:r>
    </w:p>
    <w:bookmarkEnd w:id="93"/>
    <w:tbl>
      <w:tblPr>
        <w:tblStyle w:val="18"/>
        <w:tblW w:w="5509" w:type="pct"/>
        <w:tblInd w:w="-389" w:type="dxa"/>
        <w:tblLayout w:type="fixed"/>
        <w:tblCellMar>
          <w:top w:w="0" w:type="dxa"/>
          <w:left w:w="108" w:type="dxa"/>
          <w:bottom w:w="0" w:type="dxa"/>
          <w:right w:w="108" w:type="dxa"/>
        </w:tblCellMar>
      </w:tblPr>
      <w:tblGrid>
        <w:gridCol w:w="985"/>
        <w:gridCol w:w="1400"/>
        <w:gridCol w:w="1516"/>
        <w:gridCol w:w="1275"/>
        <w:gridCol w:w="990"/>
        <w:gridCol w:w="764"/>
        <w:gridCol w:w="885"/>
        <w:gridCol w:w="689"/>
        <w:gridCol w:w="45"/>
        <w:gridCol w:w="841"/>
      </w:tblGrid>
      <w:tr>
        <w:tblPrEx>
          <w:tblCellMar>
            <w:top w:w="0" w:type="dxa"/>
            <w:left w:w="108" w:type="dxa"/>
            <w:bottom w:w="0" w:type="dxa"/>
            <w:right w:w="108" w:type="dxa"/>
          </w:tblCellMar>
        </w:tblPrEx>
        <w:trPr>
          <w:trHeight w:val="480" w:hRule="atLeast"/>
        </w:trPr>
        <w:tc>
          <w:tcPr>
            <w:tcW w:w="1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部门名称</w:t>
            </w:r>
          </w:p>
        </w:tc>
        <w:tc>
          <w:tcPr>
            <w:tcW w:w="37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四川省广元市人民检察院</w:t>
            </w:r>
          </w:p>
        </w:tc>
      </w:tr>
      <w:tr>
        <w:tblPrEx>
          <w:tblCellMar>
            <w:top w:w="0" w:type="dxa"/>
            <w:left w:w="108" w:type="dxa"/>
            <w:bottom w:w="0" w:type="dxa"/>
            <w:right w:w="108" w:type="dxa"/>
          </w:tblCellMar>
        </w:tblPrEx>
        <w:trPr>
          <w:trHeight w:val="495" w:hRule="atLeast"/>
        </w:trPr>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年度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主要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任务</w:t>
            </w: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任务名称</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主要内容</w:t>
            </w:r>
          </w:p>
        </w:tc>
        <w:tc>
          <w:tcPr>
            <w:tcW w:w="16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预算金额（万元）</w:t>
            </w:r>
          </w:p>
        </w:tc>
        <w:tc>
          <w:tcPr>
            <w:tcW w:w="1309"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实际执行（万元）</w:t>
            </w:r>
          </w:p>
        </w:tc>
      </w:tr>
      <w:tr>
        <w:tblPrEx>
          <w:tblCellMar>
            <w:top w:w="0" w:type="dxa"/>
            <w:left w:w="108" w:type="dxa"/>
            <w:bottom w:w="0" w:type="dxa"/>
            <w:right w:w="108" w:type="dxa"/>
          </w:tblCellMar>
        </w:tblPrEx>
        <w:trPr>
          <w:trHeight w:val="495"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总额</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总额</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财政拨款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其他资金</w:t>
            </w:r>
          </w:p>
        </w:tc>
      </w:tr>
      <w:tr>
        <w:tblPrEx>
          <w:tblCellMar>
            <w:top w:w="0" w:type="dxa"/>
            <w:left w:w="108" w:type="dxa"/>
            <w:bottom w:w="0" w:type="dxa"/>
            <w:right w:w="108" w:type="dxa"/>
          </w:tblCellMar>
        </w:tblPrEx>
        <w:trPr>
          <w:trHeight w:val="60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检察院基本支出（含追加）</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人员及公用经费基本支出</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2985.2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2985.2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2786.3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2786.3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FF0000"/>
                <w:sz w:val="20"/>
                <w:szCs w:val="20"/>
              </w:rPr>
            </w:pPr>
          </w:p>
        </w:tc>
      </w:tr>
      <w:tr>
        <w:tblPrEx>
          <w:tblCellMar>
            <w:top w:w="0" w:type="dxa"/>
            <w:left w:w="108" w:type="dxa"/>
            <w:bottom w:w="0" w:type="dxa"/>
            <w:right w:w="108" w:type="dxa"/>
          </w:tblCellMar>
        </w:tblPrEx>
        <w:trPr>
          <w:trHeight w:val="98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司法警察加班补助</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根据广人社办发〔2017〕185号，全面保障法警10人的加班津贴</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8.52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8.52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8.52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8.52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735"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检察监督</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辖区内各类案件的调查取证工作</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270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技侦大楼运行</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保障技侦大楼正常运转</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82.13</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82.13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82.13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82.13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95"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国家司法救助</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司法救助工作经费</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55"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乡村振兴工作经费</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扶贫工作经费</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5.46</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5.46</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5.46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5.46</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69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聘用制书记员工作经费</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聘用制书记员工作经费</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166.2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166.2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166.2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166.2</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69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一体化网络建设（结转）</w:t>
            </w:r>
          </w:p>
        </w:tc>
        <w:tc>
          <w:tcPr>
            <w:tcW w:w="806" w:type="pct"/>
            <w:tcBorders>
              <w:top w:val="single" w:color="000000" w:sz="4" w:space="0"/>
              <w:left w:val="single" w:color="000000" w:sz="4" w:space="0"/>
              <w:bottom w:val="single" w:color="000000" w:sz="4" w:space="0"/>
              <w:right w:val="nil"/>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智慧检察项目建设</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471.27</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471.27</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374.9</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374.9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FF0000"/>
                <w:sz w:val="20"/>
                <w:szCs w:val="20"/>
              </w:rPr>
            </w:pPr>
          </w:p>
        </w:tc>
      </w:tr>
      <w:tr>
        <w:tblPrEx>
          <w:tblCellMar>
            <w:top w:w="0" w:type="dxa"/>
            <w:left w:w="108" w:type="dxa"/>
            <w:bottom w:w="0" w:type="dxa"/>
            <w:right w:w="108" w:type="dxa"/>
          </w:tblCellMar>
        </w:tblPrEx>
        <w:trPr>
          <w:trHeight w:val="7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分级保护项目（结转）</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完成检察专网涉密信息系统分级保护建设，建设满足现代检察机关保密工作的网络环境</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122.04</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122.04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122.04</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122.04</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FF0000"/>
                <w:sz w:val="20"/>
                <w:szCs w:val="20"/>
              </w:rPr>
            </w:pPr>
          </w:p>
        </w:tc>
      </w:tr>
      <w:tr>
        <w:tblPrEx>
          <w:tblCellMar>
            <w:top w:w="0" w:type="dxa"/>
            <w:left w:w="108" w:type="dxa"/>
            <w:bottom w:w="0" w:type="dxa"/>
            <w:right w:w="108" w:type="dxa"/>
          </w:tblCellMar>
        </w:tblPrEx>
        <w:trPr>
          <w:trHeight w:val="740"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转移支付资金（结转+追加）</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中央政法</w:t>
            </w:r>
            <w:r>
              <w:rPr>
                <w:rFonts w:hint="eastAsia" w:ascii="宋体" w:hAnsi="宋体" w:cs="宋体"/>
                <w:color w:val="000000"/>
                <w:kern w:val="0"/>
                <w:sz w:val="20"/>
                <w:szCs w:val="20"/>
                <w:lang w:eastAsia="zh-CN"/>
              </w:rPr>
              <w:t>委</w:t>
            </w:r>
            <w:r>
              <w:rPr>
                <w:rFonts w:hint="eastAsia" w:ascii="宋体" w:hAnsi="宋体" w:cs="宋体"/>
                <w:color w:val="000000"/>
                <w:kern w:val="0"/>
                <w:sz w:val="20"/>
                <w:szCs w:val="20"/>
              </w:rPr>
              <w:t>纪检监察转移支付资金</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520.8</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520.8</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249.83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249.83</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FF0000"/>
                <w:sz w:val="20"/>
                <w:szCs w:val="20"/>
              </w:rPr>
            </w:pPr>
          </w:p>
        </w:tc>
      </w:tr>
      <w:tr>
        <w:tblPrEx>
          <w:tblCellMar>
            <w:top w:w="0" w:type="dxa"/>
            <w:left w:w="108" w:type="dxa"/>
            <w:bottom w:w="0" w:type="dxa"/>
            <w:right w:w="108" w:type="dxa"/>
          </w:tblCellMar>
        </w:tblPrEx>
        <w:trPr>
          <w:trHeight w:val="585" w:hRule="atLeast"/>
        </w:trPr>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15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金额合计</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4641.62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4641.62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4075.38</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4075.38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640" w:hRule="atLeast"/>
        </w:trPr>
        <w:tc>
          <w:tcPr>
            <w:tcW w:w="524" w:type="pct"/>
            <w:tcBorders>
              <w:top w:val="nil"/>
              <w:left w:val="single" w:color="000000" w:sz="4" w:space="0"/>
              <w:bottom w:val="single" w:color="auto" w:sz="4" w:space="0"/>
              <w:right w:val="single" w:color="000000" w:sz="4" w:space="0"/>
            </w:tcBorders>
            <w:shd w:val="clear" w:color="auto" w:fill="auto"/>
            <w:vAlign w:val="center"/>
          </w:tcPr>
          <w:p>
            <w:pPr>
              <w:widowControl/>
              <w:spacing w:line="260" w:lineRule="exact"/>
              <w:jc w:val="center"/>
              <w:rPr>
                <w:rFonts w:ascii="宋体" w:hAnsi="宋体" w:cs="宋体"/>
                <w:color w:val="000000"/>
                <w:sz w:val="20"/>
                <w:szCs w:val="20"/>
              </w:rPr>
            </w:pPr>
          </w:p>
        </w:tc>
        <w:tc>
          <w:tcPr>
            <w:tcW w:w="2231"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2244"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tblPrEx>
          <w:tblCellMar>
            <w:top w:w="0" w:type="dxa"/>
            <w:left w:w="108" w:type="dxa"/>
            <w:bottom w:w="0" w:type="dxa"/>
            <w:right w:w="108" w:type="dxa"/>
          </w:tblCellMar>
        </w:tblPrEx>
        <w:trPr>
          <w:trHeight w:val="3780" w:hRule="atLeast"/>
        </w:trPr>
        <w:tc>
          <w:tcPr>
            <w:tcW w:w="524" w:type="pc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年度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总体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w:t>
            </w:r>
          </w:p>
        </w:tc>
        <w:tc>
          <w:tcPr>
            <w:tcW w:w="2231"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60" w:lineRule="exact"/>
              <w:jc w:val="left"/>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高质量开展检察监督工作，助力广元司法有序发展。</w:t>
            </w:r>
          </w:p>
          <w:p>
            <w:pPr>
              <w:widowControl/>
              <w:spacing w:line="260" w:lineRule="exact"/>
              <w:jc w:val="lef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rPr>
              <w:t>目标1：制发文件6000份。目标2：印制宣传资料20000份，拍摄专题片2部。目标3：保障机关各项工作正常运转。目标4：开展党建活动目标5：基层党组织建设目标6：举报线索核查目标7：及时更新“两微一端”，争取媒体采用量，同时完成检察日报征订。目标8：积极组织干警培训，争取参训率达100%。目标9：规划和指导全市检察机关检察技术和物证检验、鉴定、审查复核。目标10：依法办理各类案件目标11：召开听证会议、组织观摩庭目标12：开展未成年人法治教育10次以上</w:t>
            </w:r>
          </w:p>
        </w:tc>
        <w:tc>
          <w:tcPr>
            <w:tcW w:w="2244" w:type="pct"/>
            <w:gridSpan w:val="6"/>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6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完成上级院下达的智慧检察以及分级保护项目建设，实现检察机关办案智能化、现代化，年度项目建设进度已超过75%，部分项目款结转到2022年；保障检察业务的工作开展经费，保障干警工资、绩效、交通补贴、办案业务费等各项经费，全年办理各类案件1254件，履行公益保护使命，全年立案398件，督促河道土地修复330亩，整治垃圾污染水源案，获得省院、高检院肯定；选派3名干警常驻青川开展乡村振兴工作，帮扶村人均收入和生活水平有所提升；扎实开展司法救助工作，全年救助11案，救助人数23人，发放救助金9万元；保障单位运转所需水电气物管等费用，干警满意度较高。</w:t>
            </w:r>
          </w:p>
        </w:tc>
      </w:tr>
      <w:tr>
        <w:tblPrEx>
          <w:tblCellMar>
            <w:top w:w="0" w:type="dxa"/>
            <w:left w:w="108" w:type="dxa"/>
            <w:bottom w:w="0" w:type="dxa"/>
            <w:right w:w="108" w:type="dxa"/>
          </w:tblCellMar>
        </w:tblPrEx>
        <w:trPr>
          <w:trHeight w:val="660" w:hRule="atLeast"/>
        </w:trPr>
        <w:tc>
          <w:tcPr>
            <w:tcW w:w="524"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绩</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标</w:t>
            </w:r>
          </w:p>
        </w:tc>
        <w:tc>
          <w:tcPr>
            <w:tcW w:w="74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80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678" w:type="pct"/>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527" w:type="pc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指标值（包含数字及文字描述）</w:t>
            </w:r>
          </w:p>
        </w:tc>
        <w:tc>
          <w:tcPr>
            <w:tcW w:w="40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c>
          <w:tcPr>
            <w:tcW w:w="47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部门自评得分</w:t>
            </w:r>
          </w:p>
        </w:tc>
        <w:tc>
          <w:tcPr>
            <w:tcW w:w="391"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财政部门科室复评得分</w:t>
            </w:r>
          </w:p>
        </w:tc>
        <w:tc>
          <w:tcPr>
            <w:tcW w:w="44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未完成原因及改进措施</w:t>
            </w:r>
          </w:p>
        </w:tc>
      </w:tr>
      <w:tr>
        <w:tblPrEx>
          <w:tblCellMar>
            <w:top w:w="0" w:type="dxa"/>
            <w:left w:w="108" w:type="dxa"/>
            <w:bottom w:w="0" w:type="dxa"/>
            <w:right w:w="108" w:type="dxa"/>
          </w:tblCellMar>
        </w:tblPrEx>
        <w:trPr>
          <w:trHeight w:val="34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产出指标</w:t>
            </w:r>
          </w:p>
        </w:tc>
        <w:tc>
          <w:tcPr>
            <w:tcW w:w="806"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678" w:type="pc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指标1：征订检察日报</w:t>
            </w:r>
          </w:p>
        </w:tc>
        <w:tc>
          <w:tcPr>
            <w:tcW w:w="52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≥500份。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658份</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65"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指标2：开展干警培训次数</w:t>
            </w:r>
          </w:p>
        </w:tc>
        <w:tc>
          <w:tcPr>
            <w:tcW w:w="52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Style w:val="44"/>
              </w:rPr>
              <w:t>≧</w:t>
            </w:r>
            <w:r>
              <w:rPr>
                <w:rFonts w:hint="eastAsia" w:ascii="宋体" w:hAnsi="宋体" w:cs="宋体"/>
                <w:color w:val="000000"/>
                <w:kern w:val="0"/>
                <w:sz w:val="20"/>
                <w:szCs w:val="20"/>
              </w:rPr>
              <w:t>100</w:t>
            </w:r>
            <w:r>
              <w:rPr>
                <w:rStyle w:val="44"/>
              </w:rPr>
              <w:t>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4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指标3：班子成员讲党课次数</w:t>
            </w:r>
          </w:p>
        </w:tc>
        <w:tc>
          <w:tcPr>
            <w:tcW w:w="52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≥1次/人</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1.8次/人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指标4：举报线索核查数</w:t>
            </w:r>
          </w:p>
        </w:tc>
        <w:tc>
          <w:tcPr>
            <w:tcW w:w="52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213条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指标5：制发文件数</w:t>
            </w:r>
          </w:p>
        </w:tc>
        <w:tc>
          <w:tcPr>
            <w:tcW w:w="527"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微软雅黑" w:hAnsi="微软雅黑" w:eastAsia="微软雅黑" w:cs="微软雅黑"/>
                <w:color w:val="000000"/>
                <w:sz w:val="20"/>
                <w:szCs w:val="20"/>
              </w:rPr>
            </w:pPr>
            <w:r>
              <w:rPr>
                <w:rStyle w:val="45"/>
              </w:rPr>
              <w:t>≥</w:t>
            </w:r>
            <w:r>
              <w:rPr>
                <w:rFonts w:hint="eastAsia" w:ascii="宋体" w:hAnsi="宋体" w:cs="宋体"/>
                <w:color w:val="000000"/>
                <w:kern w:val="0"/>
                <w:sz w:val="20"/>
                <w:szCs w:val="20"/>
              </w:rPr>
              <w:t>6000份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7241份</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微软雅黑" w:hAnsi="微软雅黑" w:eastAsia="微软雅黑" w:cs="微软雅黑"/>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指标6：印制宣传资料数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≥20000份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21540册</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指标7：办理各类案件数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≥6067件</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6086件</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指标8：召开听证会议</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指标9：观摩庭参与人数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≥200人</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257人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指标10：开展未成年人法治教育次数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15次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0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指标1：培训覆盖率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≥100%（参训人数/总人数）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指标2：错误批捕率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微软雅黑" w:hAnsi="微软雅黑" w:eastAsia="微软雅黑" w:cs="微软雅黑"/>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指标3：接受党建督查是否达标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达标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达标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60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指标4：文件印制错误率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微软雅黑" w:hAnsi="微软雅黑" w:eastAsia="微软雅黑" w:cs="微软雅黑"/>
                <w:color w:val="000000"/>
                <w:sz w:val="20"/>
                <w:szCs w:val="20"/>
              </w:rPr>
            </w:pPr>
            <w:r>
              <w:rPr>
                <w:rStyle w:val="45"/>
              </w:rPr>
              <w:t>≤</w:t>
            </w:r>
            <w:r>
              <w:rPr>
                <w:rFonts w:hint="eastAsia" w:ascii="宋体" w:hAnsi="宋体" w:cs="宋体"/>
                <w:color w:val="000000"/>
                <w:kern w:val="0"/>
                <w:sz w:val="20"/>
                <w:szCs w:val="20"/>
              </w:rPr>
              <w:t>0</w:t>
            </w:r>
            <w:r>
              <w:rPr>
                <w:rStyle w:val="45"/>
              </w:rPr>
              <w:t>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5份</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1.5</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微软雅黑" w:hAnsi="微软雅黑" w:eastAsia="微软雅黑" w:cs="微软雅黑"/>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文件错字、漏字等</w:t>
            </w: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指标5：捕后不诉、诉后无罪案件数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微软雅黑" w:hAnsi="微软雅黑" w:eastAsia="微软雅黑" w:cs="微软雅黑"/>
                <w:color w:val="000000"/>
                <w:sz w:val="20"/>
                <w:szCs w:val="20"/>
              </w:rPr>
            </w:pPr>
            <w:r>
              <w:rPr>
                <w:rStyle w:val="45"/>
              </w:rPr>
              <w:t>≤</w:t>
            </w:r>
            <w:r>
              <w:rPr>
                <w:rFonts w:hint="eastAsia" w:ascii="宋体" w:hAnsi="宋体" w:cs="宋体"/>
                <w:color w:val="000000"/>
                <w:kern w:val="0"/>
                <w:sz w:val="20"/>
                <w:szCs w:val="20"/>
              </w:rPr>
              <w:t>0</w:t>
            </w:r>
            <w:r>
              <w:rPr>
                <w:rStyle w:val="45"/>
              </w:rPr>
              <w:t>件</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0份</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微软雅黑" w:hAnsi="微软雅黑" w:eastAsia="微软雅黑" w:cs="微软雅黑"/>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指标6：法治教育覆盖学校数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≥5所</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5所</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指标7：法治教育覆盖未成年人数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≥1万人</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1.12万人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102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指标1：新媒体信息编发及时性</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当日编发</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ascii="宋体" w:hAnsi="宋体" w:cs="宋体"/>
                <w:color w:val="000000"/>
                <w:sz w:val="20"/>
                <w:szCs w:val="20"/>
              </w:rPr>
            </w:pPr>
            <w:r>
              <w:rPr>
                <w:rFonts w:hint="eastAsia" w:ascii="宋体" w:hAnsi="宋体" w:cs="宋体"/>
                <w:color w:val="000000"/>
                <w:kern w:val="0"/>
                <w:sz w:val="20"/>
                <w:szCs w:val="20"/>
              </w:rPr>
              <w:t>时效性强，当日编发</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指标2：党建活动及时性</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当月</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ascii="宋体" w:hAnsi="宋体" w:cs="宋体"/>
                <w:color w:val="000000"/>
                <w:sz w:val="20"/>
                <w:szCs w:val="20"/>
              </w:rPr>
            </w:pPr>
            <w:r>
              <w:rPr>
                <w:rFonts w:hint="eastAsia" w:ascii="宋体" w:hAnsi="宋体" w:cs="宋体"/>
                <w:color w:val="000000"/>
                <w:kern w:val="0"/>
                <w:sz w:val="20"/>
                <w:szCs w:val="20"/>
              </w:rPr>
              <w:t>按月分</w:t>
            </w:r>
            <w:r>
              <w:rPr>
                <w:rFonts w:hint="eastAsia" w:ascii="宋体" w:hAnsi="宋体" w:cs="宋体"/>
                <w:color w:val="000000"/>
                <w:kern w:val="0"/>
                <w:sz w:val="20"/>
                <w:szCs w:val="20"/>
                <w:lang w:eastAsia="zh-CN"/>
              </w:rPr>
              <w:t>党</w:t>
            </w:r>
            <w:r>
              <w:rPr>
                <w:rFonts w:hint="eastAsia" w:ascii="宋体" w:hAnsi="宋体" w:cs="宋体"/>
                <w:color w:val="000000"/>
                <w:kern w:val="0"/>
                <w:sz w:val="20"/>
                <w:szCs w:val="20"/>
              </w:rPr>
              <w:t>支部开展党建活</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动</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指标3：及时开展支部“三会一课”</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ascii="宋体" w:hAnsi="宋体" w:cs="宋体"/>
                <w:color w:val="000000"/>
                <w:sz w:val="20"/>
                <w:szCs w:val="20"/>
              </w:rPr>
            </w:pPr>
            <w:r>
              <w:rPr>
                <w:rFonts w:hint="eastAsia" w:ascii="宋体" w:hAnsi="宋体" w:cs="宋体"/>
                <w:color w:val="000000"/>
                <w:kern w:val="0"/>
                <w:sz w:val="20"/>
                <w:szCs w:val="20"/>
              </w:rPr>
              <w:t>支委会每月，党员大会每季度，组织生活会和民主生活会每年。</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按月、分指标开展三会一课</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指标4：开展案件线索核查及时性</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3天</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指标5：兑现人员福利待遇及时性</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当期</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及时兑付</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指标6：机关后勤保障缴费及时性</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当月</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当月缴纳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66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指标7：案件办结率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≥95%（案件办结数/受案数）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指标8：重点日期开展法治教育及时性</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当天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及时开展</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80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经济成本指标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指标1：案件成本控制率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≤5万元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1万元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23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指标2：技侦大楼运行成本</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≤82.13万元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82.13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指标3：日常公用经费</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≤310.14万元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310.14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80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经济效益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指标1：技术装备闲置率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≤0%（闲置装备数/总装备数）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部分装备使用率相对较低</w:t>
            </w: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指标2：车辆闲置率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≤0%（闲置车辆数/总车辆数）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指标1：新媒体账号关注数增加数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321人</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指标2：司法公信力显著提高</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指标3：未成年人犯罪率是否上升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ascii="宋体" w:hAnsi="宋体" w:cs="宋体"/>
                <w:color w:val="000000"/>
                <w:sz w:val="20"/>
                <w:szCs w:val="20"/>
              </w:rPr>
            </w:pPr>
            <w:r>
              <w:rPr>
                <w:rFonts w:hint="eastAsia" w:ascii="宋体" w:hAnsi="宋体" w:cs="宋体"/>
                <w:color w:val="000000"/>
                <w:kern w:val="0"/>
                <w:sz w:val="20"/>
                <w:szCs w:val="20"/>
              </w:rPr>
              <w:t>未成年人犯罪率下降</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8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tcBorders>
              <w:top w:val="single" w:color="auto" w:sz="4" w:space="0"/>
              <w:left w:val="single" w:color="000000" w:sz="4" w:space="0"/>
              <w:bottom w:val="nil"/>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指标1：节能减排工作是否达标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达标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达标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4"/>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指标1：落实支部三会一课制度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优良中差</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优</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指标2：按高检院部署持续落实好“四大检察”“十大业务”各项指标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优良中差</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优</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指标3：持续落实好司法救助责任要求</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优良中差</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优</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满意度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指标</w:t>
            </w:r>
          </w:p>
        </w:tc>
        <w:tc>
          <w:tcPr>
            <w:tcW w:w="806" w:type="pct"/>
            <w:vMerge w:val="restart"/>
            <w:tcBorders>
              <w:top w:val="nil"/>
              <w:left w:val="single" w:color="000000" w:sz="4" w:space="0"/>
              <w:bottom w:val="nil"/>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满意度指标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指标1：法治宣传活动满意度</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≥80%（满意人数/参与人数）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4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nil"/>
              <w:left w:val="single" w:color="000000"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指标2：本院干警满意度</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≥95%（满意人数/总人数）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6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nil"/>
              <w:left w:val="single" w:color="000000"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指标3：市目标考核等次</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一等次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暂未考核</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市委暂未对市级单位进行目标考核</w:t>
            </w:r>
          </w:p>
        </w:tc>
      </w:tr>
      <w:tr>
        <w:tblPrEx>
          <w:tblCellMar>
            <w:top w:w="0" w:type="dxa"/>
            <w:left w:w="108" w:type="dxa"/>
            <w:bottom w:w="0" w:type="dxa"/>
            <w:right w:w="108" w:type="dxa"/>
          </w:tblCellMar>
        </w:tblPrEx>
        <w:trPr>
          <w:trHeight w:val="420" w:hRule="atLeast"/>
        </w:trPr>
        <w:tc>
          <w:tcPr>
            <w:tcW w:w="524"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806" w:type="pct"/>
            <w:vMerge w:val="continue"/>
            <w:tcBorders>
              <w:top w:val="nil"/>
              <w:left w:val="single" w:color="000000"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指标4：救助人员满意度</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right"/>
              <w:textAlignment w:val="center"/>
              <w:rPr>
                <w:rFonts w:ascii="宋体" w:hAnsi="宋体" w:cs="宋体"/>
                <w:color w:val="000000"/>
                <w:sz w:val="20"/>
                <w:szCs w:val="20"/>
              </w:rPr>
            </w:pPr>
            <w:r>
              <w:rPr>
                <w:rFonts w:ascii="宋体" w:hAnsi="宋体" w:cs="宋体"/>
                <w:color w:val="000000"/>
                <w:kern w:val="0"/>
                <w:sz w:val="20"/>
                <w:szCs w:val="20"/>
              </w:rPr>
              <w:t>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4"/>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6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部门（单位）自评结论</w:t>
            </w:r>
          </w:p>
        </w:tc>
        <w:tc>
          <w:tcPr>
            <w:tcW w:w="44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我单位资金总体使用进度为87.81%，得8.78分，绩效目标得分87分，总体得分95.78分。</w:t>
            </w:r>
          </w:p>
        </w:tc>
      </w:tr>
      <w:tr>
        <w:tblPrEx>
          <w:tblCellMar>
            <w:top w:w="0" w:type="dxa"/>
            <w:left w:w="108" w:type="dxa"/>
            <w:bottom w:w="0" w:type="dxa"/>
            <w:right w:w="108" w:type="dxa"/>
          </w:tblCellMar>
        </w:tblPrEx>
        <w:trPr>
          <w:trHeight w:val="54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部门（单位）自评存在问题</w:t>
            </w:r>
          </w:p>
        </w:tc>
        <w:tc>
          <w:tcPr>
            <w:tcW w:w="44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转移支付资金使用进度较低，主要是下达较晚和受广元疫情影响。</w:t>
            </w:r>
          </w:p>
        </w:tc>
      </w:tr>
      <w:tr>
        <w:tblPrEx>
          <w:tblCellMar>
            <w:top w:w="0" w:type="dxa"/>
            <w:left w:w="108" w:type="dxa"/>
            <w:bottom w:w="0" w:type="dxa"/>
            <w:right w:w="108" w:type="dxa"/>
          </w:tblCellMar>
        </w:tblPrEx>
        <w:trPr>
          <w:trHeight w:val="54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部门（单位）自评改进措施</w:t>
            </w:r>
          </w:p>
        </w:tc>
        <w:tc>
          <w:tcPr>
            <w:tcW w:w="44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加强资金使用的统筹和规划，进一步提高资金的使用效益，避免财政资金的沉淀和低效。</w:t>
            </w:r>
          </w:p>
        </w:tc>
      </w:tr>
      <w:tr>
        <w:tblPrEx>
          <w:tblCellMar>
            <w:top w:w="0" w:type="dxa"/>
            <w:left w:w="108" w:type="dxa"/>
            <w:bottom w:w="0" w:type="dxa"/>
            <w:right w:w="108" w:type="dxa"/>
          </w:tblCellMar>
        </w:tblPrEx>
        <w:trPr>
          <w:trHeight w:val="840" w:hRule="atLeast"/>
        </w:trPr>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财政部门对口科室复评结论及整改要求</w:t>
            </w:r>
          </w:p>
        </w:tc>
        <w:tc>
          <w:tcPr>
            <w:tcW w:w="447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360" w:hRule="atLeast"/>
        </w:trPr>
        <w:tc>
          <w:tcPr>
            <w:tcW w:w="27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单位项目负责人：</w:t>
            </w:r>
          </w:p>
        </w:tc>
        <w:tc>
          <w:tcPr>
            <w:tcW w:w="22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单位财务负责人：</w:t>
            </w:r>
          </w:p>
        </w:tc>
      </w:tr>
      <w:tr>
        <w:tblPrEx>
          <w:tblCellMar>
            <w:top w:w="0" w:type="dxa"/>
            <w:left w:w="108" w:type="dxa"/>
            <w:bottom w:w="0" w:type="dxa"/>
            <w:right w:w="108" w:type="dxa"/>
          </w:tblCellMar>
        </w:tblPrEx>
        <w:trPr>
          <w:trHeight w:val="360" w:hRule="atLeast"/>
        </w:trPr>
        <w:tc>
          <w:tcPr>
            <w:tcW w:w="27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部门项目负责人：</w:t>
            </w:r>
          </w:p>
        </w:tc>
        <w:tc>
          <w:tcPr>
            <w:tcW w:w="22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部门财务负责人：</w:t>
            </w:r>
          </w:p>
        </w:tc>
      </w:tr>
      <w:tr>
        <w:tblPrEx>
          <w:tblCellMar>
            <w:top w:w="0" w:type="dxa"/>
            <w:left w:w="108" w:type="dxa"/>
            <w:bottom w:w="0" w:type="dxa"/>
            <w:right w:w="108" w:type="dxa"/>
          </w:tblCellMar>
        </w:tblPrEx>
        <w:trPr>
          <w:trHeight w:val="360" w:hRule="atLeast"/>
        </w:trPr>
        <w:tc>
          <w:tcPr>
            <w:tcW w:w="45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left"/>
              <w:textAlignment w:val="center"/>
              <w:rPr>
                <w:rFonts w:ascii="宋体" w:hAnsi="宋体" w:cs="宋体"/>
                <w:color w:val="000000"/>
                <w:sz w:val="20"/>
                <w:szCs w:val="20"/>
              </w:rPr>
            </w:pPr>
            <w:r>
              <w:rPr>
                <w:rFonts w:hint="eastAsia" w:ascii="宋体" w:hAnsi="宋体" w:cs="宋体"/>
                <w:color w:val="000000"/>
                <w:kern w:val="0"/>
                <w:sz w:val="20"/>
                <w:szCs w:val="20"/>
              </w:rPr>
              <w:t>财政部门科室负责人：</w:t>
            </w:r>
          </w:p>
        </w:tc>
        <w:tc>
          <w:tcPr>
            <w:tcW w:w="4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rPr>
                <w:rFonts w:ascii="宋体" w:hAnsi="宋体" w:cs="宋体"/>
                <w:color w:val="000000"/>
                <w:sz w:val="20"/>
                <w:szCs w:val="20"/>
              </w:rPr>
            </w:pPr>
          </w:p>
        </w:tc>
      </w:tr>
    </w:tbl>
    <w:p>
      <w:pPr>
        <w:rPr>
          <w:rStyle w:val="22"/>
          <w:rFonts w:ascii="黑体" w:hAnsi="黑体" w:eastAsia="黑体"/>
          <w:b w:val="0"/>
        </w:rPr>
      </w:pPr>
    </w:p>
    <w:p>
      <w:pPr>
        <w:pStyle w:val="17"/>
        <w:ind w:left="420" w:firstLine="720"/>
        <w:jc w:val="center"/>
        <w:outlineLvl w:val="0"/>
        <w:rPr>
          <w:rFonts w:ascii="方正小标宋简体" w:hAnsi="方正小标宋简体" w:eastAsia="方正小标宋简体" w:cs="方正小标宋简体"/>
          <w:sz w:val="36"/>
          <w:szCs w:val="36"/>
        </w:rPr>
      </w:pPr>
      <w:bookmarkStart w:id="94" w:name="_Toc14943"/>
      <w:r>
        <w:rPr>
          <w:rFonts w:hint="eastAsia" w:ascii="方正小标宋简体" w:hAnsi="方正小标宋简体" w:eastAsia="方正小标宋简体" w:cs="方正小标宋简体"/>
          <w:sz w:val="36"/>
          <w:szCs w:val="36"/>
        </w:rPr>
        <w:t>一体化网络建设项目支出绩效目标自评表</w:t>
      </w:r>
      <w:bookmarkEnd w:id="94"/>
    </w:p>
    <w:tbl>
      <w:tblPr>
        <w:tblStyle w:val="18"/>
        <w:tblW w:w="9585" w:type="dxa"/>
        <w:tblInd w:w="-284" w:type="dxa"/>
        <w:tblLayout w:type="fixed"/>
        <w:tblCellMar>
          <w:top w:w="0" w:type="dxa"/>
          <w:left w:w="108" w:type="dxa"/>
          <w:bottom w:w="0" w:type="dxa"/>
          <w:right w:w="108" w:type="dxa"/>
        </w:tblCellMar>
      </w:tblPr>
      <w:tblGrid>
        <w:gridCol w:w="930"/>
        <w:gridCol w:w="1020"/>
        <w:gridCol w:w="825"/>
        <w:gridCol w:w="825"/>
        <w:gridCol w:w="765"/>
        <w:gridCol w:w="720"/>
        <w:gridCol w:w="675"/>
        <w:gridCol w:w="660"/>
        <w:gridCol w:w="600"/>
        <w:gridCol w:w="741"/>
        <w:gridCol w:w="684"/>
        <w:gridCol w:w="1140"/>
      </w:tblGrid>
      <w:tr>
        <w:tblPrEx>
          <w:tblCellMar>
            <w:top w:w="0" w:type="dxa"/>
            <w:left w:w="108" w:type="dxa"/>
            <w:bottom w:w="0" w:type="dxa"/>
            <w:right w:w="108" w:type="dxa"/>
          </w:tblCellMar>
        </w:tblPrEx>
        <w:trPr>
          <w:trHeight w:val="48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7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黑体" w:hAnsi="黑体" w:eastAsia="黑体" w:cs="黑体"/>
                <w:color w:val="000000"/>
                <w:kern w:val="0"/>
                <w:sz w:val="18"/>
                <w:szCs w:val="18"/>
              </w:rPr>
              <w:t>一体化网络建设</w:t>
            </w:r>
          </w:p>
        </w:tc>
      </w:tr>
      <w:tr>
        <w:tblPrEx>
          <w:tblCellMar>
            <w:top w:w="0" w:type="dxa"/>
            <w:left w:w="108" w:type="dxa"/>
            <w:bottom w:w="0" w:type="dxa"/>
            <w:right w:w="108" w:type="dxa"/>
          </w:tblCellMar>
        </w:tblPrEx>
        <w:trPr>
          <w:trHeight w:val="9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4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38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5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78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2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完成上级院下达的智慧检察项目建设，实现检察机关办案智能化、现代化。</w:t>
            </w:r>
          </w:p>
        </w:tc>
        <w:tc>
          <w:tcPr>
            <w:tcW w:w="5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成上级院下达的智慧检察项目建设，实现检察机关办案智能化、现代化。项目整体进度100%，经费支出100%。</w:t>
            </w:r>
          </w:p>
        </w:tc>
      </w:tr>
      <w:tr>
        <w:tblPrEx>
          <w:tblCellMar>
            <w:top w:w="0" w:type="dxa"/>
            <w:left w:w="108" w:type="dxa"/>
            <w:bottom w:w="0" w:type="dxa"/>
            <w:right w:w="108" w:type="dxa"/>
          </w:tblCellMar>
        </w:tblPrEx>
        <w:trPr>
          <w:trHeight w:val="67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763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2021年未完成的项目，我院根据项目立项、可行性研究报告和实施方案，确定拟采购设备数量和具体参数，拟定绩效目标任务，完成采购及验收。</w:t>
            </w:r>
          </w:p>
        </w:tc>
      </w:tr>
      <w:tr>
        <w:tblPrEx>
          <w:tblCellMar>
            <w:top w:w="0" w:type="dxa"/>
            <w:left w:w="108" w:type="dxa"/>
            <w:bottom w:w="0" w:type="dxa"/>
            <w:right w:w="108" w:type="dxa"/>
          </w:tblCellMar>
        </w:tblPrEx>
        <w:trPr>
          <w:trHeight w:val="45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42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471.27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9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成本控制率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374.9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374.9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货物合格率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项目进度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新增设备数量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部分设备规划时考虑不够充分，实际并未采购部分设备</w:t>
            </w:r>
          </w:p>
        </w:tc>
      </w:tr>
      <w:tr>
        <w:tblPrEx>
          <w:tblCellMar>
            <w:top w:w="0" w:type="dxa"/>
            <w:left w:w="108" w:type="dxa"/>
            <w:bottom w:w="0" w:type="dxa"/>
            <w:right w:w="108" w:type="dxa"/>
          </w:tblCellMar>
        </w:tblPrEx>
        <w:trPr>
          <w:trHeight w:val="60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推动检察工作智能化</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可持续发展指标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检察工作网互联互通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干警满意度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82" w:hRule="atLeast"/>
        </w:trPr>
        <w:tc>
          <w:tcPr>
            <w:tcW w:w="5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default" w:ascii="宋体" w:hAnsi="宋体" w:cs="宋体"/>
                <w:color w:val="000000"/>
                <w:kern w:val="0"/>
                <w:sz w:val="18"/>
                <w:szCs w:val="18"/>
              </w:rPr>
              <w:t>9</w:t>
            </w:r>
            <w:r>
              <w:rPr>
                <w:rFonts w:hint="eastAsia" w:ascii="宋体" w:hAnsi="宋体" w:cs="宋体"/>
                <w:color w:val="000000"/>
                <w:kern w:val="0"/>
                <w:sz w:val="18"/>
                <w:szCs w:val="18"/>
              </w:rPr>
              <w:t>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项目总评分96分，该项目完成较好，资金及时拨付。</w:t>
            </w:r>
          </w:p>
        </w:tc>
      </w:tr>
      <w:tr>
        <w:tblPrEx>
          <w:tblCellMar>
            <w:top w:w="0" w:type="dxa"/>
            <w:left w:w="108" w:type="dxa"/>
            <w:bottom w:w="0" w:type="dxa"/>
            <w:right w:w="108" w:type="dxa"/>
          </w:tblCellMar>
        </w:tblPrEx>
        <w:trPr>
          <w:trHeight w:val="67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项目资金使用的时效性还有待加强。</w:t>
            </w:r>
          </w:p>
        </w:tc>
      </w:tr>
      <w:tr>
        <w:tblPrEx>
          <w:tblCellMar>
            <w:top w:w="0" w:type="dxa"/>
            <w:left w:w="108" w:type="dxa"/>
            <w:bottom w:w="0" w:type="dxa"/>
            <w:right w:w="108" w:type="dxa"/>
          </w:tblCellMar>
        </w:tblPrEx>
        <w:trPr>
          <w:trHeight w:val="67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统筹谋划资金使用，加快使用进度</w:t>
            </w:r>
          </w:p>
        </w:tc>
      </w:tr>
      <w:tr>
        <w:tblPrEx>
          <w:tblCellMar>
            <w:top w:w="0" w:type="dxa"/>
            <w:left w:w="108" w:type="dxa"/>
            <w:bottom w:w="0" w:type="dxa"/>
            <w:right w:w="108" w:type="dxa"/>
          </w:tblCellMar>
        </w:tblPrEx>
        <w:trPr>
          <w:trHeight w:val="9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86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467" w:hRule="atLeast"/>
        </w:trPr>
        <w:tc>
          <w:tcPr>
            <w:tcW w:w="4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5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552" w:hRule="atLeast"/>
        </w:trPr>
        <w:tc>
          <w:tcPr>
            <w:tcW w:w="43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5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widowControl/>
        <w:jc w:val="left"/>
        <w:rPr>
          <w:rStyle w:val="22"/>
          <w:rFonts w:ascii="黑体" w:hAnsi="黑体" w:eastAsia="黑体"/>
          <w:b w:val="0"/>
        </w:rPr>
      </w:pPr>
    </w:p>
    <w:p>
      <w:pPr>
        <w:spacing w:line="600" w:lineRule="exact"/>
        <w:jc w:val="center"/>
        <w:outlineLvl w:val="9"/>
        <w:rPr>
          <w:rFonts w:ascii="黑体" w:hAnsi="黑体" w:eastAsia="黑体"/>
          <w:sz w:val="44"/>
          <w:szCs w:val="44"/>
        </w:rPr>
      </w:pPr>
      <w:bookmarkStart w:id="95" w:name="_Toc15396618"/>
    </w:p>
    <w:p>
      <w:pPr>
        <w:pStyle w:val="2"/>
      </w:pPr>
    </w:p>
    <w:p>
      <w:pPr>
        <w:spacing w:line="600" w:lineRule="exact"/>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pStyle w:val="17"/>
        <w:ind w:left="420" w:firstLine="720"/>
        <w:jc w:val="center"/>
        <w:rPr>
          <w:rFonts w:ascii="黑体" w:hAnsi="黑体" w:eastAsia="黑体"/>
          <w:sz w:val="44"/>
          <w:szCs w:val="44"/>
        </w:rPr>
      </w:pPr>
      <w:r>
        <w:rPr>
          <w:rFonts w:hint="eastAsia" w:ascii="方正小标宋简体" w:hAnsi="方正小标宋简体" w:eastAsia="方正小标宋简体" w:cs="方正小标宋简体"/>
          <w:sz w:val="36"/>
          <w:szCs w:val="36"/>
        </w:rPr>
        <w:t>检察监督项目支出绩效目标自评表</w:t>
      </w:r>
    </w:p>
    <w:tbl>
      <w:tblPr>
        <w:tblStyle w:val="18"/>
        <w:tblW w:w="5725" w:type="pct"/>
        <w:tblInd w:w="-299" w:type="dxa"/>
        <w:tblLayout w:type="fixed"/>
        <w:tblCellMar>
          <w:top w:w="0" w:type="dxa"/>
          <w:left w:w="108" w:type="dxa"/>
          <w:bottom w:w="0" w:type="dxa"/>
          <w:right w:w="108" w:type="dxa"/>
        </w:tblCellMar>
      </w:tblPr>
      <w:tblGrid>
        <w:gridCol w:w="885"/>
        <w:gridCol w:w="871"/>
        <w:gridCol w:w="735"/>
        <w:gridCol w:w="989"/>
        <w:gridCol w:w="646"/>
        <w:gridCol w:w="630"/>
        <w:gridCol w:w="615"/>
        <w:gridCol w:w="667"/>
        <w:gridCol w:w="652"/>
        <w:gridCol w:w="929"/>
        <w:gridCol w:w="1185"/>
        <w:gridCol w:w="954"/>
      </w:tblGrid>
      <w:tr>
        <w:tblPrEx>
          <w:tblCellMar>
            <w:top w:w="0" w:type="dxa"/>
            <w:left w:w="108" w:type="dxa"/>
            <w:bottom w:w="0" w:type="dxa"/>
            <w:right w:w="108" w:type="dxa"/>
          </w:tblCellMar>
        </w:tblPrEx>
        <w:trPr>
          <w:trHeight w:val="517"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41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b/>
                <w:bCs/>
                <w:color w:val="000000"/>
                <w:kern w:val="0"/>
                <w:sz w:val="18"/>
                <w:szCs w:val="18"/>
              </w:rPr>
              <w:t>检察监督</w:t>
            </w:r>
          </w:p>
        </w:tc>
      </w:tr>
      <w:tr>
        <w:tblPrEx>
          <w:tblCellMar>
            <w:top w:w="0" w:type="dxa"/>
            <w:left w:w="108" w:type="dxa"/>
            <w:bottom w:w="0" w:type="dxa"/>
            <w:right w:w="108" w:type="dxa"/>
          </w:tblCellMar>
        </w:tblPrEx>
        <w:trPr>
          <w:trHeight w:val="450" w:hRule="atLeast"/>
        </w:trPr>
        <w:tc>
          <w:tcPr>
            <w:tcW w:w="8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1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22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27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1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25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108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1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完成辖区内各类案件的调查取证工作，保障检察业务的工作开展经费，保障干警办案业务费、办案装备等各项经费。</w:t>
            </w:r>
          </w:p>
        </w:tc>
        <w:tc>
          <w:tcPr>
            <w:tcW w:w="25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保障检察业务的工作开展经费，保障干警办案业务费、办案装备等各项经费，全年办理各类案件1254件，履行公益保护使命，全年立案398件，督促河道土地修复330亩，整治垃圾污染水源案，获得省院、高检院肯定</w:t>
            </w:r>
          </w:p>
        </w:tc>
      </w:tr>
      <w:tr>
        <w:tblPrEx>
          <w:tblCellMar>
            <w:top w:w="0" w:type="dxa"/>
            <w:left w:w="108" w:type="dxa"/>
            <w:bottom w:w="0" w:type="dxa"/>
            <w:right w:w="108" w:type="dxa"/>
          </w:tblCellMar>
        </w:tblPrEx>
        <w:trPr>
          <w:trHeight w:val="78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41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根据历年来检察业务支出范围和金额，科学确定资金的经济分类和金额，设定绩效目标，根据时序进度合理开支，逐渐完成年初设定的绩效目标。截止2022年12月31日，项目支出进度为100%，检察业务发展质量高。</w:t>
            </w:r>
          </w:p>
        </w:tc>
      </w:tr>
      <w:tr>
        <w:tblPrEx>
          <w:tblCellMar>
            <w:top w:w="0" w:type="dxa"/>
            <w:left w:w="108" w:type="dxa"/>
            <w:bottom w:w="0" w:type="dxa"/>
            <w:right w:w="108" w:type="dxa"/>
          </w:tblCellMar>
        </w:tblPrEx>
        <w:trPr>
          <w:trHeight w:val="56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44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270.00</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270.00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270.00</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6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4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案件成本控制率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错误批捕率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监督案件审结时间</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检察监督办案工作经费</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270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执法司法公信力显著提高，人民满意度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可持续发展指标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按照高检院部署持续落实好“四大检察”“十大业务”各项指标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群众满意度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275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0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454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项目总评分100分，该项目完成较好，资金及时拨付。</w:t>
            </w:r>
          </w:p>
        </w:tc>
      </w:tr>
      <w:tr>
        <w:tblPrEx>
          <w:tblCellMar>
            <w:top w:w="0" w:type="dxa"/>
            <w:left w:w="108" w:type="dxa"/>
            <w:bottom w:w="0" w:type="dxa"/>
            <w:right w:w="108" w:type="dxa"/>
          </w:tblCellMar>
        </w:tblPrEx>
        <w:trPr>
          <w:trHeight w:val="67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454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项目资金使用的时效性还有待加强。</w:t>
            </w:r>
          </w:p>
        </w:tc>
      </w:tr>
      <w:tr>
        <w:tblPrEx>
          <w:tblCellMar>
            <w:top w:w="0" w:type="dxa"/>
            <w:left w:w="108" w:type="dxa"/>
            <w:bottom w:w="0" w:type="dxa"/>
            <w:right w:w="108" w:type="dxa"/>
          </w:tblCellMar>
        </w:tblPrEx>
        <w:trPr>
          <w:trHeight w:val="67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454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统筹谋划资金使用，加快使用进度</w:t>
            </w:r>
          </w:p>
        </w:tc>
      </w:tr>
      <w:tr>
        <w:tblPrEx>
          <w:tblCellMar>
            <w:top w:w="0" w:type="dxa"/>
            <w:left w:w="108" w:type="dxa"/>
            <w:bottom w:w="0" w:type="dxa"/>
            <w:right w:w="108" w:type="dxa"/>
          </w:tblCellMar>
        </w:tblPrEx>
        <w:trPr>
          <w:trHeight w:val="90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454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560" w:hRule="atLeast"/>
        </w:trPr>
        <w:tc>
          <w:tcPr>
            <w:tcW w:w="21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8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555" w:hRule="atLeast"/>
        </w:trPr>
        <w:tc>
          <w:tcPr>
            <w:tcW w:w="21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88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pStyle w:val="17"/>
        <w:ind w:left="420" w:firstLine="720"/>
        <w:jc w:val="center"/>
        <w:rPr>
          <w:rFonts w:ascii="黑体" w:hAnsi="黑体" w:eastAsia="黑体"/>
          <w:sz w:val="44"/>
          <w:szCs w:val="44"/>
        </w:rPr>
      </w:pPr>
      <w:r>
        <w:rPr>
          <w:rFonts w:hint="eastAsia" w:ascii="方正小标宋简体" w:hAnsi="方正小标宋简体" w:eastAsia="方正小标宋简体" w:cs="方正小标宋简体"/>
          <w:sz w:val="36"/>
          <w:szCs w:val="36"/>
        </w:rPr>
        <w:t>技侦大楼运行项目支出绩效目标自评表</w:t>
      </w:r>
    </w:p>
    <w:tbl>
      <w:tblPr>
        <w:tblStyle w:val="18"/>
        <w:tblW w:w="5676" w:type="pct"/>
        <w:tblInd w:w="-314" w:type="dxa"/>
        <w:tblLayout w:type="fixed"/>
        <w:tblCellMar>
          <w:top w:w="0" w:type="dxa"/>
          <w:left w:w="108" w:type="dxa"/>
          <w:bottom w:w="0" w:type="dxa"/>
          <w:right w:w="108" w:type="dxa"/>
        </w:tblCellMar>
      </w:tblPr>
      <w:tblGrid>
        <w:gridCol w:w="889"/>
        <w:gridCol w:w="790"/>
        <w:gridCol w:w="735"/>
        <w:gridCol w:w="824"/>
        <w:gridCol w:w="782"/>
        <w:gridCol w:w="689"/>
        <w:gridCol w:w="700"/>
        <w:gridCol w:w="726"/>
        <w:gridCol w:w="629"/>
        <w:gridCol w:w="642"/>
        <w:gridCol w:w="720"/>
        <w:gridCol w:w="1548"/>
      </w:tblGrid>
      <w:tr>
        <w:tblPrEx>
          <w:tblCellMar>
            <w:top w:w="0" w:type="dxa"/>
            <w:left w:w="108" w:type="dxa"/>
            <w:bottom w:w="0" w:type="dxa"/>
            <w:right w:w="108" w:type="dxa"/>
          </w:tblCellMar>
        </w:tblPrEx>
        <w:trPr>
          <w:trHeight w:val="480" w:hRule="atLeast"/>
        </w:trPr>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41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b/>
                <w:bCs/>
                <w:color w:val="000000"/>
                <w:kern w:val="0"/>
                <w:sz w:val="18"/>
                <w:szCs w:val="18"/>
              </w:rPr>
              <w:t>技侦大楼运行</w:t>
            </w:r>
          </w:p>
        </w:tc>
      </w:tr>
      <w:tr>
        <w:tblPrEx>
          <w:tblCellMar>
            <w:top w:w="0" w:type="dxa"/>
            <w:left w:w="108" w:type="dxa"/>
            <w:bottom w:w="0" w:type="dxa"/>
            <w:right w:w="108" w:type="dxa"/>
          </w:tblCellMar>
        </w:tblPrEx>
        <w:trPr>
          <w:trHeight w:val="450" w:hRule="atLeast"/>
        </w:trPr>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19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1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44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19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8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b/>
                <w:color w:val="000000"/>
                <w:sz w:val="18"/>
                <w:szCs w:val="18"/>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b/>
                <w:color w:val="000000"/>
                <w:sz w:val="18"/>
                <w:szCs w:val="18"/>
              </w:rPr>
            </w:pPr>
          </w:p>
        </w:tc>
        <w:tc>
          <w:tcPr>
            <w:tcW w:w="19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1.安保物业费66万元/年；2.空调维护5万元/年；3.消防检测2万元/年；4.电梯维护3万元/年；5.电力维护4万元/年；6.大楼维修维护20万元/年；7.绿植租摆维护3万元/年。</w:t>
            </w: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技侦大楼正常运转，所需水电气、物管费、运维等费用按时支付，检察业务高质量开展。</w:t>
            </w:r>
          </w:p>
        </w:tc>
      </w:tr>
      <w:tr>
        <w:tblPrEx>
          <w:tblCellMar>
            <w:top w:w="0" w:type="dxa"/>
            <w:left w:w="108" w:type="dxa"/>
            <w:bottom w:w="0" w:type="dxa"/>
            <w:right w:w="108" w:type="dxa"/>
          </w:tblCellMar>
        </w:tblPrEx>
        <w:trPr>
          <w:trHeight w:val="675"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41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根据历年来大楼运维的开支，科学确定资金的经济分类和金额，设定绩效目标，根据时序进度合理开支，逐渐完成年初设定的绩效目标。截止2022年12月31日，项目支出进度为100%，大楼正常运转，无事故发生。</w:t>
            </w:r>
          </w:p>
        </w:tc>
      </w:tr>
      <w:tr>
        <w:tblPrEx>
          <w:tblCellMar>
            <w:top w:w="0" w:type="dxa"/>
            <w:left w:w="108" w:type="dxa"/>
            <w:bottom w:w="0" w:type="dxa"/>
            <w:right w:w="108" w:type="dxa"/>
          </w:tblCellMar>
        </w:tblPrEx>
        <w:trPr>
          <w:trHeight w:val="45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27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82.13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11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6"/>
                <w:szCs w:val="16"/>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宋体" w:hAnsi="宋体" w:cs="宋体"/>
                <w:color w:val="000000"/>
                <w:sz w:val="18"/>
                <w:szCs w:val="18"/>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9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办公大楼面积</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9600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平方米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9600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安全指标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办公大楼八级抗震，安全指标达到国家安全标准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办公大楼运行成本</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821300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元/年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821300</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6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安全等级达到国家安全标准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高中低</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可持续发展指标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根据市委安排持续加强检察监督力度</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60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降低技侦大楼维修率，保障正常运转</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元/年</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b/>
                <w:color w:val="000000"/>
                <w:sz w:val="18"/>
                <w:szCs w:val="18"/>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群众满意度</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8"/>
                <w:szCs w:val="18"/>
              </w:rPr>
            </w:pPr>
          </w:p>
        </w:tc>
      </w:tr>
      <w:tr>
        <w:tblPrEx>
          <w:tblCellMar>
            <w:top w:w="0" w:type="dxa"/>
            <w:left w:w="108" w:type="dxa"/>
            <w:bottom w:w="0" w:type="dxa"/>
            <w:right w:w="108" w:type="dxa"/>
          </w:tblCellMar>
        </w:tblPrEx>
        <w:trPr>
          <w:trHeight w:val="470" w:hRule="atLeast"/>
        </w:trPr>
        <w:tc>
          <w:tcPr>
            <w:tcW w:w="317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8"/>
                <w:szCs w:val="18"/>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454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项目总评分100分，该项目完成较好，资金及时拨付。</w:t>
            </w:r>
          </w:p>
        </w:tc>
      </w:tr>
      <w:tr>
        <w:tblPrEx>
          <w:tblCellMar>
            <w:top w:w="0" w:type="dxa"/>
            <w:left w:w="108" w:type="dxa"/>
            <w:bottom w:w="0" w:type="dxa"/>
            <w:right w:w="108" w:type="dxa"/>
          </w:tblCellMar>
        </w:tblPrEx>
        <w:trPr>
          <w:trHeight w:val="67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454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项目资金使用的时效性还有待加强。</w:t>
            </w:r>
          </w:p>
        </w:tc>
      </w:tr>
      <w:tr>
        <w:tblPrEx>
          <w:tblCellMar>
            <w:top w:w="0" w:type="dxa"/>
            <w:left w:w="108" w:type="dxa"/>
            <w:bottom w:w="0" w:type="dxa"/>
            <w:right w:w="108" w:type="dxa"/>
          </w:tblCellMar>
        </w:tblPrEx>
        <w:trPr>
          <w:trHeight w:val="67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454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统筹谋划资金使用，加快使用进度</w:t>
            </w:r>
          </w:p>
        </w:tc>
      </w:tr>
      <w:tr>
        <w:tblPrEx>
          <w:tblCellMar>
            <w:top w:w="0" w:type="dxa"/>
            <w:left w:w="108" w:type="dxa"/>
            <w:bottom w:w="0" w:type="dxa"/>
            <w:right w:w="108" w:type="dxa"/>
          </w:tblCellMar>
        </w:tblPrEx>
        <w:trPr>
          <w:trHeight w:val="900"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454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rPr>
                <w:rFonts w:ascii="宋体" w:hAnsi="宋体" w:cs="宋体"/>
                <w:color w:val="000000"/>
                <w:sz w:val="16"/>
                <w:szCs w:val="16"/>
              </w:rPr>
            </w:pPr>
          </w:p>
        </w:tc>
      </w:tr>
      <w:tr>
        <w:tblPrEx>
          <w:tblCellMar>
            <w:top w:w="0" w:type="dxa"/>
            <w:left w:w="108" w:type="dxa"/>
            <w:bottom w:w="0" w:type="dxa"/>
            <w:right w:w="108" w:type="dxa"/>
          </w:tblCellMar>
        </w:tblPrEx>
        <w:trPr>
          <w:trHeight w:val="515" w:hRule="atLeast"/>
        </w:trPr>
        <w:tc>
          <w:tcPr>
            <w:tcW w:w="20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9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610" w:hRule="atLeast"/>
        </w:trPr>
        <w:tc>
          <w:tcPr>
            <w:tcW w:w="20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92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pStyle w:val="17"/>
        <w:ind w:left="420" w:firstLine="720"/>
        <w:jc w:val="center"/>
        <w:rPr>
          <w:rFonts w:ascii="方正小标宋简体" w:hAnsi="方正小标宋简体" w:eastAsia="方正小标宋简体" w:cs="方正小标宋简体"/>
          <w:sz w:val="36"/>
          <w:szCs w:val="36"/>
        </w:rPr>
      </w:pPr>
    </w:p>
    <w:p>
      <w:pPr>
        <w:pStyle w:val="17"/>
        <w:ind w:left="420" w:firstLine="720"/>
        <w:jc w:val="center"/>
        <w:rPr>
          <w:rFonts w:ascii="黑体" w:hAnsi="黑体" w:eastAsia="黑体"/>
          <w:sz w:val="44"/>
          <w:szCs w:val="44"/>
        </w:rPr>
      </w:pPr>
      <w:r>
        <w:rPr>
          <w:rFonts w:hint="eastAsia" w:ascii="方正小标宋简体" w:hAnsi="方正小标宋简体" w:eastAsia="方正小标宋简体" w:cs="方正小标宋简体"/>
          <w:sz w:val="36"/>
          <w:szCs w:val="36"/>
        </w:rPr>
        <w:t>国家司法救助项目支出绩效目标自评表</w:t>
      </w:r>
    </w:p>
    <w:tbl>
      <w:tblPr>
        <w:tblStyle w:val="18"/>
        <w:tblW w:w="5694" w:type="pct"/>
        <w:tblInd w:w="-314" w:type="dxa"/>
        <w:tblLayout w:type="fixed"/>
        <w:tblCellMar>
          <w:top w:w="0" w:type="dxa"/>
          <w:left w:w="108" w:type="dxa"/>
          <w:bottom w:w="0" w:type="dxa"/>
          <w:right w:w="108" w:type="dxa"/>
        </w:tblCellMar>
      </w:tblPr>
      <w:tblGrid>
        <w:gridCol w:w="886"/>
        <w:gridCol w:w="779"/>
        <w:gridCol w:w="734"/>
        <w:gridCol w:w="1168"/>
        <w:gridCol w:w="604"/>
        <w:gridCol w:w="328"/>
        <w:gridCol w:w="361"/>
        <w:gridCol w:w="707"/>
        <w:gridCol w:w="809"/>
        <w:gridCol w:w="674"/>
        <w:gridCol w:w="734"/>
        <w:gridCol w:w="974"/>
        <w:gridCol w:w="947"/>
      </w:tblGrid>
      <w:tr>
        <w:tblPrEx>
          <w:tblCellMar>
            <w:top w:w="0" w:type="dxa"/>
            <w:left w:w="108" w:type="dxa"/>
            <w:bottom w:w="0" w:type="dxa"/>
            <w:right w:w="108" w:type="dxa"/>
          </w:tblCellMar>
        </w:tblPrEx>
        <w:trPr>
          <w:trHeight w:val="482" w:hRule="atLeast"/>
        </w:trPr>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41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b/>
                <w:bCs/>
                <w:color w:val="000000"/>
                <w:kern w:val="0"/>
                <w:sz w:val="18"/>
                <w:szCs w:val="18"/>
              </w:rPr>
              <w:t>国家司法救助</w:t>
            </w:r>
          </w:p>
        </w:tc>
      </w:tr>
      <w:tr>
        <w:tblPrEx>
          <w:tblCellMar>
            <w:top w:w="0" w:type="dxa"/>
            <w:left w:w="108" w:type="dxa"/>
            <w:bottom w:w="0" w:type="dxa"/>
            <w:right w:w="108" w:type="dxa"/>
          </w:tblCellMar>
        </w:tblPrEx>
        <w:trPr>
          <w:trHeight w:val="450" w:hRule="atLeast"/>
        </w:trPr>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21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392" w:hRule="atLeast"/>
        </w:trPr>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268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78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14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认真贯彻落实高检院与国务院扶贫办签订文件《关于在全国检察机关开展“深入推进国家司法救助工作”专项活动的通知》要求，充分发挥国家司法救助在脱贫攻坚中的作用。</w:t>
            </w:r>
          </w:p>
        </w:tc>
        <w:tc>
          <w:tcPr>
            <w:tcW w:w="268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充分发挥国家司法救助在脱贫攻坚中的作用，扎实开展司法救助工作，全年救助18案，救助人数28人，发放救助金10万元。</w:t>
            </w:r>
          </w:p>
        </w:tc>
      </w:tr>
      <w:tr>
        <w:tblPrEx>
          <w:tblCellMar>
            <w:top w:w="0" w:type="dxa"/>
            <w:left w:w="108" w:type="dxa"/>
            <w:bottom w:w="0" w:type="dxa"/>
            <w:right w:w="108" w:type="dxa"/>
          </w:tblCellMar>
        </w:tblPrEx>
        <w:trPr>
          <w:trHeight w:val="675"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414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根据历年来司法救助支出范围和金额，科学确定资金的金额，设定绩效目标，根据时序进度合理开支，逐渐完成年初设定的绩效目标。截止2022年12月31日，项目支出进度为100%，救助金发放效果良好，帮助了28人。</w:t>
            </w:r>
          </w:p>
        </w:tc>
      </w:tr>
      <w:tr>
        <w:tblPrEx>
          <w:tblCellMar>
            <w:top w:w="0" w:type="dxa"/>
            <w:left w:w="108" w:type="dxa"/>
            <w:bottom w:w="0" w:type="dxa"/>
            <w:right w:w="108" w:type="dxa"/>
          </w:tblCellMar>
        </w:tblPrEx>
        <w:trPr>
          <w:trHeight w:val="450" w:hRule="atLeast"/>
        </w:trPr>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27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w:t>
            </w: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48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救助成本</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元/人·次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司法救助人数</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70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根据高检院部署持续落实好司法救助责任要求</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案件数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效果指标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维护当事人合法权益</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好坏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好</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8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完成时间</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2022</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4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救助人员满意度</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00"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提高人权司法保障率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人/户</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67" w:hRule="atLeast"/>
        </w:trPr>
        <w:tc>
          <w:tcPr>
            <w:tcW w:w="28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454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项目总评分100分，该项目完成较好，资金及时拨付。</w:t>
            </w:r>
          </w:p>
        </w:tc>
      </w:tr>
      <w:tr>
        <w:tblPrEx>
          <w:tblCellMar>
            <w:top w:w="0" w:type="dxa"/>
            <w:left w:w="108" w:type="dxa"/>
            <w:bottom w:w="0" w:type="dxa"/>
            <w:right w:w="108" w:type="dxa"/>
          </w:tblCellMar>
        </w:tblPrEx>
        <w:trPr>
          <w:trHeight w:val="67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454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司法救助金发放的时效性须加强。</w:t>
            </w:r>
          </w:p>
        </w:tc>
      </w:tr>
      <w:tr>
        <w:tblPrEx>
          <w:tblCellMar>
            <w:top w:w="0" w:type="dxa"/>
            <w:left w:w="108" w:type="dxa"/>
            <w:bottom w:w="0" w:type="dxa"/>
            <w:right w:w="108" w:type="dxa"/>
          </w:tblCellMar>
        </w:tblPrEx>
        <w:trPr>
          <w:trHeight w:val="67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454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统筹谋划资金使用，加快使用进度</w:t>
            </w:r>
          </w:p>
        </w:tc>
      </w:tr>
      <w:tr>
        <w:tblPrEx>
          <w:tblCellMar>
            <w:top w:w="0" w:type="dxa"/>
            <w:left w:w="108" w:type="dxa"/>
            <w:bottom w:w="0" w:type="dxa"/>
            <w:right w:w="108" w:type="dxa"/>
          </w:tblCellMar>
        </w:tblPrEx>
        <w:trPr>
          <w:trHeight w:val="900"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454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667" w:hRule="atLeast"/>
        </w:trPr>
        <w:tc>
          <w:tcPr>
            <w:tcW w:w="21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8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597" w:hRule="atLeast"/>
        </w:trPr>
        <w:tc>
          <w:tcPr>
            <w:tcW w:w="21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8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pStyle w:val="17"/>
        <w:ind w:left="420" w:firstLine="880"/>
        <w:rPr>
          <w:rFonts w:ascii="黑体" w:hAnsi="黑体" w:eastAsia="黑体"/>
          <w:sz w:val="44"/>
          <w:szCs w:val="44"/>
        </w:rPr>
      </w:pPr>
    </w:p>
    <w:p/>
    <w:p>
      <w:pPr>
        <w:spacing w:line="600" w:lineRule="exact"/>
        <w:jc w:val="center"/>
        <w:outlineLvl w:val="0"/>
        <w:rPr>
          <w:rFonts w:ascii="黑体" w:hAnsi="黑体" w:eastAsia="黑体"/>
          <w:sz w:val="36"/>
          <w:szCs w:val="36"/>
        </w:rPr>
      </w:pPr>
      <w:bookmarkStart w:id="96" w:name="_Toc27784"/>
      <w:r>
        <w:rPr>
          <w:rFonts w:hint="eastAsia" w:ascii="黑体" w:hAnsi="黑体" w:eastAsia="黑体"/>
          <w:sz w:val="36"/>
          <w:szCs w:val="36"/>
        </w:rPr>
        <w:t>司法警察加班补助项目支出绩效目标自评表</w:t>
      </w:r>
      <w:bookmarkEnd w:id="96"/>
    </w:p>
    <w:tbl>
      <w:tblPr>
        <w:tblStyle w:val="18"/>
        <w:tblW w:w="5746" w:type="pct"/>
        <w:tblInd w:w="-419" w:type="dxa"/>
        <w:tblLayout w:type="fixed"/>
        <w:tblCellMar>
          <w:top w:w="0" w:type="dxa"/>
          <w:left w:w="108" w:type="dxa"/>
          <w:bottom w:w="0" w:type="dxa"/>
          <w:right w:w="108" w:type="dxa"/>
        </w:tblCellMar>
      </w:tblPr>
      <w:tblGrid>
        <w:gridCol w:w="915"/>
        <w:gridCol w:w="825"/>
        <w:gridCol w:w="644"/>
        <w:gridCol w:w="1154"/>
        <w:gridCol w:w="586"/>
        <w:gridCol w:w="613"/>
        <w:gridCol w:w="676"/>
        <w:gridCol w:w="682"/>
        <w:gridCol w:w="591"/>
        <w:gridCol w:w="721"/>
        <w:gridCol w:w="809"/>
        <w:gridCol w:w="1577"/>
      </w:tblGrid>
      <w:tr>
        <w:tblPrEx>
          <w:tblCellMar>
            <w:top w:w="0" w:type="dxa"/>
            <w:left w:w="108" w:type="dxa"/>
            <w:bottom w:w="0" w:type="dxa"/>
            <w:right w:w="108" w:type="dxa"/>
          </w:tblCellMar>
        </w:tblPrEx>
        <w:trPr>
          <w:trHeight w:val="380" w:hRule="atLeast"/>
        </w:trPr>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41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b/>
                <w:bCs/>
                <w:color w:val="000000"/>
                <w:kern w:val="0"/>
                <w:sz w:val="18"/>
                <w:szCs w:val="18"/>
              </w:rPr>
              <w:t>司法警察加班补助</w:t>
            </w:r>
          </w:p>
        </w:tc>
      </w:tr>
      <w:tr>
        <w:tblPrEx>
          <w:tblCellMar>
            <w:top w:w="0" w:type="dxa"/>
            <w:left w:w="108" w:type="dxa"/>
            <w:bottom w:w="0" w:type="dxa"/>
            <w:right w:w="108" w:type="dxa"/>
          </w:tblCellMar>
        </w:tblPrEx>
        <w:trPr>
          <w:trHeight w:val="450" w:hRule="atLeast"/>
        </w:trPr>
        <w:tc>
          <w:tcPr>
            <w:tcW w:w="8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18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27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78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1、做好加班记录，保证加班支出的真实性、合理性，司法警察10人，每人每月710元，计8.52万元；2、按标准、按季度发放加班补贴</w:t>
            </w:r>
          </w:p>
        </w:tc>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在规定范围标准内足额发放司法警察加班执勤补助，提高干警工作积极性，维护检察工作的稳定发展。</w:t>
            </w:r>
          </w:p>
        </w:tc>
      </w:tr>
      <w:tr>
        <w:tblPrEx>
          <w:tblCellMar>
            <w:top w:w="0" w:type="dxa"/>
            <w:left w:w="108" w:type="dxa"/>
            <w:bottom w:w="0" w:type="dxa"/>
            <w:right w:w="108" w:type="dxa"/>
          </w:tblCellMar>
        </w:tblPrEx>
        <w:trPr>
          <w:trHeight w:val="675"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411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根据司法警察人数和发放标准，确定项目金额，设定绩效目标，根据时序进度合理开支，逐渐完成年初设定的绩效目标。截止2022年12月31日，项目支出进度为100%。</w:t>
            </w:r>
          </w:p>
        </w:tc>
      </w:tr>
      <w:tr>
        <w:tblPrEx>
          <w:tblCellMar>
            <w:top w:w="0" w:type="dxa"/>
            <w:left w:w="108" w:type="dxa"/>
            <w:bottom w:w="0" w:type="dxa"/>
            <w:right w:w="108" w:type="dxa"/>
          </w:tblCellMar>
        </w:tblPrEx>
        <w:trPr>
          <w:trHeight w:val="52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9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月标准</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710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元/人·次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710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100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可持续发展指标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按照高检院、省院安排部署，持续推进检察监督类案件公正办理</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元/人·次</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完成时间</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加强“公益诉讼”监督力度，维护地方经济健康发展</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干警满意</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司法警察人数</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确保检察监督类案件公正办理</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57" w:hRule="atLeast"/>
        </w:trPr>
        <w:tc>
          <w:tcPr>
            <w:tcW w:w="31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453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项目总评分100分，该项目完成较好，资金及时拨付。</w:t>
            </w:r>
          </w:p>
        </w:tc>
      </w:tr>
      <w:tr>
        <w:tblPrEx>
          <w:tblCellMar>
            <w:top w:w="0" w:type="dxa"/>
            <w:left w:w="108" w:type="dxa"/>
            <w:bottom w:w="0" w:type="dxa"/>
            <w:right w:w="108" w:type="dxa"/>
          </w:tblCellMar>
        </w:tblPrEx>
        <w:trPr>
          <w:trHeight w:val="675"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453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司法救助金发放的时效性须加强。</w:t>
            </w:r>
          </w:p>
        </w:tc>
      </w:tr>
      <w:tr>
        <w:tblPrEx>
          <w:tblCellMar>
            <w:top w:w="0" w:type="dxa"/>
            <w:left w:w="108" w:type="dxa"/>
            <w:bottom w:w="0" w:type="dxa"/>
            <w:right w:w="108" w:type="dxa"/>
          </w:tblCellMar>
        </w:tblPrEx>
        <w:trPr>
          <w:trHeight w:val="675"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453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统筹谋划资金使用，加快使用进度</w:t>
            </w:r>
          </w:p>
        </w:tc>
      </w:tr>
      <w:tr>
        <w:tblPrEx>
          <w:tblCellMar>
            <w:top w:w="0" w:type="dxa"/>
            <w:left w:w="108" w:type="dxa"/>
            <w:bottom w:w="0" w:type="dxa"/>
            <w:right w:w="108" w:type="dxa"/>
          </w:tblCellMar>
        </w:tblPrEx>
        <w:trPr>
          <w:trHeight w:val="90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453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452" w:hRule="atLeast"/>
        </w:trPr>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89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492" w:hRule="atLeast"/>
        </w:trPr>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89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pStyle w:val="17"/>
        <w:spacing w:after="0"/>
        <w:ind w:left="0" w:leftChars="0" w:firstLine="0" w:firstLineChars="0"/>
        <w:jc w:val="center"/>
        <w:rPr>
          <w:rFonts w:hint="eastAsia" w:ascii="方正小标宋简体" w:hAnsi="方正小标宋简体" w:eastAsia="方正小标宋简体" w:cs="方正小标宋简体"/>
          <w:sz w:val="36"/>
          <w:szCs w:val="36"/>
        </w:rPr>
      </w:pPr>
    </w:p>
    <w:p>
      <w:pPr>
        <w:pStyle w:val="17"/>
        <w:spacing w:after="0"/>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扶贫工作经费项目支出绩效目标自评表</w:t>
      </w:r>
    </w:p>
    <w:tbl>
      <w:tblPr>
        <w:tblStyle w:val="18"/>
        <w:tblW w:w="9810" w:type="dxa"/>
        <w:tblInd w:w="-419" w:type="dxa"/>
        <w:tblLayout w:type="fixed"/>
        <w:tblCellMar>
          <w:top w:w="0" w:type="dxa"/>
          <w:left w:w="108" w:type="dxa"/>
          <w:bottom w:w="0" w:type="dxa"/>
          <w:right w:w="108" w:type="dxa"/>
        </w:tblCellMar>
      </w:tblPr>
      <w:tblGrid>
        <w:gridCol w:w="821"/>
        <w:gridCol w:w="784"/>
        <w:gridCol w:w="780"/>
        <w:gridCol w:w="825"/>
        <w:gridCol w:w="750"/>
        <w:gridCol w:w="450"/>
        <w:gridCol w:w="345"/>
        <w:gridCol w:w="780"/>
        <w:gridCol w:w="645"/>
        <w:gridCol w:w="615"/>
        <w:gridCol w:w="600"/>
        <w:gridCol w:w="626"/>
        <w:gridCol w:w="874"/>
        <w:gridCol w:w="915"/>
      </w:tblGrid>
      <w:tr>
        <w:tblPrEx>
          <w:tblCellMar>
            <w:top w:w="0" w:type="dxa"/>
            <w:left w:w="108" w:type="dxa"/>
            <w:bottom w:w="0" w:type="dxa"/>
            <w:right w:w="108" w:type="dxa"/>
          </w:tblCellMar>
        </w:tblPrEx>
        <w:trPr>
          <w:trHeight w:val="482"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82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b/>
                <w:bCs/>
                <w:color w:val="000000"/>
                <w:kern w:val="0"/>
                <w:sz w:val="18"/>
                <w:szCs w:val="18"/>
              </w:rPr>
              <w:t>扶贫工作经费</w:t>
            </w:r>
          </w:p>
        </w:tc>
      </w:tr>
      <w:tr>
        <w:tblPrEx>
          <w:tblCellMar>
            <w:top w:w="0" w:type="dxa"/>
            <w:left w:w="108" w:type="dxa"/>
            <w:bottom w:w="0" w:type="dxa"/>
            <w:right w:w="108" w:type="dxa"/>
          </w:tblCellMar>
        </w:tblPrEx>
        <w:trPr>
          <w:trHeight w:val="450" w:hRule="atLeast"/>
        </w:trPr>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4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270"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5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90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结合我院实际安排三名同志到青川县观音店乡两河村进行乡村振兴工作，包括经济作物和发展养殖业，脱贫不脱政策，每月至少两次到户帮扶。</w:t>
            </w:r>
          </w:p>
        </w:tc>
        <w:tc>
          <w:tcPr>
            <w:tcW w:w="5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3名驻村干部所有驻村费用按时发放，帮扶村脱贫户经济较上年人均增加10%。</w:t>
            </w:r>
          </w:p>
        </w:tc>
      </w:tr>
      <w:tr>
        <w:tblPrEx>
          <w:tblCellMar>
            <w:top w:w="0" w:type="dxa"/>
            <w:left w:w="108" w:type="dxa"/>
            <w:bottom w:w="0" w:type="dxa"/>
            <w:right w:w="108" w:type="dxa"/>
          </w:tblCellMar>
        </w:tblPrEx>
        <w:trPr>
          <w:trHeight w:val="675"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82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根据工作需要，科学确定资金的金额，设定绩效目标，根据时序进度合理开支，逐渐完成年初设定的绩效目标。截止2022年12月31日，项目支出进度为100%。</w:t>
            </w:r>
          </w:p>
        </w:tc>
      </w:tr>
      <w:tr>
        <w:tblPrEx>
          <w:tblCellMar>
            <w:top w:w="0" w:type="dxa"/>
            <w:left w:w="108" w:type="dxa"/>
            <w:bottom w:w="0" w:type="dxa"/>
            <w:right w:w="108" w:type="dxa"/>
          </w:tblCellMar>
        </w:tblPrEx>
        <w:trPr>
          <w:trHeight w:val="450"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42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5.46</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7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27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驻村工作经费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54600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元/年</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54600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帮扶对象满意度指标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帮扶对象满意度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帮扶对象脱贫增收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高中低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人/户</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生态效益指标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帮扶村生态林保护达到国家标准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对口帮扶村饮水安全质量有保障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人/户</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帮扶贫困户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72" w:hRule="atLeast"/>
        </w:trPr>
        <w:tc>
          <w:tcPr>
            <w:tcW w:w="55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宋体" w:hAnsi="宋体" w:cs="宋体"/>
                <w:color w:val="000000"/>
                <w:sz w:val="18"/>
                <w:szCs w:val="18"/>
              </w:rPr>
            </w:pPr>
            <w:r>
              <w:rPr>
                <w:rFonts w:ascii="宋体" w:hAnsi="宋体" w:cs="宋体"/>
                <w:color w:val="000000"/>
                <w:sz w:val="18"/>
                <w:szCs w:val="18"/>
              </w:rPr>
              <w:t>100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89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项目总评分100分，该项目完成较好，资金及时拨付。</w:t>
            </w:r>
          </w:p>
        </w:tc>
      </w:tr>
      <w:tr>
        <w:tblPrEx>
          <w:tblCellMar>
            <w:top w:w="0" w:type="dxa"/>
            <w:left w:w="108" w:type="dxa"/>
            <w:bottom w:w="0" w:type="dxa"/>
            <w:right w:w="108" w:type="dxa"/>
          </w:tblCellMar>
        </w:tblPrEx>
        <w:trPr>
          <w:trHeight w:val="67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89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无</w:t>
            </w:r>
          </w:p>
        </w:tc>
      </w:tr>
      <w:tr>
        <w:tblPrEx>
          <w:tblCellMar>
            <w:top w:w="0" w:type="dxa"/>
            <w:left w:w="108" w:type="dxa"/>
            <w:bottom w:w="0" w:type="dxa"/>
            <w:right w:w="108" w:type="dxa"/>
          </w:tblCellMar>
        </w:tblPrEx>
        <w:trPr>
          <w:trHeight w:val="67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89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无</w:t>
            </w:r>
          </w:p>
        </w:tc>
      </w:tr>
      <w:tr>
        <w:tblPrEx>
          <w:tblCellMar>
            <w:top w:w="0" w:type="dxa"/>
            <w:left w:w="108" w:type="dxa"/>
            <w:bottom w:w="0" w:type="dxa"/>
            <w:right w:w="108" w:type="dxa"/>
          </w:tblCellMar>
        </w:tblPrEx>
        <w:trPr>
          <w:trHeight w:val="90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898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452" w:hRule="atLeast"/>
        </w:trPr>
        <w:tc>
          <w:tcPr>
            <w:tcW w:w="3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5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537" w:hRule="atLeast"/>
        </w:trPr>
        <w:tc>
          <w:tcPr>
            <w:tcW w:w="39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58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pStyle w:val="17"/>
        <w:spacing w:after="0"/>
        <w:ind w:left="0" w:leftChars="0" w:firstLine="0" w:firstLineChars="0"/>
        <w:rPr>
          <w:rFonts w:ascii="方正小标宋简体" w:hAnsi="方正小标宋简体" w:eastAsia="方正小标宋简体" w:cs="方正小标宋简体"/>
          <w:sz w:val="36"/>
          <w:szCs w:val="36"/>
        </w:rPr>
      </w:pPr>
    </w:p>
    <w:p>
      <w:pPr>
        <w:pStyle w:val="17"/>
        <w:spacing w:after="0"/>
        <w:ind w:left="0" w:leftChars="0" w:firstLine="0" w:firstLineChars="0"/>
        <w:jc w:val="center"/>
        <w:rPr>
          <w:rFonts w:hint="eastAsia" w:ascii="方正小标宋简体" w:hAnsi="方正小标宋简体" w:eastAsia="方正小标宋简体" w:cs="方正小标宋简体"/>
          <w:sz w:val="36"/>
          <w:szCs w:val="36"/>
        </w:rPr>
      </w:pPr>
    </w:p>
    <w:p>
      <w:pPr>
        <w:pStyle w:val="17"/>
        <w:spacing w:after="0"/>
        <w:ind w:left="0" w:leftChars="0" w:firstLine="0" w:firstLineChars="0"/>
        <w:jc w:val="center"/>
        <w:rPr>
          <w:rFonts w:hint="eastAsia" w:ascii="方正小标宋简体" w:hAnsi="方正小标宋简体" w:eastAsia="方正小标宋简体" w:cs="方正小标宋简体"/>
          <w:sz w:val="36"/>
          <w:szCs w:val="36"/>
        </w:rPr>
      </w:pPr>
    </w:p>
    <w:p>
      <w:pPr>
        <w:pStyle w:val="17"/>
        <w:spacing w:after="0"/>
        <w:ind w:left="0" w:leftChars="0"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聘用制书记员及聘用人员工作经费</w:t>
      </w:r>
    </w:p>
    <w:p>
      <w:pPr>
        <w:pStyle w:val="17"/>
        <w:spacing w:after="0"/>
        <w:ind w:left="0" w:leftChars="0" w:firstLine="0" w:firstLineChars="0"/>
        <w:jc w:val="center"/>
      </w:pPr>
      <w:r>
        <w:rPr>
          <w:rFonts w:hint="eastAsia" w:ascii="方正小标宋简体" w:hAnsi="方正小标宋简体" w:eastAsia="方正小标宋简体" w:cs="方正小标宋简体"/>
          <w:sz w:val="36"/>
          <w:szCs w:val="36"/>
        </w:rPr>
        <w:t>项目支出绩效目标自评表</w:t>
      </w:r>
    </w:p>
    <w:tbl>
      <w:tblPr>
        <w:tblStyle w:val="18"/>
        <w:tblW w:w="9810" w:type="dxa"/>
        <w:tblInd w:w="-494" w:type="dxa"/>
        <w:tblLayout w:type="fixed"/>
        <w:tblCellMar>
          <w:top w:w="0" w:type="dxa"/>
          <w:left w:w="108" w:type="dxa"/>
          <w:bottom w:w="0" w:type="dxa"/>
          <w:right w:w="108" w:type="dxa"/>
        </w:tblCellMar>
      </w:tblPr>
      <w:tblGrid>
        <w:gridCol w:w="799"/>
        <w:gridCol w:w="867"/>
        <w:gridCol w:w="765"/>
        <w:gridCol w:w="1051"/>
        <w:gridCol w:w="643"/>
        <w:gridCol w:w="585"/>
        <w:gridCol w:w="615"/>
        <w:gridCol w:w="675"/>
        <w:gridCol w:w="600"/>
        <w:gridCol w:w="735"/>
        <w:gridCol w:w="795"/>
        <w:gridCol w:w="1680"/>
      </w:tblGrid>
      <w:tr>
        <w:tblPrEx>
          <w:tblCellMar>
            <w:top w:w="0" w:type="dxa"/>
            <w:left w:w="108" w:type="dxa"/>
            <w:bottom w:w="0" w:type="dxa"/>
            <w:right w:w="108" w:type="dxa"/>
          </w:tblCellMar>
        </w:tblPrEx>
        <w:trPr>
          <w:trHeight w:val="420"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81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聘用制书记员及聘用人员工作经费</w:t>
            </w:r>
          </w:p>
        </w:tc>
      </w:tr>
      <w:tr>
        <w:tblPrEx>
          <w:tblCellMar>
            <w:top w:w="0" w:type="dxa"/>
            <w:left w:w="108" w:type="dxa"/>
            <w:bottom w:w="0" w:type="dxa"/>
            <w:right w:w="108" w:type="dxa"/>
          </w:tblCellMar>
        </w:tblPrEx>
        <w:trPr>
          <w:trHeight w:val="450"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3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36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3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74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36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承担案件审理、检察中的记录工作，庭前准备以及开庭时准备的事务性工作，校对、印制、送达法律文书，整理、装订、归档案卷材料等</w:t>
            </w:r>
          </w:p>
        </w:tc>
        <w:tc>
          <w:tcPr>
            <w:tcW w:w="44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减轻检察官工作量，书记员和聘用人员承担案件审理、检察中的记录工作，庭前准备以及开庭时准备的事务性工作，校对、印制、送达法律文书，整理、装订、归档案卷材料，提升检察工作效率。</w:t>
            </w:r>
          </w:p>
        </w:tc>
      </w:tr>
      <w:tr>
        <w:tblPrEx>
          <w:tblCellMar>
            <w:top w:w="0" w:type="dxa"/>
            <w:left w:w="108" w:type="dxa"/>
            <w:bottom w:w="0" w:type="dxa"/>
            <w:right w:w="108" w:type="dxa"/>
          </w:tblCellMar>
        </w:tblPrEx>
        <w:trPr>
          <w:trHeight w:val="675"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81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根据聘用人员工资标准，确定项目金额，设定绩效目标，根据时序进度合理开支，逐渐完成年初设定的绩效目标。截止2022年12月31日，项目支出进度为100%。</w:t>
            </w:r>
          </w:p>
        </w:tc>
      </w:tr>
      <w:tr>
        <w:tblPrEx>
          <w:tblCellMar>
            <w:top w:w="0" w:type="dxa"/>
            <w:left w:w="108" w:type="dxa"/>
            <w:bottom w:w="0" w:type="dxa"/>
            <w:right w:w="108" w:type="dxa"/>
          </w:tblCellMar>
        </w:tblPrEx>
        <w:trPr>
          <w:trHeight w:val="45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4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166.20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166.20</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166.20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166.20</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52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经济效益指标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与全市平均工资水平比</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聘用制书记员人数</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可持续发展指标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保障检察官办案</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优良中低差</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案件数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0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案件合格率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6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书记员的满意率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书记员工作经费</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166.2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166.2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36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完成时间</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40" w:hRule="atLeast"/>
        </w:trPr>
        <w:tc>
          <w:tcPr>
            <w:tcW w:w="60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18"/>
                <w:szCs w:val="18"/>
              </w:rPr>
            </w:pPr>
            <w:r>
              <w:rPr>
                <w:rFonts w:ascii="宋体" w:hAnsi="宋体" w:cs="宋体"/>
                <w:color w:val="000000"/>
                <w:sz w:val="18"/>
                <w:szCs w:val="18"/>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18"/>
                <w:szCs w:val="18"/>
              </w:rPr>
            </w:pPr>
            <w:r>
              <w:rPr>
                <w:rFonts w:ascii="宋体" w:hAnsi="宋体" w:cs="宋体"/>
                <w:color w:val="000000"/>
                <w:sz w:val="18"/>
                <w:szCs w:val="18"/>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90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项目总评分100分，该项目完成较好，资金及时拨付。</w:t>
            </w:r>
          </w:p>
        </w:tc>
      </w:tr>
      <w:tr>
        <w:tblPrEx>
          <w:tblCellMar>
            <w:top w:w="0" w:type="dxa"/>
            <w:left w:w="108" w:type="dxa"/>
            <w:bottom w:w="0" w:type="dxa"/>
            <w:right w:w="108"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90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无</w:t>
            </w:r>
          </w:p>
        </w:tc>
      </w:tr>
      <w:tr>
        <w:tblPrEx>
          <w:tblCellMar>
            <w:top w:w="0" w:type="dxa"/>
            <w:left w:w="108" w:type="dxa"/>
            <w:bottom w:w="0" w:type="dxa"/>
            <w:right w:w="108"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90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无</w:t>
            </w:r>
          </w:p>
        </w:tc>
      </w:tr>
      <w:tr>
        <w:tblPrEx>
          <w:tblCellMar>
            <w:top w:w="0" w:type="dxa"/>
            <w:left w:w="108" w:type="dxa"/>
            <w:bottom w:w="0" w:type="dxa"/>
            <w:right w:w="108" w:type="dxa"/>
          </w:tblCellMar>
        </w:tblPrEx>
        <w:trPr>
          <w:trHeight w:val="90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90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437"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5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432"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56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Pr>
        <w:pStyle w:val="17"/>
        <w:ind w:left="420" w:firstLine="720"/>
        <w:jc w:val="center"/>
        <w:rPr>
          <w:rFonts w:ascii="方正小标宋简体" w:hAnsi="方正小标宋简体" w:eastAsia="方正小标宋简体" w:cs="方正小标宋简体"/>
          <w:sz w:val="36"/>
          <w:szCs w:val="36"/>
        </w:rPr>
      </w:pPr>
    </w:p>
    <w:p>
      <w:pPr>
        <w:pStyle w:val="17"/>
        <w:ind w:left="0" w:leftChars="0" w:firstLine="0" w:firstLineChars="0"/>
        <w:rPr>
          <w:rFonts w:ascii="方正小标宋简体" w:hAnsi="方正小标宋简体" w:eastAsia="方正小标宋简体" w:cs="方正小标宋简体"/>
          <w:sz w:val="36"/>
          <w:szCs w:val="36"/>
        </w:rPr>
      </w:pPr>
    </w:p>
    <w:p>
      <w:pPr>
        <w:pStyle w:val="17"/>
        <w:ind w:left="420"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分级保护项目支出绩效目标自评表</w:t>
      </w:r>
    </w:p>
    <w:tbl>
      <w:tblPr>
        <w:tblStyle w:val="18"/>
        <w:tblW w:w="9720" w:type="dxa"/>
        <w:tblInd w:w="-359" w:type="dxa"/>
        <w:tblLayout w:type="fixed"/>
        <w:tblCellMar>
          <w:top w:w="0" w:type="dxa"/>
          <w:left w:w="108" w:type="dxa"/>
          <w:bottom w:w="0" w:type="dxa"/>
          <w:right w:w="108" w:type="dxa"/>
        </w:tblCellMar>
      </w:tblPr>
      <w:tblGrid>
        <w:gridCol w:w="915"/>
        <w:gridCol w:w="750"/>
        <w:gridCol w:w="795"/>
        <w:gridCol w:w="1065"/>
        <w:gridCol w:w="615"/>
        <w:gridCol w:w="555"/>
        <w:gridCol w:w="630"/>
        <w:gridCol w:w="615"/>
        <w:gridCol w:w="555"/>
        <w:gridCol w:w="795"/>
        <w:gridCol w:w="855"/>
        <w:gridCol w:w="1575"/>
      </w:tblGrid>
      <w:tr>
        <w:tblPrEx>
          <w:tblCellMar>
            <w:top w:w="0" w:type="dxa"/>
            <w:left w:w="108" w:type="dxa"/>
            <w:bottom w:w="0" w:type="dxa"/>
            <w:right w:w="108" w:type="dxa"/>
          </w:tblCellMar>
        </w:tblPrEx>
        <w:trPr>
          <w:trHeight w:val="420"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项目名称</w:t>
            </w:r>
          </w:p>
        </w:tc>
        <w:tc>
          <w:tcPr>
            <w:tcW w:w="80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分级保护项目</w:t>
            </w:r>
          </w:p>
        </w:tc>
      </w:tr>
      <w:tr>
        <w:tblPrEx>
          <w:tblCellMar>
            <w:top w:w="0" w:type="dxa"/>
            <w:left w:w="108" w:type="dxa"/>
            <w:bottom w:w="0" w:type="dxa"/>
            <w:right w:w="108" w:type="dxa"/>
          </w:tblCellMar>
        </w:tblPrEx>
        <w:trPr>
          <w:trHeight w:val="450" w:hRule="atLeast"/>
        </w:trPr>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主管部门（盖章）</w:t>
            </w: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实施单位（盖章）</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四川省广元市人民检察院</w:t>
            </w:r>
          </w:p>
        </w:tc>
      </w:tr>
      <w:tr>
        <w:tblPrEx>
          <w:tblCellMar>
            <w:top w:w="0" w:type="dxa"/>
            <w:left w:w="108" w:type="dxa"/>
            <w:bottom w:w="0" w:type="dxa"/>
            <w:right w:w="108" w:type="dxa"/>
          </w:tblCellMar>
        </w:tblPrEx>
        <w:trPr>
          <w:trHeight w:val="46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项目基本情况</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1.项目年度目标完成情况</w:t>
            </w: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项目年度目标</w:t>
            </w:r>
          </w:p>
        </w:tc>
        <w:tc>
          <w:tcPr>
            <w:tcW w:w="4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年度目标完成情况</w:t>
            </w:r>
          </w:p>
        </w:tc>
      </w:tr>
      <w:tr>
        <w:tblPrEx>
          <w:tblCellMar>
            <w:top w:w="0" w:type="dxa"/>
            <w:left w:w="108" w:type="dxa"/>
            <w:bottom w:w="0" w:type="dxa"/>
            <w:right w:w="108" w:type="dxa"/>
          </w:tblCellMar>
        </w:tblPrEx>
        <w:trPr>
          <w:trHeight w:val="74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完成检察专网涉密信息系统分级保护建设，建设满足现代检察机关保密工作的网络环境</w:t>
            </w:r>
          </w:p>
        </w:tc>
        <w:tc>
          <w:tcPr>
            <w:tcW w:w="43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检察专网涉密信息系统分级保护建设进度100%，项目资金已全部拨付，保密工作网络环境已搭建并通过验收</w:t>
            </w:r>
          </w:p>
        </w:tc>
      </w:tr>
      <w:tr>
        <w:tblPrEx>
          <w:tblCellMar>
            <w:top w:w="0" w:type="dxa"/>
            <w:left w:w="108" w:type="dxa"/>
            <w:bottom w:w="0" w:type="dxa"/>
            <w:right w:w="108" w:type="dxa"/>
          </w:tblCellMar>
        </w:tblPrEx>
        <w:trPr>
          <w:trHeight w:val="67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color w:val="000000"/>
                <w:sz w:val="18"/>
                <w:szCs w:val="18"/>
              </w:rPr>
            </w:pPr>
            <w:r>
              <w:rPr>
                <w:rFonts w:hint="eastAsia" w:ascii="宋体" w:hAnsi="宋体" w:cs="宋体"/>
                <w:b/>
                <w:color w:val="000000"/>
                <w:kern w:val="0"/>
                <w:sz w:val="18"/>
                <w:szCs w:val="18"/>
              </w:rPr>
              <w:t>2.项目实施内容及过程概述</w:t>
            </w:r>
          </w:p>
        </w:tc>
        <w:tc>
          <w:tcPr>
            <w:tcW w:w="80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2021年未完成的项目，我院根据项目实施方案，确定拟采购设备数量和具体参数，拟定绩效目标任务，完成采购及验收。</w:t>
            </w:r>
          </w:p>
        </w:tc>
      </w:tr>
      <w:tr>
        <w:tblPrEx>
          <w:tblCellMar>
            <w:top w:w="0" w:type="dxa"/>
            <w:left w:w="108" w:type="dxa"/>
            <w:bottom w:w="0" w:type="dxa"/>
            <w:right w:w="108" w:type="dxa"/>
          </w:tblCellMar>
        </w:tblPrEx>
        <w:trPr>
          <w:trHeight w:val="45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预算执行情况（10分）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年度预算数（万元）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年初预算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调整后预算数</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预算执行率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原因</w:t>
            </w:r>
          </w:p>
        </w:tc>
      </w:tr>
      <w:tr>
        <w:tblPrEx>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总额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应单独说明理由；3.其他资金包括、社会投入资金、银行贷款.</w:t>
            </w:r>
          </w:p>
        </w:tc>
      </w:tr>
      <w:tr>
        <w:tblPrEx>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其中：财政资金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财政专户管理资金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单位资金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其他资金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绩效指标（90分）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一级指标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指标性质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度量单位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部门自评得分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财政部门科室复评得分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新增设备数量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项目完成时间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项目进度较慢，建设周期较长</w:t>
            </w:r>
          </w:p>
        </w:tc>
      </w:tr>
      <w:tr>
        <w:tblPrEx>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经济成本指标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项目经费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122.04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设备合格率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干警的满意率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97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项目效果指标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工作效率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557" w:hRule="atLeast"/>
        </w:trPr>
        <w:tc>
          <w:tcPr>
            <w:tcW w:w="5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18"/>
                <w:szCs w:val="18"/>
              </w:rPr>
            </w:pPr>
            <w:r>
              <w:rPr>
                <w:rFonts w:ascii="宋体" w:hAnsi="宋体" w:cs="宋体"/>
                <w:color w:val="000000"/>
                <w:sz w:val="18"/>
                <w:szCs w:val="18"/>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18"/>
                <w:szCs w:val="18"/>
              </w:rPr>
            </w:pPr>
            <w:r>
              <w:rPr>
                <w:rFonts w:ascii="宋体" w:hAnsi="宋体" w:cs="宋体"/>
                <w:color w:val="000000"/>
                <w:sz w:val="18"/>
                <w:szCs w:val="18"/>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部门（单位）自评结论</w:t>
            </w:r>
          </w:p>
        </w:tc>
        <w:tc>
          <w:tcPr>
            <w:tcW w:w="8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项目总评分98分，该项目完成较好，资金及时拨付。</w:t>
            </w:r>
          </w:p>
        </w:tc>
      </w:tr>
      <w:tr>
        <w:tblPrEx>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部门（单位）自评存在问题</w:t>
            </w:r>
          </w:p>
        </w:tc>
        <w:tc>
          <w:tcPr>
            <w:tcW w:w="8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项目进度较预期慢</w:t>
            </w:r>
          </w:p>
        </w:tc>
      </w:tr>
      <w:tr>
        <w:tblPrEx>
          <w:tblCellMar>
            <w:top w:w="0" w:type="dxa"/>
            <w:left w:w="108" w:type="dxa"/>
            <w:bottom w:w="0" w:type="dxa"/>
            <w:right w:w="108" w:type="dxa"/>
          </w:tblCellMar>
        </w:tblPrEx>
        <w:trPr>
          <w:trHeight w:val="675"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部门（单位）自评改进措施</w:t>
            </w:r>
          </w:p>
        </w:tc>
        <w:tc>
          <w:tcPr>
            <w:tcW w:w="8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增强对项目的统筹谋划和资金的管理</w:t>
            </w:r>
          </w:p>
        </w:tc>
      </w:tr>
      <w:tr>
        <w:tblPrEx>
          <w:tblCellMar>
            <w:top w:w="0" w:type="dxa"/>
            <w:left w:w="108" w:type="dxa"/>
            <w:bottom w:w="0" w:type="dxa"/>
            <w:right w:w="108" w:type="dxa"/>
          </w:tblCellMar>
        </w:tblPrEx>
        <w:trPr>
          <w:trHeight w:val="9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财政部门对口科室复评结论及整改要求</w:t>
            </w:r>
          </w:p>
        </w:tc>
        <w:tc>
          <w:tcPr>
            <w:tcW w:w="88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482"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5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537" w:hRule="atLeast"/>
        </w:trPr>
        <w:tc>
          <w:tcPr>
            <w:tcW w:w="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5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bl>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spacing w:line="600" w:lineRule="exact"/>
        <w:jc w:val="center"/>
        <w:outlineLvl w:val="9"/>
        <w:rPr>
          <w:rFonts w:ascii="黑体" w:hAnsi="黑体" w:eastAsia="黑体"/>
          <w:sz w:val="44"/>
          <w:szCs w:val="44"/>
        </w:rPr>
      </w:pPr>
    </w:p>
    <w:p>
      <w:pPr>
        <w:pStyle w:val="2"/>
      </w:pPr>
    </w:p>
    <w:p>
      <w:pPr>
        <w:spacing w:line="600" w:lineRule="exact"/>
        <w:outlineLvl w:val="9"/>
        <w:rPr>
          <w:rFonts w:ascii="黑体" w:hAnsi="黑体" w:eastAsia="黑体"/>
          <w:sz w:val="44"/>
          <w:szCs w:val="44"/>
        </w:rPr>
      </w:pPr>
    </w:p>
    <w:p>
      <w:pPr>
        <w:spacing w:line="600" w:lineRule="exact"/>
        <w:jc w:val="center"/>
        <w:outlineLvl w:val="0"/>
        <w:rPr>
          <w:rFonts w:hint="eastAsia" w:ascii="黑体" w:hAnsi="黑体" w:eastAsia="黑体"/>
          <w:sz w:val="44"/>
          <w:szCs w:val="44"/>
        </w:rPr>
      </w:pPr>
      <w:bookmarkStart w:id="97" w:name="_Toc32432"/>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2"/>
          <w:rFonts w:hint="eastAsia" w:ascii="黑体" w:hAnsi="黑体" w:eastAsia="黑体"/>
          <w:b w:val="0"/>
        </w:rPr>
        <w:t>五部分附表</w:t>
      </w:r>
      <w:bookmarkEnd w:id="73"/>
      <w:bookmarkEnd w:id="95"/>
      <w:bookmarkEnd w:id="97"/>
      <w:bookmarkStart w:id="98" w:name="_Toc15396619"/>
    </w:p>
    <w:p>
      <w:pPr>
        <w:pStyle w:val="5"/>
        <w:rPr>
          <w:rFonts w:ascii="仿宋" w:hAnsi="仿宋" w:eastAsia="仿宋"/>
        </w:rPr>
      </w:pPr>
      <w:bookmarkStart w:id="99" w:name="_Toc6078"/>
      <w:r>
        <w:rPr>
          <w:rFonts w:hint="eastAsia" w:ascii="仿宋" w:hAnsi="仿宋" w:eastAsia="仿宋"/>
          <w:b w:val="0"/>
        </w:rPr>
        <w:t>一、收</w:t>
      </w:r>
      <w:r>
        <w:rPr>
          <w:rStyle w:val="23"/>
          <w:rFonts w:hint="eastAsia" w:ascii="仿宋" w:hAnsi="仿宋" w:eastAsia="仿宋"/>
          <w:b w:val="0"/>
          <w:bCs w:val="0"/>
        </w:rPr>
        <w:t>入支出决算总表</w:t>
      </w:r>
      <w:bookmarkEnd w:id="98"/>
      <w:bookmarkEnd w:id="99"/>
    </w:p>
    <w:p>
      <w:pPr>
        <w:pStyle w:val="5"/>
        <w:rPr>
          <w:rFonts w:ascii="仿宋" w:hAnsi="仿宋" w:eastAsia="仿宋"/>
        </w:rPr>
      </w:pPr>
      <w:bookmarkStart w:id="100" w:name="_Toc15396620"/>
      <w:bookmarkStart w:id="101" w:name="_Toc16822"/>
      <w:r>
        <w:rPr>
          <w:rFonts w:hint="eastAsia" w:ascii="仿宋" w:hAnsi="仿宋" w:eastAsia="仿宋"/>
          <w:b w:val="0"/>
        </w:rPr>
        <w:t>二、收</w:t>
      </w:r>
      <w:r>
        <w:rPr>
          <w:rStyle w:val="23"/>
          <w:rFonts w:hint="eastAsia" w:ascii="仿宋" w:hAnsi="仿宋" w:eastAsia="仿宋"/>
          <w:b w:val="0"/>
          <w:bCs w:val="0"/>
        </w:rPr>
        <w:t>入决算表</w:t>
      </w:r>
      <w:bookmarkEnd w:id="100"/>
      <w:bookmarkEnd w:id="101"/>
    </w:p>
    <w:p>
      <w:pPr>
        <w:pStyle w:val="5"/>
        <w:rPr>
          <w:rFonts w:ascii="仿宋" w:hAnsi="仿宋" w:eastAsia="仿宋"/>
        </w:rPr>
      </w:pPr>
      <w:bookmarkStart w:id="102" w:name="_Toc31068"/>
      <w:bookmarkStart w:id="103" w:name="_Toc15396621"/>
      <w:r>
        <w:rPr>
          <w:rStyle w:val="23"/>
          <w:rFonts w:hint="eastAsia" w:ascii="仿宋" w:hAnsi="仿宋" w:eastAsia="仿宋"/>
          <w:b w:val="0"/>
          <w:bCs w:val="0"/>
        </w:rPr>
        <w:t>三、</w:t>
      </w:r>
      <w:r>
        <w:rPr>
          <w:rFonts w:hint="eastAsia" w:ascii="仿宋" w:hAnsi="仿宋" w:eastAsia="仿宋"/>
          <w:b w:val="0"/>
        </w:rPr>
        <w:t>支</w:t>
      </w:r>
      <w:r>
        <w:rPr>
          <w:rStyle w:val="23"/>
          <w:rFonts w:hint="eastAsia" w:ascii="仿宋" w:hAnsi="仿宋" w:eastAsia="仿宋"/>
          <w:b w:val="0"/>
          <w:bCs w:val="0"/>
        </w:rPr>
        <w:t>出决算表</w:t>
      </w:r>
      <w:bookmarkEnd w:id="102"/>
      <w:bookmarkEnd w:id="103"/>
    </w:p>
    <w:p>
      <w:pPr>
        <w:pStyle w:val="5"/>
        <w:rPr>
          <w:rFonts w:ascii="仿宋" w:hAnsi="仿宋" w:eastAsia="仿宋"/>
          <w:b w:val="0"/>
        </w:rPr>
      </w:pPr>
      <w:bookmarkStart w:id="104" w:name="_Toc15396622"/>
      <w:bookmarkStart w:id="105" w:name="_Toc13038"/>
      <w:r>
        <w:rPr>
          <w:rStyle w:val="23"/>
          <w:rFonts w:hint="eastAsia" w:ascii="仿宋" w:hAnsi="仿宋" w:eastAsia="仿宋"/>
          <w:b w:val="0"/>
          <w:bCs w:val="0"/>
        </w:rPr>
        <w:t>四、</w:t>
      </w:r>
      <w:r>
        <w:rPr>
          <w:rFonts w:hint="eastAsia" w:ascii="仿宋" w:hAnsi="仿宋" w:eastAsia="仿宋"/>
          <w:b w:val="0"/>
        </w:rPr>
        <w:t>财</w:t>
      </w:r>
      <w:r>
        <w:rPr>
          <w:rStyle w:val="23"/>
          <w:rFonts w:hint="eastAsia" w:ascii="仿宋" w:hAnsi="仿宋" w:eastAsia="仿宋"/>
          <w:b w:val="0"/>
          <w:bCs w:val="0"/>
        </w:rPr>
        <w:t>政拨款收入支出决算总表</w:t>
      </w:r>
      <w:bookmarkEnd w:id="104"/>
      <w:bookmarkEnd w:id="105"/>
    </w:p>
    <w:p>
      <w:pPr>
        <w:pStyle w:val="5"/>
        <w:rPr>
          <w:rStyle w:val="23"/>
          <w:rFonts w:ascii="仿宋" w:hAnsi="仿宋" w:eastAsia="仿宋"/>
          <w:b w:val="0"/>
          <w:bCs w:val="0"/>
        </w:rPr>
      </w:pPr>
      <w:bookmarkStart w:id="106" w:name="_Toc8476"/>
      <w:bookmarkStart w:id="107" w:name="_Toc15396623"/>
      <w:r>
        <w:rPr>
          <w:rStyle w:val="23"/>
          <w:rFonts w:hint="eastAsia" w:ascii="仿宋" w:hAnsi="仿宋" w:eastAsia="仿宋"/>
          <w:b w:val="0"/>
          <w:bCs w:val="0"/>
        </w:rPr>
        <w:t>五、</w:t>
      </w:r>
      <w:r>
        <w:rPr>
          <w:rFonts w:hint="eastAsia" w:ascii="仿宋" w:hAnsi="仿宋" w:eastAsia="仿宋"/>
          <w:b w:val="0"/>
        </w:rPr>
        <w:t>财</w:t>
      </w:r>
      <w:r>
        <w:rPr>
          <w:rStyle w:val="23"/>
          <w:rFonts w:hint="eastAsia" w:ascii="仿宋" w:hAnsi="仿宋" w:eastAsia="仿宋"/>
          <w:b w:val="0"/>
          <w:bCs w:val="0"/>
        </w:rPr>
        <w:t>政拨款支出决算明细表</w:t>
      </w:r>
      <w:bookmarkEnd w:id="106"/>
      <w:bookmarkEnd w:id="107"/>
      <w:bookmarkStart w:id="108" w:name="_Toc15396624"/>
    </w:p>
    <w:p>
      <w:pPr>
        <w:pStyle w:val="5"/>
        <w:rPr>
          <w:rFonts w:ascii="仿宋" w:hAnsi="仿宋" w:eastAsia="仿宋"/>
        </w:rPr>
      </w:pPr>
      <w:bookmarkStart w:id="109" w:name="_Toc4249"/>
      <w:r>
        <w:rPr>
          <w:rStyle w:val="23"/>
          <w:rFonts w:hint="eastAsia" w:ascii="仿宋" w:hAnsi="仿宋" w:eastAsia="仿宋"/>
          <w:b w:val="0"/>
          <w:bCs w:val="0"/>
        </w:rPr>
        <w:t>六、</w:t>
      </w:r>
      <w:r>
        <w:rPr>
          <w:rFonts w:hint="eastAsia" w:ascii="仿宋" w:hAnsi="仿宋" w:eastAsia="仿宋"/>
          <w:b w:val="0"/>
        </w:rPr>
        <w:t>一</w:t>
      </w:r>
      <w:r>
        <w:rPr>
          <w:rStyle w:val="23"/>
          <w:rFonts w:hint="eastAsia" w:ascii="仿宋" w:hAnsi="仿宋" w:eastAsia="仿宋"/>
          <w:b w:val="0"/>
          <w:bCs w:val="0"/>
        </w:rPr>
        <w:t>般公共预算财政拨款支出决算表</w:t>
      </w:r>
      <w:bookmarkEnd w:id="108"/>
      <w:bookmarkEnd w:id="109"/>
    </w:p>
    <w:p>
      <w:pPr>
        <w:pStyle w:val="5"/>
        <w:rPr>
          <w:rFonts w:ascii="仿宋" w:hAnsi="仿宋" w:eastAsia="仿宋"/>
        </w:rPr>
      </w:pPr>
      <w:bookmarkStart w:id="110" w:name="_Toc13307"/>
      <w:bookmarkStart w:id="111" w:name="_Toc15396625"/>
      <w:r>
        <w:rPr>
          <w:rStyle w:val="23"/>
          <w:rFonts w:hint="eastAsia" w:ascii="仿宋" w:hAnsi="仿宋" w:eastAsia="仿宋"/>
          <w:b w:val="0"/>
          <w:bCs w:val="0"/>
        </w:rPr>
        <w:t>七、</w:t>
      </w:r>
      <w:r>
        <w:rPr>
          <w:rFonts w:hint="eastAsia" w:ascii="仿宋" w:hAnsi="仿宋" w:eastAsia="仿宋"/>
          <w:b w:val="0"/>
        </w:rPr>
        <w:t>一</w:t>
      </w:r>
      <w:r>
        <w:rPr>
          <w:rStyle w:val="23"/>
          <w:rFonts w:hint="eastAsia" w:ascii="仿宋" w:hAnsi="仿宋" w:eastAsia="仿宋"/>
          <w:b w:val="0"/>
          <w:bCs w:val="0"/>
        </w:rPr>
        <w:t>般公共预算财政拨款支出决算明细表</w:t>
      </w:r>
      <w:bookmarkEnd w:id="110"/>
      <w:bookmarkEnd w:id="111"/>
    </w:p>
    <w:p>
      <w:pPr>
        <w:pStyle w:val="5"/>
        <w:rPr>
          <w:rFonts w:ascii="仿宋" w:hAnsi="仿宋" w:eastAsia="仿宋"/>
        </w:rPr>
      </w:pPr>
      <w:bookmarkStart w:id="112" w:name="_Toc15396626"/>
      <w:bookmarkStart w:id="113" w:name="_Toc21621"/>
      <w:r>
        <w:rPr>
          <w:rStyle w:val="23"/>
          <w:rFonts w:hint="eastAsia" w:ascii="仿宋" w:hAnsi="仿宋" w:eastAsia="仿宋"/>
          <w:b w:val="0"/>
          <w:bCs w:val="0"/>
        </w:rPr>
        <w:t>八、</w:t>
      </w:r>
      <w:r>
        <w:rPr>
          <w:rFonts w:hint="eastAsia" w:ascii="仿宋" w:hAnsi="仿宋" w:eastAsia="仿宋"/>
          <w:b w:val="0"/>
        </w:rPr>
        <w:t>一</w:t>
      </w:r>
      <w:r>
        <w:rPr>
          <w:rStyle w:val="23"/>
          <w:rFonts w:hint="eastAsia" w:ascii="仿宋" w:hAnsi="仿宋" w:eastAsia="仿宋"/>
          <w:b w:val="0"/>
          <w:bCs w:val="0"/>
        </w:rPr>
        <w:t>般公共预算财政拨款基本支出决算表</w:t>
      </w:r>
      <w:bookmarkEnd w:id="112"/>
      <w:bookmarkEnd w:id="113"/>
    </w:p>
    <w:p>
      <w:pPr>
        <w:pStyle w:val="5"/>
        <w:rPr>
          <w:rFonts w:ascii="仿宋" w:hAnsi="仿宋" w:eastAsia="仿宋"/>
        </w:rPr>
      </w:pPr>
      <w:bookmarkStart w:id="114" w:name="_Toc15396627"/>
      <w:bookmarkStart w:id="115" w:name="_Toc29333"/>
      <w:r>
        <w:rPr>
          <w:rStyle w:val="23"/>
          <w:rFonts w:hint="eastAsia" w:ascii="仿宋" w:hAnsi="仿宋" w:eastAsia="仿宋"/>
          <w:b w:val="0"/>
          <w:bCs w:val="0"/>
        </w:rPr>
        <w:t>九、</w:t>
      </w:r>
      <w:r>
        <w:rPr>
          <w:rFonts w:hint="eastAsia" w:ascii="仿宋" w:hAnsi="仿宋" w:eastAsia="仿宋"/>
          <w:b w:val="0"/>
        </w:rPr>
        <w:t>一</w:t>
      </w:r>
      <w:r>
        <w:rPr>
          <w:rStyle w:val="23"/>
          <w:rFonts w:hint="eastAsia" w:ascii="仿宋" w:hAnsi="仿宋" w:eastAsia="仿宋"/>
          <w:b w:val="0"/>
          <w:bCs w:val="0"/>
        </w:rPr>
        <w:t>般公共预算财政拨款项目支出决算表</w:t>
      </w:r>
      <w:bookmarkEnd w:id="114"/>
      <w:bookmarkEnd w:id="115"/>
    </w:p>
    <w:p>
      <w:pPr>
        <w:pStyle w:val="5"/>
        <w:rPr>
          <w:rFonts w:ascii="仿宋" w:hAnsi="仿宋" w:eastAsia="仿宋"/>
        </w:rPr>
      </w:pPr>
      <w:bookmarkStart w:id="116" w:name="_Toc15396628"/>
      <w:bookmarkStart w:id="117" w:name="_Toc31549"/>
      <w:r>
        <w:rPr>
          <w:rStyle w:val="23"/>
          <w:rFonts w:hint="eastAsia" w:ascii="仿宋" w:hAnsi="仿宋" w:eastAsia="仿宋"/>
          <w:b w:val="0"/>
          <w:bCs w:val="0"/>
        </w:rPr>
        <w:t>十、</w:t>
      </w:r>
      <w:bookmarkEnd w:id="116"/>
      <w:r>
        <w:rPr>
          <w:rFonts w:hint="eastAsia" w:ascii="仿宋" w:hAnsi="仿宋" w:eastAsia="仿宋"/>
          <w:b w:val="0"/>
        </w:rPr>
        <w:t>政</w:t>
      </w:r>
      <w:r>
        <w:rPr>
          <w:rStyle w:val="23"/>
          <w:rFonts w:hint="eastAsia" w:ascii="仿宋" w:hAnsi="仿宋" w:eastAsia="仿宋"/>
          <w:b w:val="0"/>
          <w:bCs w:val="0"/>
        </w:rPr>
        <w:t>府性基金预算财政拨款收入支出决算表</w:t>
      </w:r>
      <w:bookmarkEnd w:id="117"/>
    </w:p>
    <w:p>
      <w:pPr>
        <w:pStyle w:val="5"/>
        <w:rPr>
          <w:rFonts w:ascii="仿宋" w:hAnsi="仿宋" w:eastAsia="仿宋"/>
        </w:rPr>
      </w:pPr>
      <w:bookmarkStart w:id="118" w:name="_Toc15396629"/>
      <w:bookmarkStart w:id="119" w:name="_Toc21273"/>
      <w:r>
        <w:rPr>
          <w:rStyle w:val="23"/>
          <w:rFonts w:hint="eastAsia" w:ascii="仿宋" w:hAnsi="仿宋" w:eastAsia="仿宋"/>
          <w:b w:val="0"/>
          <w:bCs w:val="0"/>
        </w:rPr>
        <w:t>十一、</w:t>
      </w:r>
      <w:bookmarkEnd w:id="118"/>
      <w:r>
        <w:rPr>
          <w:rFonts w:hint="eastAsia" w:ascii="仿宋" w:hAnsi="仿宋" w:eastAsia="仿宋"/>
          <w:b w:val="0"/>
        </w:rPr>
        <w:t>国</w:t>
      </w:r>
      <w:r>
        <w:rPr>
          <w:rStyle w:val="23"/>
          <w:rFonts w:hint="eastAsia" w:ascii="仿宋" w:hAnsi="仿宋" w:eastAsia="仿宋"/>
          <w:b w:val="0"/>
          <w:bCs w:val="0"/>
        </w:rPr>
        <w:t>有资本经营预算财政拨款收入支出决算表</w:t>
      </w:r>
      <w:bookmarkEnd w:id="119"/>
    </w:p>
    <w:p>
      <w:pPr>
        <w:pStyle w:val="5"/>
        <w:rPr>
          <w:rFonts w:ascii="仿宋" w:hAnsi="仿宋" w:eastAsia="仿宋"/>
        </w:rPr>
      </w:pPr>
      <w:bookmarkStart w:id="120" w:name="_Toc15396630"/>
      <w:bookmarkStart w:id="121" w:name="_Toc25919"/>
      <w:r>
        <w:rPr>
          <w:rStyle w:val="23"/>
          <w:rFonts w:hint="eastAsia" w:ascii="仿宋" w:hAnsi="仿宋" w:eastAsia="仿宋"/>
          <w:b w:val="0"/>
          <w:bCs w:val="0"/>
        </w:rPr>
        <w:t>十二、</w:t>
      </w:r>
      <w:bookmarkEnd w:id="120"/>
      <w:r>
        <w:rPr>
          <w:rStyle w:val="23"/>
          <w:rFonts w:hint="eastAsia" w:ascii="仿宋" w:hAnsi="仿宋" w:eastAsia="仿宋"/>
          <w:b w:val="0"/>
          <w:bCs w:val="0"/>
        </w:rPr>
        <w:t>国有资本经营预算财政拨款支出决算表</w:t>
      </w:r>
      <w:bookmarkEnd w:id="121"/>
    </w:p>
    <w:p>
      <w:pPr>
        <w:pStyle w:val="5"/>
        <w:rPr>
          <w:rFonts w:eastAsia="仿宋"/>
        </w:rPr>
      </w:pPr>
      <w:bookmarkStart w:id="122" w:name="_Toc15396631"/>
      <w:bookmarkStart w:id="123" w:name="_Toc21520"/>
      <w:r>
        <w:rPr>
          <w:rStyle w:val="23"/>
          <w:rFonts w:hint="eastAsia" w:ascii="仿宋" w:hAnsi="仿宋" w:eastAsia="仿宋"/>
          <w:b w:val="0"/>
          <w:bCs w:val="0"/>
        </w:rPr>
        <w:t>十三、</w:t>
      </w:r>
      <w:bookmarkEnd w:id="122"/>
      <w:r>
        <w:rPr>
          <w:rStyle w:val="23"/>
          <w:rFonts w:hint="eastAsia" w:ascii="仿宋" w:hAnsi="仿宋" w:eastAsia="仿宋"/>
          <w:b w:val="0"/>
          <w:bCs w:val="0"/>
        </w:rPr>
        <w:t>财政拨款“三公”经费支出决算表</w:t>
      </w:r>
      <w:bookmarkEnd w:id="123"/>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337F0"/>
    <w:multiLevelType w:val="singleLevel"/>
    <w:tmpl w:val="A7C337F0"/>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BFB7597"/>
    <w:multiLevelType w:val="singleLevel"/>
    <w:tmpl w:val="DBFB7597"/>
    <w:lvl w:ilvl="0" w:tentative="0">
      <w:start w:val="2"/>
      <w:numFmt w:val="decimal"/>
      <w:suff w:val="nothing"/>
      <w:lvlText w:val="%1．"/>
      <w:lvlJc w:val="left"/>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DFEED043"/>
    <w:multiLevelType w:val="singleLevel"/>
    <w:tmpl w:val="DFEED043"/>
    <w:lvl w:ilvl="0" w:tentative="0">
      <w:start w:val="2"/>
      <w:numFmt w:val="decimal"/>
      <w:suff w:val="nothing"/>
      <w:lvlText w:val="%1．"/>
      <w:lvlJc w:val="left"/>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FF4FDC8"/>
    <w:multiLevelType w:val="singleLevel"/>
    <w:tmpl w:val="EFF4FDC8"/>
    <w:lvl w:ilvl="0" w:tentative="0">
      <w:start w:val="2"/>
      <w:numFmt w:val="decimal"/>
      <w:suff w:val="nothing"/>
      <w:lvlText w:val="%1．"/>
      <w:lvlJc w:val="left"/>
    </w:lvl>
  </w:abstractNum>
  <w:abstractNum w:abstractNumId="7">
    <w:nsid w:val="FB7E44B0"/>
    <w:multiLevelType w:val="singleLevel"/>
    <w:tmpl w:val="FB7E44B0"/>
    <w:lvl w:ilvl="0" w:tentative="0">
      <w:start w:val="2"/>
      <w:numFmt w:val="chineseCounting"/>
      <w:suff w:val="nothing"/>
      <w:lvlText w:val="（%1）"/>
      <w:lvlJc w:val="left"/>
      <w:rPr>
        <w:rFonts w:hint="eastAsia"/>
      </w:rPr>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9F9501E"/>
    <w:multiLevelType w:val="singleLevel"/>
    <w:tmpl w:val="19F9501E"/>
    <w:lvl w:ilvl="0" w:tentative="0">
      <w:start w:val="1"/>
      <w:numFmt w:val="chineseCounting"/>
      <w:suff w:val="nothing"/>
      <w:lvlText w:val="（%1）"/>
      <w:lvlJc w:val="left"/>
      <w:rPr>
        <w:rFonts w:hint="eastAsia"/>
      </w:rPr>
    </w:lvl>
  </w:abstractNum>
  <w:abstractNum w:abstractNumId="11">
    <w:nsid w:val="27884B9A"/>
    <w:multiLevelType w:val="multilevel"/>
    <w:tmpl w:val="27884B9A"/>
    <w:lvl w:ilvl="0" w:tentative="0">
      <w:start w:val="1"/>
      <w:numFmt w:val="decimal"/>
      <w:pStyle w:val="38"/>
      <w:suff w:val="space"/>
      <w:lvlText w:val="（%1）"/>
      <w:lvlJc w:val="left"/>
      <w:pPr>
        <w:tabs>
          <w:tab w:val="left" w:pos="0"/>
        </w:tabs>
        <w:ind w:left="0" w:firstLine="560"/>
      </w:pPr>
      <w:rPr>
        <w:rFonts w:hint="eastAsia"/>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12">
    <w:nsid w:val="44F6607B"/>
    <w:multiLevelType w:val="singleLevel"/>
    <w:tmpl w:val="44F6607B"/>
    <w:lvl w:ilvl="0" w:tentative="0">
      <w:start w:val="1"/>
      <w:numFmt w:val="chineseCounting"/>
      <w:suff w:val="nothing"/>
      <w:lvlText w:val="（%1）"/>
      <w:lvlJc w:val="left"/>
      <w:rPr>
        <w:rFonts w:hint="eastAsia"/>
      </w:rPr>
    </w:lvl>
  </w:abstractNum>
  <w:abstractNum w:abstractNumId="13">
    <w:nsid w:val="7EAD59EF"/>
    <w:multiLevelType w:val="singleLevel"/>
    <w:tmpl w:val="7EAD59EF"/>
    <w:lvl w:ilvl="0" w:tentative="0">
      <w:start w:val="2"/>
      <w:numFmt w:val="decimal"/>
      <w:suff w:val="nothing"/>
      <w:lvlText w:val="%1．"/>
      <w:lvlJc w:val="left"/>
    </w:lvl>
  </w:abstractNum>
  <w:num w:numId="1">
    <w:abstractNumId w:val="11"/>
  </w:num>
  <w:num w:numId="2">
    <w:abstractNumId w:val="9"/>
  </w:num>
  <w:num w:numId="3">
    <w:abstractNumId w:val="1"/>
  </w:num>
  <w:num w:numId="4">
    <w:abstractNumId w:val="5"/>
  </w:num>
  <w:num w:numId="5">
    <w:abstractNumId w:val="0"/>
  </w:num>
  <w:num w:numId="6">
    <w:abstractNumId w:val="8"/>
  </w:num>
  <w:num w:numId="7">
    <w:abstractNumId w:val="10"/>
  </w:num>
  <w:num w:numId="8">
    <w:abstractNumId w:val="3"/>
  </w:num>
  <w:num w:numId="9">
    <w:abstractNumId w:val="7"/>
  </w:num>
  <w:num w:numId="10">
    <w:abstractNumId w:val="13"/>
  </w:num>
  <w:num w:numId="11">
    <w:abstractNumId w:val="4"/>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3986"/>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09FB"/>
    <w:rsid w:val="003F535B"/>
    <w:rsid w:val="00406254"/>
    <w:rsid w:val="004223DE"/>
    <w:rsid w:val="00434489"/>
    <w:rsid w:val="00437085"/>
    <w:rsid w:val="00443880"/>
    <w:rsid w:val="004464F4"/>
    <w:rsid w:val="0046354D"/>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5FA6"/>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51C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16E4"/>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1E7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0226"/>
    <w:rsid w:val="00B77EA6"/>
    <w:rsid w:val="00B81598"/>
    <w:rsid w:val="00B841F1"/>
    <w:rsid w:val="00B944D6"/>
    <w:rsid w:val="00BB4DF0"/>
    <w:rsid w:val="00BC289F"/>
    <w:rsid w:val="00BC2D50"/>
    <w:rsid w:val="00BC5361"/>
    <w:rsid w:val="00BC5460"/>
    <w:rsid w:val="00BC6B50"/>
    <w:rsid w:val="00BD0E25"/>
    <w:rsid w:val="00BF5BD6"/>
    <w:rsid w:val="00C03E31"/>
    <w:rsid w:val="00C26ED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5230"/>
    <w:rsid w:val="00DC410D"/>
    <w:rsid w:val="00DC5A81"/>
    <w:rsid w:val="00DC68CA"/>
    <w:rsid w:val="00DC7CBA"/>
    <w:rsid w:val="00DD73B7"/>
    <w:rsid w:val="00DF28BC"/>
    <w:rsid w:val="00DF34B9"/>
    <w:rsid w:val="00E01053"/>
    <w:rsid w:val="00E07ACF"/>
    <w:rsid w:val="00E331A1"/>
    <w:rsid w:val="00E33202"/>
    <w:rsid w:val="00E336A9"/>
    <w:rsid w:val="00E41133"/>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379B8"/>
    <w:rsid w:val="00F417B1"/>
    <w:rsid w:val="00F45853"/>
    <w:rsid w:val="00F602DF"/>
    <w:rsid w:val="00F754A1"/>
    <w:rsid w:val="00F81FD9"/>
    <w:rsid w:val="00F841AA"/>
    <w:rsid w:val="00F84A94"/>
    <w:rsid w:val="00F87E96"/>
    <w:rsid w:val="00FA23E8"/>
    <w:rsid w:val="00FD3CC1"/>
    <w:rsid w:val="00FF1E02"/>
    <w:rsid w:val="00FF30B4"/>
    <w:rsid w:val="015975B8"/>
    <w:rsid w:val="02143E91"/>
    <w:rsid w:val="05E11832"/>
    <w:rsid w:val="066E0107"/>
    <w:rsid w:val="07996F6E"/>
    <w:rsid w:val="0A2032A3"/>
    <w:rsid w:val="0F98263C"/>
    <w:rsid w:val="101860EC"/>
    <w:rsid w:val="108F5D13"/>
    <w:rsid w:val="10C055FF"/>
    <w:rsid w:val="118107EC"/>
    <w:rsid w:val="13D50BC4"/>
    <w:rsid w:val="16BB723D"/>
    <w:rsid w:val="1BE8440E"/>
    <w:rsid w:val="1D155CEE"/>
    <w:rsid w:val="1FF35744"/>
    <w:rsid w:val="23860B96"/>
    <w:rsid w:val="240371BF"/>
    <w:rsid w:val="26C26CF7"/>
    <w:rsid w:val="27FB7069"/>
    <w:rsid w:val="29FD04D3"/>
    <w:rsid w:val="2C2D4E8F"/>
    <w:rsid w:val="2C8A61B5"/>
    <w:rsid w:val="2DF04E50"/>
    <w:rsid w:val="2F040D46"/>
    <w:rsid w:val="2FFB68A3"/>
    <w:rsid w:val="306D4B10"/>
    <w:rsid w:val="319F7F4E"/>
    <w:rsid w:val="32A9493D"/>
    <w:rsid w:val="3304709D"/>
    <w:rsid w:val="36AA5135"/>
    <w:rsid w:val="376D39B2"/>
    <w:rsid w:val="37B79719"/>
    <w:rsid w:val="37E16F03"/>
    <w:rsid w:val="38D469F0"/>
    <w:rsid w:val="39DFF552"/>
    <w:rsid w:val="3A7F3927"/>
    <w:rsid w:val="3D98207C"/>
    <w:rsid w:val="3DCF1124"/>
    <w:rsid w:val="3E75915C"/>
    <w:rsid w:val="3E78745D"/>
    <w:rsid w:val="3EEF669E"/>
    <w:rsid w:val="3EF7EED2"/>
    <w:rsid w:val="3FFBDBCD"/>
    <w:rsid w:val="44E268DA"/>
    <w:rsid w:val="49FE95BF"/>
    <w:rsid w:val="4A627F82"/>
    <w:rsid w:val="4B0E749A"/>
    <w:rsid w:val="4B4F25DA"/>
    <w:rsid w:val="4BE068DB"/>
    <w:rsid w:val="4D577224"/>
    <w:rsid w:val="4DFFE6C1"/>
    <w:rsid w:val="4EAB630A"/>
    <w:rsid w:val="4ECE2238"/>
    <w:rsid w:val="51FFED67"/>
    <w:rsid w:val="52F73861"/>
    <w:rsid w:val="537E6D0A"/>
    <w:rsid w:val="5AF92295"/>
    <w:rsid w:val="5CD71FC4"/>
    <w:rsid w:val="5CFE6979"/>
    <w:rsid w:val="5D9A6EC1"/>
    <w:rsid w:val="5EF0E023"/>
    <w:rsid w:val="5FF5F020"/>
    <w:rsid w:val="62FFFBD9"/>
    <w:rsid w:val="66C22C81"/>
    <w:rsid w:val="6BF39D80"/>
    <w:rsid w:val="6C4A05C8"/>
    <w:rsid w:val="6E7A8613"/>
    <w:rsid w:val="6E7E3605"/>
    <w:rsid w:val="6EEFC3A9"/>
    <w:rsid w:val="6FBD3FF8"/>
    <w:rsid w:val="6FF5CC65"/>
    <w:rsid w:val="715C0E4B"/>
    <w:rsid w:val="72734D90"/>
    <w:rsid w:val="72C232B3"/>
    <w:rsid w:val="73AD73D5"/>
    <w:rsid w:val="73B6EB34"/>
    <w:rsid w:val="73DBBF9D"/>
    <w:rsid w:val="744731E5"/>
    <w:rsid w:val="76E3355F"/>
    <w:rsid w:val="772BA28F"/>
    <w:rsid w:val="778769C8"/>
    <w:rsid w:val="77EFE086"/>
    <w:rsid w:val="77F62D1E"/>
    <w:rsid w:val="79EE5BA4"/>
    <w:rsid w:val="7A894339"/>
    <w:rsid w:val="7AFF4C2E"/>
    <w:rsid w:val="7BAD1ADF"/>
    <w:rsid w:val="7BDEC502"/>
    <w:rsid w:val="7BE31554"/>
    <w:rsid w:val="7CFFFBD5"/>
    <w:rsid w:val="7D8EC939"/>
    <w:rsid w:val="7D9E12CE"/>
    <w:rsid w:val="7EEF11D3"/>
    <w:rsid w:val="7EFFCF2B"/>
    <w:rsid w:val="7F352A63"/>
    <w:rsid w:val="7F7C6811"/>
    <w:rsid w:val="7FA30C79"/>
    <w:rsid w:val="7FB7269E"/>
    <w:rsid w:val="7FBE1369"/>
    <w:rsid w:val="7FC96657"/>
    <w:rsid w:val="7FCF4664"/>
    <w:rsid w:val="7FDCD8AE"/>
    <w:rsid w:val="7FFD8CDB"/>
    <w:rsid w:val="7FFDA695"/>
    <w:rsid w:val="9BF1C894"/>
    <w:rsid w:val="9D7F897C"/>
    <w:rsid w:val="9FAABB18"/>
    <w:rsid w:val="9FEF9E22"/>
    <w:rsid w:val="A2D76145"/>
    <w:rsid w:val="A3CC4E81"/>
    <w:rsid w:val="AF7BA7AA"/>
    <w:rsid w:val="B4EFB619"/>
    <w:rsid w:val="B7DFE3A6"/>
    <w:rsid w:val="BBFF338B"/>
    <w:rsid w:val="BBFF85DF"/>
    <w:rsid w:val="BFD669AC"/>
    <w:rsid w:val="BFEC7E8B"/>
    <w:rsid w:val="C796CE66"/>
    <w:rsid w:val="CDDB9A9F"/>
    <w:rsid w:val="D29D16A8"/>
    <w:rsid w:val="D3EFBE01"/>
    <w:rsid w:val="D6BF08CC"/>
    <w:rsid w:val="D8D6DB89"/>
    <w:rsid w:val="DB6F4CAB"/>
    <w:rsid w:val="DF6F9789"/>
    <w:rsid w:val="DFE767AF"/>
    <w:rsid w:val="DFE77D46"/>
    <w:rsid w:val="DFFC5F68"/>
    <w:rsid w:val="E7BF2D0B"/>
    <w:rsid w:val="EB62D634"/>
    <w:rsid w:val="EBFDB0F0"/>
    <w:rsid w:val="EE9F50FA"/>
    <w:rsid w:val="EFD9C147"/>
    <w:rsid w:val="F72BD73C"/>
    <w:rsid w:val="F7BEBAE8"/>
    <w:rsid w:val="F7F79EA0"/>
    <w:rsid w:val="FB7F2CD7"/>
    <w:rsid w:val="FB9B29E3"/>
    <w:rsid w:val="FCDDE40E"/>
    <w:rsid w:val="FCFFC9CC"/>
    <w:rsid w:val="FDBB282B"/>
    <w:rsid w:val="FDDF6EEB"/>
    <w:rsid w:val="FECF0C2B"/>
    <w:rsid w:val="FEFE426B"/>
    <w:rsid w:val="FFF59BA6"/>
    <w:rsid w:val="FFFF79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3"/>
    <w:unhideWhenUsed/>
    <w:qFormat/>
    <w:uiPriority w:val="9"/>
    <w:pPr>
      <w:keepNext/>
      <w:keepLines/>
      <w:spacing w:before="260" w:after="260" w:line="416" w:lineRule="auto"/>
      <w:outlineLvl w:val="1"/>
    </w:pPr>
    <w:rPr>
      <w:rFonts w:asciiTheme="majorAscii" w:hAnsiTheme="majorAscii" w:eastAsiaTheme="majorEastAsia" w:cstheme="majorBidi"/>
      <w:b/>
      <w:bCs/>
      <w:sz w:val="32"/>
      <w:szCs w:val="32"/>
    </w:rPr>
  </w:style>
  <w:style w:type="paragraph" w:styleId="6">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章标题"/>
    <w:next w:val="3"/>
    <w:qFormat/>
    <w:uiPriority w:val="99"/>
    <w:pPr>
      <w:spacing w:before="158" w:after="153" w:line="323" w:lineRule="atLeast"/>
      <w:ind w:right="-120"/>
      <w:jc w:val="center"/>
      <w:textAlignment w:val="baseline"/>
    </w:pPr>
    <w:rPr>
      <w:rFonts w:ascii="Times New Roman" w:hAnsi="Times New Roman" w:eastAsia="宋体" w:cs="Times New Roman"/>
      <w:color w:val="FF0000"/>
      <w:kern w:val="2"/>
      <w:sz w:val="18"/>
      <w:szCs w:val="24"/>
      <w:lang w:val="en-US" w:eastAsia="zh-CN" w:bidi="ar-SA"/>
    </w:rPr>
  </w:style>
  <w:style w:type="paragraph" w:customStyle="1" w:styleId="3">
    <w:name w:val="节标题"/>
    <w:next w:val="1"/>
    <w:qFormat/>
    <w:uiPriority w:val="99"/>
    <w:pPr>
      <w:spacing w:line="289" w:lineRule="atLeast"/>
      <w:jc w:val="center"/>
      <w:textAlignment w:val="baseline"/>
    </w:pPr>
    <w:rPr>
      <w:rFonts w:ascii="Times New Roman" w:hAnsi="Times New Roman" w:eastAsia="宋体" w:cs="Times New Roman"/>
      <w:color w:val="000000"/>
      <w:kern w:val="2"/>
      <w:sz w:val="28"/>
      <w:szCs w:val="24"/>
      <w:lang w:val="en-US" w:eastAsia="zh-CN" w:bidi="ar-SA"/>
    </w:rPr>
  </w:style>
  <w:style w:type="paragraph" w:styleId="7">
    <w:name w:val="index 6"/>
    <w:basedOn w:val="1"/>
    <w:next w:val="1"/>
    <w:qFormat/>
    <w:uiPriority w:val="0"/>
    <w:pPr>
      <w:ind w:left="2100"/>
    </w:pPr>
  </w:style>
  <w:style w:type="paragraph" w:styleId="8">
    <w:name w:val="Body Text"/>
    <w:basedOn w:val="1"/>
    <w:next w:val="1"/>
    <w:link w:val="31"/>
    <w:qFormat/>
    <w:uiPriority w:val="99"/>
    <w:pPr>
      <w:spacing w:beforeLines="30"/>
    </w:pPr>
    <w:rPr>
      <w:rFonts w:ascii="仿宋_GB2312" w:eastAsia="仿宋_GB2312"/>
      <w:kern w:val="0"/>
      <w:sz w:val="30"/>
    </w:rPr>
  </w:style>
  <w:style w:type="paragraph" w:styleId="9">
    <w:name w:val="Body Text Indent"/>
    <w:basedOn w:val="1"/>
    <w:next w:val="8"/>
    <w:qFormat/>
    <w:uiPriority w:val="0"/>
    <w:pPr>
      <w:spacing w:after="120"/>
      <w:ind w:left="200"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nhideWhenUsed/>
    <w:qFormat/>
    <w:uiPriority w:val="99"/>
    <w:pPr>
      <w:widowControl/>
      <w:jc w:val="left"/>
    </w:pPr>
    <w:rPr>
      <w:rFonts w:ascii="宋体" w:hAnsi="宋体" w:cs="宋体"/>
      <w:kern w:val="0"/>
      <w:sz w:val="24"/>
    </w:rPr>
  </w:style>
  <w:style w:type="paragraph" w:styleId="17">
    <w:name w:val="Body Text First Indent 2"/>
    <w:basedOn w:val="9"/>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标题 1 Char"/>
    <w:basedOn w:val="19"/>
    <w:link w:val="4"/>
    <w:qFormat/>
    <w:uiPriority w:val="9"/>
    <w:rPr>
      <w:rFonts w:ascii="Times New Roman" w:hAnsi="Times New Roman"/>
      <w:b/>
      <w:bCs/>
      <w:kern w:val="44"/>
      <w:sz w:val="44"/>
      <w:szCs w:val="44"/>
    </w:rPr>
  </w:style>
  <w:style w:type="character" w:customStyle="1" w:styleId="23">
    <w:name w:val="标题 2 Char"/>
    <w:basedOn w:val="19"/>
    <w:link w:val="5"/>
    <w:qFormat/>
    <w:uiPriority w:val="9"/>
    <w:rPr>
      <w:rFonts w:asciiTheme="majorAscii" w:hAnsiTheme="majorAscii" w:eastAsiaTheme="majorEastAsia" w:cstheme="majorBidi"/>
      <w:b/>
      <w:bCs/>
      <w:kern w:val="2"/>
      <w:sz w:val="32"/>
      <w:szCs w:val="32"/>
    </w:rPr>
  </w:style>
  <w:style w:type="character" w:customStyle="1" w:styleId="24">
    <w:name w:val="标题 3 Char"/>
    <w:basedOn w:val="19"/>
    <w:link w:val="6"/>
    <w:qFormat/>
    <w:uiPriority w:val="9"/>
    <w:rPr>
      <w:rFonts w:ascii="Times New Roman" w:hAnsi="Times New Roman"/>
      <w:b/>
      <w:bCs/>
      <w:kern w:val="2"/>
      <w:sz w:val="32"/>
      <w:szCs w:val="32"/>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19"/>
    <w:semiHidden/>
    <w:qFormat/>
    <w:uiPriority w:val="99"/>
    <w:rPr>
      <w:rFonts w:ascii="Times New Roman" w:hAnsi="Times New Roman"/>
      <w:sz w:val="18"/>
      <w:szCs w:val="18"/>
    </w:rPr>
  </w:style>
  <w:style w:type="character" w:customStyle="1" w:styleId="27">
    <w:name w:val="页眉 Char"/>
    <w:link w:val="13"/>
    <w:semiHidden/>
    <w:qFormat/>
    <w:locked/>
    <w:uiPriority w:val="99"/>
    <w:rPr>
      <w:sz w:val="18"/>
    </w:rPr>
  </w:style>
  <w:style w:type="character" w:customStyle="1" w:styleId="28">
    <w:name w:val="Footer Char"/>
    <w:basedOn w:val="19"/>
    <w:semiHidden/>
    <w:qFormat/>
    <w:uiPriority w:val="99"/>
    <w:rPr>
      <w:rFonts w:ascii="Times New Roman" w:hAnsi="Times New Roman"/>
      <w:sz w:val="18"/>
      <w:szCs w:val="18"/>
    </w:rPr>
  </w:style>
  <w:style w:type="character" w:customStyle="1" w:styleId="29">
    <w:name w:val="页脚 Char"/>
    <w:link w:val="12"/>
    <w:qFormat/>
    <w:locked/>
    <w:uiPriority w:val="99"/>
    <w:rPr>
      <w:sz w:val="18"/>
    </w:rPr>
  </w:style>
  <w:style w:type="character" w:customStyle="1" w:styleId="30">
    <w:name w:val="Body Text Char"/>
    <w:basedOn w:val="19"/>
    <w:semiHidden/>
    <w:qFormat/>
    <w:uiPriority w:val="99"/>
    <w:rPr>
      <w:rFonts w:ascii="Times New Roman" w:hAnsi="Times New Roman"/>
      <w:szCs w:val="24"/>
    </w:rPr>
  </w:style>
  <w:style w:type="character" w:customStyle="1" w:styleId="31">
    <w:name w:val="正文文本 Char"/>
    <w:link w:val="8"/>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paragraph" w:customStyle="1" w:styleId="36">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TaiJi"/>
    <w:next w:val="7"/>
    <w:qFormat/>
    <w:uiPriority w:val="0"/>
    <w:pPr>
      <w:widowControl w:val="0"/>
      <w:numPr>
        <w:ilvl w:val="0"/>
        <w:numId w:val="1"/>
      </w:numPr>
      <w:spacing w:line="360" w:lineRule="auto"/>
    </w:pPr>
    <w:rPr>
      <w:rFonts w:ascii="Times New Roman" w:hAnsi="Times New Roman" w:eastAsia="黑体" w:cs="Times New Roman"/>
      <w:b/>
      <w:bCs/>
      <w:kern w:val="44"/>
      <w:sz w:val="48"/>
      <w:szCs w:val="24"/>
      <w:lang w:val="en-US" w:eastAsia="zh-CN" w:bidi="ar-SA"/>
    </w:rPr>
  </w:style>
  <w:style w:type="character" w:customStyle="1" w:styleId="39">
    <w:name w:val="font131"/>
    <w:basedOn w:val="19"/>
    <w:qFormat/>
    <w:uiPriority w:val="0"/>
    <w:rPr>
      <w:rFonts w:hint="eastAsia" w:ascii="宋体" w:hAnsi="宋体" w:eastAsia="宋体" w:cs="宋体"/>
      <w:color w:val="000000"/>
      <w:sz w:val="20"/>
      <w:szCs w:val="20"/>
      <w:u w:val="none"/>
    </w:rPr>
  </w:style>
  <w:style w:type="character" w:customStyle="1" w:styleId="40">
    <w:name w:val="font01"/>
    <w:basedOn w:val="19"/>
    <w:qFormat/>
    <w:uiPriority w:val="0"/>
    <w:rPr>
      <w:rFonts w:hint="default" w:ascii="Times New Roman" w:hAnsi="Times New Roman" w:cs="Times New Roman"/>
      <w:color w:val="000000"/>
      <w:sz w:val="24"/>
      <w:szCs w:val="24"/>
      <w:u w:val="none"/>
    </w:rPr>
  </w:style>
  <w:style w:type="character" w:customStyle="1" w:styleId="41">
    <w:name w:val="font41"/>
    <w:basedOn w:val="19"/>
    <w:qFormat/>
    <w:uiPriority w:val="0"/>
    <w:rPr>
      <w:rFonts w:hint="eastAsia" w:ascii="宋体" w:hAnsi="宋体" w:eastAsia="宋体" w:cs="宋体"/>
      <w:color w:val="000000"/>
      <w:sz w:val="24"/>
      <w:szCs w:val="24"/>
      <w:u w:val="none"/>
    </w:rPr>
  </w:style>
  <w:style w:type="character" w:customStyle="1" w:styleId="42">
    <w:name w:val="font61"/>
    <w:basedOn w:val="19"/>
    <w:qFormat/>
    <w:uiPriority w:val="0"/>
    <w:rPr>
      <w:rFonts w:ascii="宋体" w:hAnsi="宋体" w:eastAsia="宋体" w:cs="宋体"/>
      <w:color w:val="000000"/>
      <w:sz w:val="20"/>
      <w:szCs w:val="20"/>
      <w:u w:val="none"/>
    </w:rPr>
  </w:style>
  <w:style w:type="character" w:customStyle="1" w:styleId="43">
    <w:name w:val="font51"/>
    <w:basedOn w:val="19"/>
    <w:qFormat/>
    <w:uiPriority w:val="0"/>
    <w:rPr>
      <w:rFonts w:hint="default" w:ascii="微软雅黑" w:hAnsi="微软雅黑" w:eastAsia="微软雅黑" w:cs="微软雅黑"/>
      <w:color w:val="000000"/>
      <w:sz w:val="20"/>
      <w:szCs w:val="20"/>
      <w:u w:val="none"/>
    </w:rPr>
  </w:style>
  <w:style w:type="character" w:customStyle="1" w:styleId="44">
    <w:name w:val="font81"/>
    <w:basedOn w:val="19"/>
    <w:qFormat/>
    <w:uiPriority w:val="0"/>
    <w:rPr>
      <w:rFonts w:ascii="宋体" w:hAnsi="宋体" w:eastAsia="宋体" w:cs="宋体"/>
      <w:color w:val="000000"/>
      <w:sz w:val="20"/>
      <w:szCs w:val="20"/>
      <w:u w:val="none"/>
    </w:rPr>
  </w:style>
  <w:style w:type="character" w:customStyle="1" w:styleId="45">
    <w:name w:val="font21"/>
    <w:basedOn w:val="19"/>
    <w:qFormat/>
    <w:uiPriority w:val="0"/>
    <w:rPr>
      <w:rFonts w:hint="default" w:ascii="微软雅黑" w:hAnsi="微软雅黑" w:eastAsia="微软雅黑" w:cs="微软雅黑"/>
      <w:color w:val="000000"/>
      <w:sz w:val="20"/>
      <w:szCs w:val="20"/>
      <w:u w:val="none"/>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0868853941098"/>
          <c:y val="0.0822408865558472"/>
          <c:w val="0.779781774817787"/>
          <c:h val="0.619419655876349"/>
        </c:manualLayout>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2021年</c:v>
                </c:pt>
                <c:pt idx="1">
                  <c:v>2022年</c:v>
                </c:pt>
              </c:strCache>
            </c:strRef>
          </c:cat>
          <c:val>
            <c:numRef>
              <c:f>Sheet1!$B$2:$B$3</c:f>
              <c:numCache>
                <c:formatCode>General</c:formatCode>
                <c:ptCount val="2"/>
                <c:pt idx="0">
                  <c:v>4746.13</c:v>
                </c:pt>
                <c:pt idx="1">
                  <c:v>4085.67</c:v>
                </c:pt>
              </c:numCache>
            </c:numRef>
          </c:val>
        </c:ser>
        <c:dLbls>
          <c:showLegendKey val="false"/>
          <c:showVal val="true"/>
          <c:showCatName val="false"/>
          <c:showSerName val="false"/>
          <c:showPercent val="false"/>
          <c:showBubbleSize val="false"/>
        </c:dLbls>
        <c:gapWidth val="150"/>
        <c:axId val="96062848"/>
        <c:axId val="96158848"/>
      </c:barChart>
      <c:catAx>
        <c:axId val="96062848"/>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6158848"/>
        <c:crosses val="autoZero"/>
        <c:auto val="true"/>
        <c:lblAlgn val="ctr"/>
        <c:lblOffset val="100"/>
        <c:noMultiLvlLbl val="false"/>
      </c:catAx>
      <c:valAx>
        <c:axId val="9615884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6062848"/>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金额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财政拨款收入</c:v>
                </c:pt>
                <c:pt idx="1">
                  <c:v>其他收入</c:v>
                </c:pt>
              </c:strCache>
            </c:strRef>
          </c:cat>
          <c:val>
            <c:numRef>
              <c:f>Sheet1!$B$2:$B$3</c:f>
              <c:numCache>
                <c:formatCode>General</c:formatCode>
                <c:ptCount val="2"/>
                <c:pt idx="0">
                  <c:v>3454.65</c:v>
                </c:pt>
                <c:pt idx="1">
                  <c:v>2.61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列1</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3091.35</c:v>
                </c:pt>
                <c:pt idx="1">
                  <c:v>984.05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0868853941098"/>
          <c:y val="0.0822408865558472"/>
          <c:w val="0.779781774817788"/>
          <c:h val="0.619419655876349"/>
        </c:manualLayout>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2021年</c:v>
                </c:pt>
                <c:pt idx="1">
                  <c:v>2022年</c:v>
                </c:pt>
              </c:strCache>
            </c:strRef>
          </c:cat>
          <c:val>
            <c:numRef>
              <c:f>Sheet1!$B$2:$B$3</c:f>
              <c:numCache>
                <c:formatCode>General</c:formatCode>
                <c:ptCount val="2"/>
                <c:pt idx="0">
                  <c:v>4746.13</c:v>
                </c:pt>
                <c:pt idx="1">
                  <c:v>4085.67</c:v>
                </c:pt>
              </c:numCache>
            </c:numRef>
          </c:val>
        </c:ser>
        <c:dLbls>
          <c:showLegendKey val="false"/>
          <c:showVal val="true"/>
          <c:showCatName val="false"/>
          <c:showSerName val="false"/>
          <c:showPercent val="false"/>
          <c:showBubbleSize val="false"/>
        </c:dLbls>
        <c:gapWidth val="150"/>
        <c:axId val="96568064"/>
        <c:axId val="96569600"/>
      </c:barChart>
      <c:catAx>
        <c:axId val="9656806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6569600"/>
        <c:crosses val="autoZero"/>
        <c:auto val="true"/>
        <c:lblAlgn val="ctr"/>
        <c:lblOffset val="100"/>
        <c:noMultiLvlLbl val="false"/>
      </c:catAx>
      <c:valAx>
        <c:axId val="9656960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6568064"/>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2021年</c:v>
                </c:pt>
                <c:pt idx="1">
                  <c:v>2022年</c:v>
                </c:pt>
              </c:strCache>
            </c:strRef>
          </c:cat>
          <c:val>
            <c:numRef>
              <c:f>Sheet1!$B$2:$B$3</c:f>
              <c:numCache>
                <c:formatCode>General</c:formatCode>
                <c:ptCount val="2"/>
                <c:pt idx="0">
                  <c:v>4134.11</c:v>
                </c:pt>
                <c:pt idx="1">
                  <c:v>4075.38</c:v>
                </c:pt>
              </c:numCache>
            </c:numRef>
          </c:val>
        </c:ser>
        <c:dLbls>
          <c:showLegendKey val="false"/>
          <c:showVal val="true"/>
          <c:showCatName val="false"/>
          <c:showSerName val="false"/>
          <c:showPercent val="false"/>
          <c:showBubbleSize val="false"/>
        </c:dLbls>
        <c:gapWidth val="150"/>
        <c:axId val="98862976"/>
        <c:axId val="98864512"/>
      </c:barChart>
      <c:catAx>
        <c:axId val="9886297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8864512"/>
        <c:crosses val="autoZero"/>
        <c:auto val="true"/>
        <c:lblAlgn val="ctr"/>
        <c:lblOffset val="100"/>
        <c:noMultiLvlLbl val="false"/>
      </c:catAx>
      <c:valAx>
        <c:axId val="9886451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8862976"/>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Pt>
            <c:idx val="3"/>
            <c:bubble3D val="false"/>
          </c:dPt>
          <c:dLbls>
            <c:dLbl>
              <c:idx val="0"/>
              <c:layout/>
              <c:tx>
                <c:rich>
                  <a:bodyPr rot="0" spcFirstLastPara="0" vertOverflow="ellipsis" vert="horz" wrap="square" lIns="38100" tIns="19050" rIns="38100" bIns="19050" anchor="ctr" anchorCtr="true"/>
                  <a:lstStyle/>
                  <a:p>
                    <a:pPr defTabSz="914400">
                      <a:defRPr lang="zh-CN" sz="1000" b="0" i="0" u="none" strike="noStrike" kern="1200" baseline="0">
                        <a:solidFill>
                          <a:schemeClr val="tx1"/>
                        </a:solidFill>
                        <a:latin typeface="+mn-lt"/>
                        <a:ea typeface="+mn-ea"/>
                        <a:cs typeface="+mn-cs"/>
                      </a:defRPr>
                    </a:pPr>
                    <a:r>
                      <a:t>3625.7</a:t>
                    </a:r>
                    <a:r>
                      <a:rPr lang="en-US" altLang="zh-CN"/>
                      <a:t>1</a:t>
                    </a:r>
                    <a:endParaRPr lang="en-US" altLang="zh-CN"/>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公共安全支出（类）</c:v>
                </c:pt>
                <c:pt idx="1">
                  <c:v>社会保障和就业支出（类）</c:v>
                </c:pt>
                <c:pt idx="2">
                  <c:v>卫生健康支出（类）</c:v>
                </c:pt>
                <c:pt idx="3">
                  <c:v>住房保障支出（类）</c:v>
                </c:pt>
              </c:strCache>
            </c:strRef>
          </c:cat>
          <c:val>
            <c:numRef>
              <c:f>Sheet1!$B$2:$B$5</c:f>
              <c:numCache>
                <c:formatCode>General</c:formatCode>
                <c:ptCount val="4"/>
                <c:pt idx="0">
                  <c:v>3625.72</c:v>
                </c:pt>
                <c:pt idx="1">
                  <c:v>164.51</c:v>
                </c:pt>
                <c:pt idx="2">
                  <c:v>87.9</c:v>
                </c:pt>
                <c:pt idx="3">
                  <c:v>197.26</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公务用车购置及运行维护费</c:v>
                </c:pt>
                <c:pt idx="1">
                  <c:v>公务接待费支出</c:v>
                </c:pt>
              </c:strCache>
            </c:strRef>
          </c:cat>
          <c:val>
            <c:numRef>
              <c:f>Sheet1!$B$2:$B$3</c:f>
              <c:numCache>
                <c:formatCode>General</c:formatCode>
                <c:ptCount val="2"/>
                <c:pt idx="0">
                  <c:v>96.18</c:v>
                </c:pt>
                <c:pt idx="1">
                  <c:v>2.41</c:v>
                </c:pt>
              </c:numCache>
            </c:numRef>
          </c:val>
        </c:ser>
        <c:dLbls>
          <c:showLegendKey val="false"/>
          <c:showVal val="tru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63</Pages>
  <Words>25614</Words>
  <Characters>7066</Characters>
  <Lines>58</Lines>
  <Paragraphs>65</Paragraphs>
  <TotalTime>19</TotalTime>
  <ScaleCrop>false</ScaleCrop>
  <LinksUpToDate>false</LinksUpToDate>
  <CharactersWithSpaces>32615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 </cp:lastModifiedBy>
  <cp:lastPrinted>2023-08-03T18:35:00Z</cp:lastPrinted>
  <dcterms:modified xsi:type="dcterms:W3CDTF">2023-11-27T16:37:41Z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