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hd w:val="clear"/>
        <w:kinsoku/>
        <w:wordWrap/>
        <w:overflowPunct/>
        <w:topLinePunct w:val="0"/>
        <w:autoSpaceDE/>
        <w:autoSpaceDN/>
        <w:bidi w:val="0"/>
        <w:adjustRightInd/>
        <w:snapToGrid/>
        <w:spacing w:line="576" w:lineRule="exact"/>
        <w:jc w:val="center"/>
        <w:textAlignment w:val="auto"/>
        <w:rPr>
          <w:rFonts w:hint="eastAsia" w:ascii="方正大标宋简体" w:hAnsi="方正大标宋简体" w:eastAsia="方正大标宋简体" w:cs="方正大标宋简体"/>
          <w:sz w:val="44"/>
          <w:szCs w:val="44"/>
          <w:highlight w:val="none"/>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jc w:val="center"/>
        <w:textAlignment w:val="auto"/>
        <w:rPr>
          <w:rFonts w:hint="eastAsia" w:ascii="方正大标宋简体" w:hAnsi="方正大标宋简体" w:eastAsia="方正大标宋简体" w:cs="方正大标宋简体"/>
          <w:sz w:val="44"/>
          <w:szCs w:val="44"/>
          <w:highlight w:val="none"/>
          <w:lang w:val="en-US" w:eastAsia="zh-CN"/>
        </w:rPr>
      </w:pPr>
      <w:r>
        <w:rPr>
          <w:rFonts w:hint="eastAsia" w:ascii="方正大标宋简体" w:hAnsi="方正大标宋简体" w:eastAsia="方正大标宋简体" w:cs="方正大标宋简体"/>
          <w:sz w:val="44"/>
          <w:szCs w:val="44"/>
          <w:highlight w:val="none"/>
          <w:lang w:val="en-US" w:eastAsia="zh-CN"/>
        </w:rPr>
        <w:t>中共广元市委办公室</w:t>
      </w:r>
    </w:p>
    <w:p>
      <w:pPr>
        <w:keepNext w:val="0"/>
        <w:keepLines w:val="0"/>
        <w:pageBreakBefore w:val="0"/>
        <w:widowControl w:val="0"/>
        <w:shd w:val="clear"/>
        <w:kinsoku/>
        <w:wordWrap/>
        <w:overflowPunct/>
        <w:topLinePunct w:val="0"/>
        <w:autoSpaceDE/>
        <w:autoSpaceDN/>
        <w:bidi w:val="0"/>
        <w:adjustRightInd/>
        <w:snapToGrid/>
        <w:spacing w:line="576" w:lineRule="exact"/>
        <w:jc w:val="center"/>
        <w:textAlignment w:val="auto"/>
        <w:rPr>
          <w:rFonts w:hint="eastAsia" w:ascii="方正大标宋简体" w:hAnsi="方正大标宋简体" w:eastAsia="方正大标宋简体" w:cs="方正大标宋简体"/>
          <w:sz w:val="44"/>
          <w:szCs w:val="44"/>
          <w:highlight w:val="none"/>
          <w:lang w:val="en-US" w:eastAsia="zh-CN"/>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大标宋简体" w:hAnsi="方正大标宋简体" w:eastAsia="方正大标宋简体" w:cs="方正大标宋简体"/>
          <w:sz w:val="44"/>
          <w:szCs w:val="44"/>
          <w:highlight w:val="none"/>
          <w:lang w:val="en-US" w:eastAsia="zh-CN"/>
        </w:rPr>
        <w:t>2024年部门预算编制说明</w:t>
      </w:r>
    </w:p>
    <w:sdt>
      <w:sdtPr>
        <w:rPr>
          <w:rFonts w:ascii="宋体" w:hAnsi="宋体" w:eastAsia="宋体" w:cs="Times New Roman"/>
          <w:color w:val="auto"/>
          <w:kern w:val="2"/>
          <w:sz w:val="21"/>
          <w:szCs w:val="24"/>
          <w:lang w:val="en-US" w:eastAsia="zh-CN" w:bidi="ar-SA"/>
        </w:rPr>
        <w:id w:val="147473543"/>
        <w15:color w:val="DBDBDB"/>
        <w:docPartObj>
          <w:docPartGallery w:val="Table of Contents"/>
          <w:docPartUnique/>
        </w:docPartObj>
      </w:sdtPr>
      <w:sdtEndPr>
        <w:rPr>
          <w:rFonts w:hint="eastAsia" w:ascii="Times New Roman" w:hAnsi="Times New Roman" w:eastAsia="宋体" w:cs="Times New Roman"/>
          <w:b/>
          <w:color w:val="auto"/>
          <w:kern w:val="2"/>
          <w:sz w:val="21"/>
          <w:szCs w:val="24"/>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7"/>
            <w:tabs>
              <w:tab w:val="right" w:leader="dot" w:pos="8845"/>
            </w:tabs>
            <w:spacing w:line="360" w:lineRule="auto"/>
            <w:rPr>
              <w:b/>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b/>
              <w:lang w:val="en-US" w:eastAsia="zh-CN"/>
            </w:rPr>
            <w:fldChar w:fldCharType="begin"/>
          </w:r>
          <w:r>
            <w:rPr>
              <w:rFonts w:hint="eastAsia"/>
              <w:b/>
              <w:lang w:val="en-US" w:eastAsia="zh-CN"/>
            </w:rPr>
            <w:instrText xml:space="preserve"> HYPERLINK \l _Toc6229 </w:instrText>
          </w:r>
          <w:r>
            <w:rPr>
              <w:rFonts w:hint="eastAsia"/>
              <w:b/>
              <w:lang w:val="en-US" w:eastAsia="zh-CN"/>
            </w:rPr>
            <w:fldChar w:fldCharType="separate"/>
          </w:r>
          <w:r>
            <w:rPr>
              <w:rFonts w:hint="eastAsia" w:ascii="黑体" w:hAnsi="黑体" w:eastAsia="黑体" w:cs="黑体"/>
              <w:b/>
              <w:szCs w:val="32"/>
              <w:highlight w:val="none"/>
              <w:lang w:val="en-US" w:eastAsia="zh-CN"/>
            </w:rPr>
            <w:t>一、基本职能及主要工作</w:t>
          </w:r>
          <w:r>
            <w:rPr>
              <w:b/>
            </w:rPr>
            <w:tab/>
          </w:r>
          <w:r>
            <w:rPr>
              <w:b/>
            </w:rPr>
            <w:fldChar w:fldCharType="begin"/>
          </w:r>
          <w:r>
            <w:rPr>
              <w:b/>
            </w:rPr>
            <w:instrText xml:space="preserve"> PAGEREF _Toc6229 \h </w:instrText>
          </w:r>
          <w:r>
            <w:rPr>
              <w:b/>
            </w:rPr>
            <w:fldChar w:fldCharType="separate"/>
          </w:r>
          <w:r>
            <w:rPr>
              <w:b/>
            </w:rPr>
            <w:t>3</w:t>
          </w:r>
          <w:r>
            <w:rPr>
              <w:b/>
            </w:rPr>
            <w:fldChar w:fldCharType="end"/>
          </w:r>
          <w:r>
            <w:rPr>
              <w:rFonts w:hint="eastAsia"/>
              <w:b/>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_Toc22707 </w:instrText>
          </w:r>
          <w:r>
            <w:rPr>
              <w:rFonts w:hint="eastAsia"/>
              <w:lang w:val="en-US" w:eastAsia="zh-CN"/>
            </w:rPr>
            <w:fldChar w:fldCharType="separate"/>
          </w:r>
          <w:r>
            <w:rPr>
              <w:rFonts w:hint="eastAsia" w:ascii="楷体_GB2312" w:hAnsi="楷体_GB2312" w:eastAsia="楷体_GB2312" w:cs="楷体_GB2312"/>
              <w:szCs w:val="32"/>
              <w:highlight w:val="none"/>
            </w:rPr>
            <w:t>（一）</w:t>
          </w:r>
          <w:r>
            <w:rPr>
              <w:rFonts w:hint="eastAsia" w:ascii="仿宋_GB2312" w:hAnsi="仿宋_GB2312" w:eastAsia="仿宋_GB2312" w:cs="仿宋_GB2312"/>
              <w:szCs w:val="32"/>
              <w:highlight w:val="none"/>
              <w:lang w:eastAsia="zh-CN"/>
            </w:rPr>
            <w:t>市委办公室</w:t>
          </w:r>
          <w:r>
            <w:rPr>
              <w:rFonts w:hint="eastAsia" w:ascii="仿宋_GB2312" w:hAnsi="仿宋_GB2312" w:eastAsia="仿宋_GB2312" w:cs="仿宋_GB2312"/>
              <w:szCs w:val="32"/>
              <w:highlight w:val="none"/>
              <w:lang w:val="en-US" w:eastAsia="zh-CN"/>
            </w:rPr>
            <w:t>单位</w:t>
          </w:r>
          <w:r>
            <w:rPr>
              <w:rFonts w:hint="eastAsia" w:ascii="仿宋_GB2312" w:hAnsi="仿宋_GB2312" w:eastAsia="仿宋_GB2312" w:cs="仿宋_GB2312"/>
              <w:szCs w:val="32"/>
              <w:highlight w:val="none"/>
              <w:lang w:eastAsia="zh-CN"/>
            </w:rPr>
            <w:t>职能简介</w:t>
          </w:r>
          <w:r>
            <w:tab/>
          </w:r>
          <w:r>
            <w:fldChar w:fldCharType="begin"/>
          </w:r>
          <w:r>
            <w:instrText xml:space="preserve"> PAGEREF _Toc22707 \h </w:instrText>
          </w:r>
          <w:r>
            <w:fldChar w:fldCharType="separate"/>
          </w:r>
          <w:r>
            <w:t>3</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_Toc27927 </w:instrText>
          </w:r>
          <w:r>
            <w:rPr>
              <w:rFonts w:hint="eastAsia"/>
              <w:lang w:val="en-US" w:eastAsia="zh-CN"/>
            </w:rPr>
            <w:fldChar w:fldCharType="separate"/>
          </w:r>
          <w:r>
            <w:rPr>
              <w:rFonts w:hint="eastAsia" w:ascii="楷体_GB2312" w:hAnsi="楷体_GB2312" w:eastAsia="楷体_GB2312" w:cs="楷体_GB2312"/>
              <w:szCs w:val="32"/>
              <w:highlight w:val="none"/>
            </w:rPr>
            <w:t>（二）</w:t>
          </w:r>
          <w:r>
            <w:rPr>
              <w:rFonts w:hint="eastAsia" w:ascii="仿宋_GB2312" w:hAnsi="仿宋_GB2312" w:eastAsia="仿宋_GB2312" w:cs="仿宋_GB2312"/>
              <w:szCs w:val="32"/>
              <w:highlight w:val="none"/>
              <w:lang w:eastAsia="zh-CN"/>
            </w:rPr>
            <w:t>市委办公室</w:t>
          </w:r>
          <w:r>
            <w:rPr>
              <w:rFonts w:hint="eastAsia" w:ascii="仿宋_GB2312" w:hAnsi="仿宋_GB2312" w:eastAsia="仿宋_GB2312" w:cs="仿宋_GB2312"/>
              <w:szCs w:val="32"/>
              <w:highlight w:val="none"/>
              <w:lang w:val="en-US" w:eastAsia="zh-CN"/>
            </w:rPr>
            <w:t>2024</w:t>
          </w:r>
          <w:r>
            <w:rPr>
              <w:rFonts w:hint="eastAsia" w:ascii="仿宋_GB2312" w:hAnsi="仿宋_GB2312" w:eastAsia="仿宋_GB2312" w:cs="仿宋_GB2312"/>
              <w:szCs w:val="32"/>
              <w:highlight w:val="none"/>
              <w:lang w:eastAsia="zh-CN"/>
            </w:rPr>
            <w:t>年重点工作</w:t>
          </w:r>
          <w:r>
            <w:tab/>
          </w:r>
          <w:r>
            <w:fldChar w:fldCharType="begin"/>
          </w:r>
          <w:r>
            <w:instrText xml:space="preserve"> PAGEREF _Toc27927 \h </w:instrText>
          </w:r>
          <w:r>
            <w:fldChar w:fldCharType="separate"/>
          </w:r>
          <w:r>
            <w:t>5</w:t>
          </w:r>
          <w:r>
            <w:fldChar w:fldCharType="end"/>
          </w:r>
          <w:r>
            <w:rPr>
              <w:rFonts w:hint="eastAsia"/>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_Toc9384 </w:instrText>
          </w:r>
          <w:r>
            <w:rPr>
              <w:rFonts w:hint="eastAsia"/>
              <w:b/>
              <w:lang w:val="en-US" w:eastAsia="zh-CN"/>
            </w:rPr>
            <w:fldChar w:fldCharType="separate"/>
          </w:r>
          <w:r>
            <w:rPr>
              <w:rFonts w:hint="eastAsia" w:ascii="黑体" w:hAnsi="黑体" w:eastAsia="黑体" w:cs="黑体"/>
              <w:b/>
              <w:szCs w:val="32"/>
              <w:lang w:val="en-US" w:eastAsia="zh-CN"/>
            </w:rPr>
            <w:t xml:space="preserve">二、 </w:t>
          </w:r>
          <w:r>
            <w:rPr>
              <w:rFonts w:hint="eastAsia" w:ascii="黑体" w:hAnsi="黑体" w:eastAsia="黑体" w:cs="黑体"/>
              <w:b/>
              <w:szCs w:val="32"/>
              <w:highlight w:val="none"/>
              <w:lang w:val="en-US" w:eastAsia="zh-CN"/>
            </w:rPr>
            <w:t>部门预算单位构成</w:t>
          </w:r>
          <w:r>
            <w:rPr>
              <w:b/>
            </w:rPr>
            <w:tab/>
          </w:r>
          <w:r>
            <w:rPr>
              <w:b/>
            </w:rPr>
            <w:fldChar w:fldCharType="begin"/>
          </w:r>
          <w:r>
            <w:rPr>
              <w:b/>
            </w:rPr>
            <w:instrText xml:space="preserve"> PAGEREF _Toc9384 \h </w:instrText>
          </w:r>
          <w:r>
            <w:rPr>
              <w:b/>
            </w:rPr>
            <w:fldChar w:fldCharType="separate"/>
          </w:r>
          <w:r>
            <w:rPr>
              <w:b/>
            </w:rPr>
            <w:t>8</w:t>
          </w:r>
          <w:r>
            <w:rPr>
              <w:b/>
            </w:rPr>
            <w:fldChar w:fldCharType="end"/>
          </w:r>
          <w:r>
            <w:rPr>
              <w:rFonts w:hint="eastAsia"/>
              <w:b/>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_Toc44 </w:instrText>
          </w:r>
          <w:r>
            <w:rPr>
              <w:rFonts w:hint="eastAsia"/>
              <w:b/>
              <w:lang w:val="en-US" w:eastAsia="zh-CN"/>
            </w:rPr>
            <w:fldChar w:fldCharType="separate"/>
          </w:r>
          <w:r>
            <w:rPr>
              <w:rFonts w:hint="eastAsia" w:ascii="黑体" w:hAnsi="黑体" w:eastAsia="黑体" w:cs="黑体"/>
              <w:b/>
              <w:szCs w:val="32"/>
              <w:highlight w:val="none"/>
              <w:lang w:val="en-US" w:eastAsia="zh-CN"/>
            </w:rPr>
            <w:t>三、收支预算情况说明</w:t>
          </w:r>
          <w:r>
            <w:rPr>
              <w:b/>
            </w:rPr>
            <w:tab/>
          </w:r>
          <w:r>
            <w:rPr>
              <w:b/>
            </w:rPr>
            <w:fldChar w:fldCharType="begin"/>
          </w:r>
          <w:r>
            <w:rPr>
              <w:b/>
            </w:rPr>
            <w:instrText xml:space="preserve"> PAGEREF _Toc44 \h </w:instrText>
          </w:r>
          <w:r>
            <w:rPr>
              <w:b/>
            </w:rPr>
            <w:fldChar w:fldCharType="separate"/>
          </w:r>
          <w:r>
            <w:rPr>
              <w:b/>
            </w:rPr>
            <w:t>8</w:t>
          </w:r>
          <w:r>
            <w:rPr>
              <w:b/>
            </w:rPr>
            <w:fldChar w:fldCharType="end"/>
          </w:r>
          <w:r>
            <w:rPr>
              <w:rFonts w:hint="eastAsia"/>
              <w:b/>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_Toc1449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（一）收入预算情况</w:t>
          </w:r>
          <w:r>
            <w:tab/>
          </w:r>
          <w:r>
            <w:fldChar w:fldCharType="begin"/>
          </w:r>
          <w:r>
            <w:instrText xml:space="preserve"> PAGEREF _Toc1449 \h </w:instrText>
          </w:r>
          <w:r>
            <w:fldChar w:fldCharType="separate"/>
          </w:r>
          <w:r>
            <w:t>8</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_Toc4360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（二）支出预算情况</w:t>
          </w:r>
          <w:r>
            <w:tab/>
          </w:r>
          <w:r>
            <w:fldChar w:fldCharType="begin"/>
          </w:r>
          <w:r>
            <w:instrText xml:space="preserve"> PAGEREF _Toc4360 \h </w:instrText>
          </w:r>
          <w:r>
            <w:fldChar w:fldCharType="separate"/>
          </w:r>
          <w:r>
            <w:t>9</w:t>
          </w:r>
          <w:r>
            <w:fldChar w:fldCharType="end"/>
          </w:r>
          <w:r>
            <w:rPr>
              <w:rFonts w:hint="eastAsia"/>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_Toc12182 </w:instrText>
          </w:r>
          <w:r>
            <w:rPr>
              <w:rFonts w:hint="eastAsia"/>
              <w:b/>
              <w:lang w:val="en-US" w:eastAsia="zh-CN"/>
            </w:rPr>
            <w:fldChar w:fldCharType="separate"/>
          </w:r>
          <w:r>
            <w:rPr>
              <w:rFonts w:hint="eastAsia" w:ascii="黑体" w:hAnsi="黑体" w:eastAsia="黑体" w:cs="黑体"/>
              <w:b/>
              <w:szCs w:val="32"/>
              <w:highlight w:val="none"/>
              <w:lang w:val="en-US" w:eastAsia="zh-CN"/>
            </w:rPr>
            <w:t>四、财政拨款收支预算情况说明</w:t>
          </w:r>
          <w:r>
            <w:rPr>
              <w:b/>
            </w:rPr>
            <w:tab/>
          </w:r>
          <w:r>
            <w:rPr>
              <w:b/>
            </w:rPr>
            <w:fldChar w:fldCharType="begin"/>
          </w:r>
          <w:r>
            <w:rPr>
              <w:b/>
            </w:rPr>
            <w:instrText xml:space="preserve"> PAGEREF _Toc12182 \h </w:instrText>
          </w:r>
          <w:r>
            <w:rPr>
              <w:b/>
            </w:rPr>
            <w:fldChar w:fldCharType="separate"/>
          </w:r>
          <w:r>
            <w:rPr>
              <w:b/>
            </w:rPr>
            <w:t>9</w:t>
          </w:r>
          <w:r>
            <w:rPr>
              <w:b/>
            </w:rPr>
            <w:fldChar w:fldCharType="end"/>
          </w:r>
          <w:r>
            <w:rPr>
              <w:rFonts w:hint="eastAsia"/>
              <w:b/>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_Toc5468 </w:instrText>
          </w:r>
          <w:r>
            <w:rPr>
              <w:rFonts w:hint="eastAsia"/>
              <w:b/>
              <w:lang w:val="en-US" w:eastAsia="zh-CN"/>
            </w:rPr>
            <w:fldChar w:fldCharType="separate"/>
          </w:r>
          <w:r>
            <w:rPr>
              <w:rFonts w:hint="eastAsia" w:ascii="黑体" w:hAnsi="黑体" w:eastAsia="黑体" w:cs="黑体"/>
              <w:b/>
              <w:szCs w:val="32"/>
              <w:highlight w:val="none"/>
              <w:lang w:val="en-US" w:eastAsia="zh-CN"/>
            </w:rPr>
            <w:t>五、一般公共预算当年拨款情况说明</w:t>
          </w:r>
          <w:r>
            <w:rPr>
              <w:b/>
            </w:rPr>
            <w:tab/>
          </w:r>
          <w:r>
            <w:rPr>
              <w:b/>
            </w:rPr>
            <w:fldChar w:fldCharType="begin"/>
          </w:r>
          <w:r>
            <w:rPr>
              <w:b/>
            </w:rPr>
            <w:instrText xml:space="preserve"> PAGEREF _Toc5468 \h </w:instrText>
          </w:r>
          <w:r>
            <w:rPr>
              <w:b/>
            </w:rPr>
            <w:fldChar w:fldCharType="separate"/>
          </w:r>
          <w:r>
            <w:rPr>
              <w:b/>
            </w:rPr>
            <w:t>9</w:t>
          </w:r>
          <w:r>
            <w:rPr>
              <w:b/>
            </w:rPr>
            <w:fldChar w:fldCharType="end"/>
          </w:r>
          <w:r>
            <w:rPr>
              <w:rFonts w:hint="eastAsia"/>
              <w:b/>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_Toc21861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（一）一般公共预算当年拨款规模变化情况</w:t>
          </w:r>
          <w:r>
            <w:tab/>
          </w:r>
          <w:r>
            <w:fldChar w:fldCharType="begin"/>
          </w:r>
          <w:r>
            <w:instrText xml:space="preserve"> PAGEREF _Toc21861 \h </w:instrText>
          </w:r>
          <w:r>
            <w:fldChar w:fldCharType="separate"/>
          </w:r>
          <w:r>
            <w:t>9</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_Toc24619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（二）一般公共预算当年拨款结构情况</w:t>
          </w:r>
          <w:r>
            <w:tab/>
          </w:r>
          <w:r>
            <w:fldChar w:fldCharType="begin"/>
          </w:r>
          <w:r>
            <w:instrText xml:space="preserve"> PAGEREF _Toc24619 \h </w:instrText>
          </w:r>
          <w:r>
            <w:fldChar w:fldCharType="separate"/>
          </w:r>
          <w:r>
            <w:t>9</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_Toc17003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（三）一般公共预算当年拨款具体使用情况</w:t>
          </w:r>
          <w:r>
            <w:tab/>
          </w:r>
          <w:r>
            <w:fldChar w:fldCharType="begin"/>
          </w:r>
          <w:r>
            <w:instrText xml:space="preserve"> PAGEREF _Toc17003 \h </w:instrText>
          </w:r>
          <w:r>
            <w:fldChar w:fldCharType="separate"/>
          </w:r>
          <w:r>
            <w:t>9</w:t>
          </w:r>
          <w:r>
            <w:fldChar w:fldCharType="end"/>
          </w:r>
          <w:r>
            <w:rPr>
              <w:rFonts w:hint="eastAsia"/>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_Toc10851 </w:instrText>
          </w:r>
          <w:r>
            <w:rPr>
              <w:rFonts w:hint="eastAsia"/>
              <w:b/>
              <w:lang w:val="en-US" w:eastAsia="zh-CN"/>
            </w:rPr>
            <w:fldChar w:fldCharType="separate"/>
          </w:r>
          <w:r>
            <w:rPr>
              <w:rFonts w:hint="eastAsia" w:ascii="黑体" w:hAnsi="黑体" w:eastAsia="黑体" w:cs="黑体"/>
              <w:b/>
              <w:szCs w:val="32"/>
              <w:highlight w:val="none"/>
              <w:lang w:val="en-US" w:eastAsia="zh-CN"/>
            </w:rPr>
            <w:t>六、一般公共预算基本支出情况说明</w:t>
          </w:r>
          <w:r>
            <w:rPr>
              <w:b/>
            </w:rPr>
            <w:tab/>
          </w:r>
          <w:r>
            <w:rPr>
              <w:b/>
            </w:rPr>
            <w:fldChar w:fldCharType="begin"/>
          </w:r>
          <w:r>
            <w:rPr>
              <w:b/>
            </w:rPr>
            <w:instrText xml:space="preserve"> PAGEREF _Toc10851 \h </w:instrText>
          </w:r>
          <w:r>
            <w:rPr>
              <w:b/>
            </w:rPr>
            <w:fldChar w:fldCharType="separate"/>
          </w:r>
          <w:r>
            <w:rPr>
              <w:b/>
            </w:rPr>
            <w:t>10</w:t>
          </w:r>
          <w:r>
            <w:rPr>
              <w:b/>
            </w:rPr>
            <w:fldChar w:fldCharType="end"/>
          </w:r>
          <w:r>
            <w:rPr>
              <w:rFonts w:hint="eastAsia"/>
              <w:b/>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_Toc17155 </w:instrText>
          </w:r>
          <w:r>
            <w:rPr>
              <w:rFonts w:hint="eastAsia"/>
              <w:b/>
              <w:lang w:val="en-US" w:eastAsia="zh-CN"/>
            </w:rPr>
            <w:fldChar w:fldCharType="separate"/>
          </w:r>
          <w:r>
            <w:rPr>
              <w:rFonts w:hint="eastAsia" w:ascii="黑体" w:hAnsi="黑体" w:eastAsia="黑体" w:cs="黑体"/>
              <w:b/>
              <w:szCs w:val="32"/>
              <w:highlight w:val="none"/>
              <w:lang w:val="en-US" w:eastAsia="zh-CN"/>
            </w:rPr>
            <w:t>七、“三公”经费财政拨款预算安排情况说明</w:t>
          </w:r>
          <w:r>
            <w:rPr>
              <w:b/>
            </w:rPr>
            <w:tab/>
          </w:r>
          <w:r>
            <w:rPr>
              <w:b/>
            </w:rPr>
            <w:fldChar w:fldCharType="begin"/>
          </w:r>
          <w:r>
            <w:rPr>
              <w:b/>
            </w:rPr>
            <w:instrText xml:space="preserve"> PAGEREF _Toc17155 \h </w:instrText>
          </w:r>
          <w:r>
            <w:rPr>
              <w:b/>
            </w:rPr>
            <w:fldChar w:fldCharType="separate"/>
          </w:r>
          <w:r>
            <w:rPr>
              <w:b/>
            </w:rPr>
            <w:t>11</w:t>
          </w:r>
          <w:r>
            <w:rPr>
              <w:b/>
            </w:rPr>
            <w:fldChar w:fldCharType="end"/>
          </w:r>
          <w:r>
            <w:rPr>
              <w:rFonts w:hint="eastAsia"/>
              <w:b/>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_Toc20855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（一）公务接待费</w:t>
          </w:r>
          <w:r>
            <w:tab/>
          </w:r>
          <w:r>
            <w:fldChar w:fldCharType="begin"/>
          </w:r>
          <w:r>
            <w:instrText xml:space="preserve"> PAGEREF _Toc20855 \h </w:instrText>
          </w:r>
          <w:r>
            <w:fldChar w:fldCharType="separate"/>
          </w:r>
          <w:r>
            <w:t>11</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_Toc32594 </w:instrText>
          </w:r>
          <w:r>
            <w:rPr>
              <w:rFonts w:hint="eastAsia"/>
              <w:lang w:val="en-US" w:eastAsia="zh-CN"/>
            </w:rPr>
            <w:fldChar w:fldCharType="separate"/>
          </w:r>
          <w:r>
            <w:rPr>
              <w:rFonts w:hint="eastAsia" w:ascii="楷体_GB2312" w:hAnsi="楷体_GB2312" w:eastAsia="楷体_GB2312" w:cs="楷体_GB2312"/>
              <w:szCs w:val="32"/>
              <w:lang w:val="en-US" w:eastAsia="zh-CN"/>
            </w:rPr>
            <w:t xml:space="preserve">（二） </w:t>
          </w:r>
          <w:r>
            <w:rPr>
              <w:rFonts w:hint="eastAsia" w:ascii="楷体_GB2312" w:hAnsi="楷体_GB2312" w:eastAsia="楷体_GB2312" w:cs="楷体_GB2312"/>
              <w:szCs w:val="32"/>
              <w:highlight w:val="none"/>
              <w:lang w:val="en-US" w:eastAsia="zh-CN"/>
            </w:rPr>
            <w:t>公务用车购置及运行维护费</w:t>
          </w:r>
          <w:r>
            <w:tab/>
          </w:r>
          <w:r>
            <w:fldChar w:fldCharType="begin"/>
          </w:r>
          <w:r>
            <w:instrText xml:space="preserve"> PAGEREF _Toc32594 \h </w:instrText>
          </w:r>
          <w:r>
            <w:fldChar w:fldCharType="separate"/>
          </w:r>
          <w:r>
            <w:t>11</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_Toc907 </w:instrText>
          </w:r>
          <w:r>
            <w:rPr>
              <w:rFonts w:hint="eastAsia"/>
              <w:lang w:val="en-US" w:eastAsia="zh-CN"/>
            </w:rPr>
            <w:fldChar w:fldCharType="separate"/>
          </w:r>
          <w:r>
            <w:rPr>
              <w:rFonts w:hint="eastAsia" w:ascii="仿宋_GB2312" w:hAnsi="仿宋_GB2312" w:eastAsia="仿宋_GB2312" w:cs="仿宋_GB2312"/>
              <w:szCs w:val="32"/>
              <w:highlight w:val="none"/>
              <w:lang w:val="en-US" w:eastAsia="zh-CN"/>
            </w:rPr>
            <w:t>（</w:t>
          </w:r>
          <w:r>
            <w:rPr>
              <w:rFonts w:hint="eastAsia" w:ascii="楷体_GB2312" w:hAnsi="楷体_GB2312" w:eastAsia="楷体_GB2312" w:cs="楷体_GB2312"/>
              <w:szCs w:val="32"/>
              <w:highlight w:val="none"/>
              <w:lang w:val="en-US" w:eastAsia="zh-CN"/>
            </w:rPr>
            <w:t>三）因公出国（境）经费</w:t>
          </w:r>
          <w:r>
            <w:tab/>
          </w:r>
          <w:r>
            <w:fldChar w:fldCharType="begin"/>
          </w:r>
          <w:r>
            <w:instrText xml:space="preserve"> PAGEREF _Toc907 \h </w:instrText>
          </w:r>
          <w:r>
            <w:fldChar w:fldCharType="separate"/>
          </w:r>
          <w:r>
            <w:t>12</w:t>
          </w:r>
          <w:r>
            <w:fldChar w:fldCharType="end"/>
          </w:r>
          <w:r>
            <w:rPr>
              <w:rFonts w:hint="eastAsia"/>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_Toc16692 </w:instrText>
          </w:r>
          <w:r>
            <w:rPr>
              <w:rFonts w:hint="eastAsia"/>
              <w:b/>
              <w:lang w:val="en-US" w:eastAsia="zh-CN"/>
            </w:rPr>
            <w:fldChar w:fldCharType="separate"/>
          </w:r>
          <w:r>
            <w:rPr>
              <w:rFonts w:hint="eastAsia" w:ascii="黑体" w:hAnsi="黑体" w:eastAsia="黑体" w:cs="黑体"/>
              <w:b/>
              <w:szCs w:val="32"/>
              <w:highlight w:val="none"/>
              <w:lang w:val="en-US" w:eastAsia="zh-CN"/>
            </w:rPr>
            <w:t>八、政府性基金预算支出情况说明</w:t>
          </w:r>
          <w:r>
            <w:rPr>
              <w:b/>
            </w:rPr>
            <w:tab/>
          </w:r>
          <w:r>
            <w:rPr>
              <w:b/>
            </w:rPr>
            <w:fldChar w:fldCharType="begin"/>
          </w:r>
          <w:r>
            <w:rPr>
              <w:b/>
            </w:rPr>
            <w:instrText xml:space="preserve"> PAGEREF _Toc16692 \h </w:instrText>
          </w:r>
          <w:r>
            <w:rPr>
              <w:b/>
            </w:rPr>
            <w:fldChar w:fldCharType="separate"/>
          </w:r>
          <w:r>
            <w:rPr>
              <w:b/>
            </w:rPr>
            <w:t>12</w:t>
          </w:r>
          <w:r>
            <w:rPr>
              <w:b/>
            </w:rPr>
            <w:fldChar w:fldCharType="end"/>
          </w:r>
          <w:r>
            <w:rPr>
              <w:rFonts w:hint="eastAsia"/>
              <w:b/>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_Toc3628 </w:instrText>
          </w:r>
          <w:r>
            <w:rPr>
              <w:rFonts w:hint="eastAsia"/>
              <w:b/>
              <w:lang w:val="en-US" w:eastAsia="zh-CN"/>
            </w:rPr>
            <w:fldChar w:fldCharType="separate"/>
          </w:r>
          <w:r>
            <w:rPr>
              <w:rFonts w:hint="eastAsia" w:ascii="黑体" w:hAnsi="黑体" w:eastAsia="黑体" w:cs="黑体"/>
              <w:b/>
              <w:szCs w:val="32"/>
              <w:highlight w:val="none"/>
              <w:lang w:val="en-US" w:eastAsia="zh-CN"/>
            </w:rPr>
            <w:t>九、国有资本经营预算支出情况说明</w:t>
          </w:r>
          <w:r>
            <w:rPr>
              <w:b/>
            </w:rPr>
            <w:tab/>
          </w:r>
          <w:r>
            <w:rPr>
              <w:b/>
            </w:rPr>
            <w:fldChar w:fldCharType="begin"/>
          </w:r>
          <w:r>
            <w:rPr>
              <w:b/>
            </w:rPr>
            <w:instrText xml:space="preserve"> PAGEREF _Toc3628 \h </w:instrText>
          </w:r>
          <w:r>
            <w:rPr>
              <w:b/>
            </w:rPr>
            <w:fldChar w:fldCharType="separate"/>
          </w:r>
          <w:r>
            <w:rPr>
              <w:b/>
            </w:rPr>
            <w:t>12</w:t>
          </w:r>
          <w:r>
            <w:rPr>
              <w:b/>
            </w:rPr>
            <w:fldChar w:fldCharType="end"/>
          </w:r>
          <w:r>
            <w:rPr>
              <w:rFonts w:hint="eastAsia"/>
              <w:b/>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_Toc9885 </w:instrText>
          </w:r>
          <w:r>
            <w:rPr>
              <w:rFonts w:hint="eastAsia"/>
              <w:b/>
              <w:lang w:val="en-US" w:eastAsia="zh-CN"/>
            </w:rPr>
            <w:fldChar w:fldCharType="separate"/>
          </w:r>
          <w:r>
            <w:rPr>
              <w:rFonts w:hint="eastAsia" w:ascii="黑体" w:hAnsi="黑体" w:eastAsia="黑体" w:cs="黑体"/>
              <w:b/>
              <w:szCs w:val="32"/>
              <w:highlight w:val="none"/>
              <w:lang w:val="en-US" w:eastAsia="zh-CN"/>
            </w:rPr>
            <w:t>十、其他重要事项的情况说明</w:t>
          </w:r>
          <w:r>
            <w:rPr>
              <w:b/>
            </w:rPr>
            <w:tab/>
          </w:r>
          <w:r>
            <w:rPr>
              <w:b/>
            </w:rPr>
            <w:fldChar w:fldCharType="begin"/>
          </w:r>
          <w:r>
            <w:rPr>
              <w:b/>
            </w:rPr>
            <w:instrText xml:space="preserve"> PAGEREF _Toc9885 \h </w:instrText>
          </w:r>
          <w:r>
            <w:rPr>
              <w:b/>
            </w:rPr>
            <w:fldChar w:fldCharType="separate"/>
          </w:r>
          <w:r>
            <w:rPr>
              <w:b/>
            </w:rPr>
            <w:t>12</w:t>
          </w:r>
          <w:r>
            <w:rPr>
              <w:b/>
            </w:rPr>
            <w:fldChar w:fldCharType="end"/>
          </w:r>
          <w:r>
            <w:rPr>
              <w:rFonts w:hint="eastAsia"/>
              <w:b/>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_Toc27569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（一）机关运行经费</w:t>
          </w:r>
          <w:r>
            <w:tab/>
          </w:r>
          <w:r>
            <w:fldChar w:fldCharType="begin"/>
          </w:r>
          <w:r>
            <w:instrText xml:space="preserve"> PAGEREF _Toc27569 \h </w:instrText>
          </w:r>
          <w:r>
            <w:fldChar w:fldCharType="separate"/>
          </w:r>
          <w:r>
            <w:t>12</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_Toc3054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（二）政府采购情况</w:t>
          </w:r>
          <w:r>
            <w:tab/>
          </w:r>
          <w:r>
            <w:fldChar w:fldCharType="begin"/>
          </w:r>
          <w:r>
            <w:instrText xml:space="preserve"> PAGEREF _Toc3054 \h </w:instrText>
          </w:r>
          <w:r>
            <w:fldChar w:fldCharType="separate"/>
          </w:r>
          <w:r>
            <w:t>13</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_Toc19638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（三）国有资产占有使用情况</w:t>
          </w:r>
          <w:r>
            <w:tab/>
          </w:r>
          <w:r>
            <w:fldChar w:fldCharType="begin"/>
          </w:r>
          <w:r>
            <w:instrText xml:space="preserve"> PAGEREF _Toc19638 \h </w:instrText>
          </w:r>
          <w:r>
            <w:fldChar w:fldCharType="separate"/>
          </w:r>
          <w:r>
            <w:t>13</w:t>
          </w:r>
          <w:r>
            <w:fldChar w:fldCharType="end"/>
          </w:r>
          <w:r>
            <w:rPr>
              <w:rFonts w:hint="eastAsia"/>
              <w:lang w:val="en-US" w:eastAsia="zh-CN"/>
            </w:rPr>
            <w:fldChar w:fldCharType="end"/>
          </w:r>
        </w:p>
        <w:p>
          <w:pPr>
            <w:pStyle w:val="18"/>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_Toc5652 </w:instrText>
          </w:r>
          <w:r>
            <w:rPr>
              <w:rFonts w:hint="eastAsia"/>
              <w:lang w:val="en-US" w:eastAsia="zh-CN"/>
            </w:rPr>
            <w:fldChar w:fldCharType="separate"/>
          </w:r>
          <w:r>
            <w:rPr>
              <w:rFonts w:hint="eastAsia" w:ascii="楷体_GB2312" w:hAnsi="楷体_GB2312" w:eastAsia="楷体_GB2312" w:cs="楷体_GB2312"/>
              <w:szCs w:val="32"/>
              <w:highlight w:val="none"/>
              <w:lang w:val="en-US" w:eastAsia="zh-CN"/>
            </w:rPr>
            <w:t>（四）绩效目标设置情况</w:t>
          </w:r>
          <w:r>
            <w:tab/>
          </w:r>
          <w:r>
            <w:fldChar w:fldCharType="begin"/>
          </w:r>
          <w:r>
            <w:instrText xml:space="preserve"> PAGEREF _Toc5652 \h </w:instrText>
          </w:r>
          <w:r>
            <w:fldChar w:fldCharType="separate"/>
          </w:r>
          <w:r>
            <w:t>13</w:t>
          </w:r>
          <w:r>
            <w:fldChar w:fldCharType="end"/>
          </w:r>
          <w:r>
            <w:rPr>
              <w:rFonts w:hint="eastAsia"/>
              <w:lang w:val="en-US" w:eastAsia="zh-CN"/>
            </w:rPr>
            <w:fldChar w:fldCharType="end"/>
          </w:r>
        </w:p>
        <w:p>
          <w:pPr>
            <w:pStyle w:val="17"/>
            <w:tabs>
              <w:tab w:val="right" w:leader="dot" w:pos="8845"/>
            </w:tabs>
            <w:spacing w:line="360" w:lineRule="auto"/>
            <w:rPr>
              <w:b/>
            </w:rPr>
          </w:pPr>
          <w:r>
            <w:rPr>
              <w:rFonts w:hint="eastAsia"/>
              <w:b/>
              <w:lang w:val="en-US" w:eastAsia="zh-CN"/>
            </w:rPr>
            <w:fldChar w:fldCharType="begin"/>
          </w:r>
          <w:r>
            <w:rPr>
              <w:rFonts w:hint="eastAsia"/>
              <w:b/>
              <w:lang w:val="en-US" w:eastAsia="zh-CN"/>
            </w:rPr>
            <w:instrText xml:space="preserve"> HYPERLINK \l _Toc1611 </w:instrText>
          </w:r>
          <w:r>
            <w:rPr>
              <w:rFonts w:hint="eastAsia"/>
              <w:b/>
              <w:lang w:val="en-US" w:eastAsia="zh-CN"/>
            </w:rPr>
            <w:fldChar w:fldCharType="separate"/>
          </w:r>
          <w:r>
            <w:rPr>
              <w:rFonts w:hint="eastAsia" w:ascii="黑体" w:hAnsi="黑体" w:eastAsia="黑体" w:cs="黑体"/>
              <w:b/>
              <w:szCs w:val="32"/>
              <w:highlight w:val="none"/>
              <w:lang w:val="en-US" w:eastAsia="zh-CN"/>
            </w:rPr>
            <w:t>十一、名词解释</w:t>
          </w:r>
          <w:r>
            <w:rPr>
              <w:b/>
            </w:rPr>
            <w:tab/>
          </w:r>
          <w:r>
            <w:rPr>
              <w:b/>
            </w:rPr>
            <w:fldChar w:fldCharType="begin"/>
          </w:r>
          <w:r>
            <w:rPr>
              <w:b/>
            </w:rPr>
            <w:instrText xml:space="preserve"> PAGEREF _Toc1611 \h </w:instrText>
          </w:r>
          <w:r>
            <w:rPr>
              <w:b/>
            </w:rPr>
            <w:fldChar w:fldCharType="separate"/>
          </w:r>
          <w:r>
            <w:rPr>
              <w:b/>
            </w:rPr>
            <w:t>13</w:t>
          </w:r>
          <w:r>
            <w:rPr>
              <w:b/>
            </w:rPr>
            <w:fldChar w:fldCharType="end"/>
          </w:r>
          <w:r>
            <w:rPr>
              <w:rFonts w:hint="eastAsia"/>
              <w:b/>
              <w:lang w:val="en-US" w:eastAsia="zh-CN"/>
            </w:rPr>
            <w:fldChar w:fldCharType="end"/>
          </w:r>
        </w:p>
        <w:p>
          <w:pPr>
            <w:pStyle w:val="2"/>
            <w:spacing w:line="360" w:lineRule="auto"/>
            <w:ind w:left="0" w:leftChars="0" w:firstLine="0" w:firstLineChars="0"/>
            <w:rPr>
              <w:rFonts w:hint="eastAsia"/>
              <w:lang w:val="en-US" w:eastAsia="zh-CN"/>
            </w:rPr>
            <w:sectPr>
              <w:pgSz w:w="11906" w:h="16838"/>
              <w:pgMar w:top="2098" w:right="1474" w:bottom="1984" w:left="1587" w:header="720" w:footer="1559" w:gutter="0"/>
              <w:pgNumType w:fmt="decimal"/>
              <w:cols w:space="720" w:num="1"/>
              <w:docGrid w:type="lines" w:linePitch="312" w:charSpace="0"/>
            </w:sectPr>
          </w:pPr>
          <w:r>
            <w:rPr>
              <w:rFonts w:hint="eastAsia"/>
              <w:b/>
              <w:lang w:val="en-US" w:eastAsia="zh-CN"/>
            </w:rPr>
            <w:fldChar w:fldCharType="end"/>
          </w:r>
        </w:p>
      </w:sdtContent>
    </w:sdt>
    <w:p>
      <w:pPr>
        <w:pStyle w:val="4"/>
        <w:rPr>
          <w:rFonts w:hint="eastAsia"/>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0" w:name="_Toc6229"/>
      <w:r>
        <w:rPr>
          <w:rFonts w:hint="eastAsia" w:ascii="黑体" w:hAnsi="黑体" w:eastAsia="黑体" w:cs="黑体"/>
          <w:sz w:val="32"/>
          <w:szCs w:val="32"/>
          <w:highlight w:val="none"/>
          <w:lang w:val="en-US" w:eastAsia="zh-CN"/>
        </w:rPr>
        <w:t>一、基本职能及主要工作</w:t>
      </w:r>
      <w:bookmarkEnd w:id="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FF0000"/>
          <w:sz w:val="32"/>
          <w:szCs w:val="32"/>
          <w:highlight w:val="none"/>
        </w:rPr>
      </w:pPr>
      <w:bookmarkStart w:id="1" w:name="_Toc22707"/>
      <w:r>
        <w:rPr>
          <w:rFonts w:hint="eastAsia" w:ascii="楷体_GB2312" w:hAnsi="楷体_GB2312" w:eastAsia="楷体_GB2312" w:cs="楷体_GB2312"/>
          <w:sz w:val="32"/>
          <w:szCs w:val="32"/>
          <w:highlight w:val="none"/>
        </w:rPr>
        <w:t>（一）</w:t>
      </w:r>
      <w:r>
        <w:rPr>
          <w:rFonts w:hint="eastAsia" w:ascii="仿宋_GB2312" w:hAnsi="仿宋_GB2312" w:eastAsia="仿宋_GB2312" w:cs="仿宋_GB2312"/>
          <w:sz w:val="32"/>
          <w:szCs w:val="32"/>
          <w:highlight w:val="none"/>
          <w:lang w:eastAsia="zh-CN"/>
        </w:rPr>
        <w:t>市委办公室</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职能简介</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市委办公室（机关）：负责中央、省委和市委重大决策部署贯彻落实；负责市委会议、重大活动统筹组织工作，统筹安排市四套班子重大公务活动，市委重要文稿的撰写、修改和印制；围绕中央、省委和市委工作部署，搜集信息、反映动态、综合调研；负责市委日常公文的承办工作，负责中央、省委和市委文件的分发、管理等工作；负责市委规范性文件报送省委备案工作，承办全市党内规范性文件备案工作；负责党务公开工作，承担市委党务公开协调小组日常工作；承担市委机关后勤服务保障工作；负责管理市委机关房产、办公设备等固定资产；负责市委机关大院的安全保卫和社会治安综合治理工作；负责市委办公室及财务归口管理部门的财务管理；负责市委日常值班、统筹市委节假日值班；承担市委机关人事劳资工作及离退休人员管理工作；承担市档案局行政管理职能，督促指导和检查全市党史、地方志工作；承担全市党政专用通信规划建设工作。代管市公务服务中心、市委党史研究室，归口管理市委保密机要局、市委目标绩效办。负责党群口日常牵头工作。完成市委交办的其他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市公务服务中心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承担副部（省、军）级以上领导（含曾经担任）来广的服务保障；负责和参与省委、省政府及以上派出的各类巡视、检查、督查（督导、督察）、考察、调研、考核、审计等工作组来广的服务保障；会同有关部门做好中央、国家机关各部委（含各民主党派、工商联等）和省级部门厅级实职领导来广的服务保障；负责外市（州）党政代表团和人大、政协主要领导率队的考察团来广的协调联络和服务保障；负责我市党政代表团赴外地考察的协调联络和服务保障；负责市委</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市政府交办的由市公务服务中心承担的公务服务和招商引资事项的服务保障；负责联系协调市级有关部门及关联单位承办市委、市政府重大公务活动的服务工作；会同市级有关部门承担市委、市政府交办的大型会议、活动的接待服务保障工作；指导全市公务活动服务保障工作；负责管理市接待服务中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市委党史研究室</w:t>
      </w:r>
      <w:r>
        <w:rPr>
          <w:rFonts w:hint="eastAsia" w:ascii="仿宋_GB2312" w:hAnsi="仿宋_GB2312" w:eastAsia="仿宋_GB2312" w:cs="仿宋_GB2312"/>
          <w:sz w:val="32"/>
          <w:szCs w:val="32"/>
          <w:highlight w:val="none"/>
          <w:lang w:eastAsia="zh-CN"/>
        </w:rPr>
        <w:t>：研究中国共产党广元历史、广元市地方志，及时记载、总结、研究市委、市政府重大决策部署；参与制定贯彻党委政府党史地方志工作法规、政策的落实措施；征集、整理中国共产党广元历史、广元市地方志重要资料，建立广元市情信息数据库，为市委、市政府决策提供史志资料和资政建议；组织编写出版中国共产党广元历史书籍和广元市地方志书籍；组织中国共产党广元历史、广元市地方志理论研讨及学术交流，开展党史、地方志业务培训；开展中国共产党广元历史、广元市地方志学习、教育和宣传活动，普及党史、地方志知识；参与拟制全市党史、地方志工作规划和编纂方案，指导全市党史、地方志业务工作。</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70" w:lineRule="atLeast"/>
        <w:ind w:left="0" w:right="0" w:firstLine="645"/>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市委目标绩效管理办公室</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kern w:val="2"/>
          <w:sz w:val="32"/>
          <w:szCs w:val="32"/>
          <w:highlight w:val="none"/>
          <w:lang w:val="en-US" w:eastAsia="zh-CN" w:bidi="ar-SA"/>
        </w:rPr>
        <w:t>负责市委、市政府重大决策、重要工作部署落实情况督促检查，承担市委、市政府领导批交办事项专项督查或督查调研，统筹规范管理市本级督查检查考核事项；负责省委、省政府下达的绩效目标任务的运行管理；负责县区和市级部门目标绩效管理，开展运行监控，牵头组织考评；负责年度民生实事任务统筹管理，拟订全市民生实事实施方案，开展日常推进督促检查；负责督办市委市政府主要领导批示件办理工作；负责承办省委督查室、省政府督查室交办事项的督办落实和情况反馈工作；承担市督促检查和目标绩效管理领导小组、市整治形式主义为基层减负专项机制办公室日常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2" w:name="_Toc27927"/>
      <w:r>
        <w:rPr>
          <w:rFonts w:hint="eastAsia" w:ascii="楷体_GB2312" w:hAnsi="楷体_GB2312" w:eastAsia="楷体_GB2312" w:cs="楷体_GB2312"/>
          <w:sz w:val="32"/>
          <w:szCs w:val="32"/>
          <w:highlight w:val="none"/>
        </w:rPr>
        <w:t>（二）</w:t>
      </w:r>
      <w:r>
        <w:rPr>
          <w:rFonts w:hint="eastAsia" w:ascii="仿宋_GB2312" w:hAnsi="仿宋_GB2312" w:eastAsia="仿宋_GB2312" w:cs="仿宋_GB2312"/>
          <w:sz w:val="32"/>
          <w:szCs w:val="32"/>
          <w:highlight w:val="none"/>
          <w:lang w:eastAsia="zh-CN"/>
        </w:rPr>
        <w:t>市委办公室</w:t>
      </w:r>
      <w:r>
        <w:rPr>
          <w:rFonts w:hint="eastAsia" w:ascii="仿宋_GB2312" w:hAnsi="仿宋_GB2312" w:eastAsia="仿宋_GB2312" w:cs="仿宋_GB2312"/>
          <w:sz w:val="32"/>
          <w:szCs w:val="32"/>
          <w:highlight w:val="none"/>
          <w:lang w:val="en-US" w:eastAsia="zh-CN"/>
        </w:rPr>
        <w:t>2024</w:t>
      </w:r>
      <w:r>
        <w:rPr>
          <w:rFonts w:hint="eastAsia" w:ascii="仿宋_GB2312" w:hAnsi="仿宋_GB2312" w:eastAsia="仿宋_GB2312" w:cs="仿宋_GB2312"/>
          <w:sz w:val="32"/>
          <w:szCs w:val="32"/>
          <w:highlight w:val="none"/>
          <w:lang w:eastAsia="zh-CN"/>
        </w:rPr>
        <w:t>年重点工作</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市委办公室（机关）：全面推动习近平总书记来川视察重要指示精神落地落实，服务市委常委会会议集中听取贯彻落实习近平总书记来川视察重要指示精神情况汇报。深入践行习近平总书记对新时代办公厅工作的重要指示精神，认真落实“第一议题”制度，建立领导批示交办事项“清单制+责任制”管理制度，逗硬推进跟踪问效。聚焦市委“1345”发展战略，扎实开展“五拼五比五争先”行动，持续提升“三服务”质效。及时服务市委常委会会议或市委常委会（扩大）会议传达学习中央和省委全会精神，筹备召开市委全会，对市委全会决策部署实行项目化、清单式管理，定期开展督促检查和“回头看”抽查核实。高质量做好综合文稿服务，</w:t>
      </w:r>
      <w:r>
        <w:rPr>
          <w:rFonts w:hint="eastAsia" w:ascii="仿宋_GB2312" w:hAnsi="仿宋_GB2312" w:eastAsia="仿宋_GB2312" w:cs="仿宋_GB2312"/>
          <w:color w:val="auto"/>
          <w:kern w:val="2"/>
          <w:sz w:val="32"/>
          <w:szCs w:val="32"/>
          <w:highlight w:val="none"/>
          <w:lang w:val="zh-CN" w:eastAsia="zh-CN" w:bidi="ar-SA"/>
        </w:rPr>
        <w:t>精心起草</w:t>
      </w:r>
      <w:r>
        <w:rPr>
          <w:rFonts w:hint="eastAsia" w:ascii="仿宋_GB2312" w:hAnsi="仿宋_GB2312" w:eastAsia="仿宋_GB2312" w:cs="仿宋_GB2312"/>
          <w:color w:val="auto"/>
          <w:kern w:val="2"/>
          <w:sz w:val="32"/>
          <w:szCs w:val="32"/>
          <w:highlight w:val="none"/>
          <w:lang w:val="en-US" w:eastAsia="zh-CN" w:bidi="ar-SA"/>
        </w:rPr>
        <w:t>系列重大会议活动</w:t>
      </w:r>
      <w:r>
        <w:rPr>
          <w:rFonts w:hint="eastAsia" w:ascii="仿宋_GB2312" w:hAnsi="仿宋_GB2312" w:eastAsia="仿宋_GB2312" w:cs="仿宋_GB2312"/>
          <w:color w:val="auto"/>
          <w:kern w:val="2"/>
          <w:sz w:val="32"/>
          <w:szCs w:val="32"/>
          <w:highlight w:val="none"/>
          <w:lang w:val="zh-CN" w:eastAsia="zh-CN" w:bidi="ar-SA"/>
        </w:rPr>
        <w:t>文稿。</w:t>
      </w:r>
      <w:r>
        <w:rPr>
          <w:rFonts w:hint="eastAsia" w:ascii="仿宋_GB2312" w:hAnsi="仿宋_GB2312" w:eastAsia="仿宋_GB2312" w:cs="仿宋_GB2312"/>
          <w:color w:val="auto"/>
          <w:kern w:val="2"/>
          <w:sz w:val="32"/>
          <w:szCs w:val="32"/>
          <w:highlight w:val="none"/>
          <w:lang w:val="en-US" w:eastAsia="zh-CN" w:bidi="ar-SA"/>
        </w:rPr>
        <w:t>加强重要会议和活动统筹，确保会议活动筹备充分、有序开展，定期召开市四套班子秘书长联席会议，做好市委工作大事记编纂工作。提升党内法规和公文处理工作质效，开展公文处理工作业务培训，做好《中办通讯》《秘书工作》征订学用工作。持续做优信息工作，办好《广元要情》《工作情况交流》《参阅信息》等刊物。扎实做好档案行政管理，加强档案法治宣传，常态开展</w:t>
      </w:r>
      <w:r>
        <w:rPr>
          <w:rFonts w:hint="default" w:ascii="仿宋_GB2312" w:hAnsi="仿宋_GB2312" w:eastAsia="仿宋_GB2312" w:cs="仿宋_GB2312"/>
          <w:color w:val="auto"/>
          <w:kern w:val="2"/>
          <w:sz w:val="32"/>
          <w:szCs w:val="32"/>
          <w:highlight w:val="none"/>
          <w:lang w:val="en-US" w:eastAsia="zh-CN" w:bidi="ar-SA"/>
        </w:rPr>
        <w:t>档案行政执法</w:t>
      </w:r>
      <w:r>
        <w:rPr>
          <w:rFonts w:hint="eastAsia" w:ascii="仿宋_GB2312" w:hAnsi="仿宋_GB2312" w:eastAsia="仿宋_GB2312" w:cs="仿宋_GB2312"/>
          <w:color w:val="auto"/>
          <w:kern w:val="2"/>
          <w:sz w:val="32"/>
          <w:szCs w:val="32"/>
          <w:highlight w:val="none"/>
          <w:lang w:val="en-US" w:eastAsia="zh-CN" w:bidi="ar-SA"/>
        </w:rPr>
        <w:t>专项</w:t>
      </w:r>
      <w:r>
        <w:rPr>
          <w:rFonts w:hint="default" w:ascii="仿宋_GB2312" w:hAnsi="仿宋_GB2312" w:eastAsia="仿宋_GB2312" w:cs="仿宋_GB2312"/>
          <w:color w:val="auto"/>
          <w:kern w:val="2"/>
          <w:sz w:val="32"/>
          <w:szCs w:val="32"/>
          <w:highlight w:val="none"/>
          <w:lang w:val="en-US" w:eastAsia="zh-CN" w:bidi="ar-SA"/>
        </w:rPr>
        <w:t>检查</w:t>
      </w:r>
      <w:r>
        <w:rPr>
          <w:rFonts w:hint="eastAsia" w:ascii="仿宋_GB2312" w:hAnsi="仿宋_GB2312" w:eastAsia="仿宋_GB2312" w:cs="仿宋_GB2312"/>
          <w:color w:val="auto"/>
          <w:kern w:val="2"/>
          <w:sz w:val="32"/>
          <w:szCs w:val="32"/>
          <w:highlight w:val="none"/>
          <w:lang w:val="en-US" w:eastAsia="zh-CN" w:bidi="ar-SA"/>
        </w:rPr>
        <w:t>，监督指导市县（区）综合档案馆进一步</w:t>
      </w:r>
      <w:r>
        <w:rPr>
          <w:rFonts w:hint="default" w:ascii="仿宋_GB2312" w:hAnsi="仿宋_GB2312" w:eastAsia="仿宋_GB2312" w:cs="仿宋_GB2312"/>
          <w:color w:val="auto"/>
          <w:kern w:val="2"/>
          <w:sz w:val="32"/>
          <w:szCs w:val="32"/>
          <w:highlight w:val="none"/>
          <w:lang w:val="en-US" w:eastAsia="zh-CN" w:bidi="ar-SA"/>
        </w:rPr>
        <w:t>加强数字档案馆试点示范和数字资源建设</w:t>
      </w:r>
      <w:r>
        <w:rPr>
          <w:rFonts w:hint="eastAsia" w:ascii="仿宋_GB2312" w:hAnsi="仿宋_GB2312" w:eastAsia="仿宋_GB2312" w:cs="仿宋_GB2312"/>
          <w:color w:val="auto"/>
          <w:kern w:val="2"/>
          <w:sz w:val="32"/>
          <w:szCs w:val="32"/>
          <w:highlight w:val="none"/>
          <w:lang w:val="en-US" w:eastAsia="zh-CN" w:bidi="ar-SA"/>
        </w:rPr>
        <w:t>，加强档案干部队伍建设，做好档案职称评审工作，</w:t>
      </w:r>
      <w:r>
        <w:rPr>
          <w:rFonts w:hint="default" w:ascii="仿宋_GB2312" w:hAnsi="仿宋_GB2312" w:eastAsia="仿宋_GB2312" w:cs="仿宋_GB2312"/>
          <w:color w:val="auto"/>
          <w:kern w:val="2"/>
          <w:sz w:val="32"/>
          <w:szCs w:val="32"/>
          <w:highlight w:val="none"/>
          <w:lang w:val="en-US" w:eastAsia="zh-CN" w:bidi="ar-SA"/>
        </w:rPr>
        <w:t>组织开展好人才培养培训。</w:t>
      </w:r>
      <w:r>
        <w:rPr>
          <w:rFonts w:hint="eastAsia" w:ascii="仿宋_GB2312" w:hAnsi="仿宋_GB2312" w:eastAsia="仿宋_GB2312" w:cs="仿宋_GB2312"/>
          <w:color w:val="auto"/>
          <w:kern w:val="2"/>
          <w:sz w:val="32"/>
          <w:szCs w:val="32"/>
          <w:highlight w:val="none"/>
          <w:lang w:val="en-US" w:eastAsia="zh-CN" w:bidi="ar-SA"/>
        </w:rPr>
        <w:t>扎实做好机关财务、行政后勤和值班值守工作，认真落实党政机关习惯“过紧日子”要求，管好公务用车，维护好机关环境卫生秩序，做好重大维修改造项目的组织实施工作。严格执行24小时在岗值班和领导带班制度，探索市委、市政府联合值班机制。</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70" w:lineRule="atLeast"/>
        <w:ind w:left="0" w:right="0" w:firstLine="645"/>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市公务服务中心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承担部级（省、军）级以上领导（含曾经担任）来广的服务保障；按照有关规定负责和参与省委、省政府及以上派出的巡视、检查、督查、考察、调研、审计等工作组来广的服务保障；负责外市（州）党政代表团和人大常委会、政协主要领导率队的考察团来广的协调联络和服务保障；负责我市党政代表团赴外地考察的协调联络和服务保障；完成市委、市政府交办的其他任务。</w:t>
      </w:r>
    </w:p>
    <w:p>
      <w:pPr>
        <w:keepNext w:val="0"/>
        <w:keepLines w:val="0"/>
        <w:pageBreakBefore w:val="0"/>
        <w:shd w:val="clear"/>
        <w:kinsoku/>
        <w:wordWrap/>
        <w:overflowPunct/>
        <w:topLinePunct w:val="0"/>
        <w:autoSpaceDE/>
        <w:autoSpaceDN/>
        <w:bidi w:val="0"/>
        <w:adjustRightInd/>
        <w:snapToGrid/>
        <w:spacing w:line="576" w:lineRule="exact"/>
        <w:ind w:left="0" w:leftChars="0" w:firstLine="640" w:firstLineChars="200"/>
        <w:textAlignment w:val="auto"/>
        <w:rPr>
          <w:rFonts w:hint="eastAsia"/>
          <w:highlight w:val="none"/>
          <w:lang w:val="en-US" w:eastAsia="zh-CN"/>
        </w:rPr>
      </w:pPr>
      <w:r>
        <w:rPr>
          <w:rFonts w:hint="eastAsia" w:ascii="仿宋_GB2312" w:hAnsi="仿宋_GB2312" w:eastAsia="仿宋_GB2312" w:cs="仿宋_GB2312"/>
          <w:sz w:val="32"/>
          <w:szCs w:val="32"/>
          <w:highlight w:val="none"/>
          <w:lang w:val="en-US" w:eastAsia="zh-CN"/>
        </w:rPr>
        <w:t>市委党史研究室：</w:t>
      </w:r>
      <w:r>
        <w:rPr>
          <w:rFonts w:hint="eastAsia" w:ascii="仿宋_GB2312" w:hAnsi="仿宋_GB2312" w:eastAsia="仿宋_GB2312" w:cs="仿宋_GB2312"/>
          <w:color w:val="auto"/>
          <w:kern w:val="2"/>
          <w:sz w:val="32"/>
          <w:szCs w:val="32"/>
          <w:highlight w:val="none"/>
          <w:lang w:val="en-US" w:eastAsia="zh-CN" w:bidi="ar-SA"/>
        </w:rPr>
        <w:t>开展</w:t>
      </w:r>
      <w:r>
        <w:rPr>
          <w:rFonts w:hint="eastAsia" w:ascii="仿宋_GB2312" w:hAnsi="仿宋_GB2312" w:eastAsia="仿宋_GB2312" w:cs="仿宋_GB2312"/>
          <w:color w:val="auto"/>
          <w:kern w:val="2"/>
          <w:sz w:val="32"/>
          <w:szCs w:val="32"/>
          <w:highlight w:val="none"/>
          <w:lang w:val="zh-CN" w:eastAsia="zh-CN" w:bidi="ar-SA"/>
        </w:rPr>
        <w:t>党史征研工作，</w:t>
      </w:r>
      <w:r>
        <w:rPr>
          <w:rFonts w:hint="eastAsia" w:ascii="仿宋_GB2312" w:hAnsi="仿宋_GB2312" w:eastAsia="仿宋_GB2312" w:cs="仿宋_GB2312"/>
          <w:sz w:val="32"/>
          <w:szCs w:val="32"/>
          <w:highlight w:val="none"/>
          <w:lang w:val="en-US" w:eastAsia="zh-CN"/>
        </w:rPr>
        <w:t>完成《中国共产党执政实录 广元· 2023》资料征集、编纂、出版，推进《红四方面军从广元出发长征（暂定名）》编纂工作</w:t>
      </w:r>
      <w:r>
        <w:rPr>
          <w:rFonts w:hint="eastAsia" w:ascii="仿宋_GB2312" w:hAnsi="仿宋_GB2312" w:eastAsia="仿宋_GB2312" w:cs="仿宋_GB2312"/>
          <w:bCs/>
          <w:color w:val="auto"/>
          <w:kern w:val="0"/>
          <w:sz w:val="32"/>
          <w:szCs w:val="32"/>
          <w:highlight w:val="none"/>
          <w:lang w:eastAsia="zh-CN" w:bidi="ar"/>
        </w:rPr>
        <w:t>，</w:t>
      </w:r>
      <w:r>
        <w:rPr>
          <w:rFonts w:hint="eastAsia" w:ascii="仿宋_GB2312" w:hAnsi="仿宋_GB2312" w:eastAsia="仿宋_GB2312" w:cs="仿宋_GB2312"/>
          <w:sz w:val="32"/>
          <w:szCs w:val="32"/>
          <w:highlight w:val="none"/>
          <w:lang w:val="en-US" w:eastAsia="zh-CN"/>
        </w:rPr>
        <w:t>启动《广元简史》编纂工作，指导县（区）编纂红色历史书刊。开展</w:t>
      </w:r>
      <w:r>
        <w:rPr>
          <w:rFonts w:hint="eastAsia" w:ascii="仿宋_GB2312" w:hAnsi="仿宋_GB2312" w:eastAsia="仿宋_GB2312" w:cs="仿宋_GB2312"/>
          <w:sz w:val="32"/>
          <w:szCs w:val="32"/>
          <w:highlight w:val="none"/>
          <w:lang w:val="zh-CN" w:eastAsia="zh-CN"/>
        </w:rPr>
        <w:t>志鉴编审工作，</w:t>
      </w:r>
      <w:r>
        <w:rPr>
          <w:rFonts w:hint="eastAsia" w:ascii="仿宋_GB2312" w:hAnsi="????" w:eastAsia="仿宋_GB2312" w:cs="????"/>
          <w:color w:val="auto"/>
          <w:kern w:val="2"/>
          <w:sz w:val="32"/>
          <w:szCs w:val="32"/>
          <w:highlight w:val="none"/>
          <w:lang w:val="en-US" w:eastAsia="zh-CN" w:bidi="ar-SA"/>
        </w:rPr>
        <w:t>完成《广元年鉴（2024）》篇目报审、组稿、编纂和公开出版，做好《广元史志年鉴（2024）》编纂工作，指导县（区）有序推进扶贫志、乡镇（街道）志、村（社区）志和特色志鉴编纂，指导市级部门推进部门志编纂。开展</w:t>
      </w:r>
      <w:r>
        <w:rPr>
          <w:rFonts w:hint="eastAsia" w:ascii="仿宋_GB2312" w:hAnsi="????" w:eastAsia="仿宋_GB2312" w:cs="????"/>
          <w:color w:val="auto"/>
          <w:kern w:val="2"/>
          <w:sz w:val="32"/>
          <w:szCs w:val="32"/>
          <w:highlight w:val="none"/>
          <w:lang w:val="zh-CN" w:eastAsia="zh-CN" w:bidi="ar-SA"/>
        </w:rPr>
        <w:t>史志宣传工作，</w:t>
      </w:r>
      <w:r>
        <w:rPr>
          <w:rFonts w:hint="eastAsia" w:ascii="仿宋_GB2312" w:eastAsia="仿宋_GB2312"/>
          <w:color w:val="auto"/>
          <w:sz w:val="32"/>
          <w:szCs w:val="32"/>
          <w:highlight w:val="none"/>
          <w:lang w:val="en-US" w:eastAsia="zh-CN"/>
        </w:rPr>
        <w:t>积极推进县（区）史志宣教阵地建设，</w:t>
      </w:r>
      <w:r>
        <w:rPr>
          <w:rFonts w:hint="eastAsia" w:ascii="仿宋_GB2312" w:eastAsia="仿宋_GB2312"/>
          <w:color w:val="auto"/>
          <w:sz w:val="32"/>
          <w:szCs w:val="32"/>
          <w:highlight w:val="none"/>
          <w:lang w:eastAsia="zh-CN"/>
        </w:rPr>
        <w:t>指导</w:t>
      </w:r>
      <w:r>
        <w:rPr>
          <w:rFonts w:hint="eastAsia" w:ascii="仿宋_GB2312" w:eastAsia="仿宋_GB2312"/>
          <w:color w:val="auto"/>
          <w:sz w:val="32"/>
          <w:szCs w:val="32"/>
          <w:highlight w:val="none"/>
          <w:lang w:val="en-US" w:eastAsia="zh-CN"/>
        </w:rPr>
        <w:t>县（区）新建</w:t>
      </w:r>
      <w:r>
        <w:rPr>
          <w:rFonts w:hint="eastAsia" w:ascii="仿宋_GB2312" w:eastAsia="仿宋_GB2312"/>
          <w:color w:val="auto"/>
          <w:sz w:val="32"/>
          <w:szCs w:val="32"/>
          <w:highlight w:val="none"/>
        </w:rPr>
        <w:t>史志阅览室</w:t>
      </w:r>
      <w:r>
        <w:rPr>
          <w:rFonts w:hint="eastAsia" w:ascii="仿宋_GB2312" w:eastAsia="仿宋_GB2312"/>
          <w:color w:val="auto"/>
          <w:sz w:val="32"/>
          <w:szCs w:val="32"/>
          <w:highlight w:val="none"/>
          <w:lang w:val="en-US" w:eastAsia="zh-CN"/>
        </w:rPr>
        <w:t>49个，村（社区）史馆7个，史志“七进”示范点14个，市县（区）党史学习教育基地14个，</w:t>
      </w:r>
      <w:r>
        <w:rPr>
          <w:rFonts w:hint="eastAsia" w:ascii="仿宋_GB2312" w:eastAsia="仿宋_GB2312"/>
          <w:color w:val="auto"/>
          <w:sz w:val="32"/>
          <w:szCs w:val="32"/>
          <w:highlight w:val="none"/>
          <w:lang w:eastAsia="zh-CN"/>
        </w:rPr>
        <w:t>指导广元市烈士陵园创建四川省中共党史学习教育基地，推进省市县（区）</w:t>
      </w:r>
      <w:r>
        <w:rPr>
          <w:rFonts w:hint="eastAsia" w:ascii="仿宋_GB2312" w:eastAsia="仿宋_GB2312"/>
          <w:color w:val="auto"/>
          <w:sz w:val="32"/>
          <w:szCs w:val="32"/>
          <w:highlight w:val="none"/>
        </w:rPr>
        <w:t>共建党史</w:t>
      </w:r>
      <w:r>
        <w:rPr>
          <w:rFonts w:hint="eastAsia" w:ascii="仿宋_GB2312" w:eastAsia="仿宋_GB2312"/>
          <w:color w:val="auto"/>
          <w:sz w:val="32"/>
          <w:szCs w:val="32"/>
          <w:highlight w:val="none"/>
          <w:lang w:eastAsia="zh-CN"/>
        </w:rPr>
        <w:t>地方志</w:t>
      </w:r>
      <w:r>
        <w:rPr>
          <w:rFonts w:hint="eastAsia" w:ascii="仿宋_GB2312" w:eastAsia="仿宋_GB2312"/>
          <w:b w:val="0"/>
          <w:bCs w:val="0"/>
          <w:color w:val="auto"/>
          <w:sz w:val="32"/>
          <w:szCs w:val="32"/>
          <w:highlight w:val="none"/>
        </w:rPr>
        <w:t>数据库</w:t>
      </w:r>
      <w:r>
        <w:rPr>
          <w:rFonts w:hint="eastAsia" w:ascii="仿宋_GB2312" w:eastAsia="仿宋_GB2312"/>
          <w:b w:val="0"/>
          <w:bCs w:val="0"/>
          <w:color w:val="auto"/>
          <w:sz w:val="32"/>
          <w:szCs w:val="32"/>
          <w:highlight w:val="none"/>
          <w:lang w:eastAsia="zh-CN"/>
        </w:rPr>
        <w:t>、数字馆建设，</w:t>
      </w:r>
      <w:r>
        <w:rPr>
          <w:rFonts w:hint="eastAsia" w:ascii="仿宋_GB2312" w:eastAsia="仿宋_GB2312"/>
          <w:color w:val="auto"/>
          <w:sz w:val="32"/>
          <w:szCs w:val="32"/>
          <w:highlight w:val="none"/>
          <w:lang w:val="en-US" w:eastAsia="zh-CN"/>
        </w:rPr>
        <w:t>指导县（区）加强宣教载体建设</w:t>
      </w:r>
      <w:r>
        <w:rPr>
          <w:rFonts w:hint="eastAsia" w:ascii="仿宋_GB2312" w:hAnsi="仿宋_GB2312" w:eastAsia="仿宋_GB2312" w:cs="仿宋_GB2312"/>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开展</w:t>
      </w:r>
      <w:r>
        <w:rPr>
          <w:rFonts w:hint="eastAsia" w:ascii="仿宋_GB2312" w:eastAsia="仿宋_GB2312" w:cs="Times New Roman"/>
          <w:color w:val="auto"/>
          <w:sz w:val="32"/>
          <w:szCs w:val="32"/>
          <w:highlight w:val="none"/>
          <w:lang w:val="zh-CN" w:eastAsia="zh-CN"/>
        </w:rPr>
        <w:t>史志研究工作，</w:t>
      </w:r>
      <w:r>
        <w:rPr>
          <w:rFonts w:hint="eastAsia" w:ascii="仿宋_GB2312" w:eastAsia="仿宋_GB2312" w:cs="Times New Roman"/>
          <w:color w:val="auto"/>
          <w:sz w:val="32"/>
          <w:szCs w:val="32"/>
          <w:highlight w:val="none"/>
          <w:lang w:val="en-US" w:eastAsia="zh-CN"/>
        </w:rPr>
        <w:t>市县（区）联动开展专项课题研究，每个县（区）结合本地工作实际，牵头在全市史志系统开展1次以上史志活动，完成“川陕甘结合部史志文化中心”“剑门蜀道史志文化走廊”“嘉陵江流域（广元段）史志文化走廊”建设规划，积极组织参加全国全省党史、地方志学术研讨活动。</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70" w:lineRule="atLeast"/>
        <w:ind w:left="0" w:right="0" w:firstLine="645"/>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市委目标绩效办：</w:t>
      </w:r>
      <w:r>
        <w:rPr>
          <w:rFonts w:hint="eastAsia" w:ascii="仿宋_GB2312" w:hAnsi="仿宋_GB2312" w:eastAsia="仿宋_GB2312" w:cs="仿宋_GB2312"/>
          <w:sz w:val="32"/>
          <w:szCs w:val="32"/>
          <w:highlight w:val="none"/>
          <w:lang w:eastAsia="zh-CN"/>
        </w:rPr>
        <w:t>围绕</w:t>
      </w:r>
      <w:r>
        <w:rPr>
          <w:rFonts w:hint="eastAsia" w:ascii="仿宋_GB2312" w:hAnsi="仿宋_GB2312" w:eastAsia="仿宋_GB2312" w:cs="仿宋_GB2312"/>
          <w:sz w:val="32"/>
          <w:szCs w:val="32"/>
          <w:highlight w:val="none"/>
        </w:rPr>
        <w:t>市委“1345”发展战略</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color w:val="auto"/>
          <w:kern w:val="2"/>
          <w:sz w:val="32"/>
          <w:szCs w:val="32"/>
          <w:highlight w:val="none"/>
          <w:lang w:val="en-US" w:eastAsia="zh-CN" w:bidi="ar-SA"/>
        </w:rPr>
        <w:t>按照“两个聚焦、三个发力、三项机制”工作思路，认真履行好督查抓落实职责。坚定落实政治督查定位，坚持围绕中心、服务大局，扎实推动习近平总书记来川视察重要指示精神贯彻落实和省市决策部署落实。牵头抓好市委、市政府主要领导批交办事项和市委常委会会议、市政府常务会议研究事项的督办工作。认真做好省下目标分解和市定目标下达，修订完善《广元市目标绩效管理办法》，严实抓好目标运行过程管控，力争省下目标考评取得“好”等次。聚焦民生实事、巡视整改、整治形式主义为基层减负、“互联网+督查”问题线索办理、建议提案督办等职能工作，坚持问题导向，不断完善统筹联动督查、督查结果运用、督查问题协调解决机制，切实提升督查工作实效。</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3" w:name="_Toc9384"/>
      <w:r>
        <w:rPr>
          <w:rFonts w:hint="eastAsia" w:ascii="黑体" w:hAnsi="黑体" w:eastAsia="黑体" w:cs="黑体"/>
          <w:sz w:val="32"/>
          <w:szCs w:val="32"/>
          <w:highlight w:val="none"/>
          <w:lang w:val="en-US" w:eastAsia="zh-CN"/>
        </w:rPr>
        <w:t>部门预算单位构成</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市委办公室</w:t>
      </w:r>
      <w:r>
        <w:rPr>
          <w:rFonts w:hint="eastAsia" w:ascii="仿宋_GB2312" w:hAnsi="仿宋_GB2312" w:eastAsia="仿宋_GB2312" w:cs="仿宋_GB2312"/>
          <w:sz w:val="32"/>
          <w:szCs w:val="32"/>
          <w:highlight w:val="none"/>
          <w:lang w:val="en-US" w:eastAsia="zh-CN"/>
        </w:rPr>
        <w:t>下属二级预算单位3个，其中行政单位2个，参照公务员法管理的事业单位1个。主要包括：</w:t>
      </w:r>
      <w:r>
        <w:rPr>
          <w:rFonts w:hint="eastAsia" w:ascii="仿宋_GB2312" w:hAnsi="仿宋_GB2312" w:eastAsia="仿宋_GB2312" w:cs="仿宋_GB2312"/>
          <w:sz w:val="32"/>
          <w:szCs w:val="32"/>
          <w:highlight w:val="none"/>
        </w:rPr>
        <w:t>市委办公室</w:t>
      </w:r>
      <w:r>
        <w:rPr>
          <w:rFonts w:hint="eastAsia" w:ascii="仿宋_GB2312" w:hAnsi="仿宋_GB2312" w:eastAsia="仿宋_GB2312" w:cs="仿宋_GB2312"/>
          <w:sz w:val="32"/>
          <w:szCs w:val="32"/>
          <w:highlight w:val="none"/>
          <w:lang w:eastAsia="zh-CN"/>
        </w:rPr>
        <w:t>机关（行政单位，含市公务服务中心）、</w:t>
      </w:r>
      <w:r>
        <w:rPr>
          <w:rFonts w:hint="eastAsia" w:ascii="仿宋_GB2312" w:hAnsi="仿宋_GB2312" w:eastAsia="仿宋_GB2312" w:cs="仿宋_GB2312"/>
          <w:sz w:val="32"/>
          <w:szCs w:val="32"/>
          <w:highlight w:val="none"/>
        </w:rPr>
        <w:t>市委党史研究室（参照公务员法管理的事业单位）</w:t>
      </w:r>
      <w:r>
        <w:rPr>
          <w:rFonts w:hint="eastAsia" w:ascii="仿宋_GB2312" w:hAnsi="仿宋_GB2312" w:eastAsia="仿宋_GB2312" w:cs="仿宋_GB2312"/>
          <w:sz w:val="32"/>
          <w:szCs w:val="32"/>
          <w:highlight w:val="none"/>
          <w:lang w:eastAsia="zh-CN"/>
        </w:rPr>
        <w:t>及</w:t>
      </w:r>
      <w:r>
        <w:rPr>
          <w:rFonts w:hint="eastAsia" w:ascii="仿宋_GB2312" w:hAnsi="仿宋_GB2312" w:eastAsia="仿宋_GB2312" w:cs="仿宋_GB2312"/>
          <w:sz w:val="32"/>
          <w:szCs w:val="32"/>
          <w:highlight w:val="none"/>
        </w:rPr>
        <w:t>市委目标绩效管理办公室（行政单位）</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4" w:name="_Toc44"/>
      <w:r>
        <w:rPr>
          <w:rFonts w:hint="eastAsia" w:ascii="黑体" w:hAnsi="黑体" w:eastAsia="黑体" w:cs="黑体"/>
          <w:sz w:val="32"/>
          <w:szCs w:val="32"/>
          <w:highlight w:val="none"/>
          <w:lang w:val="en-US" w:eastAsia="zh-CN"/>
        </w:rPr>
        <w:t>三、收支预算情况说明</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按照综合预算的原则，</w:t>
      </w:r>
      <w:r>
        <w:rPr>
          <w:rFonts w:hint="eastAsia" w:ascii="仿宋_GB2312" w:hAnsi="仿宋_GB2312" w:eastAsia="仿宋_GB2312" w:cs="仿宋_GB2312"/>
          <w:sz w:val="32"/>
          <w:szCs w:val="32"/>
          <w:highlight w:val="none"/>
        </w:rPr>
        <w:t>市委办公室</w:t>
      </w:r>
      <w:r>
        <w:rPr>
          <w:rFonts w:hint="eastAsia" w:ascii="仿宋_GB2312" w:hAnsi="仿宋_GB2312" w:eastAsia="仿宋_GB2312" w:cs="仿宋_GB2312"/>
          <w:sz w:val="32"/>
          <w:szCs w:val="32"/>
          <w:highlight w:val="none"/>
          <w:lang w:val="en-US" w:eastAsia="zh-CN"/>
        </w:rPr>
        <w:t>所有收入和支出均纳入部门预算管理。收入包括：一般公共预算拨款收入；支出包括：一般公共服务支出、社会保障和就业支出、卫生健康支出、住房保障支出。市委办公室2024年收支预算总数3166.03万元，比2023年收支预算总数减少2.48万元，主要原因是人员经费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5" w:name="_Toc1449"/>
      <w:r>
        <w:rPr>
          <w:rFonts w:hint="eastAsia" w:ascii="楷体_GB2312" w:hAnsi="楷体_GB2312" w:eastAsia="楷体_GB2312" w:cs="楷体_GB2312"/>
          <w:sz w:val="32"/>
          <w:szCs w:val="32"/>
          <w:highlight w:val="none"/>
          <w:lang w:val="en-US" w:eastAsia="zh-CN"/>
        </w:rPr>
        <w:t>（一）收入预算情况</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市委办公室</w:t>
      </w:r>
      <w:r>
        <w:rPr>
          <w:rFonts w:hint="eastAsia" w:ascii="仿宋_GB2312" w:hAnsi="仿宋_GB2312" w:eastAsia="仿宋_GB2312" w:cs="仿宋_GB2312"/>
          <w:sz w:val="32"/>
          <w:szCs w:val="32"/>
          <w:highlight w:val="none"/>
          <w:lang w:val="en-US" w:eastAsia="zh-CN"/>
        </w:rPr>
        <w:t>2024年收入预算3166.03万元，其中：一般公共预算拨款收入3166.03万元，占100%。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6" w:name="_Toc4360"/>
      <w:r>
        <w:rPr>
          <w:rFonts w:hint="eastAsia" w:ascii="楷体_GB2312" w:hAnsi="楷体_GB2312" w:eastAsia="楷体_GB2312" w:cs="楷体_GB2312"/>
          <w:sz w:val="32"/>
          <w:szCs w:val="32"/>
          <w:highlight w:val="none"/>
          <w:lang w:val="en-US" w:eastAsia="zh-CN"/>
        </w:rPr>
        <w:t>（二）支出预算情况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rPr>
        <w:t>市委办公室</w:t>
      </w:r>
      <w:r>
        <w:rPr>
          <w:rFonts w:hint="eastAsia" w:ascii="仿宋_GB2312" w:hAnsi="仿宋_GB2312" w:eastAsia="仿宋_GB2312" w:cs="仿宋_GB2312"/>
          <w:sz w:val="32"/>
          <w:szCs w:val="32"/>
          <w:highlight w:val="none"/>
          <w:lang w:val="en-US" w:eastAsia="zh-CN"/>
        </w:rPr>
        <w:t>2024年支出预算3166.03万元，其中：基本支出2325.78万元，占73.46%；项目支出840.25万元，占26.54%</w:t>
      </w:r>
      <w:r>
        <w:rPr>
          <w:rFonts w:hint="eastAsia" w:ascii="仿宋_GB2312" w:hAnsi="仿宋_GB2312" w:eastAsia="仿宋_GB2312" w:cs="仿宋_GB2312"/>
          <w:b w:val="0"/>
          <w:bCs w:val="0"/>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7" w:name="_Toc12182"/>
      <w:r>
        <w:rPr>
          <w:rFonts w:hint="eastAsia" w:ascii="黑体" w:hAnsi="黑体" w:eastAsia="黑体" w:cs="黑体"/>
          <w:sz w:val="32"/>
          <w:szCs w:val="32"/>
          <w:highlight w:val="none"/>
          <w:lang w:val="en-US" w:eastAsia="zh-CN"/>
        </w:rPr>
        <w:t>四、财政拨款收支预算情况说明</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市委办公室2024年财政拨款收支预算总数3166.03万元，比2023年财政拨款收支预算总数减少2.48万元，主要原因是人员经费减少。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收入包括：本年一般公共预算拨款收入3166.03万元；支出包括：一般公共服务支出2731.97万元、社会保障和就业支出200.73万元、卫生健康支出64.14万元、住房保障支出169.19万元。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8" w:name="_Toc5468"/>
      <w:r>
        <w:rPr>
          <w:rFonts w:hint="eastAsia" w:ascii="黑体" w:hAnsi="黑体" w:eastAsia="黑体" w:cs="黑体"/>
          <w:sz w:val="32"/>
          <w:szCs w:val="32"/>
          <w:highlight w:val="none"/>
          <w:lang w:val="en-US" w:eastAsia="zh-CN"/>
        </w:rPr>
        <w:t>五、一般公共预算当年拨款情况说明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9" w:name="_Toc21861"/>
      <w:r>
        <w:rPr>
          <w:rFonts w:hint="eastAsia" w:ascii="楷体_GB2312" w:hAnsi="楷体_GB2312" w:eastAsia="楷体_GB2312" w:cs="楷体_GB2312"/>
          <w:sz w:val="32"/>
          <w:szCs w:val="32"/>
          <w:highlight w:val="none"/>
          <w:lang w:val="en-US" w:eastAsia="zh-CN"/>
        </w:rPr>
        <w:t>（一）一般公共预算当年拨款规模变化情况</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市委办公室</w:t>
      </w:r>
      <w:r>
        <w:rPr>
          <w:rFonts w:hint="eastAsia" w:ascii="仿宋_GB2312" w:hAnsi="仿宋_GB2312" w:eastAsia="仿宋_GB2312" w:cs="仿宋_GB2312"/>
          <w:sz w:val="32"/>
          <w:szCs w:val="32"/>
          <w:highlight w:val="none"/>
          <w:lang w:val="en-US" w:eastAsia="zh-CN"/>
        </w:rPr>
        <w:t>2024年一般公共预算当年拨款3166.03万元，比2023年预算数减少2.48万元，主要原因是人员经费减少。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0" w:name="_Toc24619"/>
      <w:r>
        <w:rPr>
          <w:rFonts w:hint="eastAsia" w:ascii="楷体_GB2312" w:hAnsi="楷体_GB2312" w:eastAsia="楷体_GB2312" w:cs="楷体_GB2312"/>
          <w:sz w:val="32"/>
          <w:szCs w:val="32"/>
          <w:highlight w:val="none"/>
          <w:lang w:val="en-US" w:eastAsia="zh-CN"/>
        </w:rPr>
        <w:t>（二）一般公共预算当年拨款结构情况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一般公共服务支出2731.97万元，占86.29%；社会保障和就业支出200.73万元，占6.34%；卫生健康支出64.14万元，占2.03%；住房保障支出169.19万元，占5.34%。</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1" w:name="_Toc17003"/>
      <w:r>
        <w:rPr>
          <w:rFonts w:hint="eastAsia" w:ascii="楷体_GB2312" w:hAnsi="楷体_GB2312" w:eastAsia="楷体_GB2312" w:cs="楷体_GB2312"/>
          <w:sz w:val="32"/>
          <w:szCs w:val="32"/>
          <w:highlight w:val="none"/>
          <w:lang w:val="en-US" w:eastAsia="zh-CN"/>
        </w:rPr>
        <w:t>（三）一般公共预算当年拨款具体使用情况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一般公共服务（类）党委办公厅（室）及相关机构事务（款）行政运行（项）2024年预算数为1789.92万元，主要用于：保障市委办公室机关及预算所属单位正常运转，用于行政运行方面的经费支出。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一般公共服务支出（类）党委办公厅（室）及相关机构事务（款）一般行政管理事务（项）2024年预算数为840.25万元，主要用于：保障推进市委办公室机关及预算所属单位各项重点工作任务完成。</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3.一般公共服务支出（类）党委办公厅（室）及相关机构事务（款）事业运行（项）2024年预算数为101.8万元，主要用于：保障市委办公室机关事业人员基本支出。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4.社会保障和就业（类）行政事业单位养老支出（款）机关事业单位基本养老保险缴费支出（项）2024年预算数为200.73万元，主要用于：实施养老保险制度由单位缴纳的基本养老保险支出。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5.卫生健康（类）行政事业单位医疗（款）行政单位医疗（项）2024年预算数为64.14万元，主要用于：机关及参公管理事业单位按规定由单位缴纳的基本医疗保险支出。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6.住房保障（类）住房改革支出（款）住房公积金（项）2024年预算数为169.19万元，主要用于：部门按规定为职工缴纳的住房公积金支出。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2" w:name="_Toc10851"/>
      <w:r>
        <w:rPr>
          <w:rFonts w:hint="eastAsia" w:ascii="黑体" w:hAnsi="黑体" w:eastAsia="黑体" w:cs="黑体"/>
          <w:sz w:val="32"/>
          <w:szCs w:val="32"/>
          <w:highlight w:val="none"/>
          <w:lang w:val="en-US" w:eastAsia="zh-CN"/>
        </w:rPr>
        <w:t>六、一般公共预算基本支出情况说明</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市委办公室</w:t>
      </w:r>
      <w:r>
        <w:rPr>
          <w:rFonts w:hint="eastAsia" w:ascii="仿宋_GB2312" w:hAnsi="仿宋_GB2312" w:eastAsia="仿宋_GB2312" w:cs="仿宋_GB2312"/>
          <w:sz w:val="32"/>
          <w:szCs w:val="32"/>
          <w:highlight w:val="none"/>
          <w:lang w:val="en-US" w:eastAsia="zh-CN"/>
        </w:rPr>
        <w:t>2024年一般公共预算基本支出2325.78万元，其中：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人员经费1946.05万元，主要包括：基本工资、津贴补贴、奖金、绩效工资、机关事业单位基本养老保险缴费、职工基本医疗保险缴费、其他社会保障缴费、住房公积金、生活补助等支出。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公用经费379.73万元，主要包括：办公费、 印刷费、水费、电费、邮电费、 物业管理费、差旅费、  维修（护）费、 会议费、  培训费、公务接待费、劳务费、工会经费、福利费、公务用车运行维护费、其他交通费用、其他商品和服务等支出。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3" w:name="_Toc17155"/>
      <w:r>
        <w:rPr>
          <w:rFonts w:hint="eastAsia" w:ascii="黑体" w:hAnsi="黑体" w:eastAsia="黑体" w:cs="黑体"/>
          <w:sz w:val="32"/>
          <w:szCs w:val="32"/>
          <w:highlight w:val="none"/>
          <w:lang w:val="en-US" w:eastAsia="zh-CN"/>
        </w:rPr>
        <w:t>七、“三公”经费财政拨款预算安排情况说明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市委办公室</w:t>
      </w:r>
      <w:r>
        <w:rPr>
          <w:rFonts w:hint="eastAsia" w:ascii="仿宋_GB2312" w:hAnsi="仿宋_GB2312" w:eastAsia="仿宋_GB2312" w:cs="仿宋_GB2312"/>
          <w:sz w:val="32"/>
          <w:szCs w:val="32"/>
          <w:highlight w:val="none"/>
          <w:lang w:val="en-US" w:eastAsia="zh-CN"/>
        </w:rPr>
        <w:t>2024年“三公”经费财政拨款预算数46.7万元，其中：公务接待费7.8万元，公务用车购置及运行维护费38.9万元，因公出国（境）经费0万元。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4" w:name="_Toc20855"/>
      <w:r>
        <w:rPr>
          <w:rFonts w:hint="eastAsia" w:ascii="楷体_GB2312" w:hAnsi="楷体_GB2312" w:eastAsia="楷体_GB2312" w:cs="楷体_GB2312"/>
          <w:sz w:val="32"/>
          <w:szCs w:val="32"/>
          <w:highlight w:val="none"/>
          <w:lang w:val="en-US" w:eastAsia="zh-CN"/>
        </w:rPr>
        <w:t>（一）公务接待费</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公务接待费与2023年预算相比下降0.2万元，主要原因是继续本着厉行节约原则，严格控制公务接待费。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5" w:name="_Toc32594"/>
      <w:r>
        <w:rPr>
          <w:rFonts w:hint="eastAsia" w:ascii="楷体_GB2312" w:hAnsi="楷体_GB2312" w:eastAsia="楷体_GB2312" w:cs="楷体_GB2312"/>
          <w:sz w:val="32"/>
          <w:szCs w:val="32"/>
          <w:highlight w:val="none"/>
          <w:lang w:val="en-US" w:eastAsia="zh-CN"/>
        </w:rPr>
        <w:t>公务用车购置及运行维护费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lang w:val="en-US" w:eastAsia="zh-CN"/>
        </w:rPr>
        <w:t>公务用车购置及运行维护费与2023年预算相比下降0.1万元，主要原因是严格执行公务用车使用规定，公务用车运行维护费下降。</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单位现有公务用车10辆，其中：</w:t>
      </w:r>
      <w:r>
        <w:rPr>
          <w:rFonts w:hint="eastAsia" w:ascii="仿宋_GB2312" w:hAnsi="仿宋_GB2312" w:eastAsia="仿宋_GB2312" w:cs="仿宋_GB2312"/>
          <w:sz w:val="32"/>
          <w:szCs w:val="32"/>
          <w:highlight w:val="none"/>
        </w:rPr>
        <w:t>轿车3辆，小型载客汽车（中巴车）5辆，越野车2辆。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2024年安排公务用车购置费0万元，2024年未安排公务用车购置费。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2024年安排公务用车运行维护费38.9万元，用于10辆公务用车燃油、过路（桥）、维修、保险等方面支出，</w:t>
      </w:r>
      <w:r>
        <w:rPr>
          <w:rFonts w:hint="eastAsia" w:ascii="仿宋_GB2312" w:hAnsi="仿宋_GB2312" w:eastAsia="仿宋_GB2312" w:cs="仿宋_GB2312"/>
          <w:sz w:val="32"/>
          <w:szCs w:val="32"/>
          <w:highlight w:val="none"/>
        </w:rPr>
        <w:t>主要保障公务活动及调研用车。</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bookmarkStart w:id="16" w:name="_Toc907"/>
      <w:r>
        <w:rPr>
          <w:rFonts w:hint="eastAsia" w:ascii="仿宋_GB2312" w:hAnsi="仿宋_GB2312" w:eastAsia="仿宋_GB2312" w:cs="仿宋_GB2312"/>
          <w:sz w:val="32"/>
          <w:szCs w:val="32"/>
          <w:highlight w:val="none"/>
          <w:lang w:val="en-US" w:eastAsia="zh-CN"/>
        </w:rPr>
        <w:t>（</w:t>
      </w:r>
      <w:r>
        <w:rPr>
          <w:rFonts w:hint="eastAsia" w:ascii="楷体_GB2312" w:hAnsi="楷体_GB2312" w:eastAsia="楷体_GB2312" w:cs="楷体_GB2312"/>
          <w:sz w:val="32"/>
          <w:szCs w:val="32"/>
          <w:highlight w:val="none"/>
          <w:lang w:val="en-US" w:eastAsia="zh-CN"/>
        </w:rPr>
        <w:t>三）因公出国（境）经费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因公出国（境）经费与2023年预算相比持平。</w:t>
      </w:r>
      <w:bookmarkStart w:id="25" w:name="_GoBack"/>
      <w:bookmarkEnd w:id="25"/>
      <w:r>
        <w:rPr>
          <w:rFonts w:hint="eastAsia" w:ascii="仿宋_GB2312" w:hAnsi="仿宋_GB2312" w:eastAsia="仿宋_GB2312" w:cs="仿宋_GB2312"/>
          <w:sz w:val="32"/>
          <w:szCs w:val="32"/>
          <w:highlight w:val="none"/>
          <w:lang w:val="en-US" w:eastAsia="zh-CN"/>
        </w:rPr>
        <w:t>2024年部门预算未编列因公出国（境）经费，未安排出国（境）任务和计划。</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7" w:name="_Toc16692"/>
      <w:r>
        <w:rPr>
          <w:rFonts w:hint="eastAsia" w:ascii="黑体" w:hAnsi="黑体" w:eastAsia="黑体" w:cs="黑体"/>
          <w:sz w:val="32"/>
          <w:szCs w:val="32"/>
          <w:highlight w:val="none"/>
          <w:lang w:val="en-US" w:eastAsia="zh-CN"/>
        </w:rPr>
        <w:t>八、政府性基金预算支出情况说明</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16"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pacing w:val="-6"/>
          <w:sz w:val="32"/>
          <w:szCs w:val="32"/>
          <w:highlight w:val="none"/>
        </w:rPr>
        <w:t>市委办公室</w:t>
      </w:r>
      <w:r>
        <w:rPr>
          <w:rFonts w:hint="eastAsia" w:ascii="仿宋_GB2312" w:hAnsi="仿宋_GB2312" w:eastAsia="仿宋_GB2312" w:cs="仿宋_GB2312"/>
          <w:sz w:val="32"/>
          <w:szCs w:val="32"/>
          <w:highlight w:val="none"/>
          <w:lang w:val="en-US" w:eastAsia="zh-CN"/>
        </w:rPr>
        <w:t>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8" w:name="_Toc3628"/>
      <w:r>
        <w:rPr>
          <w:rFonts w:hint="eastAsia" w:ascii="黑体" w:hAnsi="黑体" w:eastAsia="黑体" w:cs="黑体"/>
          <w:sz w:val="32"/>
          <w:szCs w:val="32"/>
          <w:highlight w:val="none"/>
          <w:lang w:val="en-US" w:eastAsia="zh-CN"/>
        </w:rPr>
        <w:t>九、国有资本经营预算支出情况说明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市委办公室</w:t>
      </w:r>
      <w:r>
        <w:rPr>
          <w:rFonts w:hint="eastAsia" w:ascii="仿宋_GB2312" w:hAnsi="仿宋_GB2312" w:eastAsia="仿宋_GB2312" w:cs="仿宋_GB2312"/>
          <w:sz w:val="32"/>
          <w:szCs w:val="32"/>
          <w:highlight w:val="none"/>
          <w:lang w:val="en-US" w:eastAsia="zh-CN"/>
        </w:rPr>
        <w:t>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9" w:name="_Toc9885"/>
      <w:r>
        <w:rPr>
          <w:rFonts w:hint="eastAsia" w:ascii="黑体" w:hAnsi="黑体" w:eastAsia="黑体" w:cs="黑体"/>
          <w:sz w:val="32"/>
          <w:szCs w:val="32"/>
          <w:highlight w:val="none"/>
          <w:lang w:val="en-US" w:eastAsia="zh-CN"/>
        </w:rPr>
        <w:t>十、其他重要事项的情况说明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0" w:name="_Toc27569"/>
      <w:r>
        <w:rPr>
          <w:rFonts w:hint="eastAsia" w:ascii="楷体_GB2312" w:hAnsi="楷体_GB2312" w:eastAsia="楷体_GB2312" w:cs="楷体_GB2312"/>
          <w:sz w:val="32"/>
          <w:szCs w:val="32"/>
          <w:highlight w:val="none"/>
          <w:lang w:val="en-US" w:eastAsia="zh-CN"/>
        </w:rPr>
        <w:t>（一）机关运行经费</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w:t>
      </w:r>
      <w:r>
        <w:rPr>
          <w:rFonts w:hint="eastAsia" w:ascii="仿宋_GB2312" w:hAnsi="仿宋_GB2312" w:eastAsia="仿宋_GB2312" w:cs="仿宋_GB2312"/>
          <w:sz w:val="32"/>
          <w:szCs w:val="32"/>
          <w:highlight w:val="none"/>
        </w:rPr>
        <w:t>市委办公室</w:t>
      </w:r>
      <w:r>
        <w:rPr>
          <w:rFonts w:hint="eastAsia" w:ascii="仿宋_GB2312" w:hAnsi="仿宋_GB2312" w:eastAsia="仿宋_GB2312" w:cs="仿宋_GB2312"/>
          <w:sz w:val="32"/>
          <w:szCs w:val="32"/>
          <w:highlight w:val="none"/>
          <w:lang w:val="en-US" w:eastAsia="zh-CN"/>
        </w:rPr>
        <w:t>下属市委办公室机关、市委目标绩效管理办公室2家</w:t>
      </w:r>
      <w:r>
        <w:rPr>
          <w:rFonts w:hint="eastAsia" w:ascii="仿宋_GB2312" w:hAnsi="仿宋_GB2312" w:eastAsia="仿宋_GB2312" w:cs="仿宋_GB2312"/>
          <w:sz w:val="32"/>
          <w:szCs w:val="32"/>
          <w:highlight w:val="none"/>
        </w:rPr>
        <w:t>行政单位</w:t>
      </w:r>
      <w:r>
        <w:rPr>
          <w:rFonts w:hint="eastAsia" w:ascii="仿宋_GB2312" w:hAnsi="仿宋_GB2312" w:eastAsia="仿宋_GB2312" w:cs="仿宋_GB2312"/>
          <w:sz w:val="32"/>
          <w:szCs w:val="32"/>
          <w:highlight w:val="none"/>
          <w:lang w:eastAsia="zh-CN"/>
        </w:rPr>
        <w:t>和</w:t>
      </w:r>
      <w:r>
        <w:rPr>
          <w:rFonts w:hint="eastAsia" w:ascii="仿宋_GB2312" w:hAnsi="仿宋_GB2312" w:eastAsia="仿宋_GB2312" w:cs="仿宋_GB2312"/>
          <w:sz w:val="32"/>
          <w:szCs w:val="32"/>
          <w:highlight w:val="none"/>
        </w:rPr>
        <w:t>市委党史研究室1家参照公务员法管理的事业单位的机关运行经费财政拨款预算为</w:t>
      </w:r>
      <w:r>
        <w:rPr>
          <w:rFonts w:hint="eastAsia" w:ascii="仿宋_GB2312" w:hAnsi="仿宋_GB2312" w:eastAsia="仿宋_GB2312" w:cs="仿宋_GB2312"/>
          <w:sz w:val="32"/>
          <w:szCs w:val="32"/>
          <w:highlight w:val="none"/>
          <w:lang w:val="en-US" w:eastAsia="zh-CN"/>
        </w:rPr>
        <w:t>379.73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，比2023年预算减少15.46万元，下降3.91%。主要原因是人员减少公用经费减少。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1" w:name="_Toc3054"/>
      <w:r>
        <w:rPr>
          <w:rFonts w:hint="eastAsia" w:ascii="楷体_GB2312" w:hAnsi="楷体_GB2312" w:eastAsia="楷体_GB2312" w:cs="楷体_GB2312"/>
          <w:sz w:val="32"/>
          <w:szCs w:val="32"/>
          <w:highlight w:val="none"/>
          <w:lang w:val="en-US" w:eastAsia="zh-CN"/>
        </w:rPr>
        <w:t>（二）政府采购情况</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w:t>
      </w:r>
      <w:r>
        <w:rPr>
          <w:rFonts w:hint="eastAsia" w:ascii="仿宋_GB2312" w:hAnsi="仿宋_GB2312" w:eastAsia="仿宋_GB2312" w:cs="仿宋_GB2312"/>
          <w:sz w:val="32"/>
          <w:szCs w:val="32"/>
          <w:highlight w:val="none"/>
        </w:rPr>
        <w:t>市委办公室</w:t>
      </w:r>
      <w:r>
        <w:rPr>
          <w:rFonts w:hint="eastAsia" w:ascii="仿宋_GB2312" w:hAnsi="仿宋_GB2312" w:eastAsia="仿宋_GB2312" w:cs="仿宋_GB2312"/>
          <w:sz w:val="32"/>
          <w:szCs w:val="32"/>
          <w:highlight w:val="none"/>
          <w:lang w:val="en-US" w:eastAsia="zh-CN"/>
        </w:rPr>
        <w:t>安排政府采购预算41.78万元，其中：政府采购货物预算41.78万元。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2" w:name="_Toc19638"/>
      <w:r>
        <w:rPr>
          <w:rFonts w:hint="eastAsia" w:ascii="楷体_GB2312" w:hAnsi="楷体_GB2312" w:eastAsia="楷体_GB2312" w:cs="楷体_GB2312"/>
          <w:sz w:val="32"/>
          <w:szCs w:val="32"/>
          <w:highlight w:val="none"/>
          <w:lang w:val="en-US" w:eastAsia="zh-CN"/>
        </w:rPr>
        <w:t>（三）国有资产占有使用情况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截至2023年底，</w:t>
      </w:r>
      <w:r>
        <w:rPr>
          <w:rFonts w:hint="eastAsia" w:ascii="仿宋_GB2312" w:hAnsi="仿宋_GB2312" w:eastAsia="仿宋_GB2312" w:cs="仿宋_GB2312"/>
          <w:sz w:val="32"/>
          <w:szCs w:val="32"/>
          <w:highlight w:val="none"/>
        </w:rPr>
        <w:t>市委办公室</w:t>
      </w:r>
      <w:r>
        <w:rPr>
          <w:rFonts w:hint="eastAsia" w:ascii="仿宋_GB2312" w:hAnsi="仿宋_GB2312" w:eastAsia="仿宋_GB2312" w:cs="仿宋_GB2312"/>
          <w:sz w:val="32"/>
          <w:szCs w:val="32"/>
          <w:highlight w:val="none"/>
          <w:lang w:val="en-US" w:eastAsia="zh-CN"/>
        </w:rPr>
        <w:t>共有车辆10辆，其中，领导干部用车1辆、</w:t>
      </w:r>
      <w:r>
        <w:rPr>
          <w:rFonts w:hint="eastAsia" w:ascii="仿宋_GB2312" w:hAnsi="仿宋_GB2312" w:eastAsia="仿宋_GB2312" w:cs="仿宋_GB2312"/>
          <w:sz w:val="32"/>
          <w:szCs w:val="32"/>
          <w:highlight w:val="none"/>
        </w:rPr>
        <w:t>其他用车9辆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23" w:name="_Toc5652"/>
      <w:r>
        <w:rPr>
          <w:rFonts w:hint="eastAsia" w:ascii="楷体_GB2312" w:hAnsi="楷体_GB2312" w:eastAsia="楷体_GB2312" w:cs="楷体_GB2312"/>
          <w:sz w:val="32"/>
          <w:szCs w:val="32"/>
          <w:highlight w:val="none"/>
          <w:lang w:val="en-US" w:eastAsia="zh-CN"/>
        </w:rPr>
        <w:t>（四）绩效目标设置情况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2024年市委办公室开展绩效目标管理的项目55个，涉及预算3166.03万元。其中：人员类项目21个，涉及预算1946.05万元；运转类项目10个，涉及预算379.73万元；特定目标类项目24个，涉及预算840.25万元。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24" w:name="_Toc1611"/>
      <w:r>
        <w:rPr>
          <w:rFonts w:hint="eastAsia" w:ascii="黑体" w:hAnsi="黑体" w:eastAsia="黑体" w:cs="黑体"/>
          <w:sz w:val="32"/>
          <w:szCs w:val="32"/>
          <w:highlight w:val="none"/>
          <w:lang w:val="en-US" w:eastAsia="zh-CN"/>
        </w:rPr>
        <w:t>十一、名词解释</w:t>
      </w:r>
      <w:bookmarkEnd w:id="24"/>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财政拨款收入：</w:t>
      </w:r>
      <w:r>
        <w:rPr>
          <w:rFonts w:hint="eastAsia" w:ascii="仿宋_GB2312" w:hAnsi="仿宋_GB2312" w:eastAsia="仿宋_GB2312" w:cs="仿宋_GB2312"/>
          <w:sz w:val="32"/>
          <w:szCs w:val="32"/>
          <w:highlight w:val="none"/>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一般公共服务（类）党委办公厅（室）及相关机构事务（款）行政运行（项）：</w:t>
      </w:r>
      <w:r>
        <w:rPr>
          <w:rFonts w:hint="eastAsia" w:ascii="仿宋_GB2312" w:hAnsi="仿宋_GB2312" w:eastAsia="仿宋_GB2312" w:cs="仿宋_GB2312"/>
          <w:sz w:val="32"/>
          <w:szCs w:val="32"/>
          <w:highlight w:val="none"/>
        </w:rPr>
        <w:t>指机关单位用于保障机构正常运行、开展日常工作的基本支出。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一般公共服务（类）党委办公厅（室）及相关机构事务（款）一般行政管理事务（项）：</w:t>
      </w:r>
      <w:r>
        <w:rPr>
          <w:rFonts w:hint="eastAsia" w:ascii="仿宋_GB2312" w:hAnsi="仿宋_GB2312" w:eastAsia="仿宋_GB2312" w:cs="仿宋_GB2312"/>
          <w:sz w:val="32"/>
          <w:szCs w:val="32"/>
          <w:highlight w:val="none"/>
        </w:rPr>
        <w:t>指行政单位（包括实行公务员管理的事业单位）未单独设置项级科目的其他项目支出。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一般公共服务（类）党委办公厅（室）及相关机构事务（款）事业运行（项）：</w:t>
      </w:r>
      <w:r>
        <w:rPr>
          <w:rFonts w:hint="eastAsia" w:ascii="仿宋_GB2312" w:hAnsi="仿宋_GB2312" w:eastAsia="仿宋_GB2312" w:cs="仿宋_GB2312"/>
          <w:sz w:val="32"/>
          <w:szCs w:val="32"/>
          <w:highlight w:val="none"/>
          <w:lang w:val="en-US" w:eastAsia="zh-CN"/>
        </w:rPr>
        <w:t>指事业单位的基本支出，不包括行政单位（包括实行公务员管理的事业单位）后勤服务中心、医务室等附属事业单位。</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社会保障和就业（类）行政事业单位养老支出（款）机关事业单位基本养老保险缴费支出（项）：</w:t>
      </w:r>
      <w:r>
        <w:rPr>
          <w:rFonts w:hint="eastAsia" w:ascii="仿宋_GB2312" w:hAnsi="仿宋_GB2312" w:eastAsia="仿宋_GB2312" w:cs="仿宋_GB2312"/>
          <w:sz w:val="32"/>
          <w:szCs w:val="32"/>
          <w:highlight w:val="none"/>
        </w:rPr>
        <w:t>指部门实施养老保险制度由单位缴纳的养老保险的支出。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卫生健康（类）行政事业单位医疗（款）行政单位医疗（项）：</w:t>
      </w:r>
      <w:r>
        <w:rPr>
          <w:rFonts w:hint="eastAsia" w:ascii="仿宋_GB2312" w:hAnsi="仿宋_GB2312" w:eastAsia="仿宋_GB2312" w:cs="仿宋_GB2312"/>
          <w:sz w:val="32"/>
          <w:szCs w:val="32"/>
          <w:highlight w:val="none"/>
        </w:rPr>
        <w:t>指机关及参公管理事业单位用于单位应缴纳基本医疗保险支出。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住房保障（类）住房改革支出（款）住房公积金（项）：</w:t>
      </w:r>
      <w:r>
        <w:rPr>
          <w:rFonts w:hint="eastAsia" w:ascii="仿宋_GB2312" w:hAnsi="仿宋_GB2312" w:eastAsia="仿宋_GB2312" w:cs="仿宋_GB2312"/>
          <w:sz w:val="32"/>
          <w:szCs w:val="32"/>
          <w:highlight w:val="none"/>
          <w:lang w:val="en-US" w:eastAsia="zh-CN"/>
        </w:rPr>
        <w:t>指按照《住房公积金管理条例》的规定，由单位及其在职职工缴存的长期住房储金。</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基本支出：</w:t>
      </w:r>
      <w:r>
        <w:rPr>
          <w:rFonts w:hint="eastAsia" w:ascii="仿宋_GB2312" w:hAnsi="仿宋_GB2312" w:eastAsia="仿宋_GB2312" w:cs="仿宋_GB2312"/>
          <w:sz w:val="32"/>
          <w:szCs w:val="32"/>
          <w:highlight w:val="none"/>
        </w:rPr>
        <w:t>指为保证机构正常运转，完成日常工作任务而发生的人员支出和公用支出。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项目支出：</w:t>
      </w:r>
      <w:r>
        <w:rPr>
          <w:rFonts w:hint="eastAsia" w:ascii="仿宋_GB2312" w:hAnsi="仿宋_GB2312" w:eastAsia="仿宋_GB2312" w:cs="仿宋_GB2312"/>
          <w:sz w:val="32"/>
          <w:szCs w:val="32"/>
          <w:highlight w:val="none"/>
          <w:lang w:val="en-US" w:eastAsia="zh-CN"/>
        </w:rPr>
        <w:t>指在基本支出之外为完成特定行政任务和事业发展目标所发生的支出。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“三公”经费：</w:t>
      </w:r>
      <w:r>
        <w:rPr>
          <w:rFonts w:hint="eastAsia" w:ascii="仿宋_GB2312" w:hAnsi="仿宋_GB2312" w:eastAsia="仿宋_GB2312" w:cs="仿宋_GB2312"/>
          <w:sz w:val="32"/>
          <w:szCs w:val="32"/>
          <w:highlight w:val="none"/>
          <w:lang w:val="en-US" w:eastAsia="zh-CN"/>
        </w:rPr>
        <w:t>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机关运行经费：</w:t>
      </w:r>
      <w:r>
        <w:rPr>
          <w:rFonts w:hint="eastAsia" w:ascii="仿宋_GB2312" w:hAnsi="仿宋_GB2312" w:eastAsia="仿宋_GB2312" w:cs="仿宋_GB2312"/>
          <w:sz w:val="32"/>
          <w:szCs w:val="32"/>
          <w:highlight w:val="none"/>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sz w:val="32"/>
          <w:szCs w:val="32"/>
          <w:highlight w:val="none"/>
          <w:lang w:val="en-US" w:eastAsia="zh-CN"/>
        </w:rPr>
        <w:t>附件：部门预算公开表</w:t>
      </w: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_GB2312">
    <w:panose1 w:val="02010609030101010101"/>
    <w:charset w:val="86"/>
    <w:family w:val="modern"/>
    <w:pitch w:val="default"/>
    <w:sig w:usb0="00000001" w:usb1="080E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大标宋简体">
    <w:altName w:val="宋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
    <w:altName w:val="Mangal"/>
    <w:panose1 w:val="00000000000000000000"/>
    <w:charset w:val="00"/>
    <w:family w:val="auto"/>
    <w:pitch w:val="default"/>
    <w:sig w:usb0="00000000" w:usb1="00000000" w:usb2="00000000" w:usb3="00000000" w:csb0="00000001" w:csb1="00000000"/>
  </w:font>
  <w:font w:name="Mangal">
    <w:panose1 w:val="00000400000000000000"/>
    <w:charset w:val="00"/>
    <w:family w:val="auto"/>
    <w:pitch w:val="default"/>
    <w:sig w:usb0="00008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B6A357"/>
    <w:multiLevelType w:val="singleLevel"/>
    <w:tmpl w:val="DFB6A357"/>
    <w:lvl w:ilvl="0" w:tentative="0">
      <w:start w:val="2"/>
      <w:numFmt w:val="chineseCounting"/>
      <w:suff w:val="nothing"/>
      <w:lvlText w:val="%1、"/>
      <w:lvlJc w:val="left"/>
      <w:rPr>
        <w:rFonts w:hint="eastAsia"/>
      </w:rPr>
    </w:lvl>
  </w:abstractNum>
  <w:abstractNum w:abstractNumId="1">
    <w:nsid w:val="580E20D8"/>
    <w:multiLevelType w:val="singleLevel"/>
    <w:tmpl w:val="580E20D8"/>
    <w:lvl w:ilvl="0" w:tentative="0">
      <w:start w:val="1"/>
      <w:numFmt w:val="chineseCounting"/>
      <w:suff w:val="nothing"/>
      <w:lvlText w:val="（%1）"/>
      <w:lvlJc w:val="left"/>
      <w:pPr>
        <w:ind w:left="0" w:firstLine="420"/>
      </w:pPr>
      <w:rPr>
        <w:rFonts w:hint="eastAsia"/>
        <w:b/>
        <w:bCs/>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1B052C2"/>
    <w:rsid w:val="045D2B16"/>
    <w:rsid w:val="06334F94"/>
    <w:rsid w:val="08C35633"/>
    <w:rsid w:val="091F3ADA"/>
    <w:rsid w:val="093F2F92"/>
    <w:rsid w:val="0C1F0BB1"/>
    <w:rsid w:val="11747C15"/>
    <w:rsid w:val="17A14413"/>
    <w:rsid w:val="1CA578E3"/>
    <w:rsid w:val="1D9F113A"/>
    <w:rsid w:val="1F7BF06F"/>
    <w:rsid w:val="1FEE4B73"/>
    <w:rsid w:val="21AB4B84"/>
    <w:rsid w:val="23CE9849"/>
    <w:rsid w:val="2594300A"/>
    <w:rsid w:val="281A75ED"/>
    <w:rsid w:val="29EB50F3"/>
    <w:rsid w:val="2DE61705"/>
    <w:rsid w:val="32761503"/>
    <w:rsid w:val="32F22B2D"/>
    <w:rsid w:val="347D29EE"/>
    <w:rsid w:val="372799D5"/>
    <w:rsid w:val="372B47D4"/>
    <w:rsid w:val="39F304DD"/>
    <w:rsid w:val="3AD14FE6"/>
    <w:rsid w:val="3BB70A8F"/>
    <w:rsid w:val="3D5B30D8"/>
    <w:rsid w:val="3DEE61D8"/>
    <w:rsid w:val="3E6B1AC2"/>
    <w:rsid w:val="3EAD1878"/>
    <w:rsid w:val="3FC00D3D"/>
    <w:rsid w:val="46147CA2"/>
    <w:rsid w:val="463830F0"/>
    <w:rsid w:val="477E3D5D"/>
    <w:rsid w:val="48725DC0"/>
    <w:rsid w:val="505D3DE9"/>
    <w:rsid w:val="50BB4EA3"/>
    <w:rsid w:val="50FA6453"/>
    <w:rsid w:val="54244390"/>
    <w:rsid w:val="54662A63"/>
    <w:rsid w:val="54B376A1"/>
    <w:rsid w:val="55757499"/>
    <w:rsid w:val="57B42224"/>
    <w:rsid w:val="58064E12"/>
    <w:rsid w:val="5BFEE015"/>
    <w:rsid w:val="5E341A70"/>
    <w:rsid w:val="5E7C5E4D"/>
    <w:rsid w:val="5EDA4B1C"/>
    <w:rsid w:val="612F08D0"/>
    <w:rsid w:val="63EDCF55"/>
    <w:rsid w:val="63FBFBCF"/>
    <w:rsid w:val="64605EE6"/>
    <w:rsid w:val="669360FD"/>
    <w:rsid w:val="68FF6A83"/>
    <w:rsid w:val="693C2A08"/>
    <w:rsid w:val="6AEF6005"/>
    <w:rsid w:val="6C655D9B"/>
    <w:rsid w:val="6E3DB48E"/>
    <w:rsid w:val="6FBBC9CF"/>
    <w:rsid w:val="71CD42D9"/>
    <w:rsid w:val="72BDE561"/>
    <w:rsid w:val="778D1F6A"/>
    <w:rsid w:val="78462278"/>
    <w:rsid w:val="7997EA6C"/>
    <w:rsid w:val="7AEAE675"/>
    <w:rsid w:val="7BAFCE5D"/>
    <w:rsid w:val="7C5B7D4B"/>
    <w:rsid w:val="7CF90201"/>
    <w:rsid w:val="7D46598C"/>
    <w:rsid w:val="7D9F8F0F"/>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BFD8E5E"/>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2"/>
    <w:qFormat/>
    <w:uiPriority w:val="0"/>
    <w:pPr>
      <w:spacing w:after="120" w:afterLines="0" w:afterAutospacing="0"/>
      <w:ind w:left="420" w:leftChars="200"/>
    </w:pPr>
    <w:rPr>
      <w:rFonts w:ascii="Times New Roman" w:hAnsi="Times New Roman" w:eastAsia="宋体" w:cs="Times New Roman"/>
    </w:rPr>
  </w:style>
  <w:style w:type="paragraph" w:styleId="4">
    <w:name w:val="index 6"/>
    <w:basedOn w:val="1"/>
    <w:next w:val="1"/>
    <w:qFormat/>
    <w:uiPriority w:val="0"/>
    <w:pPr>
      <w:ind w:left="2100"/>
      <w:jc w:val="center"/>
    </w:pPr>
  </w:style>
  <w:style w:type="paragraph" w:styleId="5">
    <w:name w:val="caption"/>
    <w:basedOn w:val="1"/>
    <w:next w:val="1"/>
    <w:qFormat/>
    <w:uiPriority w:val="0"/>
    <w:pPr>
      <w:widowControl w:val="0"/>
      <w:suppressLineNumbers/>
      <w:suppressAutoHyphens/>
      <w:spacing w:before="120" w:after="120"/>
    </w:pPr>
    <w:rPr>
      <w:i/>
      <w:iCs/>
      <w:sz w:val="24"/>
      <w:szCs w:val="24"/>
    </w:rPr>
  </w:style>
  <w:style w:type="paragraph" w:styleId="6">
    <w:name w:val="index 5"/>
    <w:basedOn w:val="1"/>
    <w:next w:val="1"/>
    <w:qFormat/>
    <w:uiPriority w:val="0"/>
    <w:pPr>
      <w:keepNext w:val="0"/>
      <w:keepLines w:val="0"/>
      <w:widowControl w:val="0"/>
      <w:suppressLineNumbers w:val="0"/>
      <w:spacing w:before="100" w:beforeAutospacing="1" w:after="100" w:afterAutospacing="1" w:line="576" w:lineRule="exact"/>
      <w:ind w:left="1680" w:firstLine="0"/>
      <w:jc w:val="both"/>
    </w:pPr>
    <w:rPr>
      <w:rFonts w:hint="default" w:ascii="Times New Roman" w:hAnsi="Times New Roman" w:eastAsia="仿宋_GB2312" w:cs="Times New Roman"/>
      <w:color w:val="auto"/>
      <w:kern w:val="2"/>
      <w:sz w:val="32"/>
      <w:szCs w:val="32"/>
      <w:lang w:val="en-US" w:eastAsia="zh-CN" w:bidi="ar"/>
    </w:rPr>
  </w:style>
  <w:style w:type="paragraph" w:styleId="7">
    <w:name w:val="Body Text"/>
    <w:basedOn w:val="1"/>
    <w:qFormat/>
    <w:uiPriority w:val="0"/>
    <w:pPr>
      <w:spacing w:before="0" w:after="140" w:line="276" w:lineRule="auto"/>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List"/>
    <w:basedOn w:val="7"/>
    <w:qFormat/>
    <w:uiPriority w:val="0"/>
  </w:style>
  <w:style w:type="paragraph" w:styleId="11">
    <w:name w:val="Normal (Web)"/>
    <w:basedOn w:val="1"/>
    <w:qFormat/>
    <w:uiPriority w:val="0"/>
    <w:rPr>
      <w:sz w:val="24"/>
    </w:rPr>
  </w:style>
  <w:style w:type="character" w:customStyle="1" w:styleId="14">
    <w:name w:val="默认段落字体1"/>
    <w:qFormat/>
    <w:uiPriority w:val="0"/>
  </w:style>
  <w:style w:type="paragraph" w:customStyle="1" w:styleId="15">
    <w:name w:val="Heading"/>
    <w:basedOn w:val="1"/>
    <w:next w:val="7"/>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6438</Words>
  <Characters>7279</Characters>
  <TotalTime>3</TotalTime>
  <ScaleCrop>false</ScaleCrop>
  <LinksUpToDate>false</LinksUpToDate>
  <CharactersWithSpaces>7302</CharactersWithSpaces>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 </cp:lastModifiedBy>
  <cp:lastPrinted>2024-02-06T09:06:00Z</cp:lastPrinted>
  <dcterms:modified xsi:type="dcterms:W3CDTF">2024-02-18T09:31:37Z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