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中共广元市纪律检查委员会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275407454"/>
        <w15:color w:val="DBDBDB"/>
        <w:docPartObj>
          <w:docPartGallery w:val="Table of Contents"/>
          <w:docPartUnique/>
        </w:docPartObj>
      </w:sdtPr>
      <w:sdtContent>
        <w:p>
          <w:pPr>
            <w:spacing w:before="0" w:beforeLines="0" w:after="0" w:afterLines="0" w:line="240" w:lineRule="auto"/>
            <w:ind w:left="0" w:leftChars="0" w:right="0" w:rightChars="0" w:firstLine="0" w:firstLineChars="0"/>
            <w:jc w:val="center"/>
          </w:pPr>
          <w:bookmarkStart w:id="67" w:name="_GoBack"/>
          <w:r>
            <w:rPr>
              <w:rFonts w:ascii="宋体" w:hAnsi="宋体" w:eastAsia="宋体"/>
              <w:sz w:val="21"/>
            </w:rPr>
            <w:t>目录</w:t>
          </w:r>
        </w:p>
        <w:p>
          <w:pPr>
            <w:pStyle w:val="7"/>
            <w:tabs>
              <w:tab w:val="right" w:leader="dot" w:pos="8845"/>
            </w:tabs>
          </w:pPr>
          <w:r>
            <w:fldChar w:fldCharType="begin"/>
          </w:r>
          <w:r>
            <w:instrText xml:space="preserve">TOC \o "1-2" \t "目录" \h \u </w:instrText>
          </w:r>
          <w:r>
            <w:fldChar w:fldCharType="separate"/>
          </w:r>
          <w:r>
            <w:fldChar w:fldCharType="begin"/>
          </w:r>
          <w:r>
            <w:instrText xml:space="preserve"> HYPERLINK \l _Toc1294328217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_Toc1294328217 \h </w:instrText>
          </w:r>
          <w:r>
            <w:fldChar w:fldCharType="separate"/>
          </w:r>
          <w:r>
            <w:t>3</w:t>
          </w:r>
          <w:r>
            <w:fldChar w:fldCharType="end"/>
          </w:r>
          <w:r>
            <w:fldChar w:fldCharType="end"/>
          </w:r>
        </w:p>
        <w:p>
          <w:pPr>
            <w:pStyle w:val="10"/>
            <w:tabs>
              <w:tab w:val="right" w:leader="dot" w:pos="8845"/>
            </w:tabs>
          </w:pPr>
          <w:r>
            <w:fldChar w:fldCharType="begin"/>
          </w:r>
          <w:r>
            <w:instrText xml:space="preserve"> HYPERLINK \l _Toc1235512892 </w:instrText>
          </w:r>
          <w: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市纪委</w:t>
          </w:r>
          <w:r>
            <w:rPr>
              <w:rFonts w:hint="eastAsia" w:ascii="楷体_GB2312" w:hAnsi="楷体_GB2312" w:eastAsia="楷体_GB2312" w:cs="楷体_GB2312"/>
              <w:szCs w:val="32"/>
            </w:rPr>
            <w:t>职能简介</w:t>
          </w:r>
          <w:r>
            <w:tab/>
          </w:r>
          <w:r>
            <w:fldChar w:fldCharType="begin"/>
          </w:r>
          <w:r>
            <w:instrText xml:space="preserve"> PAGEREF _Toc1235512892 \h </w:instrText>
          </w:r>
          <w:r>
            <w:fldChar w:fldCharType="separate"/>
          </w:r>
          <w:r>
            <w:t>3</w:t>
          </w:r>
          <w:r>
            <w:fldChar w:fldCharType="end"/>
          </w:r>
          <w:r>
            <w:fldChar w:fldCharType="end"/>
          </w:r>
        </w:p>
        <w:p>
          <w:pPr>
            <w:pStyle w:val="10"/>
            <w:tabs>
              <w:tab w:val="right" w:leader="dot" w:pos="8845"/>
            </w:tabs>
          </w:pPr>
          <w:r>
            <w:fldChar w:fldCharType="begin"/>
          </w:r>
          <w:r>
            <w:instrText xml:space="preserve"> HYPERLINK \l _Toc1736142123 </w:instrText>
          </w:r>
          <w: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市纪委</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_Toc1736142123 \h </w:instrText>
          </w:r>
          <w:r>
            <w:fldChar w:fldCharType="separate"/>
          </w:r>
          <w:r>
            <w:t>4</w:t>
          </w:r>
          <w:r>
            <w:fldChar w:fldCharType="end"/>
          </w:r>
          <w:r>
            <w:fldChar w:fldCharType="end"/>
          </w:r>
        </w:p>
        <w:p>
          <w:pPr>
            <w:pStyle w:val="7"/>
            <w:tabs>
              <w:tab w:val="right" w:leader="dot" w:pos="8845"/>
            </w:tabs>
          </w:pPr>
          <w:r>
            <w:fldChar w:fldCharType="begin"/>
          </w:r>
          <w:r>
            <w:instrText xml:space="preserve"> HYPERLINK \l _Toc1175136045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_Toc1175136045 \h </w:instrText>
          </w:r>
          <w:r>
            <w:fldChar w:fldCharType="separate"/>
          </w:r>
          <w:r>
            <w:t>6</w:t>
          </w:r>
          <w:r>
            <w:fldChar w:fldCharType="end"/>
          </w:r>
          <w:r>
            <w:fldChar w:fldCharType="end"/>
          </w:r>
        </w:p>
        <w:p>
          <w:pPr>
            <w:pStyle w:val="7"/>
            <w:tabs>
              <w:tab w:val="right" w:leader="dot" w:pos="8845"/>
            </w:tabs>
          </w:pPr>
          <w:r>
            <w:fldChar w:fldCharType="begin"/>
          </w:r>
          <w:r>
            <w:instrText xml:space="preserve"> HYPERLINK \l _Toc616338960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_Toc616338960 \h </w:instrText>
          </w:r>
          <w:r>
            <w:fldChar w:fldCharType="separate"/>
          </w:r>
          <w:r>
            <w:t>6</w:t>
          </w:r>
          <w:r>
            <w:fldChar w:fldCharType="end"/>
          </w:r>
          <w:r>
            <w:fldChar w:fldCharType="end"/>
          </w:r>
        </w:p>
        <w:p>
          <w:pPr>
            <w:pStyle w:val="10"/>
            <w:tabs>
              <w:tab w:val="right" w:leader="dot" w:pos="8845"/>
            </w:tabs>
          </w:pPr>
          <w:r>
            <w:fldChar w:fldCharType="begin"/>
          </w:r>
          <w:r>
            <w:instrText xml:space="preserve"> HYPERLINK \l _Toc1787186295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_Toc1787186295 \h </w:instrText>
          </w:r>
          <w:r>
            <w:fldChar w:fldCharType="separate"/>
          </w:r>
          <w:r>
            <w:t>6</w:t>
          </w:r>
          <w:r>
            <w:fldChar w:fldCharType="end"/>
          </w:r>
          <w:r>
            <w:fldChar w:fldCharType="end"/>
          </w:r>
        </w:p>
        <w:p>
          <w:pPr>
            <w:pStyle w:val="10"/>
            <w:tabs>
              <w:tab w:val="right" w:leader="dot" w:pos="8845"/>
            </w:tabs>
          </w:pPr>
          <w:r>
            <w:fldChar w:fldCharType="begin"/>
          </w:r>
          <w:r>
            <w:instrText xml:space="preserve"> HYPERLINK \l _Toc1848688455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_Toc1848688455 \h </w:instrText>
          </w:r>
          <w:r>
            <w:fldChar w:fldCharType="separate"/>
          </w:r>
          <w:r>
            <w:t>6</w:t>
          </w:r>
          <w:r>
            <w:fldChar w:fldCharType="end"/>
          </w:r>
          <w:r>
            <w:fldChar w:fldCharType="end"/>
          </w:r>
        </w:p>
        <w:p>
          <w:pPr>
            <w:pStyle w:val="7"/>
            <w:tabs>
              <w:tab w:val="right" w:leader="dot" w:pos="8845"/>
            </w:tabs>
          </w:pPr>
          <w:r>
            <w:fldChar w:fldCharType="begin"/>
          </w:r>
          <w:r>
            <w:instrText xml:space="preserve"> HYPERLINK \l _Toc2065827165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_Toc2065827165 \h </w:instrText>
          </w:r>
          <w:r>
            <w:fldChar w:fldCharType="separate"/>
          </w:r>
          <w:r>
            <w:t>7</w:t>
          </w:r>
          <w:r>
            <w:fldChar w:fldCharType="end"/>
          </w:r>
          <w:r>
            <w:fldChar w:fldCharType="end"/>
          </w:r>
        </w:p>
        <w:p>
          <w:pPr>
            <w:pStyle w:val="7"/>
            <w:tabs>
              <w:tab w:val="right" w:leader="dot" w:pos="8845"/>
            </w:tabs>
          </w:pPr>
          <w:r>
            <w:fldChar w:fldCharType="begin"/>
          </w:r>
          <w:r>
            <w:instrText xml:space="preserve"> HYPERLINK \l _Toc1091894667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_Toc1091894667 \h </w:instrText>
          </w:r>
          <w:r>
            <w:fldChar w:fldCharType="separate"/>
          </w:r>
          <w:r>
            <w:t>7</w:t>
          </w:r>
          <w:r>
            <w:fldChar w:fldCharType="end"/>
          </w:r>
          <w:r>
            <w:fldChar w:fldCharType="end"/>
          </w:r>
        </w:p>
        <w:p>
          <w:pPr>
            <w:pStyle w:val="10"/>
            <w:tabs>
              <w:tab w:val="right" w:leader="dot" w:pos="8845"/>
            </w:tabs>
          </w:pPr>
          <w:r>
            <w:fldChar w:fldCharType="begin"/>
          </w:r>
          <w:r>
            <w:instrText xml:space="preserve"> HYPERLINK \l _Toc888079769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_Toc888079769 \h </w:instrText>
          </w:r>
          <w:r>
            <w:fldChar w:fldCharType="separate"/>
          </w:r>
          <w:r>
            <w:t>7</w:t>
          </w:r>
          <w:r>
            <w:fldChar w:fldCharType="end"/>
          </w:r>
          <w:r>
            <w:fldChar w:fldCharType="end"/>
          </w:r>
        </w:p>
        <w:p>
          <w:pPr>
            <w:pStyle w:val="10"/>
            <w:tabs>
              <w:tab w:val="right" w:leader="dot" w:pos="8845"/>
            </w:tabs>
          </w:pPr>
          <w:r>
            <w:fldChar w:fldCharType="begin"/>
          </w:r>
          <w:r>
            <w:instrText xml:space="preserve"> HYPERLINK \l _Toc76619741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_Toc76619741 \h </w:instrText>
          </w:r>
          <w:r>
            <w:fldChar w:fldCharType="separate"/>
          </w:r>
          <w:r>
            <w:t>7</w:t>
          </w:r>
          <w:r>
            <w:fldChar w:fldCharType="end"/>
          </w:r>
          <w:r>
            <w:fldChar w:fldCharType="end"/>
          </w:r>
        </w:p>
        <w:p>
          <w:pPr>
            <w:pStyle w:val="10"/>
            <w:tabs>
              <w:tab w:val="right" w:leader="dot" w:pos="8845"/>
            </w:tabs>
          </w:pPr>
          <w:r>
            <w:fldChar w:fldCharType="begin"/>
          </w:r>
          <w:r>
            <w:instrText xml:space="preserve"> HYPERLINK \l _Toc88948448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_Toc88948448 \h </w:instrText>
          </w:r>
          <w:r>
            <w:fldChar w:fldCharType="separate"/>
          </w:r>
          <w:r>
            <w:t>7</w:t>
          </w:r>
          <w:r>
            <w:fldChar w:fldCharType="end"/>
          </w:r>
          <w:r>
            <w:fldChar w:fldCharType="end"/>
          </w:r>
        </w:p>
        <w:p>
          <w:pPr>
            <w:pStyle w:val="7"/>
            <w:tabs>
              <w:tab w:val="right" w:leader="dot" w:pos="8845"/>
            </w:tabs>
          </w:pPr>
          <w:r>
            <w:fldChar w:fldCharType="begin"/>
          </w:r>
          <w:r>
            <w:instrText xml:space="preserve"> HYPERLINK \l _Toc540776362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_Toc540776362 \h </w:instrText>
          </w:r>
          <w:r>
            <w:fldChar w:fldCharType="separate"/>
          </w:r>
          <w:r>
            <w:t>9</w:t>
          </w:r>
          <w:r>
            <w:fldChar w:fldCharType="end"/>
          </w:r>
          <w:r>
            <w:fldChar w:fldCharType="end"/>
          </w:r>
        </w:p>
        <w:p>
          <w:pPr>
            <w:pStyle w:val="7"/>
            <w:tabs>
              <w:tab w:val="right" w:leader="dot" w:pos="8845"/>
            </w:tabs>
          </w:pPr>
          <w:r>
            <w:fldChar w:fldCharType="begin"/>
          </w:r>
          <w:r>
            <w:instrText xml:space="preserve"> HYPERLINK \l _Toc873977788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_Toc873977788 \h </w:instrText>
          </w:r>
          <w:r>
            <w:fldChar w:fldCharType="separate"/>
          </w:r>
          <w:r>
            <w:t>9</w:t>
          </w:r>
          <w:r>
            <w:fldChar w:fldCharType="end"/>
          </w:r>
          <w:r>
            <w:fldChar w:fldCharType="end"/>
          </w:r>
        </w:p>
        <w:p>
          <w:pPr>
            <w:pStyle w:val="10"/>
            <w:tabs>
              <w:tab w:val="right" w:leader="dot" w:pos="8845"/>
            </w:tabs>
          </w:pPr>
          <w:r>
            <w:fldChar w:fldCharType="begin"/>
          </w:r>
          <w:r>
            <w:instrText xml:space="preserve"> HYPERLINK \l _Toc424430154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_Toc424430154 \h </w:instrText>
          </w:r>
          <w:r>
            <w:fldChar w:fldCharType="separate"/>
          </w:r>
          <w:r>
            <w:t>9</w:t>
          </w:r>
          <w:r>
            <w:fldChar w:fldCharType="end"/>
          </w:r>
          <w:r>
            <w:fldChar w:fldCharType="end"/>
          </w:r>
        </w:p>
        <w:p>
          <w:pPr>
            <w:pStyle w:val="10"/>
            <w:tabs>
              <w:tab w:val="right" w:leader="dot" w:pos="8845"/>
            </w:tabs>
          </w:pPr>
          <w:r>
            <w:fldChar w:fldCharType="begin"/>
          </w:r>
          <w:r>
            <w:instrText xml:space="preserve"> HYPERLINK \l _Toc1557222179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_Toc1557222179 \h </w:instrText>
          </w:r>
          <w:r>
            <w:fldChar w:fldCharType="separate"/>
          </w:r>
          <w:r>
            <w:t>9</w:t>
          </w:r>
          <w:r>
            <w:fldChar w:fldCharType="end"/>
          </w:r>
          <w:r>
            <w:fldChar w:fldCharType="end"/>
          </w:r>
        </w:p>
        <w:p>
          <w:pPr>
            <w:pStyle w:val="10"/>
            <w:tabs>
              <w:tab w:val="right" w:leader="dot" w:pos="8845"/>
            </w:tabs>
          </w:pPr>
          <w:r>
            <w:fldChar w:fldCharType="begin"/>
          </w:r>
          <w:r>
            <w:instrText xml:space="preserve"> HYPERLINK \l _Toc477750672 </w:instrText>
          </w:r>
          <w:r>
            <w:fldChar w:fldCharType="separate"/>
          </w:r>
          <w:r>
            <w:rPr>
              <w:rFonts w:hint="eastAsia" w:ascii="楷体_GB2312" w:hAnsi="楷体_GB2312" w:eastAsia="楷体_GB2312" w:cs="楷体_GB2312"/>
              <w:szCs w:val="32"/>
              <w:lang w:val="en-US" w:eastAsia="zh-CN"/>
            </w:rPr>
            <w:t>（三） 因公出国（境）经费</w:t>
          </w:r>
          <w:r>
            <w:tab/>
          </w:r>
          <w:r>
            <w:fldChar w:fldCharType="begin"/>
          </w:r>
          <w:r>
            <w:instrText xml:space="preserve"> PAGEREF _Toc477750672 \h </w:instrText>
          </w:r>
          <w:r>
            <w:fldChar w:fldCharType="separate"/>
          </w:r>
          <w:r>
            <w:t>10</w:t>
          </w:r>
          <w:r>
            <w:fldChar w:fldCharType="end"/>
          </w:r>
          <w:r>
            <w:fldChar w:fldCharType="end"/>
          </w:r>
        </w:p>
        <w:p>
          <w:pPr>
            <w:pStyle w:val="7"/>
            <w:tabs>
              <w:tab w:val="right" w:leader="dot" w:pos="8845"/>
            </w:tabs>
          </w:pPr>
          <w:r>
            <w:fldChar w:fldCharType="begin"/>
          </w:r>
          <w:r>
            <w:instrText xml:space="preserve"> HYPERLINK \l _Toc1264822583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_Toc1264822583 \h </w:instrText>
          </w:r>
          <w:r>
            <w:fldChar w:fldCharType="separate"/>
          </w:r>
          <w:r>
            <w:t>10</w:t>
          </w:r>
          <w:r>
            <w:fldChar w:fldCharType="end"/>
          </w:r>
          <w:r>
            <w:fldChar w:fldCharType="end"/>
          </w:r>
        </w:p>
        <w:p>
          <w:pPr>
            <w:pStyle w:val="7"/>
            <w:tabs>
              <w:tab w:val="right" w:leader="dot" w:pos="8845"/>
            </w:tabs>
          </w:pPr>
          <w:r>
            <w:fldChar w:fldCharType="begin"/>
          </w:r>
          <w:r>
            <w:instrText xml:space="preserve"> HYPERLINK \l _Toc620104949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_Toc620104949 \h </w:instrText>
          </w:r>
          <w:r>
            <w:fldChar w:fldCharType="separate"/>
          </w:r>
          <w:r>
            <w:t>10</w:t>
          </w:r>
          <w:r>
            <w:fldChar w:fldCharType="end"/>
          </w:r>
          <w:r>
            <w:fldChar w:fldCharType="end"/>
          </w:r>
        </w:p>
        <w:p>
          <w:pPr>
            <w:pStyle w:val="7"/>
            <w:tabs>
              <w:tab w:val="right" w:leader="dot" w:pos="8845"/>
            </w:tabs>
          </w:pPr>
          <w:r>
            <w:fldChar w:fldCharType="begin"/>
          </w:r>
          <w:r>
            <w:instrText xml:space="preserve"> HYPERLINK \l _Toc2048386033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_Toc2048386033 \h </w:instrText>
          </w:r>
          <w:r>
            <w:fldChar w:fldCharType="separate"/>
          </w:r>
          <w:r>
            <w:t>10</w:t>
          </w:r>
          <w:r>
            <w:fldChar w:fldCharType="end"/>
          </w:r>
          <w:r>
            <w:fldChar w:fldCharType="end"/>
          </w:r>
        </w:p>
        <w:p>
          <w:pPr>
            <w:pStyle w:val="10"/>
            <w:tabs>
              <w:tab w:val="right" w:leader="dot" w:pos="8845"/>
            </w:tabs>
          </w:pPr>
          <w:r>
            <w:fldChar w:fldCharType="begin"/>
          </w:r>
          <w:r>
            <w:instrText xml:space="preserve"> HYPERLINK \l _Toc1237210414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_Toc1237210414 \h </w:instrText>
          </w:r>
          <w:r>
            <w:fldChar w:fldCharType="separate"/>
          </w:r>
          <w:r>
            <w:t>10</w:t>
          </w:r>
          <w:r>
            <w:fldChar w:fldCharType="end"/>
          </w:r>
          <w:r>
            <w:fldChar w:fldCharType="end"/>
          </w:r>
        </w:p>
        <w:p>
          <w:pPr>
            <w:pStyle w:val="10"/>
            <w:tabs>
              <w:tab w:val="right" w:leader="dot" w:pos="8845"/>
            </w:tabs>
          </w:pPr>
          <w:r>
            <w:fldChar w:fldCharType="begin"/>
          </w:r>
          <w:r>
            <w:instrText xml:space="preserve"> HYPERLINK \l _Toc1680475592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_Toc1680475592 \h </w:instrText>
          </w:r>
          <w:r>
            <w:fldChar w:fldCharType="separate"/>
          </w:r>
          <w:r>
            <w:t>10</w:t>
          </w:r>
          <w:r>
            <w:fldChar w:fldCharType="end"/>
          </w:r>
          <w:r>
            <w:fldChar w:fldCharType="end"/>
          </w:r>
        </w:p>
        <w:p>
          <w:pPr>
            <w:pStyle w:val="10"/>
            <w:tabs>
              <w:tab w:val="right" w:leader="dot" w:pos="8845"/>
            </w:tabs>
          </w:pPr>
          <w:r>
            <w:fldChar w:fldCharType="begin"/>
          </w:r>
          <w:r>
            <w:instrText xml:space="preserve"> HYPERLINK \l _Toc974277614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_Toc974277614 \h </w:instrText>
          </w:r>
          <w:r>
            <w:fldChar w:fldCharType="separate"/>
          </w:r>
          <w:r>
            <w:t>11</w:t>
          </w:r>
          <w:r>
            <w:fldChar w:fldCharType="end"/>
          </w:r>
          <w:r>
            <w:fldChar w:fldCharType="end"/>
          </w:r>
        </w:p>
        <w:p>
          <w:pPr>
            <w:pStyle w:val="10"/>
            <w:tabs>
              <w:tab w:val="right" w:leader="dot" w:pos="8845"/>
            </w:tabs>
          </w:pPr>
          <w:r>
            <w:fldChar w:fldCharType="begin"/>
          </w:r>
          <w:r>
            <w:instrText xml:space="preserve"> HYPERLINK \l _Toc774591078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_Toc774591078 \h </w:instrText>
          </w:r>
          <w:r>
            <w:fldChar w:fldCharType="separate"/>
          </w:r>
          <w:r>
            <w:t>11</w:t>
          </w:r>
          <w:r>
            <w:fldChar w:fldCharType="end"/>
          </w:r>
          <w:r>
            <w:fldChar w:fldCharType="end"/>
          </w:r>
        </w:p>
        <w:p>
          <w:pPr>
            <w:pStyle w:val="7"/>
            <w:tabs>
              <w:tab w:val="right" w:leader="dot" w:pos="8845"/>
            </w:tabs>
          </w:pPr>
          <w:r>
            <w:fldChar w:fldCharType="begin"/>
          </w:r>
          <w:r>
            <w:instrText xml:space="preserve"> HYPERLINK \l _Toc1333457186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_Toc1333457186 \h </w:instrText>
          </w:r>
          <w:r>
            <w:fldChar w:fldCharType="separate"/>
          </w:r>
          <w:r>
            <w:t>11</w:t>
          </w:r>
          <w:r>
            <w:fldChar w:fldCharType="end"/>
          </w:r>
          <w:r>
            <w:fldChar w:fldCharType="end"/>
          </w:r>
        </w:p>
        <w:p>
          <w:r>
            <w:fldChar w:fldCharType="end"/>
          </w:r>
        </w:p>
        <w:p>
          <w:pPr>
            <w:spacing w:line="300" w:lineRule="auto"/>
          </w:pPr>
        </w:p>
      </w:sdtContent>
    </w:sdt>
    <w:bookmarkEnd w:id="67"/>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0"/>
        <w:rPr>
          <w:rFonts w:hint="eastAsia" w:ascii="黑体" w:hAnsi="黑体" w:eastAsia="黑体" w:cs="黑体"/>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0" w:name="_Toc691383442"/>
      <w:bookmarkStart w:id="1" w:name="_Toc953898485"/>
      <w:bookmarkStart w:id="2" w:name="_Toc1294328217"/>
      <w:r>
        <w:rPr>
          <w:rFonts w:hint="eastAsia" w:ascii="黑体" w:hAnsi="黑体" w:eastAsia="黑体" w:cs="黑体"/>
          <w:sz w:val="32"/>
          <w:szCs w:val="32"/>
          <w:lang w:val="en-US" w:eastAsia="zh-CN"/>
        </w:rPr>
        <w:t>一、基本职能及主要工作</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802082110"/>
      <w:bookmarkStart w:id="4" w:name="_Toc504910723"/>
      <w:bookmarkStart w:id="5" w:name="_Toc123551289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市纪委</w:t>
      </w:r>
      <w:r>
        <w:rPr>
          <w:rFonts w:hint="eastAsia" w:ascii="楷体_GB2312" w:hAnsi="楷体_GB2312" w:eastAsia="楷体_GB2312" w:cs="楷体_GB2312"/>
          <w:sz w:val="32"/>
          <w:szCs w:val="32"/>
        </w:rPr>
        <w:t>职能简介</w:t>
      </w:r>
      <w:bookmarkEnd w:id="3"/>
      <w:bookmarkEnd w:id="4"/>
      <w:bookmarkEnd w:id="5"/>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一是负责党的纪律检查工作。贯彻落实党中央关于纪律检查工作的决定，维护党的章程和其他党内法规，检查党的路线方针政策和决议的执行情况，协助市委推进全面从严治党、加强党风建设和组织协调反腐败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二是依照党的章程和其他党内法规履行监督、执纪、问责职责。负责经常对党员进行遵守纪律的教育，负责对市委工作机关、市委批准设立的党组织（党委），各县（区）党委、纪委等党的组织和市委管理的党员领导干部履行职责、行使权力进行监督，受理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三是负责全市监察工作。贯彻落实党中央关于监察工作的决定，维护宪法法律，依法对市委管理的行使公权力的公职人员进行监察，调查职务违法和职务犯罪，开展廉政建设和反腐败工作。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四是依照法律规定履行监督、调查、处置职责。推动开展廉政教育，对市委管理的行使公权力的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五是负责组织协调全面从严治党、党风廉政建设和反腐败宣传教育工作。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六是负责综合分析全面从严治党、党风廉政建设和反腐败工作情况，对纪检监察工作重要理论及实践问题进行调查研究。制定或者修改全市纪检监察规范性文件，参与起草制定相关法规和规范性文件。</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七是在省纪委监委的领导下，加强对反腐败国际追逃追赃和防逃工作的组织协调，督促有关单位做好相关工作。</w:t>
      </w:r>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八是根据干部管理权限，负责纪检监察系统领导班子建设、干部队伍建设和组织建设的综合规划、政策研究、制度建设和业务指导。会同有关方面做好市纪委监委派驻（出）机构、县（区）纪委监委机关、市管企业和市属学校医院等事业单位纪检监察机构领导班子建设有关工作。组织和指导全市纪检监察系统教育培训工作等。</w:t>
      </w:r>
    </w:p>
    <w:p>
      <w:pPr>
        <w:spacing w:line="576" w:lineRule="exact"/>
        <w:ind w:firstLine="640" w:firstLineChars="200"/>
        <w:rPr>
          <w:rFonts w:hint="eastAsia" w:ascii="楷体_GB2312" w:hAnsi="楷体_GB2312" w:eastAsia="楷体_GB2312" w:cs="楷体_GB2312"/>
          <w:sz w:val="32"/>
          <w:szCs w:val="32"/>
        </w:rPr>
      </w:pPr>
      <w:r>
        <w:rPr>
          <w:rFonts w:hint="eastAsia" w:ascii="仿宋_GB2312" w:eastAsia="仿宋_GB2312"/>
          <w:sz w:val="32"/>
          <w:szCs w:val="32"/>
        </w:rPr>
        <w:t>九是完成市委和省纪委监委交办的其他任务。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585415928"/>
      <w:bookmarkStart w:id="7" w:name="_Toc193920601"/>
      <w:bookmarkStart w:id="8" w:name="_Toc1736142123"/>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市纪委</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bookmarkEnd w:id="7"/>
      <w:bookmarkEnd w:id="8"/>
    </w:p>
    <w:p>
      <w:pPr>
        <w:pStyle w:val="11"/>
        <w:widowControl w:val="0"/>
        <w:adjustRightInd w:val="0"/>
        <w:snapToGrid w:val="0"/>
        <w:spacing w:before="0" w:beforeAutospacing="0" w:after="0" w:afterAutospacing="0" w:line="576" w:lineRule="exact"/>
        <w:ind w:firstLine="640" w:firstLineChars="200"/>
        <w:jc w:val="both"/>
        <w:rPr>
          <w:rFonts w:hint="eastAsia" w:ascii="楷体_GB2312" w:hAnsi="楷体_GB2312" w:eastAsia="楷体_GB2312" w:cs="楷体_GB2312"/>
          <w:sz w:val="32"/>
          <w:szCs w:val="32"/>
        </w:rPr>
      </w:pPr>
      <w:r>
        <w:rPr>
          <w:rFonts w:hint="eastAsia" w:ascii="仿宋_GB2312" w:eastAsia="仿宋_GB2312" w:cs="Times New Roman"/>
          <w:b w:val="0"/>
          <w:bCs/>
          <w:color w:val="000000"/>
          <w:kern w:val="2"/>
          <w:sz w:val="32"/>
          <w:szCs w:val="32"/>
          <w:lang w:val="en-US" w:eastAsia="zh-CN"/>
        </w:rPr>
        <w:t>2024年，</w:t>
      </w:r>
      <w:r>
        <w:rPr>
          <w:rFonts w:hint="eastAsia" w:ascii="仿宋_GB2312" w:eastAsia="仿宋_GB2312" w:cs="Times New Roman"/>
          <w:b w:val="0"/>
          <w:bCs/>
          <w:color w:val="000000"/>
          <w:kern w:val="2"/>
          <w:sz w:val="32"/>
          <w:szCs w:val="32"/>
        </w:rPr>
        <w:t>我们将全面贯彻落实党中央和省委、市委决策部署，树牢“保位争先、全省前列”目标导向，全力以赴推动纪检监察工作高质量发展。一是以护发展为要务，强化政治监督。对习近平总书记来川来广视察重要指示精神和党中央、省委、市委重大决策部署贯彻落实情况立项监督，深化运用“三张清单”“四责协同”压实管党治党政治责任，从严“一把手”和“关键少数”监督，持续深化营商环境专项监督，扎实开展政治巡察，统筹推进“四项监督”贯通融合。二是以优生态为统领，推进“清廉广元·生态社会”建设。以市委名义制定出台《关于推进“清廉广元·生态社会”建设的意见》，按照党的领导、问题导向、系统施治、分类推进原则，围绕清廉党政系统、清正市场系统、清新社会系统三大板块全域推进“清廉广元·生态社会”9个“清廉单元”建设。三是以查案件为主线，一体推进“三不腐”。保持惩治高压态势，做实案件查办“后半篇文章”，深化以案促改、系统治理，把惩治腐败与完善制度、促进治理有机融合。以学习宣传新修订的《中国共产党纪律处分条例》为契机，大力开展“明纪释法”教育。加强新时代廉洁文化建设，深化“传家风·立正德”活动，高标准打造“大蜀道廉洁文化基地”。四是以严作风为保障，激励担当作为。实施纪律作风建设三年提升行动，围绕“不主动、不争先，假作为、乱作为，形式主义、官僚主义”问题开展“蜀道纪律作风行”专项整治。认真落实“三个区分开来”，鲜明支持干事者、保护创新者、宽容失败者、打击诬告者、严惩腐败者导向。探索建立“无感化”信访处置、线索办理机制，对组织负责的同时最大限度降低对干部的影响。五是以高质量为标准，推进“三化”建设。巩固拓展教育整顿和主题教育成果，系统推进“三化”建设，制定工作意见，扎实推动实施，力争形成一批有影响的制度成果，促进权力监督制度和监督执纪执法体系更加规范有效，着力锻造忠诚干净担当、敢于善于斗争的纪检监察干部队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532986146"/>
      <w:bookmarkStart w:id="10" w:name="_Toc1966862477"/>
      <w:bookmarkStart w:id="11" w:name="_Toc1175136045"/>
      <w:r>
        <w:rPr>
          <w:rFonts w:hint="eastAsia" w:ascii="黑体" w:hAnsi="黑体" w:eastAsia="黑体" w:cs="黑体"/>
          <w:sz w:val="32"/>
          <w:szCs w:val="32"/>
          <w:lang w:val="en-US" w:eastAsia="zh-CN"/>
        </w:rPr>
        <w:t>二、部门预算单位构成</w:t>
      </w:r>
      <w:bookmarkEnd w:id="9"/>
      <w:bookmarkEnd w:id="10"/>
      <w:bookmarkEnd w:id="11"/>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市纪委下属二级预算单位2个，其中行政单位1个，其他事业单位1个。主要包括：市纪委机关和市党风廉政教育中心。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659006681"/>
      <w:bookmarkStart w:id="13" w:name="_Toc1279479050"/>
      <w:bookmarkStart w:id="14" w:name="_Toc616338960"/>
      <w:r>
        <w:rPr>
          <w:rFonts w:hint="eastAsia" w:ascii="黑体" w:hAnsi="黑体" w:eastAsia="黑体" w:cs="黑体"/>
          <w:sz w:val="32"/>
          <w:szCs w:val="32"/>
          <w:lang w:val="en-US" w:eastAsia="zh-CN"/>
        </w:rPr>
        <w:t>三、收支预算情况说明</w:t>
      </w:r>
      <w:bookmarkEnd w:id="12"/>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市纪委所有收入和支出均纳入部门预算管理。收入包括：一般公共预算拨款收入、其他收入；支出包括：一般公共服务支出、社会保障和就业支出、卫生健康支出、住房保障支出。市纪委2024年收支预算总数6598.4万元,比2023年收支预算总数增加3331.47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673843128"/>
      <w:bookmarkStart w:id="16" w:name="_Toc1997487873"/>
      <w:bookmarkStart w:id="17" w:name="_Toc1787186295"/>
      <w:r>
        <w:rPr>
          <w:rFonts w:hint="eastAsia" w:ascii="楷体_GB2312" w:hAnsi="楷体_GB2312" w:eastAsia="楷体_GB2312" w:cs="楷体_GB2312"/>
          <w:sz w:val="32"/>
          <w:szCs w:val="32"/>
          <w:lang w:val="en-US" w:eastAsia="zh-CN"/>
        </w:rPr>
        <w:t>（一）收入预算情况</w:t>
      </w:r>
      <w:bookmarkEnd w:id="15"/>
      <w:bookmarkEnd w:id="16"/>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市纪委2024年收入预算6598.4万元，其中：一般公共预算拨款收入3290.88万元，占49.87%；其他收入3307.52万元，占50.13%。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480997140"/>
      <w:bookmarkStart w:id="19" w:name="_Toc1650223516"/>
      <w:bookmarkStart w:id="20" w:name="_Toc1848688455"/>
      <w:r>
        <w:rPr>
          <w:rFonts w:hint="eastAsia" w:ascii="楷体_GB2312" w:hAnsi="楷体_GB2312" w:eastAsia="楷体_GB2312" w:cs="楷体_GB2312"/>
          <w:sz w:val="32"/>
          <w:szCs w:val="32"/>
          <w:lang w:val="en-US" w:eastAsia="zh-CN"/>
        </w:rPr>
        <w:t>（二）支出预算情况</w:t>
      </w:r>
      <w:bookmarkEnd w:id="18"/>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市纪委2024年支出预算6598.4万元，其中：基本支出2430.63万元，占36.83%；项目支出4168.37万元，占63.17%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953478037"/>
      <w:bookmarkStart w:id="22" w:name="_Toc1712476480"/>
      <w:bookmarkStart w:id="23" w:name="_Toc2065827165"/>
      <w:r>
        <w:rPr>
          <w:rFonts w:hint="eastAsia" w:ascii="黑体" w:hAnsi="黑体" w:eastAsia="黑体" w:cs="黑体"/>
          <w:sz w:val="32"/>
          <w:szCs w:val="32"/>
          <w:lang w:val="en-US" w:eastAsia="zh-CN"/>
        </w:rPr>
        <w:t>四、财政拨款收支预算情况说明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市纪委2024年财政拨款收支预算总数3290.88万元,比2023年财政拨款收支预算总数增加23.95万元，主要原因是2024年将年度考核奖纳入部门预算管理。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收入包括：本年一般公共预算拨款收入3290.88万元；支出包括：一般公共服务支出2822.03万元、社会保障和就业支出216.76万元、卫生健康支出68.8万元、住房保障支出183.29万元。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586991011"/>
      <w:bookmarkStart w:id="25" w:name="_Toc740094598"/>
      <w:bookmarkStart w:id="26" w:name="_Toc1091894667"/>
      <w:r>
        <w:rPr>
          <w:rFonts w:hint="eastAsia" w:ascii="黑体" w:hAnsi="黑体" w:eastAsia="黑体" w:cs="黑体"/>
          <w:sz w:val="32"/>
          <w:szCs w:val="32"/>
          <w:lang w:val="en-US" w:eastAsia="zh-CN"/>
        </w:rPr>
        <w:t>五、一般公共预算当年拨款情况说明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27216815"/>
      <w:bookmarkStart w:id="28" w:name="_Toc374816061"/>
      <w:bookmarkStart w:id="29" w:name="_Toc888079769"/>
      <w:r>
        <w:rPr>
          <w:rFonts w:hint="eastAsia" w:ascii="楷体_GB2312" w:hAnsi="楷体_GB2312" w:eastAsia="楷体_GB2312" w:cs="楷体_GB2312"/>
          <w:sz w:val="32"/>
          <w:szCs w:val="32"/>
          <w:lang w:val="en-US" w:eastAsia="zh-CN"/>
        </w:rPr>
        <w:t>（一）一般公共预算当年拨款规模变化情况</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市纪委2024年一般公共预算当年拨款3290.88万元，比2023年预算数增加23.95万元，主要原因是2024年将年度考核奖纳入部门预算管理。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445486025"/>
      <w:bookmarkStart w:id="31" w:name="_Toc966903095"/>
      <w:bookmarkStart w:id="32" w:name="_Toc76619741"/>
      <w:r>
        <w:rPr>
          <w:rFonts w:hint="eastAsia" w:ascii="楷体_GB2312" w:hAnsi="楷体_GB2312" w:eastAsia="楷体_GB2312" w:cs="楷体_GB2312"/>
          <w:sz w:val="32"/>
          <w:szCs w:val="32"/>
          <w:lang w:val="en-US" w:eastAsia="zh-CN"/>
        </w:rPr>
        <w:t>（二）一般公共预算当年拨款结构情况</w:t>
      </w:r>
      <w:bookmarkEnd w:id="30"/>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一般公共服务支出2822.03万元，占85.75%；社会保障和就业支出216.76万元，占6.59%；卫生健康支出68.8万元，占2.09%；住房保障支出183.29万元，占5.57%。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771526109"/>
      <w:bookmarkStart w:id="34" w:name="_Toc42753588"/>
      <w:bookmarkStart w:id="35" w:name="_Toc88948448"/>
      <w:r>
        <w:rPr>
          <w:rFonts w:hint="eastAsia" w:ascii="楷体_GB2312" w:hAnsi="楷体_GB2312" w:eastAsia="楷体_GB2312" w:cs="楷体_GB2312"/>
          <w:sz w:val="32"/>
          <w:szCs w:val="32"/>
          <w:lang w:val="en-US" w:eastAsia="zh-CN"/>
        </w:rPr>
        <w:t>（三）一般公共预算当年拨款具体使用情况</w:t>
      </w:r>
      <w:bookmarkEnd w:id="33"/>
      <w:bookmarkEnd w:id="34"/>
      <w:bookmarkEnd w:id="35"/>
    </w:p>
    <w:p>
      <w:pPr>
        <w:spacing w:line="576" w:lineRule="exact"/>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eastAsia="仿宋_GB2312"/>
          <w:sz w:val="32"/>
          <w:szCs w:val="32"/>
        </w:rPr>
        <w:t>一般公共服务（类）纪检监察事务（款）行政运行（项）</w:t>
      </w:r>
      <w:r>
        <w:rPr>
          <w:rFonts w:hint="eastAsia" w:ascii="仿宋_GB2312" w:hAnsi="仿宋_GB2312" w:eastAsia="仿宋_GB2312" w:cs="仿宋_GB2312"/>
          <w:sz w:val="32"/>
          <w:szCs w:val="32"/>
          <w:lang w:val="en-US" w:eastAsia="zh-CN"/>
        </w:rPr>
        <w:t>2024年预算数为1797.55万元，主要用于：</w:t>
      </w:r>
      <w:r>
        <w:rPr>
          <w:rFonts w:hint="eastAsia" w:ascii="仿宋_GB2312" w:eastAsia="仿宋_GB2312"/>
          <w:sz w:val="32"/>
          <w:szCs w:val="32"/>
        </w:rPr>
        <w:t>工资福利支出、日常公用经费支出、对个人和家庭的补助等。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eastAsia="仿宋_GB2312"/>
          <w:sz w:val="32"/>
          <w:szCs w:val="32"/>
        </w:rPr>
        <w:t>一般公共服务（类）纪检监察事务（款）一般行政管理事务（项）</w:t>
      </w:r>
      <w:r>
        <w:rPr>
          <w:rFonts w:hint="eastAsia" w:ascii="仿宋_GB2312" w:hAnsi="仿宋_GB2312" w:eastAsia="仿宋_GB2312" w:cs="仿宋_GB2312"/>
          <w:sz w:val="32"/>
          <w:szCs w:val="32"/>
          <w:lang w:val="en-US" w:eastAsia="zh-CN"/>
        </w:rPr>
        <w:t>2024年预算数为841.85万元，主要用于：</w:t>
      </w:r>
      <w:r>
        <w:rPr>
          <w:rFonts w:hint="eastAsia" w:ascii="仿宋_GB2312" w:eastAsia="仿宋_GB2312"/>
          <w:sz w:val="32"/>
          <w:szCs w:val="32"/>
        </w:rPr>
        <w:t>党风廉政建设宣传及警示教育支出、纪检监察信息化建设及标准谈话室运维支出、纪委监委专项工作经费支出等。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default" w:ascii="仿宋_GB2312" w:hAnsi="仿宋_GB2312" w:eastAsia="仿宋_GB2312" w:cs="仿宋_GB2312"/>
          <w:sz w:val="32"/>
          <w:szCs w:val="32"/>
          <w:lang w:val="en-US" w:eastAsia="zh-CN"/>
        </w:rPr>
        <w:t>3.</w:t>
      </w:r>
      <w:r>
        <w:rPr>
          <w:rFonts w:hint="eastAsia" w:ascii="仿宋_GB2312" w:eastAsia="仿宋_GB2312"/>
          <w:sz w:val="32"/>
          <w:szCs w:val="32"/>
        </w:rPr>
        <w:t>一般公共服务（类）纪检监察事务（款）事业运行（项）</w:t>
      </w:r>
      <w:r>
        <w:rPr>
          <w:rFonts w:hint="eastAsia" w:ascii="仿宋_GB2312" w:hAnsi="仿宋_GB2312" w:eastAsia="仿宋_GB2312" w:cs="仿宋_GB2312"/>
          <w:sz w:val="32"/>
          <w:szCs w:val="32"/>
          <w:lang w:val="en-US" w:eastAsia="zh-CN"/>
        </w:rPr>
        <w:t>2024年预算数为163.63万元，主要用于：</w:t>
      </w:r>
      <w:r>
        <w:rPr>
          <w:rFonts w:hint="eastAsia" w:ascii="仿宋_GB2312" w:eastAsia="仿宋_GB2312"/>
          <w:sz w:val="32"/>
          <w:szCs w:val="32"/>
        </w:rPr>
        <w:t>下属事业单位工资福利支出和日常公用经费支出。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4.</w:t>
      </w:r>
      <w:r>
        <w:rPr>
          <w:rFonts w:hint="eastAsia" w:ascii="仿宋_GB2312" w:eastAsia="仿宋_GB2312"/>
          <w:sz w:val="32"/>
          <w:szCs w:val="32"/>
        </w:rPr>
        <w:t>一般公共服务（类）纪检监察事务（款）其他纪检监察事务支出（项）202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19</w:t>
      </w:r>
      <w:r>
        <w:rPr>
          <w:rFonts w:hint="eastAsia" w:ascii="仿宋_GB2312" w:eastAsia="仿宋_GB2312"/>
          <w:sz w:val="32"/>
          <w:szCs w:val="32"/>
        </w:rPr>
        <w:t>万元,主要用于：后勤保障管理服务项目支出。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eastAsia="仿宋_GB2312"/>
          <w:sz w:val="32"/>
          <w:szCs w:val="32"/>
        </w:rPr>
        <w:t>社会保障和就业（类）行政事业单位养老支出（款）机关事业单位基本养老保险缴费支出（项）202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214.77</w:t>
      </w:r>
      <w:r>
        <w:rPr>
          <w:rFonts w:hint="eastAsia" w:ascii="仿宋_GB2312" w:eastAsia="仿宋_GB2312"/>
          <w:sz w:val="32"/>
          <w:szCs w:val="32"/>
        </w:rPr>
        <w:t>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eastAsia="仿宋_GB2312"/>
          <w:sz w:val="32"/>
          <w:szCs w:val="32"/>
        </w:rPr>
        <w:t>社会保障和就业（类）其他社会保障和就业支出（款）其他社会保障和就业支出（项）202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1.99</w:t>
      </w:r>
      <w:r>
        <w:rPr>
          <w:rFonts w:hint="eastAsia" w:ascii="仿宋_GB2312" w:eastAsia="仿宋_GB2312"/>
          <w:sz w:val="32"/>
          <w:szCs w:val="32"/>
        </w:rPr>
        <w:t>万元，主要用于：机关及事业单位按规定由单位缴纳的工伤保险、失业保险等支出。</w:t>
      </w:r>
    </w:p>
    <w:p>
      <w:pPr>
        <w:spacing w:line="576"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7.</w:t>
      </w:r>
      <w:r>
        <w:rPr>
          <w:rFonts w:hint="eastAsia" w:ascii="仿宋_GB2312" w:eastAsia="仿宋_GB2312"/>
          <w:sz w:val="32"/>
          <w:szCs w:val="32"/>
        </w:rPr>
        <w:t>卫生健康（类）行政事业单位医疗（款）行政单位医疗（项）202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65.53</w:t>
      </w:r>
      <w:r>
        <w:rPr>
          <w:rFonts w:hint="eastAsia" w:ascii="仿宋_GB2312" w:eastAsia="仿宋_GB2312"/>
          <w:sz w:val="32"/>
          <w:szCs w:val="32"/>
        </w:rPr>
        <w:t>万元，主要用于：机关按规定由单位缴纳的基本医疗保险支出。</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.卫生健康（类）行政事业单位医疗（款）事业单位医疗（项）202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3.28</w:t>
      </w:r>
      <w:r>
        <w:rPr>
          <w:rFonts w:hint="eastAsia" w:ascii="仿宋_GB2312" w:eastAsia="仿宋_GB2312"/>
          <w:sz w:val="32"/>
          <w:szCs w:val="32"/>
        </w:rPr>
        <w:t>万元，主要用于：部门下属事业单位按规定由单位缴纳的基本医疗保险支出。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9.住房保障（类）住房改革支出（款）住房公积金（项）2024年预算数为183.29万元，主要用于：部门按规定为职工缴纳的住房公积金支出。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791590339"/>
      <w:bookmarkStart w:id="37" w:name="_Toc199386595"/>
      <w:bookmarkStart w:id="38" w:name="_Toc540776362"/>
      <w:r>
        <w:rPr>
          <w:rFonts w:hint="eastAsia" w:ascii="黑体" w:hAnsi="黑体" w:eastAsia="黑体" w:cs="黑体"/>
          <w:sz w:val="32"/>
          <w:szCs w:val="32"/>
          <w:lang w:val="en-US" w:eastAsia="zh-CN"/>
        </w:rPr>
        <w:t>六、一般公共预算基本支出情况说明</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市纪委2024年一般公共预算基本支出2430.03万元，其中：</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人员经费2027.64万元，</w:t>
      </w:r>
      <w:r>
        <w:rPr>
          <w:rFonts w:hint="eastAsia" w:ascii="仿宋_GB2312" w:eastAsia="仿宋_GB2312"/>
          <w:sz w:val="32"/>
          <w:szCs w:val="32"/>
        </w:rPr>
        <w:t>主要包括：基本工资、津贴补贴、奖金、</w:t>
      </w:r>
      <w:r>
        <w:rPr>
          <w:rFonts w:hint="eastAsia" w:ascii="仿宋_GB2312" w:eastAsia="仿宋_GB2312"/>
          <w:sz w:val="32"/>
          <w:szCs w:val="32"/>
          <w:woUserID w:val="1"/>
        </w:rPr>
        <w:t>绩效工资</w:t>
      </w:r>
      <w:r>
        <w:rPr>
          <w:rFonts w:hint="default" w:ascii="仿宋_GB2312" w:eastAsia="仿宋_GB2312"/>
          <w:sz w:val="32"/>
          <w:szCs w:val="32"/>
          <w:woUserID w:val="1"/>
        </w:rPr>
        <w:t>、</w:t>
      </w:r>
      <w:r>
        <w:rPr>
          <w:rFonts w:hint="eastAsia" w:ascii="仿宋_GB2312" w:eastAsia="仿宋_GB2312"/>
          <w:sz w:val="32"/>
          <w:szCs w:val="32"/>
        </w:rPr>
        <w:t>社会保险缴费、住房公积金、</w:t>
      </w:r>
      <w:r>
        <w:rPr>
          <w:rFonts w:hint="default" w:ascii="仿宋_GB2312" w:eastAsia="仿宋_GB2312"/>
          <w:sz w:val="32"/>
          <w:szCs w:val="32"/>
          <w:woUserID w:val="1"/>
        </w:rPr>
        <w:t>生活补助</w:t>
      </w:r>
      <w:r>
        <w:rPr>
          <w:rFonts w:hint="eastAsia" w:ascii="仿宋_GB2312" w:eastAsia="仿宋_GB2312"/>
          <w:sz w:val="32"/>
          <w:szCs w:val="32"/>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公用经费402.39万元，主要包括：</w:t>
      </w:r>
      <w:r>
        <w:rPr>
          <w:rFonts w:hint="eastAsia" w:ascii="仿宋_GB2312" w:eastAsia="仿宋_GB2312"/>
          <w:sz w:val="32"/>
          <w:szCs w:val="32"/>
        </w:rPr>
        <w:t>办公费、印刷费、水费、电费、邮电费、物业管理费、差旅费、维修（护）费、会议费、培训费、公务接待费、工会经费、福利费、公务用车运行维护费、其他交通费用、其他商品和服务</w:t>
      </w:r>
      <w:r>
        <w:rPr>
          <w:rFonts w:hint="default" w:ascii="仿宋_GB2312" w:eastAsia="仿宋_GB2312"/>
          <w:sz w:val="32"/>
          <w:szCs w:val="32"/>
          <w:woUserID w:val="1"/>
        </w:rPr>
        <w:t>支出</w:t>
      </w:r>
      <w:r>
        <w:rPr>
          <w:rFonts w:hint="eastAsia" w:ascii="仿宋_GB2312" w:eastAsia="仿宋_GB2312"/>
          <w:sz w:val="32"/>
          <w:szCs w:val="32"/>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9" w:name="_Toc971094460"/>
      <w:bookmarkStart w:id="40" w:name="_Toc579107697"/>
      <w:bookmarkStart w:id="41" w:name="_Toc873977788"/>
      <w:r>
        <w:rPr>
          <w:rFonts w:hint="eastAsia" w:ascii="黑体" w:hAnsi="黑体" w:eastAsia="黑体" w:cs="黑体"/>
          <w:sz w:val="32"/>
          <w:szCs w:val="32"/>
          <w:lang w:val="en-US" w:eastAsia="zh-CN"/>
        </w:rPr>
        <w:t>七、“三公”经费财政拨款预算安排情况说明</w:t>
      </w:r>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市纪委2024年“三公”经费财政拨款预算数61万元，其中：公务接待费8万元，公务用车购置及运行维护费53万元，因公出国（境）经费0万元。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1207028062"/>
      <w:bookmarkStart w:id="43" w:name="_Toc171564695"/>
      <w:bookmarkStart w:id="44" w:name="_Toc424430154"/>
      <w:r>
        <w:rPr>
          <w:rFonts w:hint="eastAsia" w:ascii="楷体_GB2312" w:hAnsi="楷体_GB2312" w:eastAsia="楷体_GB2312" w:cs="楷体_GB2312"/>
          <w:sz w:val="32"/>
          <w:szCs w:val="32"/>
          <w:lang w:val="en-US" w:eastAsia="zh-CN"/>
        </w:rPr>
        <w:t>（一）公务接待费</w:t>
      </w:r>
      <w:bookmarkEnd w:id="42"/>
      <w:bookmarkEnd w:id="43"/>
      <w:bookmarkEnd w:id="4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5" w:name="_Toc589360665"/>
      <w:bookmarkStart w:id="46" w:name="_Toc1794233979"/>
      <w:bookmarkStart w:id="47" w:name="_Toc1557222179"/>
      <w:r>
        <w:rPr>
          <w:rFonts w:hint="eastAsia" w:ascii="楷体_GB2312" w:hAnsi="楷体_GB2312" w:eastAsia="楷体_GB2312" w:cs="楷体_GB2312"/>
          <w:sz w:val="32"/>
          <w:szCs w:val="32"/>
          <w:lang w:val="en-US" w:eastAsia="zh-CN"/>
        </w:rPr>
        <w:t>公务用车购置及运行维护费</w:t>
      </w:r>
      <w:bookmarkEnd w:id="45"/>
      <w:bookmarkEnd w:id="46"/>
      <w:bookmarkEnd w:id="4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公务用车购置及运行维护费与2023年预算持平。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单位现有公务用车10辆，其中：轿车5辆，商务车2辆，越野车3辆。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2024年安排公务用车运行维护费53万元，用于10辆公务用车燃油、过路（桥）、维修、保险等方面支出，</w:t>
      </w:r>
      <w:r>
        <w:rPr>
          <w:rFonts w:hint="eastAsia" w:ascii="仿宋_GB2312" w:eastAsia="仿宋_GB2312"/>
          <w:sz w:val="32"/>
          <w:szCs w:val="32"/>
        </w:rPr>
        <w:t>主要保障办理公务、机要通信、办案、监督检查、处置突发事件等。</w:t>
      </w:r>
      <w:r>
        <w:rPr>
          <w:rFonts w:hint="eastAsia" w:ascii="仿宋_GB2312" w:hAnsi="仿宋_GB2312" w:eastAsia="仿宋_GB2312" w:cs="仿宋_GB2312"/>
          <w:sz w:val="32"/>
          <w:szCs w:val="32"/>
          <w:lang w:val="en-US" w:eastAsia="zh-CN"/>
        </w:rPr>
        <w:t xml:space="preserve"> </w:t>
      </w:r>
      <w:bookmarkStart w:id="48" w:name="_Toc1498308484"/>
      <w:bookmarkStart w:id="49" w:name="_Toc152121436"/>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default" w:ascii="楷体_GB2312" w:hAnsi="楷体_GB2312" w:eastAsia="楷体_GB2312" w:cs="楷体_GB2312"/>
          <w:sz w:val="32"/>
          <w:szCs w:val="32"/>
          <w:lang w:val="en-US" w:eastAsia="zh-CN"/>
        </w:rPr>
      </w:pPr>
      <w:bookmarkStart w:id="50" w:name="_Toc477750672"/>
      <w:r>
        <w:rPr>
          <w:rFonts w:hint="eastAsia" w:ascii="楷体_GB2312" w:hAnsi="楷体_GB2312" w:eastAsia="楷体_GB2312" w:cs="楷体_GB2312"/>
          <w:sz w:val="32"/>
          <w:szCs w:val="32"/>
          <w:lang w:val="en-US" w:eastAsia="zh-CN"/>
        </w:rPr>
        <w:t>因公出国（境）经费</w:t>
      </w:r>
      <w:bookmarkEnd w:id="48"/>
      <w:bookmarkEnd w:id="49"/>
      <w:bookmarkEnd w:id="50"/>
    </w:p>
    <w:p>
      <w:pPr>
        <w:spacing w:line="576" w:lineRule="exact"/>
        <w:ind w:firstLine="640" w:firstLineChars="200"/>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因公出国（境）经费与2023年预算持平，</w:t>
      </w:r>
      <w:r>
        <w:rPr>
          <w:rFonts w:hint="eastAsia" w:ascii="仿宋_GB2312" w:eastAsia="仿宋_GB2312"/>
          <w:sz w:val="32"/>
          <w:szCs w:val="32"/>
        </w:rPr>
        <w:t>部门预算未编列因公出国（境）经费，未安排出国（境）任务和计划。</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1" w:name="_Toc999808453"/>
      <w:bookmarkStart w:id="52" w:name="_Toc1868842245"/>
      <w:bookmarkStart w:id="53" w:name="_Toc1264822583"/>
      <w:r>
        <w:rPr>
          <w:rFonts w:hint="eastAsia" w:ascii="黑体" w:hAnsi="黑体" w:eastAsia="黑体" w:cs="黑体"/>
          <w:sz w:val="32"/>
          <w:szCs w:val="32"/>
          <w:lang w:val="en-US" w:eastAsia="zh-CN"/>
        </w:rPr>
        <w:t>八、政府性基金预算支出情况说明</w:t>
      </w:r>
      <w:bookmarkEnd w:id="51"/>
      <w:bookmarkEnd w:id="52"/>
      <w:bookmarkEnd w:id="5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市纪委2024年无政府性基金预算拨款安排的支出。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54" w:name="_Toc1303659361"/>
      <w:bookmarkStart w:id="55" w:name="_Toc2028291475"/>
      <w:bookmarkStart w:id="56" w:name="_Toc620104949"/>
      <w:r>
        <w:rPr>
          <w:rFonts w:hint="eastAsia" w:ascii="黑体" w:hAnsi="黑体" w:eastAsia="黑体" w:cs="黑体"/>
          <w:sz w:val="32"/>
          <w:szCs w:val="32"/>
          <w:lang w:val="en-US" w:eastAsia="zh-CN"/>
        </w:rPr>
        <w:t>九、国有资本经营预算支出情况说明</w:t>
      </w:r>
      <w:bookmarkEnd w:id="54"/>
      <w:bookmarkEnd w:id="55"/>
      <w:bookmarkEnd w:id="5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市纪委2024年无国有资本经营预算拨款安排的支出。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7" w:name="_Toc993694672"/>
      <w:bookmarkStart w:id="58" w:name="_Toc1528309716"/>
      <w:bookmarkStart w:id="59" w:name="_Toc2048386033"/>
      <w:r>
        <w:rPr>
          <w:rFonts w:hint="eastAsia" w:ascii="黑体" w:hAnsi="黑体" w:eastAsia="黑体" w:cs="黑体"/>
          <w:sz w:val="32"/>
          <w:szCs w:val="32"/>
          <w:lang w:val="en-US" w:eastAsia="zh-CN"/>
        </w:rPr>
        <w:t>十、其他重要事项的情况说明</w:t>
      </w:r>
      <w:bookmarkEnd w:id="57"/>
      <w:bookmarkEnd w:id="58"/>
      <w:bookmarkEnd w:id="59"/>
    </w:p>
    <w:p>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0" w:name="_Toc1237210414"/>
      <w:r>
        <w:rPr>
          <w:rFonts w:hint="eastAsia" w:ascii="楷体_GB2312" w:hAnsi="楷体_GB2312" w:eastAsia="楷体_GB2312" w:cs="楷体_GB2312"/>
          <w:sz w:val="32"/>
          <w:szCs w:val="32"/>
          <w:lang w:val="en-US" w:eastAsia="zh-CN"/>
        </w:rPr>
        <w:t>（一）机关运行经费</w:t>
      </w:r>
      <w:bookmarkEnd w:id="6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2024年，市纪委下属局机关等1家行政单位的机关运行经费财政拨款预算为389.73万元，比2023年预算减少11.13万元，减少2.78%。主要原因是</w:t>
      </w:r>
      <w:r>
        <w:rPr>
          <w:rFonts w:hint="eastAsia" w:ascii="仿宋_GB2312" w:eastAsia="仿宋_GB2312"/>
          <w:sz w:val="32"/>
          <w:szCs w:val="32"/>
        </w:rPr>
        <w:t>人员调职则机关运行经费相应减少</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1" w:name="_Toc1680475592"/>
      <w:r>
        <w:rPr>
          <w:rFonts w:hint="eastAsia" w:ascii="楷体_GB2312" w:hAnsi="楷体_GB2312" w:eastAsia="楷体_GB2312" w:cs="楷体_GB2312"/>
          <w:sz w:val="32"/>
          <w:szCs w:val="32"/>
          <w:lang w:val="en-US" w:eastAsia="zh-CN"/>
        </w:rPr>
        <w:t>（二）政府采购情况</w:t>
      </w:r>
      <w:bookmarkEnd w:id="6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2024年，市纪委安排政府采购预算745.22万元，其中：政府采购货物预算67.55万元、政府采购服务预算677.67万元。</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2" w:name="_Toc974277614"/>
      <w:r>
        <w:rPr>
          <w:rFonts w:hint="eastAsia" w:ascii="楷体_GB2312" w:hAnsi="楷体_GB2312" w:eastAsia="楷体_GB2312" w:cs="楷体_GB2312"/>
          <w:sz w:val="32"/>
          <w:szCs w:val="32"/>
          <w:lang w:val="en-US" w:eastAsia="zh-CN"/>
        </w:rPr>
        <w:t>（三）国有资产占有使用情况</w:t>
      </w:r>
      <w:bookmarkEnd w:id="6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截至2023年底，市纪委共有车辆10辆，其中，执法执勤用车9辆，1辆应急保障用车。单位价值200万元以上大型设备0台（套）。</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color w:val="FF0000"/>
          <w:sz w:val="32"/>
          <w:szCs w:val="32"/>
          <w:lang w:val="en-US" w:eastAsia="zh-CN"/>
        </w:rPr>
      </w:pPr>
      <w:r>
        <w:rPr>
          <w:rFonts w:hint="default" w:ascii="仿宋_GB2312" w:hAnsi="Calibri" w:eastAsia="仿宋_GB2312" w:cs="仿宋_GB2312"/>
          <w:color w:val="auto"/>
          <w:kern w:val="2"/>
          <w:sz w:val="32"/>
          <w:szCs w:val="32"/>
          <w:lang w:val="en-US" w:eastAsia="zh-CN" w:bidi="ar"/>
          <w:woUserID w:val="1"/>
        </w:rPr>
        <w:t>2024年部门预算未安排购置车辆及单位价值200万元以上大型设备</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3" w:name="_Toc774591078"/>
      <w:r>
        <w:rPr>
          <w:rFonts w:hint="eastAsia" w:ascii="楷体_GB2312" w:hAnsi="楷体_GB2312" w:eastAsia="楷体_GB2312" w:cs="楷体_GB2312"/>
          <w:sz w:val="32"/>
          <w:szCs w:val="32"/>
          <w:lang w:val="en-US" w:eastAsia="zh-CN"/>
        </w:rPr>
        <w:t>（四）绩效目标设置情况</w:t>
      </w:r>
      <w:bookmarkEnd w:id="6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2024年市纪委开展绩效目标管理的项目36个，涉及预算6598.4万元。其中：人员类项目12个，涉及预算 2027.64万元；运转类项目7个，涉及预算402.39万元；特定目标类项目17个，涉及预算4168.37万元。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64" w:name="_Toc1426194206"/>
      <w:bookmarkStart w:id="65" w:name="_Toc51044172"/>
      <w:bookmarkStart w:id="66" w:name="_Toc1333457186"/>
      <w:r>
        <w:rPr>
          <w:rFonts w:hint="eastAsia" w:ascii="黑体" w:hAnsi="黑体" w:eastAsia="黑体" w:cs="黑体"/>
          <w:sz w:val="32"/>
          <w:szCs w:val="32"/>
          <w:lang w:val="en-US" w:eastAsia="zh-CN"/>
        </w:rPr>
        <w:t>十一、名词解释</w:t>
      </w:r>
      <w:bookmarkEnd w:id="64"/>
      <w:bookmarkEnd w:id="65"/>
      <w:bookmarkEnd w:id="6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spacing w:line="576"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highlight w:val="none"/>
          <w:lang w:val="en-US" w:eastAsia="zh-CN"/>
        </w:rPr>
        <w:t>其他收入：</w:t>
      </w:r>
      <w:r>
        <w:rPr>
          <w:rFonts w:hint="eastAsia" w:ascii="仿宋_GB2312" w:hAnsi="仿宋_GB2312" w:eastAsia="仿宋_GB2312" w:cs="仿宋_GB2312"/>
          <w:sz w:val="32"/>
          <w:szCs w:val="32"/>
          <w:highlight w:val="none"/>
          <w:lang w:val="en-US" w:eastAsia="zh-CN"/>
        </w:rPr>
        <w:t>指除上述“一般公共预算拨款收入” “事业收入”等以外的收入。如银行存款利息收入、伙食费收入等。</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w:t>
      </w:r>
      <w:r>
        <w:rPr>
          <w:rFonts w:hint="eastAsia" w:ascii="楷体_GB2312" w:eastAsia="楷体_GB2312"/>
          <w:sz w:val="32"/>
          <w:szCs w:val="32"/>
        </w:rPr>
        <w:t>一般公共服务（类）纪检监察事务（款）行政运行</w:t>
      </w:r>
      <w:r>
        <w:rPr>
          <w:rFonts w:hint="eastAsia" w:ascii="楷体_GB2312" w:eastAsia="楷体_GB2312"/>
          <w:spacing w:val="-6"/>
          <w:sz w:val="32"/>
          <w:szCs w:val="32"/>
        </w:rPr>
        <w:t>（项）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指机关单位用于保障机构正常运行、开展日常工作的基本支出。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highlight w:val="none"/>
          <w:lang w:val="en-US" w:eastAsia="zh-CN"/>
        </w:rPr>
        <w:t>（四）</w:t>
      </w:r>
      <w:r>
        <w:rPr>
          <w:rFonts w:hint="eastAsia" w:ascii="楷体_GB2312" w:eastAsia="楷体_GB2312"/>
          <w:sz w:val="32"/>
          <w:szCs w:val="32"/>
          <w:highlight w:val="none"/>
        </w:rPr>
        <w:t>一般公共服务（类）纪检监察事务（款）一般行政管理事务（项）</w:t>
      </w:r>
      <w:r>
        <w:rPr>
          <w:rFonts w:hint="eastAsia" w:ascii="楷体_GB2312" w:hAnsi="楷体_GB2312" w:eastAsia="楷体_GB2312" w:cs="楷体_GB2312"/>
          <w:sz w:val="32"/>
          <w:szCs w:val="32"/>
          <w:highlight w:val="none"/>
          <w:lang w:val="en-US" w:eastAsia="zh-CN"/>
        </w:rPr>
        <w:t>：</w:t>
      </w:r>
      <w:r>
        <w:rPr>
          <w:rFonts w:hint="eastAsia" w:ascii="仿宋_GB2312" w:eastAsia="仿宋_GB2312"/>
          <w:sz w:val="32"/>
          <w:szCs w:val="32"/>
        </w:rPr>
        <w:t>指部门开展党风廉政建设宣传及警示教育、纪检监察信息化建设及标准谈话室运维等管理工作的项目支出。</w:t>
      </w:r>
    </w:p>
    <w:p>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w:t>
      </w:r>
      <w:r>
        <w:rPr>
          <w:rFonts w:hint="eastAsia" w:ascii="楷体_GB2312" w:eastAsia="楷体_GB2312"/>
          <w:sz w:val="32"/>
          <w:szCs w:val="32"/>
        </w:rPr>
        <w:t>一般公共服务（类）纪检监察事务（款）事业运行（项）</w:t>
      </w:r>
      <w:r>
        <w:rPr>
          <w:rFonts w:hint="eastAsia" w:ascii="楷体_GB2312" w:hAnsi="楷体_GB2312" w:eastAsia="楷体_GB2312" w:cs="楷体_GB2312"/>
          <w:sz w:val="32"/>
          <w:szCs w:val="32"/>
          <w:lang w:val="en-US" w:eastAsia="zh-CN"/>
        </w:rPr>
        <w:t>：</w:t>
      </w:r>
      <w:r>
        <w:rPr>
          <w:rFonts w:hint="eastAsia" w:ascii="仿宋_GB2312" w:eastAsia="仿宋_GB2312"/>
          <w:sz w:val="32"/>
          <w:szCs w:val="32"/>
        </w:rPr>
        <w:t>指下属事业单位用于保障正常运行、开展日常工作的基本支出。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w:t>
      </w:r>
      <w:r>
        <w:rPr>
          <w:rFonts w:hint="eastAsia" w:ascii="楷体_GB2312" w:eastAsia="楷体_GB2312"/>
          <w:sz w:val="32"/>
          <w:szCs w:val="32"/>
        </w:rPr>
        <w:t>一般公共服务（类）纪检监察事务（款）其他纪检监察事务支出（项）：</w:t>
      </w:r>
      <w:r>
        <w:rPr>
          <w:rFonts w:hint="eastAsia" w:ascii="仿宋_GB2312" w:eastAsia="仿宋_GB2312"/>
          <w:sz w:val="32"/>
          <w:szCs w:val="32"/>
        </w:rPr>
        <w:t>指</w:t>
      </w:r>
      <w:r>
        <w:rPr>
          <w:rFonts w:hint="eastAsia" w:ascii="仿宋_GB2312" w:eastAsia="仿宋_GB2312"/>
          <w:sz w:val="32"/>
          <w:szCs w:val="32"/>
          <w:lang w:eastAsia="zh-CN"/>
        </w:rPr>
        <w:t>部门</w:t>
      </w:r>
      <w:r>
        <w:rPr>
          <w:rFonts w:hint="eastAsia" w:ascii="仿宋_GB2312" w:hAnsi="仿宋_GB2312" w:eastAsia="仿宋_GB2312" w:cs="仿宋_GB2312"/>
          <w:sz w:val="32"/>
          <w:szCs w:val="32"/>
          <w:lang w:val="en-US" w:eastAsia="zh-CN"/>
        </w:rPr>
        <w:t>下属事业单位</w:t>
      </w:r>
      <w:r>
        <w:rPr>
          <w:rFonts w:hint="eastAsia" w:ascii="仿宋_GB2312" w:eastAsia="仿宋_GB2312"/>
          <w:sz w:val="32"/>
          <w:szCs w:val="32"/>
        </w:rPr>
        <w:t>用于后勤保障管理服务项目支出。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（八）社会保障和就业（类）</w:t>
      </w:r>
      <w:r>
        <w:rPr>
          <w:rFonts w:hint="default" w:ascii="楷体_GB2312" w:hAnsi="楷体_GB2312" w:eastAsia="楷体_GB2312" w:cs="楷体_GB2312"/>
          <w:sz w:val="32"/>
          <w:szCs w:val="32"/>
          <w:lang w:eastAsia="zh-CN"/>
        </w:rPr>
        <w:t>其他社会保障和就业支出</w:t>
      </w:r>
      <w:r>
        <w:rPr>
          <w:rFonts w:hint="eastAsia" w:ascii="楷体_GB2312" w:hAnsi="楷体_GB2312" w:eastAsia="楷体_GB2312" w:cs="楷体_GB2312"/>
          <w:sz w:val="32"/>
          <w:szCs w:val="32"/>
          <w:lang w:val="en-US" w:eastAsia="zh-CN"/>
        </w:rPr>
        <w:t>（款）</w:t>
      </w:r>
      <w:r>
        <w:rPr>
          <w:rFonts w:hint="default" w:ascii="楷体_GB2312" w:hAnsi="楷体_GB2312" w:eastAsia="楷体_GB2312" w:cs="楷体_GB2312"/>
          <w:sz w:val="32"/>
          <w:szCs w:val="32"/>
          <w:lang w:eastAsia="zh-CN"/>
        </w:rPr>
        <w:t>其他社会保障和就业支出</w:t>
      </w:r>
      <w:r>
        <w:rPr>
          <w:rFonts w:hint="eastAsia" w:ascii="楷体_GB2312" w:hAnsi="楷体_GB2312" w:eastAsia="楷体_GB2312" w:cs="楷体_GB2312"/>
          <w:sz w:val="32"/>
          <w:szCs w:val="32"/>
          <w:lang w:val="en-US" w:eastAsia="zh-CN"/>
        </w:rPr>
        <w:t>（项）：</w:t>
      </w:r>
      <w:r>
        <w:rPr>
          <w:rFonts w:hint="eastAsia" w:ascii="仿宋_GB2312" w:hAnsi="仿宋_GB2312" w:eastAsia="仿宋_GB2312" w:cs="仿宋_GB2312"/>
          <w:sz w:val="32"/>
          <w:szCs w:val="32"/>
          <w:lang w:val="en-US" w:eastAsia="zh-CN"/>
        </w:rPr>
        <w:t>指除上述项目以外其他用于社会保障和就业方面的支出。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（九）卫生健康（类）行政事业单位医疗（款）行政单位医疗（项）：</w:t>
      </w:r>
      <w:r>
        <w:rPr>
          <w:rFonts w:hint="eastAsia" w:ascii="仿宋_GB2312" w:hAnsi="仿宋_GB2312" w:eastAsia="仿宋_GB2312" w:cs="仿宋_GB2312"/>
          <w:sz w:val="32"/>
          <w:szCs w:val="32"/>
          <w:lang w:val="en-US" w:eastAsia="zh-CN"/>
        </w:rPr>
        <w:t>指机关用于单位应缴纳基本医疗保险支出。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（十一）住房保障（类）住房改革支出（款）住房公积金（项）：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（十二）基本支出：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（十三）项目支出：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（十五）机关运行经费：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方正小标宋简体">
    <w:altName w:val="Times New Roman"/>
    <w:panose1 w:val="02000000000000000000"/>
    <w:charset w:val="86"/>
    <w:family w:val="auto"/>
    <w:pitch w:val="default"/>
    <w:sig w:usb0="00000000" w:usb1="00000000" w:usb2="00000012" w:usb3="00000000" w:csb0="00040001" w:csb1="00000000"/>
  </w:font>
  <w:font w:name="仿宋_GB2312">
    <w:altName w:val="Times New Roman"/>
    <w:panose1 w:val="02010609030101010101"/>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Noto Serif CJK SC">
    <w:panose1 w:val="02020400000000000000"/>
    <w:charset w:val="86"/>
    <w:family w:val="auto"/>
    <w:pitch w:val="default"/>
    <w:sig w:usb0="30000083" w:usb1="2BDF3C10" w:usb2="00000016" w:usb3="00000000" w:csb0="602E0107" w:csb1="00000000"/>
  </w:font>
  <w:font w:name="方正小标宋_GBK">
    <w:altName w:val="Times New Roman"/>
    <w:panose1 w:val="00000000000000000000"/>
    <w:charset w:val="00"/>
    <w:family w:val="auto"/>
    <w:pitch w:val="default"/>
    <w:sig w:usb0="00000000" w:usb1="00000000" w:usb2="00000000" w:usb3="00000000" w:csb0="00000000" w:csb1="00000000"/>
  </w:font>
  <w:font w:name="方正仿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1F6FA5C7"/>
    <w:rsid w:val="1F7BF06F"/>
    <w:rsid w:val="1FEE4B73"/>
    <w:rsid w:val="23CE9849"/>
    <w:rsid w:val="26EFB1AC"/>
    <w:rsid w:val="39F304DD"/>
    <w:rsid w:val="39F53B81"/>
    <w:rsid w:val="3CEF5060"/>
    <w:rsid w:val="3D77B2F7"/>
    <w:rsid w:val="3DF9D65B"/>
    <w:rsid w:val="3EDF5548"/>
    <w:rsid w:val="3F7A73AE"/>
    <w:rsid w:val="3FDF51E2"/>
    <w:rsid w:val="4EDDC789"/>
    <w:rsid w:val="54244390"/>
    <w:rsid w:val="54662A63"/>
    <w:rsid w:val="56970431"/>
    <w:rsid w:val="57274309"/>
    <w:rsid w:val="58064E12"/>
    <w:rsid w:val="58FF26AB"/>
    <w:rsid w:val="59705F00"/>
    <w:rsid w:val="5BFDE752"/>
    <w:rsid w:val="5BFEE015"/>
    <w:rsid w:val="5D6E0014"/>
    <w:rsid w:val="5DFB2700"/>
    <w:rsid w:val="5FFB796D"/>
    <w:rsid w:val="5FFD17F4"/>
    <w:rsid w:val="63EDCF55"/>
    <w:rsid w:val="63FBFBCF"/>
    <w:rsid w:val="669360FD"/>
    <w:rsid w:val="68FF6A83"/>
    <w:rsid w:val="6BDFBF13"/>
    <w:rsid w:val="6EFF7A54"/>
    <w:rsid w:val="6F5E1259"/>
    <w:rsid w:val="6FBBC9CF"/>
    <w:rsid w:val="6FEF0F3B"/>
    <w:rsid w:val="72BDE561"/>
    <w:rsid w:val="779AD372"/>
    <w:rsid w:val="77BD1627"/>
    <w:rsid w:val="77EF66C2"/>
    <w:rsid w:val="78462278"/>
    <w:rsid w:val="7997EA6C"/>
    <w:rsid w:val="79BFDDFF"/>
    <w:rsid w:val="7AEAE675"/>
    <w:rsid w:val="7BAFCE5D"/>
    <w:rsid w:val="7CFD6F50"/>
    <w:rsid w:val="7D46598C"/>
    <w:rsid w:val="7DF426FF"/>
    <w:rsid w:val="7DFB240B"/>
    <w:rsid w:val="7E0935ED"/>
    <w:rsid w:val="7FBB0115"/>
    <w:rsid w:val="7FCF2AF7"/>
    <w:rsid w:val="7FDECD74"/>
    <w:rsid w:val="7FDFAA15"/>
    <w:rsid w:val="7FF70576"/>
    <w:rsid w:val="7FFF3EC0"/>
    <w:rsid w:val="96DE3243"/>
    <w:rsid w:val="97FFE46A"/>
    <w:rsid w:val="9DFE2158"/>
    <w:rsid w:val="9FCBA1AC"/>
    <w:rsid w:val="9FEF033D"/>
    <w:rsid w:val="A27FF1E5"/>
    <w:rsid w:val="AFDEB5A7"/>
    <w:rsid w:val="AFEA7FBF"/>
    <w:rsid w:val="B6C5259E"/>
    <w:rsid w:val="B83F4767"/>
    <w:rsid w:val="BA7C9CB3"/>
    <w:rsid w:val="BBED1B1B"/>
    <w:rsid w:val="BEBB2978"/>
    <w:rsid w:val="BEFBF3A4"/>
    <w:rsid w:val="BF930F07"/>
    <w:rsid w:val="BFCE8436"/>
    <w:rsid w:val="C3F7EB7A"/>
    <w:rsid w:val="CBFF09FD"/>
    <w:rsid w:val="CF8FA38F"/>
    <w:rsid w:val="CFF5FEEC"/>
    <w:rsid w:val="D3DD9064"/>
    <w:rsid w:val="D49D806B"/>
    <w:rsid w:val="D6BA4C32"/>
    <w:rsid w:val="D6F76A0C"/>
    <w:rsid w:val="D7ECE8D2"/>
    <w:rsid w:val="DF3D6DAC"/>
    <w:rsid w:val="DFDD4FB5"/>
    <w:rsid w:val="E0F75D0A"/>
    <w:rsid w:val="E2FE6E52"/>
    <w:rsid w:val="E3B34E11"/>
    <w:rsid w:val="E7F748B5"/>
    <w:rsid w:val="E7FEE608"/>
    <w:rsid w:val="EE5F3713"/>
    <w:rsid w:val="EEB50157"/>
    <w:rsid w:val="EEFDAA48"/>
    <w:rsid w:val="EFC9D62C"/>
    <w:rsid w:val="EFFE3701"/>
    <w:rsid w:val="EFFF1853"/>
    <w:rsid w:val="F66F2F51"/>
    <w:rsid w:val="F6BE9755"/>
    <w:rsid w:val="F6F7DAD8"/>
    <w:rsid w:val="F6FFA89B"/>
    <w:rsid w:val="F8F2690A"/>
    <w:rsid w:val="FAE4EFE1"/>
    <w:rsid w:val="FAFF494E"/>
    <w:rsid w:val="FB9B6F12"/>
    <w:rsid w:val="FBB66A4A"/>
    <w:rsid w:val="FD6F6006"/>
    <w:rsid w:val="FDEE6989"/>
    <w:rsid w:val="FEFC6466"/>
    <w:rsid w:val="FF5E7DB8"/>
    <w:rsid w:val="FF77E367"/>
    <w:rsid w:val="FFD576EB"/>
    <w:rsid w:val="FFFBE8B7"/>
    <w:rsid w:val="FFFF7C7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4">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iPriority w:val="0"/>
  </w:style>
  <w:style w:type="paragraph" w:styleId="8">
    <w:name w:val="List"/>
    <w:basedOn w:val="3"/>
    <w:qFormat/>
    <w:uiPriority w:val="0"/>
  </w:style>
  <w:style w:type="paragraph" w:styleId="9">
    <w:name w:val="table of figures"/>
    <w:basedOn w:val="1"/>
    <w:next w:val="1"/>
    <w:semiHidden/>
    <w:qFormat/>
    <w:uiPriority w:val="99"/>
    <w:pPr>
      <w:ind w:left="200" w:leftChars="200" w:hanging="200" w:hangingChars="200"/>
    </w:pPr>
    <w:rPr>
      <w:sz w:val="32"/>
      <w:szCs w:val="32"/>
    </w:rPr>
  </w:style>
  <w:style w:type="paragraph" w:styleId="10">
    <w:name w:val="toc 2"/>
    <w:basedOn w:val="1"/>
    <w:next w:val="1"/>
    <w:uiPriority w:val="0"/>
    <w:pPr>
      <w:ind w:left="420" w:leftChars="200"/>
    </w:pPr>
  </w:style>
  <w:style w:type="paragraph" w:styleId="11">
    <w:name w:val="Normal (Web)"/>
    <w:basedOn w:val="1"/>
    <w:next w:val="12"/>
    <w:qFormat/>
    <w:uiPriority w:val="0"/>
    <w:rPr>
      <w:sz w:val="24"/>
    </w:rPr>
  </w:style>
  <w:style w:type="paragraph" w:styleId="12">
    <w:name w:val="Body Text First Indent 2"/>
    <w:basedOn w:val="4"/>
    <w:qFormat/>
    <w:uiPriority w:val="0"/>
    <w:pPr>
      <w:widowControl w:val="0"/>
      <w:spacing w:after="120"/>
      <w:ind w:left="200" w:leftChars="200" w:firstLine="200" w:firstLineChars="200"/>
      <w:jc w:val="both"/>
    </w:pPr>
    <w:rPr>
      <w:rFonts w:ascii="Calibri" w:hAnsi="Calibri" w:eastAsia="宋体" w:cs="Times New Roman"/>
      <w:kern w:val="2"/>
      <w:sz w:val="21"/>
      <w:szCs w:val="24"/>
      <w:lang w:val="en-US" w:eastAsia="zh-CN" w:bidi="ar-SA"/>
    </w:rPr>
  </w:style>
  <w:style w:type="character" w:customStyle="1" w:styleId="15">
    <w:name w:val="默认段落字体1"/>
    <w:qFormat/>
    <w:uiPriority w:val="0"/>
  </w:style>
  <w:style w:type="paragraph" w:customStyle="1" w:styleId="16">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 w:type="paragraph" w:customStyle="1" w:styleId="18">
    <w:name w:val="WPSOffice手动目录 1"/>
    <w:uiPriority w:val="0"/>
    <w:pPr>
      <w:ind w:leftChars="0"/>
    </w:pPr>
    <w:rPr>
      <w:sz w:val="20"/>
      <w:szCs w:val="20"/>
    </w:rPr>
  </w:style>
  <w:style w:type="paragraph" w:customStyle="1" w:styleId="19">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2018-12-02T01:47:00Z</dcterms:created>
  <dc:creator>admin</dc:creator>
  <cp:lastModifiedBy>uos</cp:lastModifiedBy>
  <dcterms:modified xsi:type="dcterms:W3CDTF">2024-02-18T18:57:01Z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96081F72B7444D3C8C1C7DDAED24732C_13</vt:lpwstr>
  </property>
</Properties>
</file>