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中共广元市委老干部局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926334654"/>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sdtContent>
    </w:sdt>
    <w:p/>
    <w:sdt>
      <w:sdtPr>
        <w:rPr>
          <w:rFonts w:ascii="宋体" w:hAnsi="宋体" w:eastAsia="宋体" w:cs="Times New Roman"/>
          <w:color w:val="auto"/>
          <w:kern w:val="2"/>
          <w:sz w:val="21"/>
          <w:szCs w:val="24"/>
          <w:lang w:val="en-US" w:eastAsia="zh-CN" w:bidi="ar-SA"/>
        </w:rPr>
        <w:id w:val="57088465"/>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4"/>
            <w:tabs>
              <w:tab w:val="right" w:leader="dot" w:pos="8845"/>
            </w:tabs>
            <w:spacing w:line="300" w:lineRule="auto"/>
          </w:pPr>
          <w:r>
            <w:fldChar w:fldCharType="begin"/>
          </w:r>
          <w:r>
            <w:instrText xml:space="preserve">TOC \o "1-3" \h \u </w:instrText>
          </w:r>
          <w:r>
            <w:fldChar w:fldCharType="separate"/>
          </w:r>
        </w:p>
        <w:p>
          <w:pPr>
            <w:pStyle w:val="14"/>
            <w:tabs>
              <w:tab w:val="right" w:leader="dot" w:pos="8845"/>
            </w:tabs>
            <w:spacing w:line="300" w:lineRule="auto"/>
          </w:pPr>
        </w:p>
        <w:p>
          <w:pPr>
            <w:pStyle w:val="14"/>
            <w:tabs>
              <w:tab w:val="right" w:leader="dot" w:pos="8845"/>
            </w:tabs>
            <w:spacing w:line="300" w:lineRule="auto"/>
          </w:pPr>
          <w:r>
            <w:fldChar w:fldCharType="begin"/>
          </w:r>
          <w:r>
            <w:instrText xml:space="preserve"> HYPERLINK \l _Toc924854544 </w:instrText>
          </w:r>
          <w: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_Toc924854544 \h </w:instrText>
          </w:r>
          <w:r>
            <w:fldChar w:fldCharType="separate"/>
          </w:r>
          <w:r>
            <w:t>3</w:t>
          </w:r>
          <w:r>
            <w:fldChar w:fldCharType="end"/>
          </w:r>
          <w:r>
            <w:fldChar w:fldCharType="end"/>
          </w:r>
        </w:p>
        <w:p>
          <w:pPr>
            <w:pStyle w:val="15"/>
            <w:tabs>
              <w:tab w:val="right" w:leader="dot" w:pos="8845"/>
            </w:tabs>
            <w:spacing w:line="300" w:lineRule="auto"/>
          </w:pPr>
          <w:r>
            <w:fldChar w:fldCharType="begin"/>
          </w:r>
          <w:r>
            <w:instrText xml:space="preserve"> HYPERLINK \l _Toc1301984620 </w:instrText>
          </w:r>
          <w: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中共广元市委老干部局</w:t>
          </w:r>
          <w:r>
            <w:rPr>
              <w:rFonts w:hint="eastAsia" w:ascii="楷体_GB2312" w:hAnsi="楷体_GB2312" w:eastAsia="楷体_GB2312" w:cs="楷体_GB2312"/>
              <w:szCs w:val="32"/>
            </w:rPr>
            <w:t>职能简介</w:t>
          </w:r>
          <w:r>
            <w:tab/>
          </w:r>
          <w:r>
            <w:fldChar w:fldCharType="begin"/>
          </w:r>
          <w:r>
            <w:instrText xml:space="preserve"> PAGEREF _Toc1301984620 \h </w:instrText>
          </w:r>
          <w:r>
            <w:fldChar w:fldCharType="separate"/>
          </w:r>
          <w:r>
            <w:t>3</w:t>
          </w:r>
          <w:r>
            <w:fldChar w:fldCharType="end"/>
          </w:r>
          <w:r>
            <w:fldChar w:fldCharType="end"/>
          </w:r>
        </w:p>
        <w:p>
          <w:pPr>
            <w:pStyle w:val="15"/>
            <w:tabs>
              <w:tab w:val="right" w:leader="dot" w:pos="8845"/>
            </w:tabs>
            <w:spacing w:line="300" w:lineRule="auto"/>
          </w:pPr>
          <w:r>
            <w:fldChar w:fldCharType="begin"/>
          </w:r>
          <w:r>
            <w:instrText xml:space="preserve"> HYPERLINK \l _Toc729110799 </w:instrText>
          </w:r>
          <w: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中共广元市委老干部局</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_Toc729110799 \h </w:instrText>
          </w:r>
          <w:r>
            <w:fldChar w:fldCharType="separate"/>
          </w:r>
          <w:r>
            <w:t>4</w:t>
          </w:r>
          <w:r>
            <w:fldChar w:fldCharType="end"/>
          </w:r>
          <w:r>
            <w:fldChar w:fldCharType="end"/>
          </w:r>
        </w:p>
        <w:p>
          <w:pPr>
            <w:pStyle w:val="14"/>
            <w:tabs>
              <w:tab w:val="right" w:leader="dot" w:pos="8845"/>
            </w:tabs>
            <w:spacing w:line="300" w:lineRule="auto"/>
          </w:pPr>
          <w:r>
            <w:fldChar w:fldCharType="begin"/>
          </w:r>
          <w:r>
            <w:instrText xml:space="preserve"> HYPERLINK \l _Toc957499684 </w:instrText>
          </w:r>
          <w: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_Toc957499684 \h </w:instrText>
          </w:r>
          <w:r>
            <w:fldChar w:fldCharType="separate"/>
          </w:r>
          <w:r>
            <w:t>5</w:t>
          </w:r>
          <w:r>
            <w:fldChar w:fldCharType="end"/>
          </w:r>
          <w:r>
            <w:fldChar w:fldCharType="end"/>
          </w:r>
        </w:p>
        <w:p>
          <w:pPr>
            <w:pStyle w:val="14"/>
            <w:tabs>
              <w:tab w:val="right" w:leader="dot" w:pos="8845"/>
            </w:tabs>
            <w:spacing w:line="300" w:lineRule="auto"/>
          </w:pPr>
          <w:r>
            <w:fldChar w:fldCharType="begin"/>
          </w:r>
          <w:r>
            <w:instrText xml:space="preserve"> HYPERLINK \l _Toc1192340623 </w:instrText>
          </w:r>
          <w: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_Toc1192340623 \h </w:instrText>
          </w:r>
          <w:r>
            <w:fldChar w:fldCharType="separate"/>
          </w:r>
          <w:r>
            <w:t>5</w:t>
          </w:r>
          <w:r>
            <w:fldChar w:fldCharType="end"/>
          </w:r>
          <w:r>
            <w:fldChar w:fldCharType="end"/>
          </w:r>
        </w:p>
        <w:p>
          <w:pPr>
            <w:pStyle w:val="15"/>
            <w:tabs>
              <w:tab w:val="right" w:leader="dot" w:pos="8845"/>
            </w:tabs>
            <w:spacing w:line="300" w:lineRule="auto"/>
          </w:pPr>
          <w:r>
            <w:fldChar w:fldCharType="begin"/>
          </w:r>
          <w:r>
            <w:instrText xml:space="preserve"> HYPERLINK \l _Toc866148306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_Toc866148306 \h </w:instrText>
          </w:r>
          <w:r>
            <w:fldChar w:fldCharType="separate"/>
          </w:r>
          <w:r>
            <w:t>5</w:t>
          </w:r>
          <w:r>
            <w:fldChar w:fldCharType="end"/>
          </w:r>
          <w:r>
            <w:fldChar w:fldCharType="end"/>
          </w:r>
        </w:p>
        <w:p>
          <w:pPr>
            <w:pStyle w:val="15"/>
            <w:tabs>
              <w:tab w:val="right" w:leader="dot" w:pos="8845"/>
            </w:tabs>
            <w:spacing w:line="300" w:lineRule="auto"/>
          </w:pPr>
          <w:r>
            <w:fldChar w:fldCharType="begin"/>
          </w:r>
          <w:r>
            <w:instrText xml:space="preserve"> HYPERLINK \l _Toc2021791409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_Toc2021791409 \h </w:instrText>
          </w:r>
          <w:r>
            <w:fldChar w:fldCharType="separate"/>
          </w:r>
          <w:r>
            <w:t>6</w:t>
          </w:r>
          <w:r>
            <w:fldChar w:fldCharType="end"/>
          </w:r>
          <w:r>
            <w:fldChar w:fldCharType="end"/>
          </w:r>
        </w:p>
        <w:p>
          <w:pPr>
            <w:pStyle w:val="14"/>
            <w:tabs>
              <w:tab w:val="right" w:leader="dot" w:pos="8845"/>
            </w:tabs>
            <w:spacing w:line="300" w:lineRule="auto"/>
          </w:pPr>
          <w:r>
            <w:fldChar w:fldCharType="begin"/>
          </w:r>
          <w:r>
            <w:instrText xml:space="preserve"> HYPERLINK \l _Toc1373969907 </w:instrText>
          </w:r>
          <w: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_Toc1373969907 \h </w:instrText>
          </w:r>
          <w:r>
            <w:fldChar w:fldCharType="separate"/>
          </w:r>
          <w:r>
            <w:t>6</w:t>
          </w:r>
          <w:r>
            <w:fldChar w:fldCharType="end"/>
          </w:r>
          <w:r>
            <w:fldChar w:fldCharType="end"/>
          </w:r>
        </w:p>
        <w:p>
          <w:pPr>
            <w:pStyle w:val="14"/>
            <w:tabs>
              <w:tab w:val="right" w:leader="dot" w:pos="8845"/>
            </w:tabs>
            <w:spacing w:line="300" w:lineRule="auto"/>
          </w:pPr>
          <w:r>
            <w:fldChar w:fldCharType="begin"/>
          </w:r>
          <w:r>
            <w:instrText xml:space="preserve"> HYPERLINK \l _Toc606966389 </w:instrText>
          </w:r>
          <w: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_Toc606966389 \h </w:instrText>
          </w:r>
          <w:r>
            <w:fldChar w:fldCharType="separate"/>
          </w:r>
          <w:r>
            <w:t>6</w:t>
          </w:r>
          <w:r>
            <w:fldChar w:fldCharType="end"/>
          </w:r>
          <w:r>
            <w:fldChar w:fldCharType="end"/>
          </w:r>
        </w:p>
        <w:p>
          <w:pPr>
            <w:pStyle w:val="15"/>
            <w:tabs>
              <w:tab w:val="right" w:leader="dot" w:pos="8845"/>
            </w:tabs>
            <w:spacing w:line="300" w:lineRule="auto"/>
          </w:pPr>
          <w:r>
            <w:fldChar w:fldCharType="begin"/>
          </w:r>
          <w:r>
            <w:instrText xml:space="preserve"> HYPERLINK \l _Toc308895253 </w:instrText>
          </w:r>
          <w: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_Toc308895253 \h </w:instrText>
          </w:r>
          <w:r>
            <w:fldChar w:fldCharType="separate"/>
          </w:r>
          <w:r>
            <w:t>6</w:t>
          </w:r>
          <w:r>
            <w:fldChar w:fldCharType="end"/>
          </w:r>
          <w:r>
            <w:fldChar w:fldCharType="end"/>
          </w:r>
        </w:p>
        <w:p>
          <w:pPr>
            <w:pStyle w:val="15"/>
            <w:tabs>
              <w:tab w:val="right" w:leader="dot" w:pos="8845"/>
            </w:tabs>
            <w:spacing w:line="300" w:lineRule="auto"/>
          </w:pPr>
          <w:r>
            <w:fldChar w:fldCharType="begin"/>
          </w:r>
          <w:r>
            <w:instrText xml:space="preserve"> HYPERLINK \l _Toc888319420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_Toc888319420 \h </w:instrText>
          </w:r>
          <w:r>
            <w:fldChar w:fldCharType="separate"/>
          </w:r>
          <w:r>
            <w:t>6</w:t>
          </w:r>
          <w:r>
            <w:fldChar w:fldCharType="end"/>
          </w:r>
          <w:r>
            <w:fldChar w:fldCharType="end"/>
          </w:r>
        </w:p>
        <w:p>
          <w:pPr>
            <w:pStyle w:val="15"/>
            <w:tabs>
              <w:tab w:val="right" w:leader="dot" w:pos="8845"/>
            </w:tabs>
            <w:spacing w:line="300" w:lineRule="auto"/>
          </w:pPr>
          <w:r>
            <w:fldChar w:fldCharType="begin"/>
          </w:r>
          <w:r>
            <w:instrText xml:space="preserve"> HYPERLINK \l _Toc1127707509 </w:instrText>
          </w:r>
          <w: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_Toc1127707509 \h </w:instrText>
          </w:r>
          <w:r>
            <w:fldChar w:fldCharType="separate"/>
          </w:r>
          <w:r>
            <w:t>6</w:t>
          </w:r>
          <w:r>
            <w:fldChar w:fldCharType="end"/>
          </w:r>
          <w:r>
            <w:fldChar w:fldCharType="end"/>
          </w:r>
        </w:p>
        <w:p>
          <w:pPr>
            <w:pStyle w:val="14"/>
            <w:tabs>
              <w:tab w:val="right" w:leader="dot" w:pos="8845"/>
            </w:tabs>
            <w:spacing w:line="300" w:lineRule="auto"/>
          </w:pPr>
          <w:r>
            <w:fldChar w:fldCharType="begin"/>
          </w:r>
          <w:r>
            <w:instrText xml:space="preserve"> HYPERLINK \l _Toc562313229 </w:instrText>
          </w:r>
          <w: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_Toc562313229 \h </w:instrText>
          </w:r>
          <w:r>
            <w:fldChar w:fldCharType="separate"/>
          </w:r>
          <w:r>
            <w:t>7</w:t>
          </w:r>
          <w:r>
            <w:fldChar w:fldCharType="end"/>
          </w:r>
          <w:r>
            <w:fldChar w:fldCharType="end"/>
          </w:r>
        </w:p>
        <w:p>
          <w:pPr>
            <w:pStyle w:val="14"/>
            <w:tabs>
              <w:tab w:val="right" w:leader="dot" w:pos="8845"/>
            </w:tabs>
            <w:spacing w:line="300" w:lineRule="auto"/>
          </w:pPr>
          <w:r>
            <w:fldChar w:fldCharType="begin"/>
          </w:r>
          <w:r>
            <w:instrText xml:space="preserve"> HYPERLINK \l _Toc896968326 </w:instrText>
          </w:r>
          <w: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_Toc896968326 \h </w:instrText>
          </w:r>
          <w:r>
            <w:fldChar w:fldCharType="separate"/>
          </w:r>
          <w:r>
            <w:t>8</w:t>
          </w:r>
          <w:r>
            <w:fldChar w:fldCharType="end"/>
          </w:r>
          <w:r>
            <w:fldChar w:fldCharType="end"/>
          </w:r>
        </w:p>
        <w:p>
          <w:pPr>
            <w:pStyle w:val="15"/>
            <w:tabs>
              <w:tab w:val="right" w:leader="dot" w:pos="8845"/>
            </w:tabs>
            <w:spacing w:line="300" w:lineRule="auto"/>
          </w:pPr>
          <w:r>
            <w:fldChar w:fldCharType="begin"/>
          </w:r>
          <w:r>
            <w:instrText xml:space="preserve"> HYPERLINK \l _Toc616844448 </w:instrText>
          </w:r>
          <w: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_Toc616844448 \h </w:instrText>
          </w:r>
          <w:r>
            <w:fldChar w:fldCharType="separate"/>
          </w:r>
          <w:r>
            <w:t>8</w:t>
          </w:r>
          <w:r>
            <w:fldChar w:fldCharType="end"/>
          </w:r>
          <w:r>
            <w:fldChar w:fldCharType="end"/>
          </w:r>
        </w:p>
        <w:p>
          <w:pPr>
            <w:pStyle w:val="15"/>
            <w:tabs>
              <w:tab w:val="right" w:leader="dot" w:pos="8845"/>
            </w:tabs>
            <w:spacing w:line="300" w:lineRule="auto"/>
          </w:pPr>
          <w:r>
            <w:fldChar w:fldCharType="begin"/>
          </w:r>
          <w:r>
            <w:instrText xml:space="preserve"> HYPERLINK \l _Toc1186756332 </w:instrText>
          </w:r>
          <w: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_Toc1186756332 \h </w:instrText>
          </w:r>
          <w:r>
            <w:fldChar w:fldCharType="separate"/>
          </w:r>
          <w:r>
            <w:t>8</w:t>
          </w:r>
          <w:r>
            <w:fldChar w:fldCharType="end"/>
          </w:r>
          <w:r>
            <w:fldChar w:fldCharType="end"/>
          </w:r>
        </w:p>
        <w:p>
          <w:pPr>
            <w:pStyle w:val="15"/>
            <w:tabs>
              <w:tab w:val="right" w:leader="dot" w:pos="8845"/>
            </w:tabs>
            <w:spacing w:line="300" w:lineRule="auto"/>
          </w:pPr>
          <w:r>
            <w:fldChar w:fldCharType="begin"/>
          </w:r>
          <w:r>
            <w:instrText xml:space="preserve"> HYPERLINK \l _Toc1048253821 </w:instrText>
          </w:r>
          <w: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_Toc1048253821 \h </w:instrText>
          </w:r>
          <w:r>
            <w:fldChar w:fldCharType="separate"/>
          </w:r>
          <w:r>
            <w:t>8</w:t>
          </w:r>
          <w:r>
            <w:fldChar w:fldCharType="end"/>
          </w:r>
          <w:r>
            <w:fldChar w:fldCharType="end"/>
          </w:r>
        </w:p>
        <w:p>
          <w:pPr>
            <w:pStyle w:val="14"/>
            <w:tabs>
              <w:tab w:val="right" w:leader="dot" w:pos="8845"/>
            </w:tabs>
            <w:spacing w:line="300" w:lineRule="auto"/>
          </w:pPr>
          <w:r>
            <w:fldChar w:fldCharType="begin"/>
          </w:r>
          <w:r>
            <w:instrText xml:space="preserve"> HYPERLINK \l _Toc1655549423 </w:instrText>
          </w:r>
          <w: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_Toc1655549423 \h </w:instrText>
          </w:r>
          <w:r>
            <w:fldChar w:fldCharType="separate"/>
          </w:r>
          <w:r>
            <w:t>8</w:t>
          </w:r>
          <w:r>
            <w:fldChar w:fldCharType="end"/>
          </w:r>
          <w:r>
            <w:fldChar w:fldCharType="end"/>
          </w:r>
        </w:p>
        <w:p>
          <w:pPr>
            <w:pStyle w:val="14"/>
            <w:tabs>
              <w:tab w:val="right" w:leader="dot" w:pos="8845"/>
            </w:tabs>
            <w:spacing w:line="300" w:lineRule="auto"/>
          </w:pPr>
          <w:r>
            <w:fldChar w:fldCharType="begin"/>
          </w:r>
          <w:r>
            <w:instrText xml:space="preserve"> HYPERLINK \l _Toc1808875225 </w:instrText>
          </w:r>
          <w: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_Toc1808875225 \h </w:instrText>
          </w:r>
          <w:r>
            <w:fldChar w:fldCharType="separate"/>
          </w:r>
          <w:r>
            <w:t>8</w:t>
          </w:r>
          <w:r>
            <w:fldChar w:fldCharType="end"/>
          </w:r>
          <w:r>
            <w:fldChar w:fldCharType="end"/>
          </w:r>
        </w:p>
        <w:p>
          <w:pPr>
            <w:pStyle w:val="14"/>
            <w:tabs>
              <w:tab w:val="right" w:leader="dot" w:pos="8845"/>
            </w:tabs>
            <w:spacing w:line="300" w:lineRule="auto"/>
          </w:pPr>
          <w:r>
            <w:fldChar w:fldCharType="begin"/>
          </w:r>
          <w:r>
            <w:instrText xml:space="preserve"> HYPERLINK \l _Toc603540326 </w:instrText>
          </w:r>
          <w: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_Toc603540326 \h </w:instrText>
          </w:r>
          <w:r>
            <w:fldChar w:fldCharType="separate"/>
          </w:r>
          <w:r>
            <w:t>9</w:t>
          </w:r>
          <w:r>
            <w:fldChar w:fldCharType="end"/>
          </w:r>
          <w:r>
            <w:fldChar w:fldCharType="end"/>
          </w:r>
        </w:p>
        <w:p>
          <w:pPr>
            <w:pStyle w:val="15"/>
            <w:tabs>
              <w:tab w:val="right" w:leader="dot" w:pos="8845"/>
            </w:tabs>
            <w:spacing w:line="300" w:lineRule="auto"/>
          </w:pPr>
          <w:r>
            <w:fldChar w:fldCharType="begin"/>
          </w:r>
          <w:r>
            <w:instrText xml:space="preserve"> HYPERLINK \l _Toc1420904491 </w:instrText>
          </w:r>
          <w: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_Toc1420904491 \h </w:instrText>
          </w:r>
          <w:r>
            <w:fldChar w:fldCharType="separate"/>
          </w:r>
          <w:r>
            <w:t>9</w:t>
          </w:r>
          <w:r>
            <w:fldChar w:fldCharType="end"/>
          </w:r>
          <w:r>
            <w:fldChar w:fldCharType="end"/>
          </w:r>
        </w:p>
        <w:p>
          <w:pPr>
            <w:pStyle w:val="15"/>
            <w:tabs>
              <w:tab w:val="right" w:leader="dot" w:pos="8845"/>
            </w:tabs>
            <w:spacing w:line="300" w:lineRule="auto"/>
          </w:pPr>
          <w:r>
            <w:fldChar w:fldCharType="begin"/>
          </w:r>
          <w:r>
            <w:instrText xml:space="preserve"> HYPERLINK \l _Toc551754691 </w:instrText>
          </w:r>
          <w: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_Toc551754691 \h </w:instrText>
          </w:r>
          <w:r>
            <w:fldChar w:fldCharType="separate"/>
          </w:r>
          <w:r>
            <w:t>9</w:t>
          </w:r>
          <w:r>
            <w:fldChar w:fldCharType="end"/>
          </w:r>
          <w:r>
            <w:fldChar w:fldCharType="end"/>
          </w:r>
        </w:p>
        <w:p>
          <w:pPr>
            <w:pStyle w:val="15"/>
            <w:tabs>
              <w:tab w:val="right" w:leader="dot" w:pos="8845"/>
            </w:tabs>
            <w:spacing w:line="300" w:lineRule="auto"/>
          </w:pPr>
          <w:r>
            <w:fldChar w:fldCharType="begin"/>
          </w:r>
          <w:r>
            <w:instrText xml:space="preserve"> HYPERLINK \l _Toc1709319878 </w:instrText>
          </w:r>
          <w: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_Toc1709319878 \h </w:instrText>
          </w:r>
          <w:r>
            <w:fldChar w:fldCharType="separate"/>
          </w:r>
          <w:r>
            <w:t>9</w:t>
          </w:r>
          <w:r>
            <w:fldChar w:fldCharType="end"/>
          </w:r>
          <w:r>
            <w:fldChar w:fldCharType="end"/>
          </w:r>
        </w:p>
        <w:p>
          <w:pPr>
            <w:pStyle w:val="15"/>
            <w:tabs>
              <w:tab w:val="right" w:leader="dot" w:pos="8845"/>
            </w:tabs>
            <w:spacing w:line="300" w:lineRule="auto"/>
          </w:pPr>
          <w:r>
            <w:fldChar w:fldCharType="begin"/>
          </w:r>
          <w:r>
            <w:instrText xml:space="preserve"> HYPERLINK \l _Toc494940037 </w:instrText>
          </w:r>
          <w: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_Toc494940037 \h </w:instrText>
          </w:r>
          <w:r>
            <w:fldChar w:fldCharType="separate"/>
          </w:r>
          <w:r>
            <w:t>9</w:t>
          </w:r>
          <w:r>
            <w:fldChar w:fldCharType="end"/>
          </w:r>
          <w:r>
            <w:fldChar w:fldCharType="end"/>
          </w:r>
        </w:p>
        <w:p>
          <w:pPr>
            <w:pStyle w:val="14"/>
            <w:tabs>
              <w:tab w:val="right" w:leader="dot" w:pos="8845"/>
            </w:tabs>
            <w:spacing w:line="300" w:lineRule="auto"/>
          </w:pPr>
          <w:r>
            <w:fldChar w:fldCharType="begin"/>
          </w:r>
          <w:r>
            <w:instrText xml:space="preserve"> HYPERLINK \l _Toc1716664526 </w:instrText>
          </w:r>
          <w:r>
            <w:fldChar w:fldCharType="separate"/>
          </w:r>
          <w:r>
            <w:rPr>
              <w:rFonts w:hint="eastAsia" w:ascii="黑体" w:hAnsi="黑体" w:eastAsia="黑体" w:cs="黑体"/>
              <w:szCs w:val="32"/>
              <w:lang w:val="en-US" w:eastAsia="zh-CN"/>
            </w:rPr>
            <w:t>十一、名词解释</w:t>
          </w:r>
          <w:r>
            <w:tab/>
          </w:r>
          <w:r>
            <w:fldChar w:fldCharType="begin"/>
          </w:r>
          <w:r>
            <w:instrText xml:space="preserve"> PAGEREF _Toc1716664526 \h </w:instrText>
          </w:r>
          <w:r>
            <w:fldChar w:fldCharType="separate"/>
          </w:r>
          <w:r>
            <w:t>9</w:t>
          </w:r>
          <w:r>
            <w:fldChar w:fldCharType="end"/>
          </w:r>
          <w:r>
            <w:fldChar w:fldCharType="end"/>
          </w:r>
        </w:p>
        <w:p>
          <w:pPr>
            <w:spacing w:line="300" w:lineRule="auto"/>
          </w:pPr>
          <w:r>
            <w:fldChar w:fldCharType="end"/>
          </w:r>
        </w:p>
      </w:sdtContent>
    </w:sdt>
    <w:p/>
    <w:sdt>
      <w:sdtPr>
        <w:rPr>
          <w:rFonts w:ascii="宋体" w:hAnsi="宋体" w:eastAsia="宋体" w:cs="Times New Roman"/>
          <w:color w:val="auto"/>
          <w:kern w:val="2"/>
          <w:sz w:val="21"/>
          <w:szCs w:val="24"/>
          <w:lang w:val="en-US" w:eastAsia="zh-CN" w:bidi="ar-SA"/>
        </w:rPr>
        <w:id w:val="305098690"/>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sdtContent>
    </w:sdt>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黑体" w:hAnsi="黑体" w:eastAsia="黑体" w:cs="黑体"/>
          <w:sz w:val="32"/>
          <w:szCs w:val="32"/>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bookmarkStart w:id="0" w:name="_Toc924854544"/>
      <w:r>
        <w:rPr>
          <w:rFonts w:hint="default" w:ascii="黑体" w:hAnsi="黑体" w:eastAsia="黑体" w:cs="黑体"/>
          <w:sz w:val="32"/>
          <w:szCs w:val="32"/>
          <w:lang w:eastAsia="zh-CN"/>
        </w:rPr>
        <w:t>一</w:t>
      </w:r>
      <w:r>
        <w:rPr>
          <w:rFonts w:hint="eastAsia" w:ascii="黑体" w:hAnsi="黑体" w:eastAsia="黑体" w:cs="黑体"/>
          <w:sz w:val="32"/>
          <w:szCs w:val="32"/>
          <w:lang w:val="en-US" w:eastAsia="zh-CN"/>
        </w:rPr>
        <w:t>、基本职能及主要工作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1301984620"/>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中共广元市委老干部局</w:t>
      </w:r>
      <w:r>
        <w:rPr>
          <w:rFonts w:hint="eastAsia" w:ascii="楷体_GB2312" w:hAnsi="楷体_GB2312" w:eastAsia="楷体_GB2312" w:cs="楷体_GB2312"/>
          <w:sz w:val="32"/>
          <w:szCs w:val="32"/>
        </w:rPr>
        <w:t>职能简介</w:t>
      </w:r>
      <w:bookmarkEnd w:id="1"/>
    </w:p>
    <w:p>
      <w:pPr>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1.贯彻党中央、国务院</w:t>
      </w:r>
      <w:r>
        <w:rPr>
          <w:rFonts w:hint="eastAsia" w:hAnsi="Times New Roman" w:cs="仿宋_GB2312"/>
          <w:i w:val="0"/>
          <w:caps w:val="0"/>
          <w:color w:val="333333"/>
          <w:spacing w:val="0"/>
          <w:kern w:val="0"/>
          <w:sz w:val="32"/>
          <w:szCs w:val="32"/>
          <w:shd w:val="clear" w:color="auto" w:fill="FFFFFF"/>
          <w:lang w:val="en-US" w:eastAsia="zh-CN"/>
        </w:rPr>
        <w:t>和</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省委、省政府关于老干部工作的方针政策和市委、市政府有关部署要求，负责全市老干部工作宏观管理，指导、协调、督促和检查全市老干部工作；调查研究老干部工作相关政策的意见，报市委市政府决策；向上级报告全市老干部工作情况，提出意见和建议。</w:t>
      </w:r>
    </w:p>
    <w:p>
      <w:pPr>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2.指导全市老干部工作机构加强离退休干部政治建设、思想建设和党组织建设工作。</w:t>
      </w:r>
    </w:p>
    <w:p>
      <w:pPr>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3.指导全市老干部工作机构发挥离退休干部优势和作用，积极组织开展为党</w:t>
      </w:r>
      <w:r>
        <w:rPr>
          <w:rFonts w:hint="eastAsia" w:hAnsi="Times New Roman" w:cs="仿宋_GB2312"/>
          <w:i w:val="0"/>
          <w:caps w:val="0"/>
          <w:color w:val="333333"/>
          <w:spacing w:val="0"/>
          <w:kern w:val="0"/>
          <w:sz w:val="32"/>
          <w:szCs w:val="32"/>
          <w:shd w:val="clear" w:color="auto" w:fill="FFFFFF"/>
          <w:lang w:val="en-US" w:eastAsia="zh-CN"/>
        </w:rPr>
        <w:t>和</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人民事业增添正能量活动。</w:t>
      </w:r>
    </w:p>
    <w:p>
      <w:pPr>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4.督促、检查各级各部门落实离退休干部政治待遇、生活待遇，指导协调解决离退休干部及离休干部无工作遗属特殊困难问题；组织安排重大节日慰问、座谈等工作，指导协调做好地厅级离退休干部参观考察、健康休养和老干部生病住院看望慰问工作；指导协调做好全市老干部保健工作；协调处理市级老干部治丧有关工作；协调异地安置离休干部有关事宜。</w:t>
      </w:r>
    </w:p>
    <w:p>
      <w:pPr>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5.指导和加强全市离退休干部活动阵地、学习阵地规范化建设。</w:t>
      </w:r>
    </w:p>
    <w:p>
      <w:pPr>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6.做好离休干部、建国初期参加革命工作人员和厅级退休干部等服务管理工作；调研了解、协调解决县级退休干部工作的有关问题。</w:t>
      </w:r>
    </w:p>
    <w:p>
      <w:pPr>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7.加强离退休干部信息化建设。</w:t>
      </w:r>
    </w:p>
    <w:p>
      <w:pPr>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8.做好离退休干部来信来访工作。</w:t>
      </w:r>
    </w:p>
    <w:p>
      <w:pPr>
        <w:pageBreakBefore w:val="0"/>
        <w:kinsoku/>
        <w:wordWrap/>
        <w:overflowPunct/>
        <w:topLinePunct w:val="0"/>
        <w:autoSpaceDE/>
        <w:autoSpaceDN/>
        <w:bidi w:val="0"/>
        <w:spacing w:line="576" w:lineRule="exact"/>
        <w:ind w:firstLine="640" w:firstLineChars="200"/>
        <w:textAlignment w:val="auto"/>
        <w:rPr>
          <w:rFonts w:hint="default"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9.做好新时代关心下一代工作。</w:t>
      </w:r>
    </w:p>
    <w:p>
      <w:pPr>
        <w:pageBreakBefore w:val="0"/>
        <w:kinsoku/>
        <w:wordWrap/>
        <w:overflowPunct/>
        <w:topLinePunct w:val="0"/>
        <w:autoSpaceDE/>
        <w:autoSpaceDN/>
        <w:bidi w:val="0"/>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10.完成市委交办的其他工作任务。</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729110799"/>
      <w:r>
        <w:rPr>
          <w:rFonts w:hint="eastAsia" w:ascii="楷体_GB2312" w:hAnsi="楷体_GB2312" w:eastAsia="楷体_GB2312" w:cs="楷体_GB2312"/>
          <w:sz w:val="32"/>
          <w:szCs w:val="32"/>
          <w:lang w:val="en-US" w:eastAsia="zh-CN"/>
        </w:rPr>
        <w:t>中共广元市委老干部局</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pageBreakBefore w:val="0"/>
        <w:kinsoku/>
        <w:wordWrap/>
        <w:overflowPunct/>
        <w:topLinePunct w:val="0"/>
        <w:autoSpaceDE/>
        <w:autoSpaceDN/>
        <w:bidi w:val="0"/>
        <w:spacing w:line="576" w:lineRule="exact"/>
        <w:ind w:left="0" w:leftChars="0"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2024年，全市老干部系统将深入落实“136”工作思路，推动广元老干部工作再开新局、再谱新篇。一是提高政治站位，严格对标对表。要深刻认识老干部工作部门政治机关属性，贯彻落实习近平总书记关于老干部工作重要指示批示精神和党中央、省委、市委关于老干部工作的部署要求，紧扣省委、市委中心大局和决策部署，坚持“145”工作思路，即锚定全面创优、全部争先“一个目标”，持续实施工作质效提升、特色品牌创建、实践示范引领、能力素质倍增“四大行动”，聚焦强化政治引领、强化党建统领、强化精准服务、强化作用发挥、强化自身建设“五项重点”以及中央省市重大决策部署，找准推动工作高质量发展突破口和着力点。二是增强奋斗精神，聚力扛旗争先。要持续强化争先进创一流的意识，拉高工作标杆，坚持奋勇争先，力争全年工作只能进位、不能退位。要及时总结工作经验成绩、优秀案例，挖掘老干部工作和离退休干部中的先进集体和个人，加强宣传推荐，不断扩大广元老干部工作的影响力和知名度。三是提升创新能力，打造特色品牌。要坚持大胆创新探索，推动市县联动，深入开展特色品牌创建行动，市委老干部局科室（中心、所）、各县区和市级相关行业部门都至少要创建一个老干部工作特色品牌。要围绕贯彻落实市委发展战略，突出实干为上，大力实施干部“五会”能力倍增计划，促进干部职工创新本领和创新能力不断提升。四是强化攻关意识，同答重点试卷。以老干部工作中的“难点”“堵点”为“试卷”，强化问题导向、工作中留心细致，市县老干部工作部门联合攻关，抓实学习宣传贯彻党的二十大精神、强党建聚合力、发挥老干部作用助力中心大局、精准精细服务管理、苦练内功争先提能等重点任务，共同推动全市老干部工作再上新台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957499684"/>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lang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中共广元市委老干部局无下属二级独立核算预算单位。</w:t>
      </w:r>
      <w:r>
        <w:rPr>
          <w:rFonts w:hint="eastAsia" w:ascii="仿宋_GB2312" w:hAnsi="仿宋_GB2312" w:eastAsia="仿宋_GB2312" w:cs="仿宋_GB2312"/>
          <w:sz w:val="32"/>
          <w:szCs w:val="32"/>
          <w:lang w:val="en-US" w:eastAsia="zh-CN"/>
        </w:rPr>
        <w:t>市委老干部局是市委主管全市离退休干部工作的职能机构，归口市委组织部管理，内设办公室、安置科、保健科3个职能科（室），下属1个正科级参公事业单位（广元市老干部休养所）、1个正科级事业单位（广元市老干部活动中心）以及1个挂靠参公事业单位（关心下一代工作委员会)均未独立核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192340623"/>
      <w:r>
        <w:rPr>
          <w:rFonts w:hint="eastAsia" w:ascii="黑体" w:hAnsi="黑体" w:eastAsia="黑体" w:cs="黑体"/>
          <w:sz w:val="32"/>
          <w:szCs w:val="32"/>
          <w:lang w:val="en-US" w:eastAsia="zh-CN"/>
        </w:rPr>
        <w:t>三、收支预算情况说明</w:t>
      </w:r>
      <w:bookmarkEnd w:id="4"/>
    </w:p>
    <w:p>
      <w:pPr>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按照综合预算的原则，中共广元市委老干部局所有收入和支出均纳入部门预算管理。收入包括：一般公共预算拨款收入；支出包括：社会保障和就业支出、卫生健康支出、住房保障支出。中共广元市委老干部局2024年收支总预算783.03万元,比2023年收支预算总数增加32.68万元，主要原因是人员费用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866148306"/>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w:t>
      </w:r>
      <w:r>
        <w:rPr>
          <w:rFonts w:hint="eastAsia" w:ascii="仿宋_GB2312" w:hAnsi="仿宋_GB2312" w:eastAsia="仿宋_GB2312" w:cs="仿宋_GB2312"/>
          <w:sz w:val="32"/>
          <w:szCs w:val="32"/>
          <w:lang w:val="en-US" w:eastAsia="zh-CN"/>
        </w:rPr>
        <w:t>2024年收入预算783.03万元，其中：一般公共预算拨款收入783.03万元，占100%。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021791409"/>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w:t>
      </w:r>
      <w:r>
        <w:rPr>
          <w:rFonts w:hint="eastAsia" w:ascii="仿宋_GB2312" w:hAnsi="仿宋_GB2312" w:eastAsia="仿宋_GB2312" w:cs="仿宋_GB2312"/>
          <w:sz w:val="32"/>
          <w:szCs w:val="32"/>
          <w:lang w:val="en-US" w:eastAsia="zh-CN"/>
        </w:rPr>
        <w:t>2024年支出预算783.03万元，其中：基本支出613.08万元，占78%；项目支出169.95万元，占22%</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1373969907"/>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w:t>
      </w:r>
      <w:r>
        <w:rPr>
          <w:rFonts w:hint="eastAsia" w:ascii="仿宋_GB2312" w:hAnsi="仿宋_GB2312" w:eastAsia="仿宋_GB2312" w:cs="仿宋_GB2312"/>
          <w:sz w:val="32"/>
          <w:szCs w:val="32"/>
          <w:lang w:val="en-US" w:eastAsia="zh-CN"/>
        </w:rPr>
        <w:t>2024年财政拨款收支预算总数783.03万元,比2023年财政拨款收支预算总数增加32.68万元，主要原因是人员费用增加。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收入包括：本年一般公共预算拨款收入783.03万元；支出包括：社会保障和就业支出721.16万元、卫生健康支出17万元、住房保障支出44.87万元。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606966389"/>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308895253"/>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w:t>
      </w:r>
      <w:r>
        <w:rPr>
          <w:rFonts w:hint="eastAsia" w:ascii="仿宋_GB2312" w:hAnsi="仿宋_GB2312" w:eastAsia="仿宋_GB2312" w:cs="仿宋_GB2312"/>
          <w:sz w:val="32"/>
          <w:szCs w:val="32"/>
          <w:lang w:val="en-US" w:eastAsia="zh-CN"/>
        </w:rPr>
        <w:t>2024年一般公共预算当年拨款783.03万元，比2023年预算数增加32.68万元，主要原因是人员费用增加。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888319420"/>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社会保障和就业支出721.16万元，占92%；卫生健康支出17万元，占2%；住房保障支出44.87万元，占6%。</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127707509"/>
      <w:r>
        <w:rPr>
          <w:rFonts w:hint="eastAsia" w:ascii="楷体_GB2312" w:hAnsi="楷体_GB2312" w:eastAsia="楷体_GB2312" w:cs="楷体_GB2312"/>
          <w:sz w:val="32"/>
          <w:szCs w:val="32"/>
          <w:lang w:val="en-US" w:eastAsia="zh-CN"/>
        </w:rPr>
        <w:t>（三）一般公共预算当年拨款具体使用情况</w:t>
      </w:r>
      <w:bookmarkEnd w:id="11"/>
    </w:p>
    <w:p>
      <w:pPr>
        <w:spacing w:line="576"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1.社会保障和就业（类）行政事业单位养老支出（款）离退休人员管理机构（项）2024年预算数为668.05万元，主要用于：主要用于行政单位工资奖金津补贴、其他工资福利支出、办公经费、会议费、培训费、委托业务费、公务接待费、公务用车运行维护费、维修（护）费、其他商品和服务支出、设备购置、社会福利和救助、其他对个人和家庭补助。</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xml:space="preserve"> </w:t>
      </w:r>
    </w:p>
    <w:p>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2.社会保障和就业（类）行政事业单位养老支出（款）机关事业单位基本养老保险缴费支出（项）2024年预算数为53.11万元，主要用于：实施养老保险制度由单位缴纳的基本养老保险支出。</w:t>
      </w:r>
    </w:p>
    <w:p>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3.卫生健康（类）行政事业单位医疗（款）行政单位医疗（项）2024年预算数为17万元，主要用于：机关及参公管理事业单位按规定由单位缴纳的基本医疗保险支出。</w:t>
      </w:r>
    </w:p>
    <w:p>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4.住房保障（类）住房改革支出（款）住房公积金（项）2024年预算数为44.87万元，主要用于：部门按规定为职工缴纳的住房公积金支出。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562313229"/>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w:t>
      </w:r>
      <w:r>
        <w:rPr>
          <w:rFonts w:hint="eastAsia" w:ascii="仿宋_GB2312" w:hAnsi="仿宋_GB2312" w:eastAsia="仿宋_GB2312" w:cs="仿宋_GB2312"/>
          <w:sz w:val="32"/>
          <w:szCs w:val="32"/>
          <w:lang w:val="en-US" w:eastAsia="zh-CN"/>
        </w:rPr>
        <w:t>2024年一般公共预算基本支出613.08万元，其中：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人员经费531.80万元，主要包括：基本工资、津贴补贴、奖金、</w:t>
      </w:r>
      <w:r>
        <w:rPr>
          <w:rFonts w:hint="eastAsia" w:ascii="仿宋_GB2312" w:hAnsi="仿宋_GB2312" w:eastAsia="仿宋_GB2312" w:cs="仿宋_GB2312"/>
          <w:sz w:val="32"/>
          <w:szCs w:val="32"/>
        </w:rPr>
        <w:t>绩效工资、机关事业单位基本养老保险缴费、职工基本医疗保险缴费、其他社会保障缴费、住房公积金</w:t>
      </w:r>
      <w:r>
        <w:rPr>
          <w:rFonts w:hint="default" w:ascii="仿宋_GB2312" w:hAnsi="仿宋_GB2312" w:eastAsia="仿宋_GB2312" w:cs="仿宋_GB2312"/>
          <w:sz w:val="32"/>
          <w:szCs w:val="32"/>
        </w:rPr>
        <w:t>、生活补助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公用经费81.28万元，主要包括：办公费、差旅费、维修（护）费、会议费、培训费、公务接待费、工会经费、福利费、公务用车运行维护费、其他交通费用</w:t>
      </w:r>
      <w:r>
        <w:rPr>
          <w:rFonts w:hint="default"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896968326"/>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w:t>
      </w:r>
      <w:r>
        <w:rPr>
          <w:rFonts w:hint="eastAsia" w:ascii="仿宋_GB2312" w:hAnsi="仿宋_GB2312" w:eastAsia="仿宋_GB2312" w:cs="仿宋_GB2312"/>
          <w:sz w:val="32"/>
          <w:szCs w:val="32"/>
          <w:lang w:val="en-US" w:eastAsia="zh-CN"/>
        </w:rPr>
        <w:t>2024年“三公”经费财政拨款预算数5.44万元，其中：公务接待费1.52万元，公务用车购置及运行维护费3.92万元，因公出国（境）经费0万元。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616844448"/>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公务接待费与2023年预算相比持平。2024年公务接待费计划用于执行接待考察调研、检查指导等公务活动开支的交通费、住宿费、用餐费等。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186756332"/>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公务用车购置及运行维护费与2023年预算相比持平。单位现有公务用车3辆，其中：轿车1辆，越野车2辆。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2024年安排公务用车运行维护费3.92万元，用于3辆公务用车燃油、过路（桥）、维修、保险等方面支出，主要保障离退休干部服务用车。</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1048253821"/>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w:t>
      </w:r>
      <w:r>
        <w:rPr>
          <w:rFonts w:hint="default" w:ascii="仿宋_GB2312" w:hAnsi="仿宋_GB2312" w:eastAsia="仿宋_GB2312" w:cs="仿宋_GB2312"/>
          <w:sz w:val="32"/>
          <w:szCs w:val="32"/>
          <w:lang w:eastAsia="zh-CN"/>
        </w:rPr>
        <w:t>3</w:t>
      </w:r>
      <w:r>
        <w:rPr>
          <w:rFonts w:hint="eastAsia" w:ascii="仿宋_GB2312" w:hAnsi="仿宋_GB2312" w:eastAsia="仿宋_GB2312" w:cs="仿宋_GB2312"/>
          <w:sz w:val="32"/>
          <w:szCs w:val="32"/>
          <w:lang w:val="en-US" w:eastAsia="zh-CN"/>
        </w:rPr>
        <w:t>年预算相比持平，未安排预算。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1655549423"/>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w:t>
      </w:r>
      <w:r>
        <w:rPr>
          <w:rFonts w:hint="eastAsia" w:ascii="仿宋_GB2312" w:hAnsi="仿宋_GB2312" w:eastAsia="仿宋_GB2312" w:cs="仿宋_GB2312"/>
          <w:sz w:val="32"/>
          <w:szCs w:val="32"/>
          <w:lang w:val="en-US" w:eastAsia="zh-CN"/>
        </w:rPr>
        <w:t>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808875225"/>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w:t>
      </w:r>
      <w:r>
        <w:rPr>
          <w:rFonts w:hint="eastAsia" w:ascii="仿宋_GB2312" w:hAnsi="仿宋_GB2312" w:eastAsia="仿宋_GB2312" w:cs="仿宋_GB2312"/>
          <w:sz w:val="32"/>
          <w:szCs w:val="32"/>
          <w:lang w:val="en-US" w:eastAsia="zh-CN"/>
        </w:rPr>
        <w:t>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603540326"/>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420904491"/>
      <w:r>
        <w:rPr>
          <w:rFonts w:hint="eastAsia" w:ascii="楷体_GB2312" w:hAnsi="楷体_GB2312" w:eastAsia="楷体_GB2312" w:cs="楷体_GB2312"/>
          <w:sz w:val="32"/>
          <w:szCs w:val="32"/>
          <w:lang w:val="en-US" w:eastAsia="zh-CN"/>
        </w:rPr>
        <w:t>（一）机关运行经费</w:t>
      </w:r>
      <w:bookmarkEnd w:id="2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宋体" w:hAnsi="宋体" w:eastAsia="宋体" w:cs="宋体"/>
          <w:i w:val="0"/>
          <w:caps w:val="0"/>
          <w:color w:val="333333"/>
          <w:spacing w:val="0"/>
          <w:sz w:val="28"/>
          <w:szCs w:val="28"/>
        </w:rPr>
      </w:pPr>
      <w:r>
        <w:rPr>
          <w:rFonts w:hint="eastAsia" w:ascii="仿宋_GB2312" w:hAnsi="仿宋_GB2312" w:eastAsia="仿宋_GB2312" w:cs="仿宋_GB2312"/>
          <w:sz w:val="32"/>
          <w:szCs w:val="32"/>
          <w:lang w:val="en-US" w:eastAsia="zh-CN"/>
        </w:rPr>
        <w:t>2024年</w:t>
      </w:r>
      <w:r>
        <w:rPr>
          <w:rFonts w:hint="eastAsia" w:ascii="宋体" w:hAnsi="宋体" w:eastAsia="宋体" w:cs="宋体"/>
          <w:i w:val="0"/>
          <w:caps w:val="0"/>
          <w:color w:val="333333"/>
          <w:spacing w:val="0"/>
          <w:kern w:val="0"/>
          <w:sz w:val="28"/>
          <w:szCs w:val="28"/>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市委老干部局的机关运行经费财政拨款预算为81.28万元，比2023年预算增加0.34万元，上升0.4%。主要原因人员费用增加。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551754691"/>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市委老干部局未</w:t>
      </w:r>
      <w:r>
        <w:rPr>
          <w:rFonts w:hint="eastAsia" w:ascii="仿宋_GB2312" w:hAnsi="仿宋_GB2312" w:eastAsia="仿宋_GB2312" w:cs="仿宋_GB2312"/>
          <w:sz w:val="32"/>
          <w:szCs w:val="32"/>
          <w:lang w:val="en-US" w:eastAsia="zh-CN"/>
        </w:rPr>
        <w:t>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709319878"/>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w:t>
      </w:r>
      <w:r>
        <w:rPr>
          <w:rFonts w:hint="eastAsia" w:ascii="仿宋_GB2312" w:hAnsi="仿宋_GB2312" w:eastAsia="仿宋_GB2312" w:cs="仿宋_GB2312"/>
          <w:sz w:val="32"/>
          <w:szCs w:val="32"/>
          <w:lang w:val="en-US" w:eastAsia="zh-CN"/>
        </w:rPr>
        <w:t>共有车辆3辆，其中        定向保障用车3辆。单位价值200万元以上大型设备0台（套）。</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Calibri" w:eastAsia="仿宋_GB2312" w:cs="仿宋_GB2312"/>
          <w:color w:val="auto"/>
          <w:kern w:val="2"/>
          <w:sz w:val="32"/>
          <w:szCs w:val="32"/>
          <w:lang w:val="en-US" w:eastAsia="zh-CN" w:bidi="ar"/>
        </w:rPr>
        <w:t>2024年部门预算未安排购置车辆及单位价值200万元以上大型设备</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494940037"/>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市委老干部局</w:t>
      </w:r>
      <w:r>
        <w:rPr>
          <w:rFonts w:hint="eastAsia" w:ascii="仿宋_GB2312" w:hAnsi="仿宋_GB2312" w:eastAsia="仿宋_GB2312" w:cs="仿宋_GB2312"/>
          <w:sz w:val="32"/>
          <w:szCs w:val="32"/>
          <w:lang w:val="en-US" w:eastAsia="zh-CN"/>
        </w:rPr>
        <w:t>开展绩效目标管理的项目8个，涉及预算783.03万元。其中：人员类项目1个，涉及预算531.80万元；运转类项目1个，涉及预算81.28万元；特定目标类项目6个，涉及预算169.95万元。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1716664526"/>
      <w:r>
        <w:rPr>
          <w:rFonts w:hint="eastAsia" w:ascii="黑体" w:hAnsi="黑体" w:eastAsia="黑体" w:cs="黑体"/>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w:t>
      </w:r>
      <w:r>
        <w:rPr>
          <w:rFonts w:hint="default" w:ascii="仿宋_GB2312" w:hAnsi="仿宋_GB2312" w:eastAsia="仿宋_GB2312" w:cs="仿宋_GB2312"/>
          <w:sz w:val="32"/>
          <w:szCs w:val="32"/>
          <w:lang w:val="en-US" w:eastAsia="zh-CN"/>
        </w:rPr>
        <w:t>财政拨款收入:指市财政当年安排的财政预算收入。按现行管理制度,部门预算中反映的财政拨款包括一般公共预算拨款和政府性基金预算拨款。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Times New Roman" w:eastAsia="仿宋_GB2312" w:cs="仿宋_GB2312"/>
          <w:color w:val="333333"/>
          <w:kern w:val="0"/>
          <w:sz w:val="32"/>
          <w:szCs w:val="32"/>
          <w:shd w:val="clear" w:color="auto" w:fill="FFFFFF"/>
        </w:rPr>
        <w:t>（二</w:t>
      </w:r>
      <w:r>
        <w:rPr>
          <w:rFonts w:hint="eastAsia" w:ascii="仿宋_GB2312" w:hAnsi="Times New Roman" w:eastAsia="仿宋_GB2312" w:cs="仿宋_GB2312"/>
          <w:color w:val="333333"/>
          <w:kern w:val="0"/>
          <w:sz w:val="32"/>
          <w:szCs w:val="32"/>
          <w:shd w:val="clear" w:color="auto" w:fill="FFFFFF"/>
          <w:lang w:eastAsia="zh-CN"/>
        </w:rPr>
        <w:t>）</w:t>
      </w:r>
      <w:r>
        <w:rPr>
          <w:rFonts w:hint="eastAsia" w:ascii="仿宋_GB2312" w:hAnsi="仿宋_GB2312" w:eastAsia="仿宋_GB2312" w:cs="仿宋_GB2312"/>
          <w:sz w:val="32"/>
          <w:szCs w:val="32"/>
          <w:lang w:val="en-US" w:eastAsia="zh-CN"/>
        </w:rPr>
        <w:t>社会保障和就业（类）行政事业单位养老支出（款）离退休管理机构（项）：指机关单位用于保障机构正常运行、开展日常工作的支出。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）社会保障和就业（类）行政事业单位养老支出（款）机关事业单位基本养老保险缴费支出（项）：指部门实施养老保险制度由单位缴纳的养老保险的支出。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w:t>
      </w:r>
      <w:bookmarkStart w:id="25" w:name="_GoBack"/>
      <w:bookmarkEnd w:id="25"/>
      <w:r>
        <w:rPr>
          <w:rFonts w:hint="eastAsia" w:ascii="仿宋_GB2312" w:hAnsi="仿宋_GB2312" w:eastAsia="仿宋_GB2312" w:cs="仿宋_GB2312"/>
          <w:sz w:val="32"/>
          <w:szCs w:val="32"/>
          <w:lang w:val="en-US" w:eastAsia="zh-CN"/>
        </w:rPr>
        <w:t>）卫生健康（类）行政事业单位医疗（款）行政单位医疗（项）：指机关及参公管理事业单位用于单位应缴纳基本医疗保险支出。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eastAsia="zh-CN"/>
        </w:rPr>
        <w:t>五</w:t>
      </w:r>
      <w:r>
        <w:rPr>
          <w:rFonts w:hint="eastAsia" w:ascii="仿宋_GB2312" w:hAnsi="仿宋_GB2312" w:eastAsia="仿宋_GB2312" w:cs="仿宋_GB2312"/>
          <w:sz w:val="32"/>
          <w:szCs w:val="32"/>
          <w:lang w:val="en-US" w:eastAsia="zh-CN"/>
        </w:rPr>
        <w:t>）住房保障（类）住房改革支出（款）住房公积金（项）：指按照《住房公积金管理条例》的规定，由单位及其在职职工缴存的长期住房储金。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eastAsia="zh-CN"/>
        </w:rPr>
        <w:t>六</w:t>
      </w:r>
      <w:r>
        <w:rPr>
          <w:rFonts w:hint="eastAsia" w:ascii="仿宋_GB2312" w:hAnsi="仿宋_GB2312" w:eastAsia="仿宋_GB2312" w:cs="仿宋_GB2312"/>
          <w:sz w:val="32"/>
          <w:szCs w:val="32"/>
          <w:lang w:val="en-US" w:eastAsia="zh-CN"/>
        </w:rPr>
        <w:t>）基本支出：指为保证机构正常运转，完成日常工作任务而发生的人员支出和公用支出。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eastAsia="zh-CN"/>
        </w:rPr>
        <w:t>七</w:t>
      </w:r>
      <w:r>
        <w:rPr>
          <w:rFonts w:hint="eastAsia" w:ascii="仿宋_GB2312" w:hAnsi="仿宋_GB2312" w:eastAsia="仿宋_GB2312" w:cs="仿宋_GB2312"/>
          <w:sz w:val="32"/>
          <w:szCs w:val="32"/>
          <w:lang w:val="en-US" w:eastAsia="zh-CN"/>
        </w:rPr>
        <w:t>）项目支出：指在基本支出之外为完成特定行政任务和事业发展目标所发生的支出。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eastAsia="zh-CN"/>
        </w:rPr>
        <w:t>八</w:t>
      </w:r>
      <w:r>
        <w:rPr>
          <w:rFonts w:hint="eastAsia" w:ascii="仿宋_GB2312" w:hAnsi="仿宋_GB2312" w:eastAsia="仿宋_GB2312" w:cs="仿宋_GB2312"/>
          <w:sz w:val="32"/>
          <w:szCs w:val="32"/>
          <w:lang w:val="en-US" w:eastAsia="zh-CN"/>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eastAsia="zh-CN"/>
        </w:rPr>
        <w:t>九</w:t>
      </w:r>
      <w:r>
        <w:rPr>
          <w:rFonts w:hint="eastAsia" w:ascii="仿宋_GB2312" w:hAnsi="仿宋_GB2312" w:eastAsia="仿宋_GB2312" w:cs="仿宋_GB2312"/>
          <w:sz w:val="32"/>
          <w:szCs w:val="32"/>
          <w:lang w:val="en-US" w:eastAsia="zh-CN"/>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15DDC9"/>
    <w:multiLevelType w:val="singleLevel"/>
    <w:tmpl w:val="4015DDC9"/>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zYTFiNjg2ZjE3NGY5M2E0M2ZjZTNhOGUzNTJjNzcifQ=="/>
  </w:docVars>
  <w:rsids>
    <w:rsidRoot w:val="00000000"/>
    <w:rsid w:val="00D91EDB"/>
    <w:rsid w:val="012352D1"/>
    <w:rsid w:val="029307AF"/>
    <w:rsid w:val="0BFE6DCC"/>
    <w:rsid w:val="1F779376"/>
    <w:rsid w:val="1F7BF06F"/>
    <w:rsid w:val="1FEE4B73"/>
    <w:rsid w:val="220F17A9"/>
    <w:rsid w:val="23A3664D"/>
    <w:rsid w:val="23CE9849"/>
    <w:rsid w:val="2C6E779B"/>
    <w:rsid w:val="38D429AD"/>
    <w:rsid w:val="39D64ADF"/>
    <w:rsid w:val="39F304DD"/>
    <w:rsid w:val="3AF79505"/>
    <w:rsid w:val="3EF913BF"/>
    <w:rsid w:val="3FA38788"/>
    <w:rsid w:val="3FDDBC0A"/>
    <w:rsid w:val="421F2EEA"/>
    <w:rsid w:val="49B760FE"/>
    <w:rsid w:val="4F691C49"/>
    <w:rsid w:val="4F6F4D85"/>
    <w:rsid w:val="5151508A"/>
    <w:rsid w:val="53C25DCC"/>
    <w:rsid w:val="54244390"/>
    <w:rsid w:val="54662A63"/>
    <w:rsid w:val="58064E12"/>
    <w:rsid w:val="5BFEE015"/>
    <w:rsid w:val="5FFF9DD7"/>
    <w:rsid w:val="63EDCF55"/>
    <w:rsid w:val="63FBFBCF"/>
    <w:rsid w:val="669360FD"/>
    <w:rsid w:val="67FFEB42"/>
    <w:rsid w:val="6839202D"/>
    <w:rsid w:val="68FF6A83"/>
    <w:rsid w:val="6FBBC9CF"/>
    <w:rsid w:val="72BDE561"/>
    <w:rsid w:val="77F3C4E0"/>
    <w:rsid w:val="78462278"/>
    <w:rsid w:val="7997EA6C"/>
    <w:rsid w:val="7AEAE675"/>
    <w:rsid w:val="7BAFCE5D"/>
    <w:rsid w:val="7D46598C"/>
    <w:rsid w:val="7DFB240B"/>
    <w:rsid w:val="7E0935ED"/>
    <w:rsid w:val="7E7712F7"/>
    <w:rsid w:val="7EEEEA8D"/>
    <w:rsid w:val="7F32FA5A"/>
    <w:rsid w:val="7FCF2AF7"/>
    <w:rsid w:val="8F5DEEDE"/>
    <w:rsid w:val="9FEF033D"/>
    <w:rsid w:val="A27FF1E5"/>
    <w:rsid w:val="AFDEB5A7"/>
    <w:rsid w:val="AFEA7FBF"/>
    <w:rsid w:val="B7BA94F0"/>
    <w:rsid w:val="B83F4767"/>
    <w:rsid w:val="BECFFF03"/>
    <w:rsid w:val="BF930F07"/>
    <w:rsid w:val="BFCE8436"/>
    <w:rsid w:val="C3F7EB7A"/>
    <w:rsid w:val="CFF5FEEC"/>
    <w:rsid w:val="D3DD9064"/>
    <w:rsid w:val="D57FEAFD"/>
    <w:rsid w:val="D63F8742"/>
    <w:rsid w:val="D6F76A0C"/>
    <w:rsid w:val="D7ECE8D2"/>
    <w:rsid w:val="DC767AC9"/>
    <w:rsid w:val="DEFFA18D"/>
    <w:rsid w:val="DFDD4FB5"/>
    <w:rsid w:val="E6DBCA1C"/>
    <w:rsid w:val="E7F748B5"/>
    <w:rsid w:val="EBDFE821"/>
    <w:rsid w:val="EE5F3713"/>
    <w:rsid w:val="EFC9D62C"/>
    <w:rsid w:val="EFF7C89E"/>
    <w:rsid w:val="F6BE9755"/>
    <w:rsid w:val="F6FFA89B"/>
    <w:rsid w:val="FAE4EFE1"/>
    <w:rsid w:val="FB9B6F12"/>
    <w:rsid w:val="FBB66A4A"/>
    <w:rsid w:val="FDBEC34B"/>
    <w:rsid w:val="FDEE6989"/>
    <w:rsid w:val="FEDDBFAC"/>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样式 行距: 固定值 28.9 磅"/>
    <w:basedOn w:val="1"/>
    <w:qFormat/>
    <w:uiPriority w:val="0"/>
    <w:pPr>
      <w:spacing w:line="578" w:lineRule="exact"/>
    </w:pPr>
    <w:rPr>
      <w:rFonts w:cs="宋体"/>
      <w:szCs w:val="20"/>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0</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2024-02-06T14:49:47Z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