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13365"/>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广元市人民政府办公室部门</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sdt>
      <w:sdtPr>
        <w:rPr>
          <w:rFonts w:ascii="宋体" w:hAnsi="宋体" w:eastAsia="宋体" w:cs="Times New Roman"/>
          <w:color w:val="auto"/>
          <w:kern w:val="2"/>
          <w:sz w:val="21"/>
          <w:szCs w:val="24"/>
          <w:lang w:val="en-US" w:eastAsia="zh-CN" w:bidi="ar-SA"/>
        </w:rPr>
        <w:id w:val="147471185"/>
        <w15:color w:val="DBDBDB"/>
        <w:docPartObj>
          <w:docPartGallery w:val="Table of Contents"/>
          <w:docPartUnique/>
        </w:docPartObj>
      </w:sdtPr>
      <w:sdtEndPr>
        <w:rPr>
          <w:rFonts w:hint="eastAsia" w:ascii="Calibri" w:hAnsi="Calibri" w:eastAsia="宋体" w:cs="Times New Roman"/>
          <w:b/>
          <w:color w:val="auto"/>
          <w:kern w:val="2"/>
          <w:sz w:val="18"/>
          <w:szCs w:val="24"/>
          <w:lang w:val="en-US" w:eastAsia="zh-CN" w:bidi="ar-SA"/>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4"/>
            <w:tabs>
              <w:tab w:val="right" w:leader="dot" w:pos="8845"/>
            </w:tabs>
            <w:spacing w:line="360" w:lineRule="auto"/>
            <w:rPr>
              <w:b/>
              <w:highlight w:val="none"/>
            </w:rPr>
          </w:pPr>
          <w:r>
            <w:rPr>
              <w:rFonts w:hint="eastAsia"/>
              <w:lang w:val="en-US" w:eastAsia="zh-CN"/>
            </w:rPr>
            <w:fldChar w:fldCharType="begin"/>
          </w:r>
          <w:r>
            <w:rPr>
              <w:rFonts w:hint="eastAsia"/>
              <w:lang w:val="en-US" w:eastAsia="zh-CN"/>
            </w:rPr>
            <w:instrText xml:space="preserve">TOC \o "1-2" \h \u </w:instrText>
          </w:r>
          <w:r>
            <w:rPr>
              <w:rFonts w:hint="eastAsia"/>
              <w:lang w:val="en-US" w:eastAsia="zh-CN"/>
            </w:rPr>
            <w:fldChar w:fldCharType="separate"/>
          </w:r>
          <w:r>
            <w:rPr>
              <w:rFonts w:hint="eastAsia"/>
              <w:b/>
              <w:highlight w:val="none"/>
              <w:lang w:val="en-US" w:eastAsia="zh-CN"/>
            </w:rPr>
            <w:fldChar w:fldCharType="begin"/>
          </w:r>
          <w:r>
            <w:rPr>
              <w:rFonts w:hint="eastAsia"/>
              <w:b/>
              <w:highlight w:val="none"/>
              <w:lang w:val="en-US" w:eastAsia="zh-CN"/>
            </w:rPr>
            <w:instrText xml:space="preserve"> HYPERLINK \l _Toc27566 </w:instrText>
          </w:r>
          <w:r>
            <w:rPr>
              <w:rFonts w:hint="eastAsia"/>
              <w:b/>
              <w:highlight w:val="none"/>
              <w:lang w:val="en-US" w:eastAsia="zh-CN"/>
            </w:rPr>
            <w:fldChar w:fldCharType="separate"/>
          </w:r>
          <w:r>
            <w:rPr>
              <w:rFonts w:hint="eastAsia" w:ascii="黑体" w:hAnsi="黑体" w:eastAsia="黑体" w:cs="黑体"/>
              <w:b/>
              <w:szCs w:val="32"/>
              <w:highlight w:val="none"/>
              <w:lang w:val="en-US" w:eastAsia="zh-CN"/>
            </w:rPr>
            <w:t>一、基本职能及主要工作</w:t>
          </w:r>
          <w:r>
            <w:rPr>
              <w:b/>
              <w:highlight w:val="none"/>
            </w:rPr>
            <w:tab/>
          </w:r>
          <w:r>
            <w:rPr>
              <w:b/>
              <w:highlight w:val="none"/>
            </w:rPr>
            <w:fldChar w:fldCharType="begin"/>
          </w:r>
          <w:r>
            <w:rPr>
              <w:b/>
              <w:highlight w:val="none"/>
            </w:rPr>
            <w:instrText xml:space="preserve"> PAGEREF _Toc27566 \h </w:instrText>
          </w:r>
          <w:r>
            <w:rPr>
              <w:b/>
              <w:highlight w:val="none"/>
            </w:rPr>
            <w:fldChar w:fldCharType="separate"/>
          </w:r>
          <w:r>
            <w:rPr>
              <w:b/>
              <w:highlight w:val="none"/>
            </w:rPr>
            <w:t>3</w:t>
          </w:r>
          <w:r>
            <w:rPr>
              <w:b/>
              <w:highlight w:val="none"/>
            </w:rPr>
            <w:fldChar w:fldCharType="end"/>
          </w:r>
          <w:r>
            <w:rPr>
              <w:rFonts w:hint="eastAsia"/>
              <w:b/>
              <w:highlight w:val="none"/>
              <w:lang w:val="en-US" w:eastAsia="zh-CN"/>
            </w:rPr>
            <w:fldChar w:fldCharType="end"/>
          </w:r>
        </w:p>
        <w:p>
          <w:pPr>
            <w:pStyle w:val="15"/>
            <w:tabs>
              <w:tab w:val="right" w:leader="dot" w:pos="8845"/>
            </w:tabs>
            <w:spacing w:line="360" w:lineRule="auto"/>
            <w:rPr>
              <w:highlight w:val="none"/>
            </w:rPr>
          </w:pPr>
          <w:r>
            <w:rPr>
              <w:rFonts w:hint="eastAsia"/>
              <w:highlight w:val="none"/>
              <w:lang w:val="en-US" w:eastAsia="zh-CN"/>
            </w:rPr>
            <w:fldChar w:fldCharType="begin"/>
          </w:r>
          <w:r>
            <w:rPr>
              <w:rFonts w:hint="eastAsia"/>
              <w:highlight w:val="none"/>
              <w:lang w:val="en-US" w:eastAsia="zh-CN"/>
            </w:rPr>
            <w:instrText xml:space="preserve"> HYPERLINK \l _Toc14020 </w:instrText>
          </w:r>
          <w:r>
            <w:rPr>
              <w:rFonts w:hint="eastAsia"/>
              <w:highlight w:val="none"/>
              <w:lang w:val="en-US" w:eastAsia="zh-CN"/>
            </w:rPr>
            <w:fldChar w:fldCharType="separate"/>
          </w:r>
          <w:r>
            <w:rPr>
              <w:rFonts w:hint="eastAsia" w:ascii="楷体_GB2312" w:hAnsi="楷体_GB2312" w:eastAsia="楷体_GB2312" w:cs="楷体_GB2312"/>
              <w:szCs w:val="32"/>
              <w:highlight w:val="none"/>
            </w:rPr>
            <w:t>（一）</w:t>
          </w:r>
          <w:r>
            <w:rPr>
              <w:rFonts w:hint="eastAsia" w:ascii="楷体_GB2312" w:hAnsi="楷体_GB2312" w:eastAsia="楷体_GB2312" w:cs="楷体_GB2312"/>
              <w:szCs w:val="32"/>
              <w:highlight w:val="none"/>
              <w:lang w:val="en-US" w:eastAsia="zh-CN"/>
            </w:rPr>
            <w:t>广元市人民政府办公室</w:t>
          </w:r>
          <w:r>
            <w:rPr>
              <w:rFonts w:hint="eastAsia" w:ascii="楷体_GB2312" w:hAnsi="楷体_GB2312" w:eastAsia="楷体_GB2312" w:cs="楷体_GB2312"/>
              <w:szCs w:val="32"/>
              <w:highlight w:val="none"/>
            </w:rPr>
            <w:t>职能简介</w:t>
          </w:r>
          <w:r>
            <w:rPr>
              <w:highlight w:val="none"/>
            </w:rPr>
            <w:tab/>
          </w:r>
          <w:r>
            <w:rPr>
              <w:highlight w:val="none"/>
            </w:rPr>
            <w:fldChar w:fldCharType="begin"/>
          </w:r>
          <w:r>
            <w:rPr>
              <w:highlight w:val="none"/>
            </w:rPr>
            <w:instrText xml:space="preserve"> PAGEREF _Toc14020 \h </w:instrText>
          </w:r>
          <w:r>
            <w:rPr>
              <w:highlight w:val="none"/>
            </w:rPr>
            <w:fldChar w:fldCharType="separate"/>
          </w:r>
          <w:r>
            <w:rPr>
              <w:highlight w:val="none"/>
            </w:rPr>
            <w:t>3</w:t>
          </w:r>
          <w:r>
            <w:rPr>
              <w:highlight w:val="none"/>
            </w:rPr>
            <w:fldChar w:fldCharType="end"/>
          </w:r>
          <w:r>
            <w:rPr>
              <w:rFonts w:hint="eastAsia"/>
              <w:highlight w:val="none"/>
              <w:lang w:val="en-US" w:eastAsia="zh-CN"/>
            </w:rPr>
            <w:fldChar w:fldCharType="end"/>
          </w:r>
        </w:p>
        <w:p>
          <w:pPr>
            <w:pStyle w:val="15"/>
            <w:tabs>
              <w:tab w:val="right" w:leader="dot" w:pos="8845"/>
            </w:tabs>
            <w:spacing w:line="360" w:lineRule="auto"/>
            <w:rPr>
              <w:highlight w:val="none"/>
            </w:rPr>
          </w:pPr>
          <w:r>
            <w:rPr>
              <w:rFonts w:hint="eastAsia"/>
              <w:highlight w:val="none"/>
              <w:lang w:val="en-US" w:eastAsia="zh-CN"/>
            </w:rPr>
            <w:fldChar w:fldCharType="begin"/>
          </w:r>
          <w:r>
            <w:rPr>
              <w:rFonts w:hint="eastAsia"/>
              <w:highlight w:val="none"/>
              <w:lang w:val="en-US" w:eastAsia="zh-CN"/>
            </w:rPr>
            <w:instrText xml:space="preserve"> HYPERLINK \l _Toc23666 </w:instrText>
          </w:r>
          <w:r>
            <w:rPr>
              <w:rFonts w:hint="eastAsia"/>
              <w:highlight w:val="none"/>
              <w:lang w:val="en-US" w:eastAsia="zh-CN"/>
            </w:rPr>
            <w:fldChar w:fldCharType="separate"/>
          </w:r>
          <w:r>
            <w:rPr>
              <w:rFonts w:hint="eastAsia" w:ascii="楷体_GB2312" w:hAnsi="楷体_GB2312" w:eastAsia="楷体_GB2312" w:cs="楷体_GB2312"/>
              <w:szCs w:val="32"/>
              <w:highlight w:val="none"/>
            </w:rPr>
            <w:t>（二）</w:t>
          </w:r>
          <w:r>
            <w:rPr>
              <w:rFonts w:hint="eastAsia" w:ascii="楷体_GB2312" w:hAnsi="楷体_GB2312" w:eastAsia="楷体_GB2312" w:cs="楷体_GB2312"/>
              <w:szCs w:val="32"/>
              <w:highlight w:val="none"/>
              <w:lang w:val="en-US" w:eastAsia="zh-CN"/>
            </w:rPr>
            <w:t>广元市人民政府办公室</w:t>
          </w:r>
          <w:r>
            <w:rPr>
              <w:rFonts w:hint="eastAsia" w:ascii="楷体_GB2312" w:hAnsi="楷体_GB2312" w:eastAsia="楷体_GB2312" w:cs="楷体_GB2312"/>
              <w:szCs w:val="32"/>
              <w:highlight w:val="none"/>
              <w:lang w:val="en-US"/>
            </w:rPr>
            <w:t>2024</w:t>
          </w:r>
          <w:r>
            <w:rPr>
              <w:rFonts w:hint="eastAsia" w:ascii="楷体_GB2312" w:hAnsi="楷体_GB2312" w:eastAsia="楷体_GB2312" w:cs="楷体_GB2312"/>
              <w:szCs w:val="32"/>
              <w:highlight w:val="none"/>
            </w:rPr>
            <w:t>年重点工作</w:t>
          </w:r>
          <w:r>
            <w:rPr>
              <w:highlight w:val="none"/>
            </w:rPr>
            <w:tab/>
          </w:r>
          <w:r>
            <w:rPr>
              <w:highlight w:val="none"/>
            </w:rPr>
            <w:fldChar w:fldCharType="begin"/>
          </w:r>
          <w:r>
            <w:rPr>
              <w:highlight w:val="none"/>
            </w:rPr>
            <w:instrText xml:space="preserve"> PAGEREF _Toc23666 \h </w:instrText>
          </w:r>
          <w:r>
            <w:rPr>
              <w:highlight w:val="none"/>
            </w:rPr>
            <w:fldChar w:fldCharType="separate"/>
          </w:r>
          <w:r>
            <w:rPr>
              <w:highlight w:val="none"/>
            </w:rPr>
            <w:t>4</w:t>
          </w:r>
          <w:r>
            <w:rPr>
              <w:highlight w:val="none"/>
            </w:rPr>
            <w:fldChar w:fldCharType="end"/>
          </w:r>
          <w:r>
            <w:rPr>
              <w:rFonts w:hint="eastAsia"/>
              <w:highlight w:val="none"/>
              <w:lang w:val="en-US" w:eastAsia="zh-CN"/>
            </w:rPr>
            <w:fldChar w:fldCharType="end"/>
          </w:r>
        </w:p>
        <w:p>
          <w:pPr>
            <w:pStyle w:val="14"/>
            <w:tabs>
              <w:tab w:val="right" w:leader="dot" w:pos="8845"/>
            </w:tabs>
            <w:spacing w:line="360" w:lineRule="auto"/>
            <w:rPr>
              <w:b/>
              <w:highlight w:val="none"/>
            </w:rPr>
          </w:pPr>
          <w:r>
            <w:rPr>
              <w:rFonts w:hint="eastAsia"/>
              <w:b/>
              <w:highlight w:val="none"/>
              <w:lang w:val="en-US" w:eastAsia="zh-CN"/>
            </w:rPr>
            <w:fldChar w:fldCharType="begin"/>
          </w:r>
          <w:r>
            <w:rPr>
              <w:rFonts w:hint="eastAsia"/>
              <w:b/>
              <w:highlight w:val="none"/>
              <w:lang w:val="en-US" w:eastAsia="zh-CN"/>
            </w:rPr>
            <w:instrText xml:space="preserve"> HYPERLINK \l _Toc1096 </w:instrText>
          </w:r>
          <w:r>
            <w:rPr>
              <w:rFonts w:hint="eastAsia"/>
              <w:b/>
              <w:highlight w:val="none"/>
              <w:lang w:val="en-US" w:eastAsia="zh-CN"/>
            </w:rPr>
            <w:fldChar w:fldCharType="separate"/>
          </w:r>
          <w:r>
            <w:rPr>
              <w:rFonts w:hint="eastAsia" w:ascii="黑体" w:hAnsi="黑体" w:eastAsia="黑体" w:cs="黑体"/>
              <w:b/>
              <w:szCs w:val="32"/>
              <w:highlight w:val="none"/>
              <w:lang w:val="en-US" w:eastAsia="zh-CN"/>
            </w:rPr>
            <w:t>二、部门预算单位构成</w:t>
          </w:r>
          <w:r>
            <w:rPr>
              <w:b/>
              <w:highlight w:val="none"/>
            </w:rPr>
            <w:tab/>
          </w:r>
          <w:r>
            <w:rPr>
              <w:b/>
              <w:highlight w:val="none"/>
            </w:rPr>
            <w:fldChar w:fldCharType="begin"/>
          </w:r>
          <w:r>
            <w:rPr>
              <w:b/>
              <w:highlight w:val="none"/>
            </w:rPr>
            <w:instrText xml:space="preserve"> PAGEREF _Toc1096 \h </w:instrText>
          </w:r>
          <w:r>
            <w:rPr>
              <w:b/>
              <w:highlight w:val="none"/>
            </w:rPr>
            <w:fldChar w:fldCharType="separate"/>
          </w:r>
          <w:r>
            <w:rPr>
              <w:b/>
              <w:highlight w:val="none"/>
            </w:rPr>
            <w:t>4</w:t>
          </w:r>
          <w:r>
            <w:rPr>
              <w:b/>
              <w:highlight w:val="none"/>
            </w:rPr>
            <w:fldChar w:fldCharType="end"/>
          </w:r>
          <w:r>
            <w:rPr>
              <w:rFonts w:hint="eastAsia"/>
              <w:b/>
              <w:highlight w:val="none"/>
              <w:lang w:val="en-US" w:eastAsia="zh-CN"/>
            </w:rPr>
            <w:fldChar w:fldCharType="end"/>
          </w:r>
        </w:p>
        <w:p>
          <w:pPr>
            <w:pStyle w:val="15"/>
            <w:tabs>
              <w:tab w:val="right" w:leader="dot" w:pos="8845"/>
            </w:tabs>
            <w:spacing w:line="360" w:lineRule="auto"/>
          </w:pPr>
          <w:r>
            <w:rPr>
              <w:rFonts w:hint="eastAsia"/>
              <w:highlight w:val="none"/>
              <w:lang w:val="en-US" w:eastAsia="zh-CN"/>
            </w:rPr>
            <w:fldChar w:fldCharType="begin"/>
          </w:r>
          <w:r>
            <w:rPr>
              <w:rFonts w:hint="eastAsia"/>
              <w:highlight w:val="none"/>
              <w:lang w:val="en-US" w:eastAsia="zh-CN"/>
            </w:rPr>
            <w:instrText xml:space="preserve"> HYPERLINK \l _Toc30996 </w:instrText>
          </w:r>
          <w:r>
            <w:rPr>
              <w:rFonts w:hint="eastAsia"/>
              <w:highlight w:val="none"/>
              <w:lang w:val="en-US" w:eastAsia="zh-CN"/>
            </w:rPr>
            <w:fldChar w:fldCharType="separate"/>
          </w:r>
          <w:r>
            <w:rPr>
              <w:rFonts w:hint="eastAsia" w:ascii="楷体_GB2312" w:hAnsi="楷体_GB2312" w:eastAsia="楷体_GB2312" w:cs="楷体_GB2312"/>
              <w:szCs w:val="32"/>
              <w:highlight w:val="none"/>
              <w:lang w:val="en-US" w:eastAsia="zh-CN"/>
            </w:rPr>
            <w:t>（一）收入预算情况</w:t>
          </w:r>
          <w:r>
            <w:rPr>
              <w:highlight w:val="none"/>
            </w:rPr>
            <w:tab/>
          </w:r>
          <w:r>
            <w:rPr>
              <w:highlight w:val="none"/>
            </w:rPr>
            <w:fldChar w:fldCharType="begin"/>
          </w:r>
          <w:r>
            <w:rPr>
              <w:highlight w:val="none"/>
            </w:rPr>
            <w:instrText xml:space="preserve"> PAGEREF _Toc30996 \h </w:instrText>
          </w:r>
          <w:r>
            <w:rPr>
              <w:highlight w:val="none"/>
            </w:rPr>
            <w:fldChar w:fldCharType="separate"/>
          </w:r>
          <w:r>
            <w:rPr>
              <w:highlight w:val="none"/>
            </w:rPr>
            <w:t>7</w:t>
          </w:r>
          <w:r>
            <w:rPr>
              <w:highlight w:val="none"/>
            </w:rPr>
            <w:fldChar w:fldCharType="end"/>
          </w:r>
          <w:r>
            <w:rPr>
              <w:rFonts w:hint="eastAsia"/>
              <w:highlight w:val="none"/>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_Toc28921 </w:instrText>
          </w:r>
          <w:r>
            <w:rPr>
              <w:rFonts w:hint="eastAsia"/>
              <w:lang w:val="en-US" w:eastAsia="zh-CN"/>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_Toc28921 \h </w:instrText>
          </w:r>
          <w:r>
            <w:fldChar w:fldCharType="separate"/>
          </w:r>
          <w:r>
            <w:t>7</w:t>
          </w:r>
          <w:r>
            <w:fldChar w:fldCharType="end"/>
          </w:r>
          <w:r>
            <w:rPr>
              <w:rFonts w:hint="eastAsia"/>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_Toc29919 </w:instrText>
          </w:r>
          <w:r>
            <w:rPr>
              <w:rFonts w:hint="eastAsia"/>
              <w:b/>
              <w:lang w:val="en-US" w:eastAsia="zh-CN"/>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_Toc29919 \h </w:instrText>
          </w:r>
          <w:r>
            <w:rPr>
              <w:b/>
            </w:rPr>
            <w:fldChar w:fldCharType="separate"/>
          </w:r>
          <w:r>
            <w:rPr>
              <w:b/>
            </w:rPr>
            <w:t>7</w:t>
          </w:r>
          <w:r>
            <w:rPr>
              <w:b/>
            </w:rPr>
            <w:fldChar w:fldCharType="end"/>
          </w:r>
          <w:r>
            <w:rPr>
              <w:rFonts w:hint="eastAsia"/>
              <w:b/>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_Toc6941 </w:instrText>
          </w:r>
          <w:r>
            <w:rPr>
              <w:rFonts w:hint="eastAsia"/>
              <w:b/>
              <w:lang w:val="en-US" w:eastAsia="zh-CN"/>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_Toc6941 \h </w:instrText>
          </w:r>
          <w:r>
            <w:rPr>
              <w:b/>
            </w:rPr>
            <w:fldChar w:fldCharType="separate"/>
          </w:r>
          <w:r>
            <w:rPr>
              <w:b/>
            </w:rPr>
            <w:t>8</w:t>
          </w:r>
          <w:r>
            <w:rPr>
              <w:b/>
            </w:rPr>
            <w:fldChar w:fldCharType="end"/>
          </w:r>
          <w:r>
            <w:rPr>
              <w:rFonts w:hint="eastAsia"/>
              <w:b/>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_Toc29827 </w:instrText>
          </w:r>
          <w:r>
            <w:rPr>
              <w:rFonts w:hint="eastAsia"/>
              <w:lang w:val="en-US" w:eastAsia="zh-CN"/>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_Toc29827 \h </w:instrText>
          </w:r>
          <w:r>
            <w:fldChar w:fldCharType="separate"/>
          </w:r>
          <w:r>
            <w:t>8</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_Toc7710 </w:instrText>
          </w:r>
          <w:r>
            <w:rPr>
              <w:rFonts w:hint="eastAsia"/>
              <w:lang w:val="en-US" w:eastAsia="zh-CN"/>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_Toc7710 \h </w:instrText>
          </w:r>
          <w:r>
            <w:fldChar w:fldCharType="separate"/>
          </w:r>
          <w:r>
            <w:t>8</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_Toc29014 </w:instrText>
          </w:r>
          <w:r>
            <w:rPr>
              <w:rFonts w:hint="eastAsia"/>
              <w:lang w:val="en-US" w:eastAsia="zh-CN"/>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_Toc29014 \h </w:instrText>
          </w:r>
          <w:r>
            <w:fldChar w:fldCharType="separate"/>
          </w:r>
          <w:r>
            <w:t>8</w:t>
          </w:r>
          <w:r>
            <w:fldChar w:fldCharType="end"/>
          </w:r>
          <w:r>
            <w:rPr>
              <w:rFonts w:hint="eastAsia"/>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_Toc29510 </w:instrText>
          </w:r>
          <w:r>
            <w:rPr>
              <w:rFonts w:hint="eastAsia"/>
              <w:b/>
              <w:lang w:val="en-US" w:eastAsia="zh-CN"/>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_Toc29510 \h </w:instrText>
          </w:r>
          <w:r>
            <w:rPr>
              <w:b/>
            </w:rPr>
            <w:fldChar w:fldCharType="separate"/>
          </w:r>
          <w:r>
            <w:rPr>
              <w:b/>
            </w:rPr>
            <w:t>9</w:t>
          </w:r>
          <w:r>
            <w:rPr>
              <w:b/>
            </w:rPr>
            <w:fldChar w:fldCharType="end"/>
          </w:r>
          <w:r>
            <w:rPr>
              <w:rFonts w:hint="eastAsia"/>
              <w:b/>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_Toc30615 </w:instrText>
          </w:r>
          <w:r>
            <w:rPr>
              <w:rFonts w:hint="eastAsia"/>
              <w:b/>
              <w:lang w:val="en-US" w:eastAsia="zh-CN"/>
            </w:rPr>
            <w:fldChar w:fldCharType="separate"/>
          </w:r>
          <w:r>
            <w:rPr>
              <w:rFonts w:hint="eastAsia" w:ascii="黑体" w:hAnsi="黑体" w:eastAsia="黑体" w:cs="黑体"/>
              <w:b/>
              <w:szCs w:val="32"/>
              <w:lang w:val="en-US" w:eastAsia="zh-CN"/>
            </w:rPr>
            <w:t>七、“三公”经费财政拨款预算安排情况说明</w:t>
          </w:r>
          <w:r>
            <w:rPr>
              <w:b/>
            </w:rPr>
            <w:tab/>
          </w:r>
          <w:r>
            <w:rPr>
              <w:b/>
            </w:rPr>
            <w:fldChar w:fldCharType="begin"/>
          </w:r>
          <w:r>
            <w:rPr>
              <w:b/>
            </w:rPr>
            <w:instrText xml:space="preserve"> PAGEREF _Toc30615 \h </w:instrText>
          </w:r>
          <w:r>
            <w:rPr>
              <w:b/>
            </w:rPr>
            <w:fldChar w:fldCharType="separate"/>
          </w:r>
          <w:r>
            <w:rPr>
              <w:b/>
            </w:rPr>
            <w:t>10</w:t>
          </w:r>
          <w:r>
            <w:rPr>
              <w:b/>
            </w:rPr>
            <w:fldChar w:fldCharType="end"/>
          </w:r>
          <w:r>
            <w:rPr>
              <w:rFonts w:hint="eastAsia"/>
              <w:b/>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_Toc5492 </w:instrText>
          </w:r>
          <w:r>
            <w:rPr>
              <w:rFonts w:hint="eastAsia"/>
              <w:lang w:val="en-US" w:eastAsia="zh-CN"/>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_Toc5492 \h </w:instrText>
          </w:r>
          <w:r>
            <w:fldChar w:fldCharType="separate"/>
          </w:r>
          <w:r>
            <w:t>10</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_Toc8161 </w:instrText>
          </w:r>
          <w:r>
            <w:rPr>
              <w:rFonts w:hint="eastAsia"/>
              <w:lang w:val="en-US" w:eastAsia="zh-CN"/>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_Toc8161 \h </w:instrText>
          </w:r>
          <w:r>
            <w:fldChar w:fldCharType="separate"/>
          </w:r>
          <w:r>
            <w:t>10</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_Toc26429 </w:instrText>
          </w:r>
          <w:r>
            <w:rPr>
              <w:rFonts w:hint="eastAsia"/>
              <w:lang w:val="en-US" w:eastAsia="zh-CN"/>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_Toc26429 \h </w:instrText>
          </w:r>
          <w:r>
            <w:fldChar w:fldCharType="separate"/>
          </w:r>
          <w:r>
            <w:t>11</w:t>
          </w:r>
          <w:r>
            <w:fldChar w:fldCharType="end"/>
          </w:r>
          <w:r>
            <w:rPr>
              <w:rFonts w:hint="eastAsia"/>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_Toc25909 </w:instrText>
          </w:r>
          <w:r>
            <w:rPr>
              <w:rFonts w:hint="eastAsia"/>
              <w:b/>
              <w:lang w:val="en-US" w:eastAsia="zh-CN"/>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_Toc25909 \h </w:instrText>
          </w:r>
          <w:r>
            <w:rPr>
              <w:b/>
            </w:rPr>
            <w:fldChar w:fldCharType="separate"/>
          </w:r>
          <w:r>
            <w:rPr>
              <w:b/>
            </w:rPr>
            <w:t>11</w:t>
          </w:r>
          <w:r>
            <w:rPr>
              <w:b/>
            </w:rPr>
            <w:fldChar w:fldCharType="end"/>
          </w:r>
          <w:r>
            <w:rPr>
              <w:rFonts w:hint="eastAsia"/>
              <w:b/>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_Toc5976 </w:instrText>
          </w:r>
          <w:r>
            <w:rPr>
              <w:rFonts w:hint="eastAsia"/>
              <w:b/>
              <w:lang w:val="en-US" w:eastAsia="zh-CN"/>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_Toc5976 \h </w:instrText>
          </w:r>
          <w:r>
            <w:rPr>
              <w:b/>
            </w:rPr>
            <w:fldChar w:fldCharType="separate"/>
          </w:r>
          <w:r>
            <w:rPr>
              <w:b/>
            </w:rPr>
            <w:t>11</w:t>
          </w:r>
          <w:r>
            <w:rPr>
              <w:b/>
            </w:rPr>
            <w:fldChar w:fldCharType="end"/>
          </w:r>
          <w:r>
            <w:rPr>
              <w:rFonts w:hint="eastAsia"/>
              <w:b/>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_Toc17469 </w:instrText>
          </w:r>
          <w:r>
            <w:rPr>
              <w:rFonts w:hint="eastAsia"/>
              <w:b/>
              <w:lang w:val="en-US" w:eastAsia="zh-CN"/>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_Toc17469 \h </w:instrText>
          </w:r>
          <w:r>
            <w:rPr>
              <w:b/>
            </w:rPr>
            <w:fldChar w:fldCharType="separate"/>
          </w:r>
          <w:r>
            <w:rPr>
              <w:b/>
            </w:rPr>
            <w:t>11</w:t>
          </w:r>
          <w:r>
            <w:rPr>
              <w:b/>
            </w:rPr>
            <w:fldChar w:fldCharType="end"/>
          </w:r>
          <w:r>
            <w:rPr>
              <w:rFonts w:hint="eastAsia"/>
              <w:b/>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_Toc23890 </w:instrText>
          </w:r>
          <w:r>
            <w:rPr>
              <w:rFonts w:hint="eastAsia"/>
              <w:lang w:val="en-US" w:eastAsia="zh-CN"/>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_Toc23890 \h </w:instrText>
          </w:r>
          <w:r>
            <w:fldChar w:fldCharType="separate"/>
          </w:r>
          <w:r>
            <w:t>11</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_Toc13750 </w:instrText>
          </w:r>
          <w:r>
            <w:rPr>
              <w:rFonts w:hint="eastAsia"/>
              <w:lang w:val="en-US" w:eastAsia="zh-CN"/>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_Toc13750 \h </w:instrText>
          </w:r>
          <w:r>
            <w:fldChar w:fldCharType="separate"/>
          </w:r>
          <w:r>
            <w:t>11</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_Toc30928 </w:instrText>
          </w:r>
          <w:r>
            <w:rPr>
              <w:rFonts w:hint="eastAsia"/>
              <w:lang w:val="en-US" w:eastAsia="zh-CN"/>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_Toc30928 \h </w:instrText>
          </w:r>
          <w:r>
            <w:fldChar w:fldCharType="separate"/>
          </w:r>
          <w:r>
            <w:t>11</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_Toc25893 </w:instrText>
          </w:r>
          <w:r>
            <w:rPr>
              <w:rFonts w:hint="eastAsia"/>
              <w:lang w:val="en-US" w:eastAsia="zh-CN"/>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_Toc25893 \h </w:instrText>
          </w:r>
          <w:r>
            <w:fldChar w:fldCharType="separate"/>
          </w:r>
          <w:r>
            <w:t>12</w:t>
          </w:r>
          <w:r>
            <w:fldChar w:fldCharType="end"/>
          </w:r>
          <w:r>
            <w:rPr>
              <w:rFonts w:hint="eastAsia"/>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_Toc28648 </w:instrText>
          </w:r>
          <w:r>
            <w:rPr>
              <w:rFonts w:hint="eastAsia"/>
              <w:b/>
              <w:lang w:val="en-US" w:eastAsia="zh-CN"/>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_Toc28648 \h </w:instrText>
          </w:r>
          <w:r>
            <w:rPr>
              <w:b/>
            </w:rPr>
            <w:fldChar w:fldCharType="separate"/>
          </w:r>
          <w:r>
            <w:rPr>
              <w:b/>
            </w:rPr>
            <w:t>12</w:t>
          </w:r>
          <w:r>
            <w:rPr>
              <w:b/>
            </w:rPr>
            <w:fldChar w:fldCharType="end"/>
          </w:r>
          <w:r>
            <w:rPr>
              <w:rFonts w:hint="eastAsia"/>
              <w:b/>
              <w:lang w:val="en-US" w:eastAsia="zh-CN"/>
            </w:rPr>
            <w:fldChar w:fldCharType="end"/>
          </w:r>
        </w:p>
        <w:p>
          <w:pPr>
            <w:pStyle w:val="2"/>
            <w:spacing w:line="360" w:lineRule="auto"/>
            <w:rPr>
              <w:rFonts w:hint="eastAsia"/>
              <w:lang w:val="en-US" w:eastAsia="zh-CN"/>
            </w:rPr>
            <w:sectPr>
              <w:pgSz w:w="11906" w:h="16838"/>
              <w:pgMar w:top="2098" w:right="1474" w:bottom="1984" w:left="1587" w:header="720" w:footer="1559" w:gutter="0"/>
              <w:pgNumType w:fmt="decimal"/>
              <w:cols w:space="720" w:num="1"/>
              <w:docGrid w:type="lines" w:linePitch="312" w:charSpace="0"/>
            </w:sectPr>
          </w:pPr>
          <w:r>
            <w:rPr>
              <w:rFonts w:hint="eastAsia"/>
              <w:b/>
              <w:lang w:val="en-US" w:eastAsia="zh-CN"/>
            </w:rPr>
            <w:fldChar w:fldCharType="end"/>
          </w:r>
        </w:p>
      </w:sdtContent>
    </w:sdt>
    <w:p>
      <w:pPr>
        <w:pStyle w:val="2"/>
        <w:rPr>
          <w:rFonts w:hint="eastAsia"/>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 w:name="_Toc27566"/>
      <w:r>
        <w:rPr>
          <w:rFonts w:hint="eastAsia" w:ascii="黑体" w:hAnsi="黑体" w:eastAsia="黑体" w:cs="黑体"/>
          <w:sz w:val="32"/>
          <w:szCs w:val="32"/>
          <w:lang w:val="en-US" w:eastAsia="zh-CN"/>
        </w:rPr>
        <w:t>一、基本职能及主要工作</w:t>
      </w:r>
      <w:bookmarkEnd w:id="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14020"/>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广元市人民政府办公室</w:t>
      </w:r>
      <w:r>
        <w:rPr>
          <w:rFonts w:hint="eastAsia" w:ascii="楷体_GB2312" w:hAnsi="楷体_GB2312" w:eastAsia="楷体_GB2312" w:cs="楷体_GB2312"/>
          <w:sz w:val="32"/>
          <w:szCs w:val="32"/>
        </w:rPr>
        <w:t>职能简介</w:t>
      </w:r>
      <w:bookmarkEnd w:id="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广元市人民政府办公室是市人民政府的综合办事机构，主要是参与政务、管理事务和搞好服务。主要职责是：</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负责承办市政府公文处理。起草或审核以市政府、市政府办公室名义发布的公文；办理国务院、国务院办公厅及各部委和省政府、省政府办公厅及各厅局发送市政府的文电；指导全市行政机关公文处理工作；研究市政府部门和县区政府请示市政府的事项，提出拟办意见，报市政府领导同志审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2.负责市政府会议的会务办理工作，协助市政府领导同志组织实施会议决定事项。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3.督促检查市政府部门和县区人民政府对市政府决定事项及市政府领导同志指示的贯彻落实情况，及时向市政府领导同志报告。</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4.根据市政府领导同志的指示，对市政府部门间争议问题提出处理意见和建议，报市政府领导同志决定。</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机关行政效能建设工作；负责推进、指导、督促全市政务公开、政府信息公开具体工作；负责全市政务信息采编和向国务院办公厅、省政府办公厅信息报送工作；负责政府系统电子政务外网工作和政府网站建设。</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6.组织协调办理涉及市政府工作的人大代表议案、批评、建议和政协委员提案、建议案工作。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7.围绕市政府中心工作和市政府领导同志的指示，组织专题调查研究，及时反映情况，提出政策性建议。</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8.负责公共机构节约能源资源、公务用车、后勤服务等机关事务行政管理工作。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9.贯彻执行金融工作方针政策和法律法规；制定全市金融业发展规划和政策措施；承担地方金融组织的行政管理工作，协助办理防范金融风险、维护地方金融秩序方面的行政事务。</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10.贯彻执行国家有关民营经济发展的方针政策和法律法规，制定全市民营经济发展工作目标，指导县区民营经济发展。</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11.负责“放管服”改革、行政权力依法规范公开运行、公共资源交易管理等工作的统筹指导，负责指导、协调、监督并推进深化行政审批制度改革工作。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12.负责市政府值班工作，指导县区政府和市政府部门政务值班值守工作，及时报告重要情况。</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13.管理市政府办公室直属单位。</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14.办理市委市政府交办的其他事项。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rPr>
      </w:pPr>
      <w:bookmarkStart w:id="3" w:name="_Toc23666"/>
      <w:r>
        <w:rPr>
          <w:rFonts w:hint="eastAsia" w:ascii="楷体_GB2312" w:hAnsi="楷体_GB2312" w:eastAsia="楷体_GB2312" w:cs="楷体_GB2312"/>
          <w:sz w:val="32"/>
          <w:szCs w:val="32"/>
          <w:highlight w:val="none"/>
        </w:rPr>
        <w:t>（二）</w:t>
      </w:r>
      <w:r>
        <w:rPr>
          <w:rFonts w:hint="eastAsia" w:ascii="楷体_GB2312" w:hAnsi="楷体_GB2312" w:eastAsia="楷体_GB2312" w:cs="楷体_GB2312"/>
          <w:sz w:val="32"/>
          <w:szCs w:val="32"/>
          <w:highlight w:val="none"/>
          <w:lang w:val="en-US" w:eastAsia="zh-CN"/>
        </w:rPr>
        <w:t>广元市人民政府办公室</w:t>
      </w:r>
      <w:r>
        <w:rPr>
          <w:rFonts w:hint="eastAsia" w:ascii="楷体_GB2312" w:hAnsi="楷体_GB2312" w:eastAsia="楷体_GB2312" w:cs="楷体_GB2312"/>
          <w:sz w:val="32"/>
          <w:szCs w:val="32"/>
          <w:highlight w:val="none"/>
          <w:lang w:val="en-US"/>
        </w:rPr>
        <w:t>2024</w:t>
      </w:r>
      <w:r>
        <w:rPr>
          <w:rFonts w:hint="eastAsia" w:ascii="楷体_GB2312" w:hAnsi="楷体_GB2312" w:eastAsia="楷体_GB2312" w:cs="楷体_GB2312"/>
          <w:sz w:val="32"/>
          <w:szCs w:val="32"/>
          <w:highlight w:val="none"/>
        </w:rPr>
        <w:t>年重点工作</w:t>
      </w:r>
      <w:bookmarkEnd w:id="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bookmarkStart w:id="4" w:name="_Toc1096"/>
      <w:r>
        <w:rPr>
          <w:rFonts w:hint="eastAsia" w:ascii="仿宋_GB2312" w:hAnsi="仿宋_GB2312" w:eastAsia="仿宋_GB2312" w:cs="仿宋_GB2312"/>
          <w:sz w:val="32"/>
          <w:szCs w:val="32"/>
          <w:lang w:val="en-US" w:eastAsia="zh-CN"/>
        </w:rPr>
        <w:t>2024年，市政府办公室将坚定以习近平新时代中国特色社会主义思想为指导，以全面贯彻落实党的二十大精神为主线，深入贯彻落实中央、省、市决策部署，认真落实“1345”发展战略，为推动新时代治蜀兴川广元实践再上新台阶贡献智慧和力量。</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强化思想引领，着力提升政治水平。坚持“政治机关”理念，把机关政治建设贯穿于各项工作之中，教育引导党员干部进一步提升政治判断力、政治领悟力、政治执行力，坚决讲政治铸忠诚，坚决拥护“两个确立”，不断增强“四个意识”、坚定“四个自信”、做到“两个维护”。积极参加主题教育各项活动安排，通过扎实开展理论中心组学习会、办公室党组（扩大）会、干部职工会、民主生活会、组织生活会等，全面学习领会习近平新时代中国特色社会主义思想丰富内涵，切实加强党员干部党性锤炼和理想信念教育，进一步强化政治自觉、坚定思想自觉、增强行动自觉，不折不扣推进党中央国务院、省委省政府和市委市政府决策部署贯彻落实、见行见效。</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强化参谋辅政，着力提升服务质效。紧紧围绕全市发展大局和市委、市政府中心工作，按照“九个把关”和“三个更加”要求，继续做好全市重大活动、重大事项、重大项目的统筹协调服务。继续优化文电办理流程，促进文电办理提速增效。加大会议活动统筹整合力度，规范化高标准推进会务活动办理。进一步提升以文辅政、政务调研能力水平，提高调研成果运用。坚持绩效考评、通报评比，多出信息精品。规范督办工作流程，实行督查信息化管理、定期反馈制度，严把督查落实关。持续深化“放管服”改革、“一网通办”前提下的“最多跑一次”改革，不断深化网上群众路线工作，强化“互联网+监管”，助力打造最优营商环境。积极协调督促落实民营经济优惠政策及企业家恳谈会议定事项，推进民营经济市场主体增长、民营经济增加值增长。持续开展政府网站和政务新媒体专项整治，加强信息公开、互动和政策解读，进一步加强基层政务公开，有力有序推动先行试点到全域推进。大力做好机关事务管理、机关效能、值班值守、安全保卫等各项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强化队伍建设，着力提升干部素质。继续实施干部能力提升计划，坚持全方位、多角度、立体式考准考实干部政治素质，提高选人用人质量。充分发挥干部能力素质评价机制，实行平时考核、专项考核与年终考核相结合，强化人文关怀，健全正向激励机制，支持鼓励党员干部主动担当勇攻坚、敢于奉献加油干、对标先进争一流，始终迸发“不服输、敢争先”的精气神。始终严肃党内政治生活，持之以恒推进全面从严治党，严明政治纪律和政治规矩，压紧压实“两个责任”，加强作风建设和廉政建设，坚决杜绝形式主义官僚主义。常态化开展廉政警示教育、廉政谈话，持续抓好以案学法、以案示警、以案促改等工作，推动市政府办公室“三服务”工作取得新进展新成效。</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bookmarkEnd w:id="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广元市人民政府办公室部门预算包括本级及下属二级预算单位3个，其中行政单位1个，参照公务员法管理的事业单位2个。主要包括：</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（一）广元市人民政府办公室（本级行政单位）</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（二）广元市人民政府驻北京联络处（参公二级事业单位）</w:t>
      </w:r>
    </w:p>
    <w:p>
      <w:pPr>
        <w:keepNext w:val="0"/>
        <w:keepLines w:val="0"/>
        <w:pageBreakBefore w:val="0"/>
        <w:widowControl w:val="0"/>
        <w:shd w:val="clear"/>
        <w:kinsoku/>
        <w:wordWrap/>
        <w:overflowPunct/>
        <w:topLinePunct w:val="0"/>
        <w:autoSpaceDE/>
        <w:autoSpaceDN/>
        <w:bidi w:val="0"/>
        <w:adjustRightInd/>
        <w:snapToGrid/>
        <w:spacing w:line="576" w:lineRule="exact"/>
        <w:ind w:left="638" w:leftChars="304" w:firstLine="0" w:firstLineChars="0"/>
        <w:textAlignment w:val="auto"/>
        <w:rPr>
          <w:rFonts w:hint="eastAsia" w:ascii="黑体" w:hAnsi="黑体" w:eastAsia="黑体" w:cs="黑体"/>
          <w:sz w:val="32"/>
          <w:szCs w:val="32"/>
        </w:rPr>
      </w:pPr>
      <w:r>
        <w:rPr>
          <w:rFonts w:hint="eastAsia" w:ascii="仿宋_GB2312" w:hAnsi="仿宋_GB2312" w:eastAsia="仿宋_GB2312" w:cs="仿宋_GB2312"/>
          <w:sz w:val="32"/>
          <w:szCs w:val="32"/>
          <w:lang w:val="en-US" w:eastAsia="zh-CN"/>
        </w:rPr>
        <w:t>（三）广元市人民政府驻成都办事处（参公二级事业单位）</w:t>
      </w:r>
      <w:r>
        <w:rPr>
          <w:rFonts w:hint="eastAsia" w:ascii="黑体" w:hAnsi="黑体" w:eastAsia="黑体" w:cs="黑体"/>
          <w:sz w:val="32"/>
          <w:szCs w:val="32"/>
          <w:lang w:val="en-US" w:eastAsia="zh-CN"/>
        </w:rPr>
        <w:t>三、收支预算情况说明</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广元市人民政府办公室部门所有收入和支出均纳入部门预算管理。收入包括：一般公共预算拨款收入；支出包括：一般公共服务支出、社会保障和就业支出、卫生健康支出、住房保障支出。广元市人民政府办公室部门2024年收支预算总数4772.38万元，比2023年收支预算总数增加184.84万元，</w:t>
      </w:r>
      <w:r>
        <w:rPr>
          <w:rFonts w:hint="eastAsia" w:ascii="仿宋_GB2312" w:hAnsi="仿宋" w:eastAsia="仿宋_GB2312" w:cs="仿宋"/>
          <w:color w:val="000000"/>
          <w:kern w:val="0"/>
          <w:sz w:val="32"/>
          <w:szCs w:val="32"/>
          <w:shd w:val="clear" w:color="auto" w:fill="FFFFFF"/>
          <w:lang w:bidi="ar"/>
        </w:rPr>
        <w:t>主要原因</w:t>
      </w:r>
      <w:r>
        <w:rPr>
          <w:rFonts w:hint="eastAsia" w:ascii="仿宋_GB2312" w:hAnsi="仿宋" w:eastAsia="仿宋_GB2312" w:cs="仿宋"/>
          <w:color w:val="000000"/>
          <w:kern w:val="0"/>
          <w:sz w:val="32"/>
          <w:szCs w:val="32"/>
          <w:shd w:val="clear" w:color="auto" w:fill="FFFFFF"/>
          <w:lang w:eastAsia="zh-CN" w:bidi="ar"/>
        </w:rPr>
        <w:t>是根据</w:t>
      </w:r>
      <w:r>
        <w:rPr>
          <w:rFonts w:hint="eastAsia" w:ascii="仿宋_GB2312" w:hAnsi="仿宋" w:eastAsia="仿宋_GB2312" w:cs="仿宋"/>
          <w:color w:val="000000"/>
          <w:kern w:val="0"/>
          <w:sz w:val="32"/>
          <w:szCs w:val="32"/>
          <w:shd w:val="clear" w:color="auto" w:fill="FFFFFF"/>
          <w:lang w:val="en-US" w:eastAsia="zh-CN" w:bidi="ar"/>
        </w:rPr>
        <w:t>2024年工作安排</w:t>
      </w:r>
      <w:r>
        <w:rPr>
          <w:rFonts w:hint="eastAsia" w:ascii="仿宋_GB2312" w:hAnsi="仿宋" w:eastAsia="仿宋_GB2312" w:cs="仿宋"/>
          <w:color w:val="000000"/>
          <w:kern w:val="0"/>
          <w:sz w:val="32"/>
          <w:szCs w:val="32"/>
          <w:shd w:val="clear" w:color="auto" w:fill="FFFFFF"/>
          <w:lang w:eastAsia="zh-CN" w:bidi="ar"/>
        </w:rPr>
        <w:t>和部分职能划转，下属二级预算单位增加了部分项目经费</w:t>
      </w:r>
      <w:r>
        <w:rPr>
          <w:rFonts w:hint="eastAsia" w:ascii="仿宋_GB2312" w:hAnsi="仿宋" w:eastAsia="仿宋_GB2312" w:cs="仿宋"/>
          <w:color w:val="000000"/>
          <w:kern w:val="0"/>
          <w:sz w:val="32"/>
          <w:szCs w:val="32"/>
          <w:shd w:val="clear" w:color="auto" w:fill="FFFFFF"/>
          <w:lang w:bidi="ar"/>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30996"/>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广元市人民政府办公室部门2024年收入预算4772.38万元，其中：一般公共预算拨款收入</w:t>
      </w:r>
      <w:r>
        <w:rPr>
          <w:rFonts w:hint="eastAsia" w:ascii="仿宋_GB2312" w:hAnsi="仿宋_GB2312" w:eastAsia="仿宋_GB2312" w:cs="仿宋_GB2312"/>
          <w:color w:val="auto"/>
          <w:sz w:val="32"/>
          <w:szCs w:val="32"/>
          <w:lang w:val="en-US" w:eastAsia="zh-CN"/>
        </w:rPr>
        <w:t>4772.38万</w:t>
      </w:r>
      <w:r>
        <w:rPr>
          <w:rFonts w:hint="eastAsia" w:ascii="仿宋_GB2312" w:hAnsi="仿宋_GB2312" w:eastAsia="仿宋_GB2312" w:cs="仿宋_GB2312"/>
          <w:sz w:val="32"/>
          <w:szCs w:val="32"/>
          <w:lang w:val="en-US" w:eastAsia="zh-CN"/>
        </w:rPr>
        <w:t>元，占100%。</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28921"/>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广元市人民政府办公室部门2024年支出预算4722.38万元，其中：基本支出3099.95万元，占65.64%；项目支出1622.43万元，占34.36%</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29919"/>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广元市人民政府办公室部门2024年财政拨款收支预算总数4722.38万元，比2023年财政拨款收支预算总数增加184.84万元，</w:t>
      </w:r>
      <w:r>
        <w:rPr>
          <w:rFonts w:hint="eastAsia" w:ascii="仿宋_GB2312" w:hAnsi="仿宋" w:eastAsia="仿宋_GB2312" w:cs="仿宋"/>
          <w:color w:val="000000"/>
          <w:kern w:val="0"/>
          <w:sz w:val="32"/>
          <w:szCs w:val="32"/>
          <w:shd w:val="clear" w:color="auto" w:fill="FFFFFF"/>
          <w:lang w:bidi="ar"/>
        </w:rPr>
        <w:t>主要原因</w:t>
      </w:r>
      <w:r>
        <w:rPr>
          <w:rFonts w:hint="eastAsia" w:ascii="仿宋_GB2312" w:hAnsi="仿宋" w:eastAsia="仿宋_GB2312" w:cs="仿宋"/>
          <w:color w:val="000000"/>
          <w:kern w:val="0"/>
          <w:sz w:val="32"/>
          <w:szCs w:val="32"/>
          <w:shd w:val="clear" w:color="auto" w:fill="FFFFFF"/>
          <w:lang w:eastAsia="zh-CN" w:bidi="ar"/>
        </w:rPr>
        <w:t>是根据</w:t>
      </w:r>
      <w:r>
        <w:rPr>
          <w:rFonts w:hint="eastAsia" w:ascii="仿宋_GB2312" w:hAnsi="仿宋" w:eastAsia="仿宋_GB2312" w:cs="仿宋"/>
          <w:color w:val="000000"/>
          <w:kern w:val="0"/>
          <w:sz w:val="32"/>
          <w:szCs w:val="32"/>
          <w:shd w:val="clear" w:color="auto" w:fill="FFFFFF"/>
          <w:lang w:val="en-US" w:eastAsia="zh-CN" w:bidi="ar"/>
        </w:rPr>
        <w:t>2024年工作安排</w:t>
      </w:r>
      <w:r>
        <w:rPr>
          <w:rFonts w:hint="eastAsia" w:ascii="仿宋_GB2312" w:hAnsi="仿宋" w:eastAsia="仿宋_GB2312" w:cs="仿宋"/>
          <w:color w:val="000000"/>
          <w:kern w:val="0"/>
          <w:sz w:val="32"/>
          <w:szCs w:val="32"/>
          <w:shd w:val="clear" w:color="auto" w:fill="FFFFFF"/>
          <w:lang w:eastAsia="zh-CN" w:bidi="ar"/>
        </w:rPr>
        <w:t>和部分职能划转，下属二级预算单位增加了部分项目经费</w:t>
      </w:r>
      <w:r>
        <w:rPr>
          <w:rFonts w:hint="eastAsia" w:ascii="仿宋_GB2312" w:hAnsi="仿宋" w:eastAsia="仿宋_GB2312" w:cs="仿宋"/>
          <w:color w:val="000000"/>
          <w:kern w:val="0"/>
          <w:sz w:val="32"/>
          <w:szCs w:val="32"/>
          <w:shd w:val="clear" w:color="auto" w:fill="FFFFFF"/>
          <w:lang w:bidi="ar"/>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收入包括：本年一般公共预算拨款收入4722.38万元；支出包括：一般公共服务支出4149.29万元、社会保障和就业支出266.01万元、卫生健康支出85.49万元、住房保障支出221.58万元。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6941"/>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29827"/>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广元市人民政府办公室部门2024年一般公共预算当年拨款4722.38万元，比2023年预算数增加184.84万元，</w:t>
      </w:r>
      <w:r>
        <w:rPr>
          <w:rFonts w:hint="eastAsia" w:ascii="仿宋_GB2312" w:hAnsi="仿宋" w:eastAsia="仿宋_GB2312" w:cs="仿宋"/>
          <w:color w:val="000000"/>
          <w:kern w:val="0"/>
          <w:sz w:val="32"/>
          <w:szCs w:val="32"/>
          <w:shd w:val="clear" w:color="auto" w:fill="FFFFFF"/>
          <w:lang w:bidi="ar"/>
        </w:rPr>
        <w:t>主要原因</w:t>
      </w:r>
      <w:r>
        <w:rPr>
          <w:rFonts w:hint="eastAsia" w:ascii="仿宋_GB2312" w:hAnsi="仿宋" w:eastAsia="仿宋_GB2312" w:cs="仿宋"/>
          <w:color w:val="000000"/>
          <w:kern w:val="0"/>
          <w:sz w:val="32"/>
          <w:szCs w:val="32"/>
          <w:shd w:val="clear" w:color="auto" w:fill="FFFFFF"/>
          <w:lang w:eastAsia="zh-CN" w:bidi="ar"/>
        </w:rPr>
        <w:t>是根据</w:t>
      </w:r>
      <w:r>
        <w:rPr>
          <w:rFonts w:hint="eastAsia" w:ascii="仿宋_GB2312" w:hAnsi="仿宋" w:eastAsia="仿宋_GB2312" w:cs="仿宋"/>
          <w:color w:val="000000"/>
          <w:kern w:val="0"/>
          <w:sz w:val="32"/>
          <w:szCs w:val="32"/>
          <w:shd w:val="clear" w:color="auto" w:fill="FFFFFF"/>
          <w:lang w:val="en-US" w:eastAsia="zh-CN" w:bidi="ar"/>
        </w:rPr>
        <w:t>2024年工作安排</w:t>
      </w:r>
      <w:r>
        <w:rPr>
          <w:rFonts w:hint="eastAsia" w:ascii="仿宋_GB2312" w:hAnsi="仿宋" w:eastAsia="仿宋_GB2312" w:cs="仿宋"/>
          <w:color w:val="000000"/>
          <w:kern w:val="0"/>
          <w:sz w:val="32"/>
          <w:szCs w:val="32"/>
          <w:shd w:val="clear" w:color="auto" w:fill="FFFFFF"/>
          <w:lang w:eastAsia="zh-CN" w:bidi="ar"/>
        </w:rPr>
        <w:t>和部分职能划转，下属二级预算单位增加了部分项目经费</w:t>
      </w:r>
      <w:r>
        <w:rPr>
          <w:rFonts w:hint="eastAsia" w:ascii="仿宋_GB2312" w:hAnsi="仿宋" w:eastAsia="仿宋_GB2312" w:cs="仿宋"/>
          <w:color w:val="000000"/>
          <w:kern w:val="0"/>
          <w:sz w:val="32"/>
          <w:szCs w:val="32"/>
          <w:shd w:val="clear" w:color="auto" w:fill="FFFFFF"/>
          <w:lang w:bidi="ar"/>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7710"/>
      <w:r>
        <w:rPr>
          <w:rFonts w:hint="eastAsia" w:ascii="楷体_GB2312" w:hAnsi="楷体_GB2312" w:eastAsia="楷体_GB2312" w:cs="楷体_GB2312"/>
          <w:sz w:val="32"/>
          <w:szCs w:val="32"/>
          <w:lang w:val="en-US" w:eastAsia="zh-CN"/>
        </w:rPr>
        <w:t>（二）一般公共预算当年拨款结构情况</w:t>
      </w:r>
      <w:bookmarkEnd w:id="1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一般公共服务支出4149.29万元，占87.87%；社会保障和就业支出266.01万元，占5.63%；卫生健康支出85.49万元，占1.81%；住房保障支出221.58万元，占4.69%。</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29014"/>
      <w:r>
        <w:rPr>
          <w:rFonts w:hint="eastAsia" w:ascii="楷体_GB2312" w:hAnsi="楷体_GB2312" w:eastAsia="楷体_GB2312" w:cs="楷体_GB2312"/>
          <w:sz w:val="32"/>
          <w:szCs w:val="32"/>
          <w:lang w:val="en-US" w:eastAsia="zh-CN"/>
        </w:rPr>
        <w:t>（三）一般公共预算当年拨款具体使用情况</w:t>
      </w:r>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1.一般公共服务（类）</w:t>
      </w:r>
      <w:r>
        <w:rPr>
          <w:rFonts w:hint="eastAsia" w:ascii="仿宋_GB2312" w:hAnsi="仿宋_GB2312" w:eastAsia="仿宋_GB2312" w:cs="仿宋_GB2312"/>
          <w:color w:val="auto"/>
          <w:sz w:val="32"/>
          <w:szCs w:val="32"/>
          <w:lang w:val="en-US" w:eastAsia="zh-CN"/>
        </w:rPr>
        <w:t>政府办公厅（室）</w:t>
      </w:r>
      <w:r>
        <w:rPr>
          <w:rFonts w:hint="eastAsia" w:ascii="仿宋_GB2312" w:hAnsi="仿宋_GB2312" w:eastAsia="仿宋_GB2312" w:cs="仿宋_GB2312"/>
          <w:sz w:val="32"/>
          <w:szCs w:val="32"/>
          <w:lang w:val="en-US" w:eastAsia="zh-CN"/>
        </w:rPr>
        <w:t>及相关机构事务（款）行政运行（项）2024年预算数为2283.54万元，主要用于保障行政单位机关和参公事业单位正常运转，用于行政运行方面的经费支出。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2.一般公共服务（类）</w:t>
      </w:r>
      <w:r>
        <w:rPr>
          <w:rFonts w:hint="eastAsia" w:ascii="仿宋_GB2312" w:hAnsi="仿宋_GB2312" w:eastAsia="仿宋_GB2312" w:cs="仿宋_GB2312"/>
          <w:color w:val="auto"/>
          <w:sz w:val="32"/>
          <w:szCs w:val="32"/>
          <w:lang w:val="en-US" w:eastAsia="zh-CN"/>
        </w:rPr>
        <w:t>政府办公厅（室）</w:t>
      </w:r>
      <w:r>
        <w:rPr>
          <w:rFonts w:hint="eastAsia" w:ascii="仿宋_GB2312" w:hAnsi="仿宋_GB2312" w:eastAsia="仿宋_GB2312" w:cs="仿宋_GB2312"/>
          <w:sz w:val="32"/>
          <w:szCs w:val="32"/>
          <w:lang w:val="en-US" w:eastAsia="zh-CN"/>
        </w:rPr>
        <w:t>及相关机构事务（款）一般行政管理事务（项）2024年预算数为1622.43万元，主要用于行政单位和下属事业单位专项工作经费，如乡村振兴工作经费、女子警务室工作经费、政务公开工作经费等支出。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3.一般公共服务（类）</w:t>
      </w:r>
      <w:r>
        <w:rPr>
          <w:rFonts w:hint="eastAsia" w:ascii="仿宋_GB2312" w:hAnsi="仿宋_GB2312" w:eastAsia="仿宋_GB2312" w:cs="仿宋_GB2312"/>
          <w:color w:val="auto"/>
          <w:sz w:val="32"/>
          <w:szCs w:val="32"/>
          <w:lang w:val="en-US" w:eastAsia="zh-CN"/>
        </w:rPr>
        <w:t>政府办公厅（室）</w:t>
      </w:r>
      <w:r>
        <w:rPr>
          <w:rFonts w:hint="eastAsia" w:ascii="仿宋_GB2312" w:hAnsi="仿宋_GB2312" w:eastAsia="仿宋_GB2312" w:cs="仿宋_GB2312"/>
          <w:sz w:val="32"/>
          <w:szCs w:val="32"/>
          <w:lang w:val="en-US" w:eastAsia="zh-CN"/>
        </w:rPr>
        <w:t>及相关机构事务（款）事业运行（项）2024年预算数为243.33万元，主要用于下属事业单位正常运转，用于事业运行方面的经费支出。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4.社会保障和就业（类）其他社会保障和就业支出（款）其他社会保障和就业支出（项）2024年预算数为2.38万元，主要用于工伤失业保险等其他社会保障和就业支出。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5.社会保障和就业（类）行政事业单位养老支出（款）机关事业单位基本养老保险缴费支出（项）2024年预算数为263.62万元，主要用于实施养老保险制度由单位缴纳的基本养老保险支出。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6.卫生健康（类）行政事业单位医疗（款）行政单位医疗（项）2024年预算数为85.49万元，主要用于机关及参公管理事业单位按规定由单位缴纳的基本医疗保险支出。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7.住房保障（类）住房改革支出（款）住房公积金（项）2024年预算数为221.58万元，主要用于部门按规定为职工缴纳的住房公积金支出。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29510"/>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广元市人民政府办公室部门2024年一般公共预算基本支出3099.95万元，其中：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人员经费2621.26万元，主要包括：基本工资、津贴补贴、奖金、绩效工资、机关事业单位基本养老保险缴费、职工基本医疗保险缴费、其他社会保障缴费、住房公积金、生活补助等支出。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公用经费478.69万元，主要包括：办公费、</w:t>
      </w:r>
      <w:r>
        <w:rPr>
          <w:rFonts w:hint="eastAsia" w:ascii="仿宋_GB2312" w:hAnsi="仿宋_GB2312" w:eastAsia="仿宋_GB2312" w:cs="仿宋_GB2312"/>
          <w:sz w:val="32"/>
          <w:szCs w:val="32"/>
          <w:highlight w:val="none"/>
          <w:lang w:val="en-US" w:eastAsia="zh-CN"/>
        </w:rPr>
        <w:t>印刷费</w:t>
      </w:r>
      <w:r>
        <w:rPr>
          <w:rFonts w:hint="eastAsia" w:ascii="仿宋_GB2312" w:hAnsi="仿宋_GB2312" w:eastAsia="仿宋_GB2312" w:cs="仿宋_GB2312"/>
          <w:sz w:val="32"/>
          <w:szCs w:val="32"/>
          <w:lang w:val="en-US" w:eastAsia="zh-CN"/>
        </w:rPr>
        <w:t>、咨询费、水费、电费、邮电费、差旅费、</w:t>
      </w:r>
      <w:r>
        <w:rPr>
          <w:rFonts w:hint="eastAsia" w:ascii="仿宋_GB2312" w:hAnsi="仿宋_GB2312" w:eastAsia="仿宋_GB2312" w:cs="仿宋_GB2312"/>
          <w:sz w:val="32"/>
          <w:szCs w:val="32"/>
          <w:highlight w:val="none"/>
          <w:lang w:val="en-US" w:eastAsia="zh-CN"/>
        </w:rPr>
        <w:t>维修（护）费、会议费、培训费、</w:t>
      </w:r>
      <w:r>
        <w:rPr>
          <w:rFonts w:hint="eastAsia" w:ascii="仿宋_GB2312" w:hAnsi="仿宋_GB2312" w:eastAsia="仿宋_GB2312" w:cs="仿宋_GB2312"/>
          <w:sz w:val="32"/>
          <w:szCs w:val="32"/>
          <w:lang w:val="en-US" w:eastAsia="zh-CN"/>
        </w:rPr>
        <w:t>公务接待费、工会经费、福利费、公务用车运行维护费、其他交通费用、其他商品和服务支出等支出。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30615"/>
      <w:r>
        <w:rPr>
          <w:rFonts w:hint="eastAsia" w:ascii="黑体" w:hAnsi="黑体" w:eastAsia="黑体" w:cs="黑体"/>
          <w:sz w:val="32"/>
          <w:szCs w:val="32"/>
          <w:lang w:val="en-US" w:eastAsia="zh-CN"/>
        </w:rPr>
        <w:t>七、“三公”经费财政拨款预算安排情况说明</w:t>
      </w:r>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广元市人民政府办公室部门2024年“三公”经费财政拨款预算数80.78万元，其中：公务接待费27.28万元，公务用车购置及运行维护费53.50万元，因公出国（境）经费0万元。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5492"/>
      <w:r>
        <w:rPr>
          <w:rFonts w:hint="eastAsia" w:ascii="楷体_GB2312" w:hAnsi="楷体_GB2312" w:eastAsia="楷体_GB2312" w:cs="楷体_GB2312"/>
          <w:sz w:val="32"/>
          <w:szCs w:val="32"/>
          <w:lang w:val="en-US" w:eastAsia="zh-CN"/>
        </w:rPr>
        <w:t>（一）公务接待费</w:t>
      </w:r>
      <w:bookmarkEnd w:id="1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公务接待费与2023年预算相比减少6万元，主要原因是厉行节约。</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8161"/>
      <w:r>
        <w:rPr>
          <w:rFonts w:hint="eastAsia" w:ascii="楷体_GB2312" w:hAnsi="楷体_GB2312" w:eastAsia="楷体_GB2312" w:cs="楷体_GB2312"/>
          <w:sz w:val="32"/>
          <w:szCs w:val="32"/>
          <w:lang w:val="en-US" w:eastAsia="zh-CN"/>
        </w:rPr>
        <w:t>公务用车购置及运行维护费</w:t>
      </w:r>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公务用车购置及运行维护费与2023年预算相比减少2万元，主要原因是厉行节约。</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单位现有公务用车8辆，其中：轿车2辆，旅行车（含商务车）2辆，越野车4辆。</w:t>
      </w:r>
      <w:bookmarkStart w:id="25" w:name="_GoBack"/>
      <w:bookmarkEnd w:id="2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2024年安排公务用车运行维护费53.50万元，用于8辆公务用车燃油、过路（桥）、维修、保险等方面支出，</w:t>
      </w:r>
      <w:r>
        <w:rPr>
          <w:rFonts w:hint="eastAsia" w:ascii="仿宋_GB2312" w:hAnsi="仿宋" w:eastAsia="仿宋_GB2312" w:cs="仿宋"/>
          <w:color w:val="000000"/>
          <w:kern w:val="0"/>
          <w:sz w:val="32"/>
          <w:szCs w:val="32"/>
          <w:shd w:val="clear" w:color="auto" w:fill="FFFFFF"/>
          <w:lang w:bidi="ar"/>
        </w:rPr>
        <w:t>主要保障领导及应急用车。</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6" w:name="_Toc26429"/>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因公出国（境）经费与2023年预算持平，2024年部门预算未编列因公出国（境）经费，未安排出国（境）任务和计划。</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25909"/>
      <w:r>
        <w:rPr>
          <w:rFonts w:hint="eastAsia" w:ascii="黑体" w:hAnsi="黑体" w:eastAsia="黑体" w:cs="黑体"/>
          <w:sz w:val="32"/>
          <w:szCs w:val="32"/>
          <w:lang w:val="en-US" w:eastAsia="zh-CN"/>
        </w:rPr>
        <w:t>八、政府性基金预算支出情况说明</w:t>
      </w:r>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广元市人民政府办公室部门2024年无政府性基金预算拨款安排的支出。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5976"/>
      <w:r>
        <w:rPr>
          <w:rFonts w:hint="eastAsia" w:ascii="黑体" w:hAnsi="黑体" w:eastAsia="黑体" w:cs="黑体"/>
          <w:sz w:val="32"/>
          <w:szCs w:val="32"/>
          <w:lang w:val="en-US" w:eastAsia="zh-CN"/>
        </w:rPr>
        <w:t>九、国有资本经营预算支出情况说明</w:t>
      </w:r>
      <w:bookmarkEnd w:id="1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广元市人民政府办公室部门2024年无国有资本经营预算拨款安排的支出。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17469"/>
      <w:r>
        <w:rPr>
          <w:rFonts w:hint="eastAsia" w:ascii="黑体" w:hAnsi="黑体" w:eastAsia="黑体" w:cs="黑体"/>
          <w:sz w:val="32"/>
          <w:szCs w:val="32"/>
          <w:lang w:val="en-US" w:eastAsia="zh-CN"/>
        </w:rPr>
        <w:t>十、其他重要事项的情况说明</w:t>
      </w:r>
      <w:bookmarkEnd w:id="1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23890"/>
      <w:r>
        <w:rPr>
          <w:rFonts w:hint="eastAsia" w:ascii="楷体_GB2312" w:hAnsi="楷体_GB2312" w:eastAsia="楷体_GB2312" w:cs="楷体_GB2312"/>
          <w:sz w:val="32"/>
          <w:szCs w:val="32"/>
          <w:lang w:val="en-US" w:eastAsia="zh-CN"/>
        </w:rPr>
        <w:t>（一）机关运行经费</w:t>
      </w:r>
      <w:bookmarkEnd w:id="2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hAnsi="仿宋" w:eastAsia="仿宋_GB2312" w:cs="仿宋"/>
          <w:color w:val="000000"/>
          <w:kern w:val="0"/>
          <w:sz w:val="32"/>
          <w:szCs w:val="32"/>
          <w:shd w:val="clear" w:color="auto" w:fill="FFFFFF"/>
          <w:lang w:eastAsia="zh-CN" w:bidi="ar"/>
        </w:rPr>
        <w:t>广元市人民政府办公室、</w:t>
      </w:r>
      <w:r>
        <w:rPr>
          <w:rFonts w:hint="eastAsia" w:ascii="仿宋_GB2312" w:hAnsi="仿宋" w:eastAsia="仿宋_GB2312" w:cs="仿宋"/>
          <w:color w:val="000000"/>
          <w:kern w:val="0"/>
          <w:sz w:val="32"/>
          <w:szCs w:val="32"/>
          <w:shd w:val="clear" w:color="auto" w:fill="FFFFFF"/>
          <w:lang w:bidi="ar"/>
        </w:rPr>
        <w:t>广元市人民政府驻北京联络处、广元市人民政府驻成都办事处</w:t>
      </w:r>
      <w:r>
        <w:rPr>
          <w:rFonts w:hint="eastAsia" w:ascii="仿宋_GB2312" w:hAnsi="仿宋" w:eastAsia="仿宋_GB2312" w:cs="仿宋"/>
          <w:color w:val="000000"/>
          <w:kern w:val="0"/>
          <w:sz w:val="32"/>
          <w:szCs w:val="32"/>
          <w:shd w:val="clear" w:color="auto" w:fill="FFFFFF"/>
          <w:lang w:val="en-US" w:eastAsia="zh-CN" w:bidi="ar"/>
        </w:rPr>
        <w:t>3</w:t>
      </w:r>
      <w:r>
        <w:rPr>
          <w:rFonts w:hint="eastAsia" w:ascii="仿宋_GB2312" w:hAnsi="仿宋" w:eastAsia="仿宋_GB2312" w:cs="仿宋"/>
          <w:color w:val="000000"/>
          <w:kern w:val="0"/>
          <w:sz w:val="32"/>
          <w:szCs w:val="32"/>
          <w:shd w:val="clear" w:color="auto" w:fill="FFFFFF"/>
          <w:lang w:bidi="ar"/>
        </w:rPr>
        <w:t>家单位的机关运行经费财政拨款预算为</w:t>
      </w:r>
      <w:r>
        <w:rPr>
          <w:rFonts w:hint="eastAsia" w:ascii="仿宋_GB2312" w:hAnsi="仿宋_GB2312" w:eastAsia="仿宋_GB2312" w:cs="仿宋_GB2312"/>
          <w:sz w:val="32"/>
          <w:szCs w:val="32"/>
          <w:lang w:val="en-US" w:eastAsia="zh-CN"/>
        </w:rPr>
        <w:t>478.69万元，比2023年预算减少37.43万元，下降7.25%。主要原因是厉行节约。</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13750"/>
      <w:r>
        <w:rPr>
          <w:rFonts w:hint="eastAsia" w:ascii="楷体_GB2312" w:hAnsi="楷体_GB2312" w:eastAsia="楷体_GB2312" w:cs="楷体_GB2312"/>
          <w:sz w:val="32"/>
          <w:szCs w:val="32"/>
          <w:lang w:val="en-US" w:eastAsia="zh-CN"/>
        </w:rPr>
        <w:t>（二）政府采购情况</w:t>
      </w:r>
      <w:bookmarkEnd w:id="2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2024年，广元市人民政府办公室部门安排政府采购预算314.84万元，其中：政府采购货物预算11.07万元，政府采购服务预算303.74万元。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30928"/>
      <w:r>
        <w:rPr>
          <w:rFonts w:hint="eastAsia" w:ascii="楷体_GB2312" w:hAnsi="楷体_GB2312" w:eastAsia="楷体_GB2312" w:cs="楷体_GB2312"/>
          <w:sz w:val="32"/>
          <w:szCs w:val="32"/>
          <w:lang w:val="en-US" w:eastAsia="zh-CN"/>
        </w:rPr>
        <w:t>（三）国有资产占有使用情况</w:t>
      </w:r>
      <w:bookmarkEnd w:id="2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截至2023年底，广元市人民政府办公室部门共有车辆8辆，其中，实物保障用车1辆、应急保障用车7辆。单位无价值200万元以上的大型设备。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3" w:name="_Toc25893"/>
      <w:r>
        <w:rPr>
          <w:rFonts w:hint="eastAsia" w:ascii="楷体_GB2312" w:hAnsi="楷体_GB2312" w:eastAsia="楷体_GB2312" w:cs="楷体_GB2312"/>
          <w:sz w:val="32"/>
          <w:szCs w:val="32"/>
          <w:lang w:val="en-US" w:eastAsia="zh-CN"/>
        </w:rPr>
        <w:t>（四）绩效目标设置情况</w:t>
      </w:r>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2024年广元市人民政府办公室部门开展绩效目标管理的项目23个，涉及预算4722.38万元。其中：人员类项目19个，涉及预算2621.26万元；运转类项目9个，涉及预算478.69万元；特定目标类项目23个，涉及预算1622.43万元。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4" w:name="_Toc28648"/>
      <w:r>
        <w:rPr>
          <w:rFonts w:hint="eastAsia" w:ascii="黑体" w:hAnsi="黑体" w:eastAsia="黑体" w:cs="黑体"/>
          <w:sz w:val="32"/>
          <w:szCs w:val="32"/>
          <w:lang w:val="en-US" w:eastAsia="zh-CN"/>
        </w:rPr>
        <w:t>十一、名词解释</w:t>
      </w:r>
      <w:bookmarkEnd w:id="24"/>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一般公共预算拨款收入：指市财政当年安排的财政预算收入。按现行管理制度，部门预算中反映的财政拨款包括一般公共预算拨款和政府性基金预算拨款。</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一般公共服</w:t>
      </w:r>
      <w:r>
        <w:rPr>
          <w:rFonts w:hint="eastAsia" w:ascii="仿宋_GB2312" w:hAnsi="仿宋_GB2312" w:eastAsia="仿宋_GB2312" w:cs="仿宋_GB2312"/>
          <w:color w:val="auto"/>
          <w:sz w:val="32"/>
          <w:szCs w:val="32"/>
          <w:lang w:val="en-US" w:eastAsia="zh-CN"/>
        </w:rPr>
        <w:t>务（类）政府办公厅（室）及相关机构事务（款）行政运行（项）：指机关单位及下属单位用于保障机构正常运行、开展日常工作的基本支出。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一般公共服务（类）政府办公厅（室）及相关机构事务（款）一般行政管理事务（项）：指机关单位及下属单位开展项目管理工作的项目支出。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一般公共服务（类）政府办公厅（室）及相关机构事务（款）事业运行（项）：反映事业单位的基本支出，不包括行政单位（包括实行公务员管理的事业单位）后勤服务中心、医务室等附属事业单位。</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社会保障和就业（类）行政事业单位养老支出（款）机关事业单位基本养老保险缴费支出（项）：指部门实施养老保险制度由单位缴纳的养老保险的支出。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社会保障和就业（类）其他社会保障和就业支出（款）其他社会保障和就业支出（项）：反映工伤失业等其他社会保障和就业支出。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卫生健康（类）行政事业单位医疗（款）行政单位医疗（项）：指机关单位及下属单位用于单位应缴纳基本医疗保险支出。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住房保障（类）住房改革支出（款）住房公积金（项）：指按照《住房公积金管理条例》的规定，由单位及其在职职工缴存的长期住房储金。</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基本支出：指为保证机构正常运转，完成日常工作任务而发生的人员支出和公用支出。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项目支出：指在基本支出之外为完成特定行政任务和事业发展目标所发生的支出。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公”经费：纳入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楷体_GB2312" w:hAnsi="楷体_GB2312" w:eastAsia="楷体_GB2312" w:cs="楷体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p>
    <w:sectPr>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方正小标宋简体">
    <w:panose1 w:val="02000000000000000000"/>
    <w:charset w:val="86"/>
    <w:family w:val="auto"/>
    <w:pitch w:val="default"/>
    <w:sig w:usb0="A00002BF" w:usb1="184F6CFA" w:usb2="00000012" w:usb3="00000000" w:csb0="00040001" w:csb1="00000000"/>
  </w:font>
  <w:font w:name="Droid Sans">
    <w:altName w:val="华文中宋"/>
    <w:panose1 w:val="00000000000000000000"/>
    <w:charset w:val="00"/>
    <w:family w:val="auto"/>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1EEDED"/>
    <w:multiLevelType w:val="singleLevel"/>
    <w:tmpl w:val="4C1EEDED"/>
    <w:lvl w:ilvl="0" w:tentative="0">
      <w:start w:val="1"/>
      <w:numFmt w:val="chineseCounting"/>
      <w:suff w:val="nothing"/>
      <w:lvlText w:val="（%1）"/>
      <w:lvlJc w:val="left"/>
      <w:pPr>
        <w:ind w:left="0" w:firstLine="420"/>
      </w:pPr>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0DA62C5"/>
    <w:rsid w:val="00FB09D5"/>
    <w:rsid w:val="012352D1"/>
    <w:rsid w:val="043A125E"/>
    <w:rsid w:val="05044224"/>
    <w:rsid w:val="08830271"/>
    <w:rsid w:val="096F6CFA"/>
    <w:rsid w:val="0B2F0EC4"/>
    <w:rsid w:val="0B437CCE"/>
    <w:rsid w:val="0B633415"/>
    <w:rsid w:val="10481D41"/>
    <w:rsid w:val="10AF4A06"/>
    <w:rsid w:val="114A472F"/>
    <w:rsid w:val="11A83272"/>
    <w:rsid w:val="14F33F14"/>
    <w:rsid w:val="1828329C"/>
    <w:rsid w:val="199C0FC2"/>
    <w:rsid w:val="1C7D3C0B"/>
    <w:rsid w:val="1E485497"/>
    <w:rsid w:val="1EFA71A0"/>
    <w:rsid w:val="1F7BF06F"/>
    <w:rsid w:val="1FEE4B73"/>
    <w:rsid w:val="22711C11"/>
    <w:rsid w:val="23CE9849"/>
    <w:rsid w:val="244261C9"/>
    <w:rsid w:val="29DA4910"/>
    <w:rsid w:val="2AA8279A"/>
    <w:rsid w:val="2B5D6ED1"/>
    <w:rsid w:val="2E4E753A"/>
    <w:rsid w:val="2F68672D"/>
    <w:rsid w:val="33B72E33"/>
    <w:rsid w:val="358677AD"/>
    <w:rsid w:val="38C45ADC"/>
    <w:rsid w:val="39D23A46"/>
    <w:rsid w:val="39F304DD"/>
    <w:rsid w:val="39F64F44"/>
    <w:rsid w:val="3A35391F"/>
    <w:rsid w:val="3A497942"/>
    <w:rsid w:val="3AF56159"/>
    <w:rsid w:val="3E2D0700"/>
    <w:rsid w:val="3E451AF1"/>
    <w:rsid w:val="3FF87D86"/>
    <w:rsid w:val="4AE86B03"/>
    <w:rsid w:val="4B874F81"/>
    <w:rsid w:val="4BF214C5"/>
    <w:rsid w:val="4D104637"/>
    <w:rsid w:val="4D321645"/>
    <w:rsid w:val="5034452F"/>
    <w:rsid w:val="51E37BD7"/>
    <w:rsid w:val="53C26D12"/>
    <w:rsid w:val="54244390"/>
    <w:rsid w:val="54662A63"/>
    <w:rsid w:val="546D6CED"/>
    <w:rsid w:val="57DE59AF"/>
    <w:rsid w:val="58064E12"/>
    <w:rsid w:val="587F428B"/>
    <w:rsid w:val="596539D6"/>
    <w:rsid w:val="5A252C10"/>
    <w:rsid w:val="5BFEE015"/>
    <w:rsid w:val="61486FB1"/>
    <w:rsid w:val="61D41DC7"/>
    <w:rsid w:val="61E904AE"/>
    <w:rsid w:val="63EDCF55"/>
    <w:rsid w:val="63FBFBCF"/>
    <w:rsid w:val="651741AC"/>
    <w:rsid w:val="666F5074"/>
    <w:rsid w:val="669360FD"/>
    <w:rsid w:val="68FF6A83"/>
    <w:rsid w:val="6D72039C"/>
    <w:rsid w:val="6FBBC9CF"/>
    <w:rsid w:val="703419A7"/>
    <w:rsid w:val="70D34D1C"/>
    <w:rsid w:val="71153587"/>
    <w:rsid w:val="71B454C5"/>
    <w:rsid w:val="72BDE561"/>
    <w:rsid w:val="759A22AD"/>
    <w:rsid w:val="776CB836"/>
    <w:rsid w:val="77F71C38"/>
    <w:rsid w:val="77FB4E50"/>
    <w:rsid w:val="78462278"/>
    <w:rsid w:val="78B35B5F"/>
    <w:rsid w:val="7997EA6C"/>
    <w:rsid w:val="7A1545F8"/>
    <w:rsid w:val="7AEAE675"/>
    <w:rsid w:val="7BAFCE5D"/>
    <w:rsid w:val="7D46598C"/>
    <w:rsid w:val="7DFB240B"/>
    <w:rsid w:val="7E0935ED"/>
    <w:rsid w:val="7F33200F"/>
    <w:rsid w:val="7FCF2AF7"/>
    <w:rsid w:val="9F7F0563"/>
    <w:rsid w:val="9FEF033D"/>
    <w:rsid w:val="A27FF1E5"/>
    <w:rsid w:val="AF7D64D6"/>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caption"/>
    <w:basedOn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4"/>
    <w:qFormat/>
    <w:uiPriority w:val="0"/>
  </w:style>
  <w:style w:type="paragraph" w:styleId="7">
    <w:name w:val="Normal (Web)"/>
    <w:basedOn w:val="1"/>
    <w:next w:val="8"/>
    <w:qFormat/>
    <w:uiPriority w:val="0"/>
    <w:rPr>
      <w:sz w:val="24"/>
    </w:rPr>
  </w:style>
  <w:style w:type="paragraph" w:styleId="8">
    <w:name w:val="Body Text First Indent 2"/>
    <w:next w:val="1"/>
    <w:qFormat/>
    <w:uiPriority w:val="0"/>
    <w:pPr>
      <w:widowControl w:val="0"/>
      <w:spacing w:before="100" w:beforeAutospacing="1" w:after="120"/>
      <w:ind w:left="200" w:leftChars="200" w:firstLine="200" w:firstLineChars="200"/>
      <w:jc w:val="both"/>
    </w:pPr>
    <w:rPr>
      <w:rFonts w:ascii="Times New Roman" w:hAnsi="Times New Roman" w:eastAsia="方正小标宋简体" w:cs="Droid Sans"/>
      <w:kern w:val="2"/>
      <w:sz w:val="24"/>
      <w:szCs w:val="24"/>
      <w:lang w:val="en-US" w:eastAsia="zh-CN" w:bidi="ar-SA"/>
    </w:rPr>
  </w:style>
  <w:style w:type="character" w:customStyle="1" w:styleId="11">
    <w:name w:val="默认段落字体1"/>
    <w:qFormat/>
    <w:uiPriority w:val="0"/>
  </w:style>
  <w:style w:type="paragraph" w:customStyle="1" w:styleId="12">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191</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2018-11-30T01:47:00Z</dcterms:created>
  <dc:creator>admin</dc:creator>
  <cp:lastModifiedBy> </cp:lastModifiedBy>
  <dcterms:modified xsi:type="dcterms:W3CDTF">2024-02-20T18:55:59Z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105628DBB6E84397929AB9B8D48B2B14_13</vt:lpwstr>
  </property>
</Properties>
</file>