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spacing w:line="700" w:lineRule="exact"/>
        <w:jc w:val="center"/>
        <w:outlineLvl w:val="0"/>
        <w:rPr>
          <w:rFonts w:ascii="方正小标宋简体" w:hAnsi="方正小标宋简体" w:eastAsia="方正小标宋简体" w:cs="方正小标宋简体"/>
          <w:color w:val="000000"/>
          <w:kern w:val="0"/>
          <w:sz w:val="52"/>
          <w:szCs w:val="44"/>
          <w:shd w:val="clear" w:color="auto" w:fill="FFFFFF"/>
        </w:rPr>
      </w:pPr>
      <w:bookmarkStart w:id="0" w:name="_Toc5195"/>
      <w:r>
        <w:rPr>
          <w:rFonts w:hint="eastAsia" w:ascii="方正小标宋简体" w:hAnsi="方正小标宋简体" w:eastAsia="方正小标宋简体" w:cs="方正小标宋简体"/>
          <w:color w:val="000000"/>
          <w:kern w:val="0"/>
          <w:sz w:val="52"/>
          <w:szCs w:val="44"/>
          <w:shd w:val="clear" w:color="auto" w:fill="FFFFFF"/>
        </w:rPr>
        <w:t>四川省广元市中级人民法院</w:t>
      </w:r>
      <w:bookmarkEnd w:id="0"/>
    </w:p>
    <w:p>
      <w:pPr>
        <w:widowControl/>
        <w:shd w:val="clear" w:color="auto"/>
        <w:spacing w:line="700" w:lineRule="exact"/>
        <w:jc w:val="center"/>
        <w:rPr>
          <w:rFonts w:ascii="方正小标宋简体" w:hAnsi="方正小标宋简体" w:eastAsia="方正小标宋简体" w:cs="方正小标宋简体"/>
          <w:color w:val="000000"/>
          <w:kern w:val="0"/>
          <w:sz w:val="44"/>
          <w:szCs w:val="44"/>
          <w:shd w:val="clear" w:color="auto" w:fill="FFFFFF"/>
        </w:rPr>
      </w:pPr>
    </w:p>
    <w:p>
      <w:pPr>
        <w:widowControl/>
        <w:shd w:val="clear" w:color="auto"/>
        <w:spacing w:line="700" w:lineRule="exact"/>
        <w:jc w:val="center"/>
        <w:rPr>
          <w:rFonts w:ascii="方正小标宋简体" w:hAnsi="方正小标宋简体" w:eastAsia="方正小标宋简体" w:cs="方正小标宋简体"/>
          <w:color w:val="000000"/>
          <w:kern w:val="0"/>
          <w:sz w:val="44"/>
          <w:szCs w:val="44"/>
          <w:shd w:val="clear" w:color="auto" w:fill="FFFFFF"/>
        </w:rPr>
      </w:pPr>
    </w:p>
    <w:p>
      <w:pPr>
        <w:widowControl/>
        <w:shd w:val="clear" w:color="auto"/>
        <w:spacing w:line="1000" w:lineRule="exact"/>
        <w:jc w:val="center"/>
        <w:outlineLvl w:val="0"/>
        <w:rPr>
          <w:rFonts w:hint="eastAsia" w:ascii="华文隶书" w:hAnsi="方正小标宋简体" w:eastAsia="华文隶书" w:cs="方正小标宋简体"/>
          <w:color w:val="000000"/>
          <w:kern w:val="0"/>
          <w:sz w:val="72"/>
          <w:szCs w:val="52"/>
          <w:shd w:val="clear" w:color="auto" w:fill="FFFFFF"/>
        </w:rPr>
      </w:pPr>
      <w:bookmarkStart w:id="1" w:name="_Toc18215"/>
      <w:r>
        <w:rPr>
          <w:rFonts w:hint="eastAsia" w:ascii="华文隶书" w:hAnsi="方正小标宋简体" w:eastAsia="华文隶书" w:cs="方正小标宋简体"/>
          <w:color w:val="000000"/>
          <w:kern w:val="0"/>
          <w:sz w:val="72"/>
          <w:szCs w:val="52"/>
          <w:shd w:val="clear" w:color="auto" w:fill="FFFFFF"/>
        </w:rPr>
        <w:t>部</w:t>
      </w:r>
      <w:bookmarkEnd w:id="1"/>
    </w:p>
    <w:p>
      <w:pPr>
        <w:widowControl/>
        <w:shd w:val="clear" w:color="auto"/>
        <w:spacing w:line="1000" w:lineRule="exact"/>
        <w:jc w:val="center"/>
        <w:outlineLvl w:val="0"/>
        <w:rPr>
          <w:rFonts w:hint="eastAsia" w:ascii="华文隶书" w:hAnsi="方正小标宋简体" w:eastAsia="华文隶书" w:cs="方正小标宋简体"/>
          <w:color w:val="000000"/>
          <w:kern w:val="0"/>
          <w:sz w:val="72"/>
          <w:szCs w:val="52"/>
          <w:shd w:val="clear" w:color="auto" w:fill="FFFFFF"/>
        </w:rPr>
      </w:pPr>
      <w:bookmarkStart w:id="2" w:name="_Toc19147"/>
      <w:r>
        <w:rPr>
          <w:rFonts w:hint="eastAsia" w:ascii="华文隶书" w:hAnsi="方正小标宋简体" w:eastAsia="华文隶书" w:cs="方正小标宋简体"/>
          <w:color w:val="000000"/>
          <w:kern w:val="0"/>
          <w:sz w:val="72"/>
          <w:szCs w:val="52"/>
          <w:shd w:val="clear" w:color="auto" w:fill="FFFFFF"/>
        </w:rPr>
        <w:t>门</w:t>
      </w:r>
      <w:bookmarkEnd w:id="2"/>
    </w:p>
    <w:p>
      <w:pPr>
        <w:widowControl/>
        <w:shd w:val="clear" w:color="auto"/>
        <w:spacing w:line="1000" w:lineRule="exact"/>
        <w:jc w:val="center"/>
        <w:outlineLvl w:val="0"/>
        <w:rPr>
          <w:rFonts w:hint="eastAsia" w:ascii="华文隶书" w:hAnsi="方正小标宋简体" w:eastAsia="华文隶书" w:cs="方正小标宋简体"/>
          <w:color w:val="000000"/>
          <w:kern w:val="0"/>
          <w:sz w:val="72"/>
          <w:szCs w:val="52"/>
          <w:shd w:val="clear" w:color="auto" w:fill="FFFFFF"/>
        </w:rPr>
      </w:pPr>
      <w:bookmarkStart w:id="3" w:name="_Toc24615"/>
      <w:r>
        <w:rPr>
          <w:rFonts w:hint="eastAsia" w:ascii="华文隶书" w:hAnsi="方正小标宋简体" w:eastAsia="华文隶书" w:cs="方正小标宋简体"/>
          <w:color w:val="000000"/>
          <w:kern w:val="0"/>
          <w:sz w:val="72"/>
          <w:szCs w:val="52"/>
          <w:shd w:val="clear" w:color="auto" w:fill="FFFFFF"/>
        </w:rPr>
        <w:t>预</w:t>
      </w:r>
      <w:bookmarkEnd w:id="3"/>
    </w:p>
    <w:p>
      <w:pPr>
        <w:widowControl/>
        <w:shd w:val="clear" w:color="auto"/>
        <w:spacing w:line="1000" w:lineRule="exact"/>
        <w:jc w:val="center"/>
        <w:outlineLvl w:val="0"/>
        <w:rPr>
          <w:rFonts w:hint="eastAsia" w:ascii="华文隶书" w:hAnsi="方正小标宋简体" w:eastAsia="华文隶书" w:cs="方正小标宋简体"/>
          <w:color w:val="000000"/>
          <w:kern w:val="0"/>
          <w:sz w:val="72"/>
          <w:szCs w:val="52"/>
          <w:shd w:val="clear" w:color="auto" w:fill="FFFFFF"/>
        </w:rPr>
      </w:pPr>
      <w:bookmarkStart w:id="4" w:name="_Toc8302"/>
      <w:r>
        <w:rPr>
          <w:rFonts w:hint="eastAsia" w:ascii="华文隶书" w:hAnsi="方正小标宋简体" w:eastAsia="华文隶书" w:cs="方正小标宋简体"/>
          <w:color w:val="000000"/>
          <w:kern w:val="0"/>
          <w:sz w:val="72"/>
          <w:szCs w:val="52"/>
          <w:shd w:val="clear" w:color="auto" w:fill="FFFFFF"/>
        </w:rPr>
        <w:t>算</w:t>
      </w:r>
      <w:bookmarkEnd w:id="4"/>
    </w:p>
    <w:p>
      <w:pPr>
        <w:widowControl/>
        <w:shd w:val="clear" w:color="auto"/>
        <w:spacing w:line="1000" w:lineRule="exact"/>
        <w:jc w:val="center"/>
        <w:outlineLvl w:val="0"/>
        <w:rPr>
          <w:rFonts w:hint="eastAsia" w:ascii="华文隶书" w:hAnsi="方正小标宋简体" w:eastAsia="华文隶书" w:cs="方正小标宋简体"/>
          <w:color w:val="000000"/>
          <w:kern w:val="0"/>
          <w:sz w:val="72"/>
          <w:szCs w:val="52"/>
          <w:shd w:val="clear" w:color="auto" w:fill="FFFFFF"/>
        </w:rPr>
      </w:pPr>
      <w:bookmarkStart w:id="5" w:name="_Toc31475"/>
      <w:r>
        <w:rPr>
          <w:rFonts w:hint="eastAsia" w:ascii="华文隶书" w:hAnsi="方正小标宋简体" w:eastAsia="华文隶书" w:cs="方正小标宋简体"/>
          <w:color w:val="000000"/>
          <w:kern w:val="0"/>
          <w:sz w:val="72"/>
          <w:szCs w:val="52"/>
          <w:shd w:val="clear" w:color="auto" w:fill="FFFFFF"/>
        </w:rPr>
        <w:t>编</w:t>
      </w:r>
      <w:bookmarkEnd w:id="5"/>
    </w:p>
    <w:p>
      <w:pPr>
        <w:widowControl/>
        <w:shd w:val="clear" w:color="auto"/>
        <w:spacing w:line="1000" w:lineRule="exact"/>
        <w:jc w:val="center"/>
        <w:outlineLvl w:val="0"/>
        <w:rPr>
          <w:rFonts w:hint="eastAsia" w:ascii="华文隶书" w:hAnsi="方正小标宋简体" w:eastAsia="华文隶书" w:cs="方正小标宋简体"/>
          <w:color w:val="000000"/>
          <w:kern w:val="0"/>
          <w:sz w:val="72"/>
          <w:szCs w:val="52"/>
          <w:shd w:val="clear" w:color="auto" w:fill="FFFFFF"/>
        </w:rPr>
      </w:pPr>
      <w:bookmarkStart w:id="6" w:name="_Toc1028"/>
      <w:r>
        <w:rPr>
          <w:rFonts w:hint="eastAsia" w:ascii="华文隶书" w:hAnsi="方正小标宋简体" w:eastAsia="华文隶书" w:cs="方正小标宋简体"/>
          <w:color w:val="000000"/>
          <w:kern w:val="0"/>
          <w:sz w:val="72"/>
          <w:szCs w:val="52"/>
          <w:shd w:val="clear" w:color="auto" w:fill="FFFFFF"/>
        </w:rPr>
        <w:t>制</w:t>
      </w:r>
      <w:bookmarkEnd w:id="6"/>
    </w:p>
    <w:p>
      <w:pPr>
        <w:widowControl/>
        <w:shd w:val="clear" w:color="auto"/>
        <w:spacing w:line="1000" w:lineRule="exact"/>
        <w:jc w:val="center"/>
        <w:outlineLvl w:val="0"/>
        <w:rPr>
          <w:rFonts w:hint="eastAsia" w:ascii="华文隶书" w:hAnsi="方正小标宋简体" w:eastAsia="华文隶书" w:cs="方正小标宋简体"/>
          <w:color w:val="000000"/>
          <w:kern w:val="0"/>
          <w:sz w:val="72"/>
          <w:szCs w:val="52"/>
          <w:shd w:val="clear" w:color="auto" w:fill="FFFFFF"/>
        </w:rPr>
      </w:pPr>
      <w:bookmarkStart w:id="7" w:name="_Toc7908"/>
      <w:r>
        <w:rPr>
          <w:rFonts w:hint="eastAsia" w:ascii="华文隶书" w:hAnsi="方正小标宋简体" w:eastAsia="华文隶书" w:cs="方正小标宋简体"/>
          <w:color w:val="000000"/>
          <w:kern w:val="0"/>
          <w:sz w:val="72"/>
          <w:szCs w:val="52"/>
          <w:shd w:val="clear" w:color="auto" w:fill="FFFFFF"/>
        </w:rPr>
        <w:t>说</w:t>
      </w:r>
      <w:bookmarkEnd w:id="7"/>
    </w:p>
    <w:p>
      <w:pPr>
        <w:widowControl/>
        <w:shd w:val="clear" w:color="auto"/>
        <w:spacing w:line="1000" w:lineRule="exact"/>
        <w:jc w:val="center"/>
        <w:outlineLvl w:val="0"/>
        <w:rPr>
          <w:rFonts w:hint="eastAsia" w:ascii="华文隶书" w:hAnsi="方正小标宋简体" w:eastAsia="华文隶书" w:cs="方正小标宋简体"/>
          <w:color w:val="000000"/>
          <w:kern w:val="0"/>
          <w:sz w:val="72"/>
          <w:szCs w:val="52"/>
          <w:shd w:val="clear" w:color="auto" w:fill="FFFFFF"/>
        </w:rPr>
      </w:pPr>
      <w:bookmarkStart w:id="8" w:name="_Toc27710"/>
      <w:r>
        <w:rPr>
          <w:rFonts w:hint="eastAsia" w:ascii="华文隶书" w:hAnsi="方正小标宋简体" w:eastAsia="华文隶书" w:cs="方正小标宋简体"/>
          <w:color w:val="000000"/>
          <w:kern w:val="0"/>
          <w:sz w:val="72"/>
          <w:szCs w:val="52"/>
          <w:shd w:val="clear" w:color="auto" w:fill="FFFFFF"/>
        </w:rPr>
        <w:t>明</w:t>
      </w:r>
      <w:bookmarkEnd w:id="8"/>
    </w:p>
    <w:p>
      <w:pPr>
        <w:pStyle w:val="2"/>
        <w:shd w:val="clear"/>
        <w:ind w:right="-107" w:firstLine="640"/>
        <w:rPr>
          <w:rFonts w:ascii="黑体" w:hAnsi="黑体" w:eastAsia="黑体" w:cs="黑体"/>
          <w:kern w:val="0"/>
          <w:shd w:val="clear" w:color="auto" w:fill="FFFFFF"/>
        </w:rPr>
      </w:pPr>
    </w:p>
    <w:p>
      <w:pPr>
        <w:pStyle w:val="2"/>
        <w:shd w:val="clear"/>
        <w:ind w:right="-107" w:firstLine="640"/>
        <w:rPr>
          <w:rFonts w:ascii="黑体" w:hAnsi="黑体" w:eastAsia="黑体" w:cs="黑体"/>
          <w:kern w:val="0"/>
          <w:shd w:val="clear" w:color="auto" w:fill="FFFFFF"/>
        </w:rPr>
      </w:pPr>
    </w:p>
    <w:p>
      <w:pPr>
        <w:pStyle w:val="2"/>
        <w:shd w:val="clear"/>
        <w:tabs>
          <w:tab w:val="left" w:pos="3410"/>
          <w:tab w:val="center" w:pos="4796"/>
        </w:tabs>
        <w:ind w:right="-107" w:firstLine="0" w:firstLineChars="0"/>
        <w:jc w:val="left"/>
        <w:rPr>
          <w:rFonts w:hint="eastAsia" w:ascii="黑体" w:hAnsi="黑体" w:eastAsia="黑体" w:cs="黑体"/>
          <w:kern w:val="0"/>
          <w:sz w:val="44"/>
          <w:szCs w:val="44"/>
          <w:shd w:val="clear" w:color="auto" w:fill="FFFFFF"/>
        </w:rPr>
        <w:sectPr>
          <w:footerReference r:id="rId3" w:type="default"/>
          <w:footerReference r:id="rId4" w:type="even"/>
          <w:pgSz w:w="11906" w:h="16838"/>
          <w:pgMar w:top="2098" w:right="1474" w:bottom="1984" w:left="1587" w:header="720" w:footer="1559" w:gutter="0"/>
          <w:pgBorders>
            <w:top w:val="none" w:sz="0" w:space="0"/>
            <w:left w:val="none" w:sz="0" w:space="0"/>
            <w:bottom w:val="none" w:sz="0" w:space="0"/>
            <w:right w:val="none" w:sz="0" w:space="0"/>
          </w:pgBorders>
          <w:pgNumType w:fmt="numberInDash" w:start="1"/>
          <w:cols w:space="720" w:num="1"/>
          <w:docGrid w:type="lines" w:linePitch="312" w:charSpace="0"/>
        </w:sectPr>
      </w:pPr>
      <w:r>
        <w:rPr>
          <w:rFonts w:ascii="黑体" w:hAnsi="黑体" w:eastAsia="黑体" w:cs="黑体"/>
          <w:kern w:val="0"/>
          <w:shd w:val="clear" w:color="auto" w:fill="FFFFFF"/>
        </w:rPr>
        <w:tab/>
      </w:r>
      <w:r>
        <w:rPr>
          <w:rFonts w:hint="eastAsia" w:ascii="仿宋_GB2312" w:hAnsi="仿宋_GB2312" w:eastAsia="仿宋_GB2312" w:cs="仿宋_GB2312"/>
          <w:kern w:val="0"/>
          <w:sz w:val="32"/>
          <w:szCs w:val="32"/>
          <w:shd w:val="clear" w:color="auto" w:fill="FFFFFF"/>
        </w:rPr>
        <w:t>二〇二四年度</w:t>
      </w:r>
    </w:p>
    <w:p>
      <w:pPr>
        <w:spacing w:before="0" w:beforeLines="0" w:after="0" w:afterLines="0" w:line="360" w:lineRule="auto"/>
        <w:ind w:left="0" w:leftChars="0" w:right="0" w:rightChars="0" w:firstLine="0" w:firstLineChars="0"/>
        <w:jc w:val="center"/>
        <w:rPr>
          <w:b/>
        </w:rPr>
      </w:pPr>
      <w:r>
        <w:rPr>
          <w:rFonts w:ascii="宋体" w:hAnsi="宋体" w:eastAsia="宋体"/>
          <w:sz w:val="21"/>
        </w:rPr>
        <w:t>目录</w:t>
      </w:r>
      <w:r>
        <w:rPr>
          <w:rFonts w:hint="eastAsia"/>
        </w:rPr>
        <w:fldChar w:fldCharType="begin"/>
      </w:r>
      <w:r>
        <w:rPr>
          <w:rFonts w:hint="eastAsia"/>
        </w:rPr>
        <w:instrText xml:space="preserve">TOC \o "1-2" \h \u </w:instrText>
      </w:r>
      <w:r>
        <w:rPr>
          <w:rFonts w:hint="eastAsia"/>
        </w:rPr>
        <w:fldChar w:fldCharType="separate"/>
      </w:r>
    </w:p>
    <w:p>
      <w:pPr>
        <w:pStyle w:val="27"/>
        <w:tabs>
          <w:tab w:val="right" w:leader="dot" w:pos="8845"/>
        </w:tabs>
        <w:spacing w:line="360" w:lineRule="auto"/>
        <w:ind w:firstLine="400" w:firstLineChars="200"/>
        <w:rPr>
          <w:rFonts w:hint="eastAsia" w:ascii="黑体" w:hAnsi="黑体" w:eastAsia="黑体" w:cs="Times New Roman"/>
          <w:sz w:val="20"/>
          <w:szCs w:val="20"/>
        </w:rPr>
      </w:pPr>
      <w:r>
        <w:rPr>
          <w:rFonts w:hint="eastAsia" w:ascii="黑体" w:hAnsi="黑体" w:eastAsia="黑体" w:cs="Times New Roman"/>
          <w:sz w:val="20"/>
          <w:szCs w:val="20"/>
        </w:rPr>
        <w:fldChar w:fldCharType="begin"/>
      </w:r>
      <w:r>
        <w:rPr>
          <w:rFonts w:hint="eastAsia" w:ascii="黑体" w:hAnsi="黑体" w:eastAsia="黑体" w:cs="Times New Roman"/>
          <w:sz w:val="20"/>
          <w:szCs w:val="20"/>
        </w:rPr>
        <w:instrText xml:space="preserve"> HYPERLINK \l _Toc10675 </w:instrText>
      </w:r>
      <w:r>
        <w:rPr>
          <w:rFonts w:hint="eastAsia" w:ascii="黑体" w:hAnsi="黑体" w:eastAsia="黑体" w:cs="Times New Roman"/>
          <w:sz w:val="20"/>
          <w:szCs w:val="20"/>
        </w:rPr>
        <w:fldChar w:fldCharType="separate"/>
      </w:r>
      <w:r>
        <w:rPr>
          <w:rFonts w:hint="eastAsia" w:ascii="黑体" w:hAnsi="黑体" w:eastAsia="黑体" w:cs="Times New Roman"/>
          <w:sz w:val="20"/>
          <w:szCs w:val="20"/>
        </w:rPr>
        <w:t>一、基本职能及主要工作</w:t>
      </w:r>
      <w:r>
        <w:rPr>
          <w:rFonts w:hint="eastAsia" w:ascii="黑体" w:hAnsi="黑体" w:eastAsia="黑体" w:cs="Times New Roman"/>
          <w:sz w:val="20"/>
          <w:szCs w:val="20"/>
        </w:rPr>
        <w:tab/>
      </w:r>
      <w:r>
        <w:rPr>
          <w:rFonts w:hint="eastAsia" w:ascii="黑体" w:hAnsi="黑体" w:eastAsia="黑体" w:cs="Times New Roman"/>
          <w:sz w:val="20"/>
          <w:szCs w:val="20"/>
        </w:rPr>
        <w:fldChar w:fldCharType="begin"/>
      </w:r>
      <w:r>
        <w:rPr>
          <w:rFonts w:hint="eastAsia" w:ascii="黑体" w:hAnsi="黑体" w:eastAsia="黑体" w:cs="Times New Roman"/>
          <w:sz w:val="20"/>
          <w:szCs w:val="20"/>
        </w:rPr>
        <w:instrText xml:space="preserve"> PAGEREF _Toc10675 \h </w:instrText>
      </w:r>
      <w:r>
        <w:rPr>
          <w:rFonts w:hint="eastAsia" w:ascii="黑体" w:hAnsi="黑体" w:eastAsia="黑体" w:cs="Times New Roman"/>
          <w:sz w:val="20"/>
          <w:szCs w:val="20"/>
        </w:rPr>
        <w:fldChar w:fldCharType="separate"/>
      </w:r>
      <w:r>
        <w:rPr>
          <w:rFonts w:hint="eastAsia" w:ascii="黑体" w:hAnsi="黑体" w:eastAsia="黑体" w:cs="Times New Roman"/>
          <w:sz w:val="20"/>
          <w:szCs w:val="20"/>
        </w:rPr>
        <w:t>- 2 -</w:t>
      </w:r>
      <w:r>
        <w:rPr>
          <w:rFonts w:hint="eastAsia" w:ascii="黑体" w:hAnsi="黑体" w:eastAsia="黑体" w:cs="Times New Roman"/>
          <w:sz w:val="20"/>
          <w:szCs w:val="20"/>
        </w:rPr>
        <w:fldChar w:fldCharType="end"/>
      </w:r>
      <w:r>
        <w:rPr>
          <w:rFonts w:hint="eastAsia" w:ascii="黑体" w:hAnsi="黑体" w:eastAsia="黑体" w:cs="Times New Roman"/>
          <w:sz w:val="20"/>
          <w:szCs w:val="20"/>
        </w:rPr>
        <w:fldChar w:fldCharType="end"/>
      </w:r>
    </w:p>
    <w:p>
      <w:pPr>
        <w:pStyle w:val="28"/>
        <w:tabs>
          <w:tab w:val="right" w:leader="dot" w:pos="8845"/>
        </w:tabs>
        <w:spacing w:line="360" w:lineRule="auto"/>
      </w:pPr>
      <w:r>
        <w:rPr>
          <w:rFonts w:hint="eastAsia"/>
        </w:rPr>
        <w:fldChar w:fldCharType="begin"/>
      </w:r>
      <w:r>
        <w:rPr>
          <w:rFonts w:hint="eastAsia"/>
        </w:rPr>
        <w:instrText xml:space="preserve"> HYPERLINK \l _Toc17013 </w:instrText>
      </w:r>
      <w:r>
        <w:rPr>
          <w:rFonts w:hint="eastAsia"/>
        </w:rPr>
        <w:fldChar w:fldCharType="separate"/>
      </w:r>
      <w:r>
        <w:rPr>
          <w:rFonts w:hint="eastAsia" w:ascii="楷体" w:hAnsi="楷体" w:eastAsia="楷体"/>
        </w:rPr>
        <w:t>（一）四川省广元市中级人民法院职能简介</w:t>
      </w:r>
      <w:r>
        <w:tab/>
      </w:r>
      <w:r>
        <w:fldChar w:fldCharType="begin"/>
      </w:r>
      <w:r>
        <w:instrText xml:space="preserve"> PAGEREF _Toc17013 \h </w:instrText>
      </w:r>
      <w:r>
        <w:fldChar w:fldCharType="separate"/>
      </w:r>
      <w:r>
        <w:t>- 2 -</w:t>
      </w:r>
      <w:r>
        <w:fldChar w:fldCharType="end"/>
      </w:r>
      <w:r>
        <w:rPr>
          <w:rFonts w:hint="eastAsia"/>
        </w:rPr>
        <w:fldChar w:fldCharType="end"/>
      </w:r>
    </w:p>
    <w:p>
      <w:pPr>
        <w:pStyle w:val="28"/>
        <w:tabs>
          <w:tab w:val="right" w:leader="dot" w:pos="8845"/>
        </w:tabs>
        <w:spacing w:line="360" w:lineRule="auto"/>
      </w:pPr>
      <w:r>
        <w:rPr>
          <w:rFonts w:hint="eastAsia"/>
        </w:rPr>
        <w:fldChar w:fldCharType="begin"/>
      </w:r>
      <w:r>
        <w:rPr>
          <w:rFonts w:hint="eastAsia"/>
        </w:rPr>
        <w:instrText xml:space="preserve"> HYPERLINK \l _Toc32699 </w:instrText>
      </w:r>
      <w:r>
        <w:rPr>
          <w:rFonts w:hint="eastAsia"/>
        </w:rPr>
        <w:fldChar w:fldCharType="separate"/>
      </w:r>
      <w:r>
        <w:rPr>
          <w:rFonts w:hint="eastAsia" w:ascii="楷体" w:hAnsi="楷体" w:eastAsia="楷体"/>
        </w:rPr>
        <w:t>（二）四川省广元市中级人民法院2024年重点工作</w:t>
      </w:r>
      <w:r>
        <w:tab/>
      </w:r>
      <w:r>
        <w:fldChar w:fldCharType="begin"/>
      </w:r>
      <w:r>
        <w:instrText xml:space="preserve"> PAGEREF _Toc32699 \h </w:instrText>
      </w:r>
      <w:r>
        <w:fldChar w:fldCharType="separate"/>
      </w:r>
      <w:r>
        <w:t>- 2 -</w:t>
      </w:r>
      <w:r>
        <w:fldChar w:fldCharType="end"/>
      </w:r>
      <w:r>
        <w:rPr>
          <w:rFonts w:hint="eastAsia"/>
        </w:rPr>
        <w:fldChar w:fldCharType="end"/>
      </w:r>
    </w:p>
    <w:p>
      <w:pPr>
        <w:pStyle w:val="28"/>
        <w:tabs>
          <w:tab w:val="right" w:leader="dot" w:pos="8845"/>
        </w:tabs>
        <w:spacing w:line="360" w:lineRule="auto"/>
      </w:pPr>
      <w:r>
        <w:rPr>
          <w:rFonts w:hint="eastAsia"/>
        </w:rPr>
        <w:fldChar w:fldCharType="begin"/>
      </w:r>
      <w:r>
        <w:rPr>
          <w:rFonts w:hint="eastAsia"/>
        </w:rPr>
        <w:instrText xml:space="preserve"> HYPERLINK \l _Toc123 </w:instrText>
      </w:r>
      <w:r>
        <w:rPr>
          <w:rFonts w:hint="eastAsia"/>
        </w:rPr>
        <w:fldChar w:fldCharType="separate"/>
      </w:r>
      <w:r>
        <w:rPr>
          <w:rFonts w:hint="eastAsia" w:ascii="黑体" w:hAnsi="黑体" w:eastAsia="黑体"/>
        </w:rPr>
        <w:t>二、部门预算单位构成</w:t>
      </w:r>
      <w:r>
        <w:tab/>
      </w:r>
      <w:r>
        <w:fldChar w:fldCharType="begin"/>
      </w:r>
      <w:r>
        <w:instrText xml:space="preserve"> PAGEREF _Toc123 \h </w:instrText>
      </w:r>
      <w:r>
        <w:fldChar w:fldCharType="separate"/>
      </w:r>
      <w:r>
        <w:t>- 5 -</w:t>
      </w:r>
      <w:r>
        <w:fldChar w:fldCharType="end"/>
      </w:r>
      <w:r>
        <w:rPr>
          <w:rFonts w:hint="eastAsia"/>
        </w:rPr>
        <w:fldChar w:fldCharType="end"/>
      </w:r>
    </w:p>
    <w:p>
      <w:pPr>
        <w:pStyle w:val="28"/>
        <w:tabs>
          <w:tab w:val="right" w:leader="dot" w:pos="8845"/>
        </w:tabs>
        <w:spacing w:line="360" w:lineRule="auto"/>
      </w:pPr>
      <w:r>
        <w:rPr>
          <w:rFonts w:hint="eastAsia"/>
        </w:rPr>
        <w:fldChar w:fldCharType="begin"/>
      </w:r>
      <w:r>
        <w:rPr>
          <w:rFonts w:hint="eastAsia"/>
        </w:rPr>
        <w:instrText xml:space="preserve"> HYPERLINK \l _Toc9973 </w:instrText>
      </w:r>
      <w:r>
        <w:rPr>
          <w:rFonts w:hint="eastAsia"/>
        </w:rPr>
        <w:fldChar w:fldCharType="separate"/>
      </w:r>
      <w:r>
        <w:rPr>
          <w:rFonts w:hint="eastAsia" w:ascii="黑体" w:hAnsi="黑体" w:eastAsia="黑体"/>
        </w:rPr>
        <w:t>三、收支预算情况说明</w:t>
      </w:r>
      <w:r>
        <w:tab/>
      </w:r>
      <w:r>
        <w:fldChar w:fldCharType="begin"/>
      </w:r>
      <w:r>
        <w:instrText xml:space="preserve"> PAGEREF _Toc9973 \h </w:instrText>
      </w:r>
      <w:r>
        <w:fldChar w:fldCharType="separate"/>
      </w:r>
      <w:r>
        <w:t>- 5 -</w:t>
      </w:r>
      <w:r>
        <w:fldChar w:fldCharType="end"/>
      </w:r>
      <w:r>
        <w:rPr>
          <w:rFonts w:hint="eastAsia"/>
        </w:rPr>
        <w:fldChar w:fldCharType="end"/>
      </w:r>
    </w:p>
    <w:p>
      <w:pPr>
        <w:pStyle w:val="28"/>
        <w:tabs>
          <w:tab w:val="right" w:leader="dot" w:pos="8845"/>
        </w:tabs>
        <w:spacing w:line="360" w:lineRule="auto"/>
      </w:pPr>
      <w:r>
        <w:rPr>
          <w:rFonts w:hint="eastAsia"/>
        </w:rPr>
        <w:fldChar w:fldCharType="begin"/>
      </w:r>
      <w:r>
        <w:rPr>
          <w:rFonts w:hint="eastAsia"/>
        </w:rPr>
        <w:instrText xml:space="preserve"> HYPERLINK \l _Toc520 </w:instrText>
      </w:r>
      <w:r>
        <w:rPr>
          <w:rFonts w:hint="eastAsia"/>
        </w:rPr>
        <w:fldChar w:fldCharType="separate"/>
      </w:r>
      <w:r>
        <w:rPr>
          <w:rFonts w:hint="eastAsia" w:ascii="楷体" w:hAnsi="楷体" w:eastAsia="楷体"/>
        </w:rPr>
        <w:t>（一）收入预算情况</w:t>
      </w:r>
      <w:r>
        <w:tab/>
      </w:r>
      <w:r>
        <w:fldChar w:fldCharType="begin"/>
      </w:r>
      <w:r>
        <w:instrText xml:space="preserve"> PAGEREF _Toc520 \h </w:instrText>
      </w:r>
      <w:r>
        <w:fldChar w:fldCharType="separate"/>
      </w:r>
      <w:r>
        <w:t>- 5 -</w:t>
      </w:r>
      <w:r>
        <w:fldChar w:fldCharType="end"/>
      </w:r>
      <w:r>
        <w:rPr>
          <w:rFonts w:hint="eastAsia"/>
        </w:rPr>
        <w:fldChar w:fldCharType="end"/>
      </w:r>
    </w:p>
    <w:p>
      <w:pPr>
        <w:pStyle w:val="28"/>
        <w:tabs>
          <w:tab w:val="right" w:leader="dot" w:pos="8845"/>
        </w:tabs>
        <w:spacing w:line="360" w:lineRule="auto"/>
      </w:pPr>
      <w:r>
        <w:rPr>
          <w:rFonts w:hint="eastAsia"/>
        </w:rPr>
        <w:fldChar w:fldCharType="begin"/>
      </w:r>
      <w:r>
        <w:rPr>
          <w:rFonts w:hint="eastAsia"/>
        </w:rPr>
        <w:instrText xml:space="preserve"> HYPERLINK \l _Toc27452 </w:instrText>
      </w:r>
      <w:r>
        <w:rPr>
          <w:rFonts w:hint="eastAsia"/>
        </w:rPr>
        <w:fldChar w:fldCharType="separate"/>
      </w:r>
      <w:r>
        <w:rPr>
          <w:rFonts w:hint="eastAsia" w:ascii="楷体" w:hAnsi="楷体" w:eastAsia="楷体"/>
        </w:rPr>
        <w:t>（二）支出预算情况</w:t>
      </w:r>
      <w:r>
        <w:tab/>
      </w:r>
      <w:r>
        <w:fldChar w:fldCharType="begin"/>
      </w:r>
      <w:r>
        <w:instrText xml:space="preserve"> PAGEREF _Toc27452 \h </w:instrText>
      </w:r>
      <w:r>
        <w:fldChar w:fldCharType="separate"/>
      </w:r>
      <w:r>
        <w:t>- 5 -</w:t>
      </w:r>
      <w:r>
        <w:fldChar w:fldCharType="end"/>
      </w:r>
      <w:r>
        <w:rPr>
          <w:rFonts w:hint="eastAsia"/>
        </w:rPr>
        <w:fldChar w:fldCharType="end"/>
      </w:r>
    </w:p>
    <w:p>
      <w:pPr>
        <w:pStyle w:val="28"/>
        <w:tabs>
          <w:tab w:val="right" w:leader="dot" w:pos="8845"/>
        </w:tabs>
        <w:spacing w:line="360" w:lineRule="auto"/>
      </w:pPr>
      <w:r>
        <w:rPr>
          <w:rFonts w:hint="eastAsia"/>
        </w:rPr>
        <w:fldChar w:fldCharType="begin"/>
      </w:r>
      <w:r>
        <w:rPr>
          <w:rFonts w:hint="eastAsia"/>
        </w:rPr>
        <w:instrText xml:space="preserve"> HYPERLINK \l _Toc20103 </w:instrText>
      </w:r>
      <w:r>
        <w:rPr>
          <w:rFonts w:hint="eastAsia"/>
        </w:rPr>
        <w:fldChar w:fldCharType="separate"/>
      </w:r>
      <w:r>
        <w:rPr>
          <w:rFonts w:hint="eastAsia" w:ascii="黑体" w:hAnsi="黑体" w:eastAsia="黑体"/>
        </w:rPr>
        <w:t>四、财政拨款收支预算情况说明</w:t>
      </w:r>
      <w:r>
        <w:tab/>
      </w:r>
      <w:r>
        <w:fldChar w:fldCharType="begin"/>
      </w:r>
      <w:r>
        <w:instrText xml:space="preserve"> PAGEREF _Toc20103 \h </w:instrText>
      </w:r>
      <w:r>
        <w:fldChar w:fldCharType="separate"/>
      </w:r>
      <w:r>
        <w:t>- 5 -</w:t>
      </w:r>
      <w:r>
        <w:fldChar w:fldCharType="end"/>
      </w:r>
      <w:r>
        <w:rPr>
          <w:rFonts w:hint="eastAsia"/>
        </w:rPr>
        <w:fldChar w:fldCharType="end"/>
      </w:r>
    </w:p>
    <w:p>
      <w:pPr>
        <w:pStyle w:val="28"/>
        <w:tabs>
          <w:tab w:val="right" w:leader="dot" w:pos="8845"/>
        </w:tabs>
        <w:spacing w:line="360" w:lineRule="auto"/>
      </w:pPr>
      <w:r>
        <w:rPr>
          <w:rFonts w:hint="eastAsia"/>
        </w:rPr>
        <w:fldChar w:fldCharType="begin"/>
      </w:r>
      <w:r>
        <w:rPr>
          <w:rFonts w:hint="eastAsia"/>
        </w:rPr>
        <w:instrText xml:space="preserve"> HYPERLINK \l _Toc23907 </w:instrText>
      </w:r>
      <w:r>
        <w:rPr>
          <w:rFonts w:hint="eastAsia"/>
        </w:rPr>
        <w:fldChar w:fldCharType="separate"/>
      </w:r>
      <w:r>
        <w:rPr>
          <w:rFonts w:hint="eastAsia" w:ascii="黑体" w:hAnsi="黑体" w:eastAsia="黑体"/>
        </w:rPr>
        <w:t>五、一般公共预算当年拨款情况说明</w:t>
      </w:r>
      <w:r>
        <w:tab/>
      </w:r>
      <w:r>
        <w:fldChar w:fldCharType="begin"/>
      </w:r>
      <w:r>
        <w:instrText xml:space="preserve"> PAGEREF _Toc23907 \h </w:instrText>
      </w:r>
      <w:r>
        <w:fldChar w:fldCharType="separate"/>
      </w:r>
      <w:r>
        <w:t>- 6 -</w:t>
      </w:r>
      <w:r>
        <w:fldChar w:fldCharType="end"/>
      </w:r>
      <w:r>
        <w:rPr>
          <w:rFonts w:hint="eastAsia"/>
        </w:rPr>
        <w:fldChar w:fldCharType="end"/>
      </w:r>
    </w:p>
    <w:p>
      <w:pPr>
        <w:pStyle w:val="28"/>
        <w:tabs>
          <w:tab w:val="right" w:leader="dot" w:pos="8845"/>
        </w:tabs>
        <w:spacing w:line="360" w:lineRule="auto"/>
      </w:pPr>
      <w:r>
        <w:rPr>
          <w:rFonts w:hint="eastAsia"/>
        </w:rPr>
        <w:fldChar w:fldCharType="begin"/>
      </w:r>
      <w:r>
        <w:rPr>
          <w:rFonts w:hint="eastAsia"/>
        </w:rPr>
        <w:instrText xml:space="preserve"> HYPERLINK \l _Toc1611 </w:instrText>
      </w:r>
      <w:r>
        <w:rPr>
          <w:rFonts w:hint="eastAsia"/>
        </w:rPr>
        <w:fldChar w:fldCharType="separate"/>
      </w:r>
      <w:r>
        <w:rPr>
          <w:rFonts w:hint="eastAsia" w:ascii="楷体" w:hAnsi="楷体" w:eastAsia="楷体"/>
        </w:rPr>
        <w:t>（一）一般公共预算当年拨款规模变化情况</w:t>
      </w:r>
      <w:r>
        <w:tab/>
      </w:r>
      <w:r>
        <w:fldChar w:fldCharType="begin"/>
      </w:r>
      <w:r>
        <w:instrText xml:space="preserve"> PAGEREF _Toc1611 \h </w:instrText>
      </w:r>
      <w:r>
        <w:fldChar w:fldCharType="separate"/>
      </w:r>
      <w:r>
        <w:t>- 6 -</w:t>
      </w:r>
      <w:r>
        <w:fldChar w:fldCharType="end"/>
      </w:r>
      <w:r>
        <w:rPr>
          <w:rFonts w:hint="eastAsia"/>
        </w:rPr>
        <w:fldChar w:fldCharType="end"/>
      </w:r>
    </w:p>
    <w:p>
      <w:pPr>
        <w:pStyle w:val="28"/>
        <w:tabs>
          <w:tab w:val="right" w:leader="dot" w:pos="8845"/>
        </w:tabs>
        <w:spacing w:line="360" w:lineRule="auto"/>
      </w:pPr>
      <w:r>
        <w:rPr>
          <w:rFonts w:hint="eastAsia"/>
        </w:rPr>
        <w:fldChar w:fldCharType="begin"/>
      </w:r>
      <w:r>
        <w:rPr>
          <w:rFonts w:hint="eastAsia"/>
        </w:rPr>
        <w:instrText xml:space="preserve"> HYPERLINK \l _Toc19472 </w:instrText>
      </w:r>
      <w:r>
        <w:rPr>
          <w:rFonts w:hint="eastAsia"/>
        </w:rPr>
        <w:fldChar w:fldCharType="separate"/>
      </w:r>
      <w:r>
        <w:rPr>
          <w:rFonts w:hint="eastAsia" w:ascii="楷体" w:hAnsi="楷体" w:eastAsia="楷体"/>
        </w:rPr>
        <w:t>（二）一般公共预算当年拨款结构情况</w:t>
      </w:r>
      <w:r>
        <w:tab/>
      </w:r>
      <w:r>
        <w:fldChar w:fldCharType="begin"/>
      </w:r>
      <w:r>
        <w:instrText xml:space="preserve"> PAGEREF _Toc19472 \h </w:instrText>
      </w:r>
      <w:r>
        <w:fldChar w:fldCharType="separate"/>
      </w:r>
      <w:r>
        <w:t>- 6 -</w:t>
      </w:r>
      <w:r>
        <w:fldChar w:fldCharType="end"/>
      </w:r>
      <w:r>
        <w:rPr>
          <w:rFonts w:hint="eastAsia"/>
        </w:rPr>
        <w:fldChar w:fldCharType="end"/>
      </w:r>
    </w:p>
    <w:p>
      <w:pPr>
        <w:pStyle w:val="28"/>
        <w:tabs>
          <w:tab w:val="right" w:leader="dot" w:pos="8845"/>
        </w:tabs>
        <w:spacing w:line="360" w:lineRule="auto"/>
      </w:pPr>
      <w:r>
        <w:rPr>
          <w:rFonts w:hint="eastAsia"/>
        </w:rPr>
        <w:fldChar w:fldCharType="begin"/>
      </w:r>
      <w:r>
        <w:rPr>
          <w:rFonts w:hint="eastAsia"/>
        </w:rPr>
        <w:instrText xml:space="preserve"> HYPERLINK \l _Toc13943 </w:instrText>
      </w:r>
      <w:r>
        <w:rPr>
          <w:rFonts w:hint="eastAsia"/>
        </w:rPr>
        <w:fldChar w:fldCharType="separate"/>
      </w:r>
      <w:r>
        <w:rPr>
          <w:rFonts w:hint="eastAsia" w:ascii="楷体" w:hAnsi="楷体" w:eastAsia="楷体"/>
        </w:rPr>
        <w:t>（三）一般公共预算当年拨款具体使用情况</w:t>
      </w:r>
      <w:r>
        <w:tab/>
      </w:r>
      <w:r>
        <w:fldChar w:fldCharType="begin"/>
      </w:r>
      <w:r>
        <w:instrText xml:space="preserve"> PAGEREF _Toc13943 \h </w:instrText>
      </w:r>
      <w:r>
        <w:fldChar w:fldCharType="separate"/>
      </w:r>
      <w:r>
        <w:t>- 6 -</w:t>
      </w:r>
      <w:r>
        <w:fldChar w:fldCharType="end"/>
      </w:r>
      <w:r>
        <w:rPr>
          <w:rFonts w:hint="eastAsia"/>
        </w:rPr>
        <w:fldChar w:fldCharType="end"/>
      </w:r>
    </w:p>
    <w:p>
      <w:pPr>
        <w:pStyle w:val="28"/>
        <w:tabs>
          <w:tab w:val="right" w:leader="dot" w:pos="8845"/>
        </w:tabs>
        <w:spacing w:line="360" w:lineRule="auto"/>
      </w:pPr>
      <w:r>
        <w:rPr>
          <w:rFonts w:hint="eastAsia"/>
        </w:rPr>
        <w:fldChar w:fldCharType="begin"/>
      </w:r>
      <w:r>
        <w:rPr>
          <w:rFonts w:hint="eastAsia"/>
        </w:rPr>
        <w:instrText xml:space="preserve"> HYPERLINK \l _Toc3212 </w:instrText>
      </w:r>
      <w:r>
        <w:rPr>
          <w:rFonts w:hint="eastAsia"/>
        </w:rPr>
        <w:fldChar w:fldCharType="separate"/>
      </w:r>
      <w:r>
        <w:rPr>
          <w:rFonts w:hint="eastAsia" w:ascii="黑体" w:hAnsi="黑体" w:eastAsia="黑体"/>
        </w:rPr>
        <w:t>六、一般公共预算基本支出情况说明</w:t>
      </w:r>
      <w:r>
        <w:tab/>
      </w:r>
      <w:r>
        <w:fldChar w:fldCharType="begin"/>
      </w:r>
      <w:r>
        <w:instrText xml:space="preserve"> PAGEREF _Toc3212 \h </w:instrText>
      </w:r>
      <w:r>
        <w:fldChar w:fldCharType="separate"/>
      </w:r>
      <w:r>
        <w:t>- 7 -</w:t>
      </w:r>
      <w:r>
        <w:fldChar w:fldCharType="end"/>
      </w:r>
      <w:r>
        <w:rPr>
          <w:rFonts w:hint="eastAsia"/>
        </w:rPr>
        <w:fldChar w:fldCharType="end"/>
      </w:r>
    </w:p>
    <w:p>
      <w:pPr>
        <w:pStyle w:val="28"/>
        <w:tabs>
          <w:tab w:val="right" w:leader="dot" w:pos="8845"/>
        </w:tabs>
        <w:spacing w:line="360" w:lineRule="auto"/>
      </w:pPr>
      <w:r>
        <w:rPr>
          <w:rFonts w:hint="eastAsia"/>
        </w:rPr>
        <w:fldChar w:fldCharType="begin"/>
      </w:r>
      <w:r>
        <w:rPr>
          <w:rFonts w:hint="eastAsia"/>
        </w:rPr>
        <w:instrText xml:space="preserve"> HYPERLINK \l _Toc12576 </w:instrText>
      </w:r>
      <w:r>
        <w:rPr>
          <w:rFonts w:hint="eastAsia"/>
        </w:rPr>
        <w:fldChar w:fldCharType="separate"/>
      </w:r>
      <w:r>
        <w:rPr>
          <w:rFonts w:hint="eastAsia" w:ascii="黑体" w:hAnsi="黑体" w:eastAsia="黑体"/>
        </w:rPr>
        <w:t>七、“三公”经费财政拨款预算安排情况说明</w:t>
      </w:r>
      <w:r>
        <w:tab/>
      </w:r>
      <w:r>
        <w:fldChar w:fldCharType="begin"/>
      </w:r>
      <w:r>
        <w:instrText xml:space="preserve"> PAGEREF _Toc12576 \h </w:instrText>
      </w:r>
      <w:r>
        <w:fldChar w:fldCharType="separate"/>
      </w:r>
      <w:r>
        <w:t>- 8 -</w:t>
      </w:r>
      <w:r>
        <w:fldChar w:fldCharType="end"/>
      </w:r>
      <w:r>
        <w:rPr>
          <w:rFonts w:hint="eastAsia"/>
        </w:rPr>
        <w:fldChar w:fldCharType="end"/>
      </w:r>
    </w:p>
    <w:p>
      <w:pPr>
        <w:pStyle w:val="28"/>
        <w:tabs>
          <w:tab w:val="right" w:leader="dot" w:pos="8845"/>
        </w:tabs>
        <w:spacing w:line="360" w:lineRule="auto"/>
      </w:pPr>
      <w:r>
        <w:rPr>
          <w:rFonts w:hint="eastAsia"/>
        </w:rPr>
        <w:fldChar w:fldCharType="begin"/>
      </w:r>
      <w:r>
        <w:rPr>
          <w:rFonts w:hint="eastAsia"/>
        </w:rPr>
        <w:instrText xml:space="preserve"> HYPERLINK \l _Toc23261 </w:instrText>
      </w:r>
      <w:r>
        <w:rPr>
          <w:rFonts w:hint="eastAsia"/>
        </w:rPr>
        <w:fldChar w:fldCharType="separate"/>
      </w:r>
      <w:r>
        <w:rPr>
          <w:rFonts w:hint="eastAsia" w:ascii="楷体" w:hAnsi="楷体" w:eastAsia="楷体"/>
        </w:rPr>
        <w:t>（一）公务接待费</w:t>
      </w:r>
      <w:r>
        <w:tab/>
      </w:r>
      <w:r>
        <w:fldChar w:fldCharType="begin"/>
      </w:r>
      <w:r>
        <w:instrText xml:space="preserve"> PAGEREF _Toc23261 \h </w:instrText>
      </w:r>
      <w:r>
        <w:fldChar w:fldCharType="separate"/>
      </w:r>
      <w:r>
        <w:t>- 8 -</w:t>
      </w:r>
      <w:r>
        <w:fldChar w:fldCharType="end"/>
      </w:r>
      <w:r>
        <w:rPr>
          <w:rFonts w:hint="eastAsia"/>
        </w:rPr>
        <w:fldChar w:fldCharType="end"/>
      </w:r>
    </w:p>
    <w:p>
      <w:pPr>
        <w:pStyle w:val="28"/>
        <w:tabs>
          <w:tab w:val="right" w:leader="dot" w:pos="8845"/>
        </w:tabs>
        <w:spacing w:line="360" w:lineRule="auto"/>
      </w:pPr>
      <w:r>
        <w:rPr>
          <w:rFonts w:hint="eastAsia"/>
        </w:rPr>
        <w:fldChar w:fldCharType="begin"/>
      </w:r>
      <w:r>
        <w:rPr>
          <w:rFonts w:hint="eastAsia"/>
        </w:rPr>
        <w:instrText xml:space="preserve"> HYPERLINK \l _Toc13162 </w:instrText>
      </w:r>
      <w:r>
        <w:rPr>
          <w:rFonts w:hint="eastAsia"/>
        </w:rPr>
        <w:fldChar w:fldCharType="separate"/>
      </w:r>
      <w:r>
        <w:rPr>
          <w:rFonts w:hint="eastAsia" w:ascii="楷体" w:hAnsi="楷体" w:eastAsia="楷体"/>
        </w:rPr>
        <w:t>（二）公务用车购置及运行维护费</w:t>
      </w:r>
      <w:r>
        <w:tab/>
      </w:r>
      <w:r>
        <w:fldChar w:fldCharType="begin"/>
      </w:r>
      <w:r>
        <w:instrText xml:space="preserve"> PAGEREF _Toc13162 \h </w:instrText>
      </w:r>
      <w:r>
        <w:fldChar w:fldCharType="separate"/>
      </w:r>
      <w:r>
        <w:t>- 8 -</w:t>
      </w:r>
      <w:r>
        <w:fldChar w:fldCharType="end"/>
      </w:r>
      <w:r>
        <w:rPr>
          <w:rFonts w:hint="eastAsia"/>
        </w:rPr>
        <w:fldChar w:fldCharType="end"/>
      </w:r>
    </w:p>
    <w:p>
      <w:pPr>
        <w:pStyle w:val="28"/>
        <w:tabs>
          <w:tab w:val="right" w:leader="dot" w:pos="8845"/>
        </w:tabs>
        <w:spacing w:line="360" w:lineRule="auto"/>
      </w:pPr>
      <w:r>
        <w:rPr>
          <w:rFonts w:hint="eastAsia"/>
        </w:rPr>
        <w:fldChar w:fldCharType="begin"/>
      </w:r>
      <w:r>
        <w:rPr>
          <w:rFonts w:hint="eastAsia"/>
        </w:rPr>
        <w:instrText xml:space="preserve"> HYPERLINK \l _Toc5095 </w:instrText>
      </w:r>
      <w:r>
        <w:rPr>
          <w:rFonts w:hint="eastAsia"/>
        </w:rPr>
        <w:fldChar w:fldCharType="separate"/>
      </w:r>
      <w:r>
        <w:rPr>
          <w:rFonts w:hint="eastAsia" w:ascii="楷体" w:hAnsi="楷体" w:eastAsia="楷体"/>
        </w:rPr>
        <w:t>（三）因公出国（境）经费</w:t>
      </w:r>
      <w:r>
        <w:tab/>
      </w:r>
      <w:r>
        <w:fldChar w:fldCharType="begin"/>
      </w:r>
      <w:r>
        <w:instrText xml:space="preserve"> PAGEREF _Toc5095 \h </w:instrText>
      </w:r>
      <w:r>
        <w:fldChar w:fldCharType="separate"/>
      </w:r>
      <w:r>
        <w:t>- 9 -</w:t>
      </w:r>
      <w:r>
        <w:fldChar w:fldCharType="end"/>
      </w:r>
      <w:r>
        <w:rPr>
          <w:rFonts w:hint="eastAsia"/>
        </w:rPr>
        <w:fldChar w:fldCharType="end"/>
      </w:r>
    </w:p>
    <w:p>
      <w:pPr>
        <w:pStyle w:val="28"/>
        <w:tabs>
          <w:tab w:val="right" w:leader="dot" w:pos="8845"/>
        </w:tabs>
        <w:spacing w:line="360" w:lineRule="auto"/>
      </w:pPr>
      <w:r>
        <w:rPr>
          <w:rFonts w:hint="eastAsia"/>
        </w:rPr>
        <w:fldChar w:fldCharType="begin"/>
      </w:r>
      <w:r>
        <w:rPr>
          <w:rFonts w:hint="eastAsia"/>
        </w:rPr>
        <w:instrText xml:space="preserve"> HYPERLINK \l _Toc12726 </w:instrText>
      </w:r>
      <w:r>
        <w:rPr>
          <w:rFonts w:hint="eastAsia"/>
        </w:rPr>
        <w:fldChar w:fldCharType="separate"/>
      </w:r>
      <w:r>
        <w:rPr>
          <w:rFonts w:hint="eastAsia" w:ascii="黑体" w:hAnsi="黑体" w:eastAsia="黑体"/>
        </w:rPr>
        <w:t>八、政府性基金预算支出情况说明</w:t>
      </w:r>
      <w:r>
        <w:tab/>
      </w:r>
      <w:r>
        <w:fldChar w:fldCharType="begin"/>
      </w:r>
      <w:r>
        <w:instrText xml:space="preserve"> PAGEREF _Toc12726 \h </w:instrText>
      </w:r>
      <w:r>
        <w:fldChar w:fldCharType="separate"/>
      </w:r>
      <w:r>
        <w:t>- 9 -</w:t>
      </w:r>
      <w:r>
        <w:fldChar w:fldCharType="end"/>
      </w:r>
      <w:r>
        <w:rPr>
          <w:rFonts w:hint="eastAsia"/>
        </w:rPr>
        <w:fldChar w:fldCharType="end"/>
      </w:r>
    </w:p>
    <w:p>
      <w:pPr>
        <w:pStyle w:val="28"/>
        <w:tabs>
          <w:tab w:val="right" w:leader="dot" w:pos="8845"/>
        </w:tabs>
        <w:spacing w:line="360" w:lineRule="auto"/>
      </w:pPr>
      <w:r>
        <w:rPr>
          <w:rFonts w:hint="eastAsia"/>
        </w:rPr>
        <w:fldChar w:fldCharType="begin"/>
      </w:r>
      <w:r>
        <w:rPr>
          <w:rFonts w:hint="eastAsia"/>
        </w:rPr>
        <w:instrText xml:space="preserve"> HYPERLINK \l _Toc24938 </w:instrText>
      </w:r>
      <w:r>
        <w:rPr>
          <w:rFonts w:hint="eastAsia"/>
        </w:rPr>
        <w:fldChar w:fldCharType="separate"/>
      </w:r>
      <w:r>
        <w:rPr>
          <w:rFonts w:hint="eastAsia" w:ascii="黑体" w:hAnsi="黑体" w:eastAsia="黑体"/>
        </w:rPr>
        <w:t>九、国有资本经营预算支出情况说明</w:t>
      </w:r>
      <w:r>
        <w:tab/>
      </w:r>
      <w:r>
        <w:fldChar w:fldCharType="begin"/>
      </w:r>
      <w:r>
        <w:instrText xml:space="preserve"> PAGEREF _Toc24938 \h </w:instrText>
      </w:r>
      <w:r>
        <w:fldChar w:fldCharType="separate"/>
      </w:r>
      <w:r>
        <w:t>- 9 -</w:t>
      </w:r>
      <w:r>
        <w:fldChar w:fldCharType="end"/>
      </w:r>
      <w:r>
        <w:rPr>
          <w:rFonts w:hint="eastAsia"/>
        </w:rPr>
        <w:fldChar w:fldCharType="end"/>
      </w:r>
    </w:p>
    <w:p>
      <w:pPr>
        <w:pStyle w:val="28"/>
        <w:tabs>
          <w:tab w:val="right" w:leader="dot" w:pos="8845"/>
        </w:tabs>
        <w:spacing w:line="360" w:lineRule="auto"/>
      </w:pPr>
      <w:r>
        <w:rPr>
          <w:rFonts w:hint="eastAsia"/>
        </w:rPr>
        <w:fldChar w:fldCharType="begin"/>
      </w:r>
      <w:r>
        <w:rPr>
          <w:rFonts w:hint="eastAsia"/>
        </w:rPr>
        <w:instrText xml:space="preserve"> HYPERLINK \l _Toc8729 </w:instrText>
      </w:r>
      <w:r>
        <w:rPr>
          <w:rFonts w:hint="eastAsia"/>
        </w:rPr>
        <w:fldChar w:fldCharType="separate"/>
      </w:r>
      <w:r>
        <w:rPr>
          <w:rFonts w:hint="eastAsia" w:ascii="黑体" w:hAnsi="黑体" w:eastAsia="黑体"/>
        </w:rPr>
        <w:t>十、其他重要事项的情况说明</w:t>
      </w:r>
      <w:r>
        <w:tab/>
      </w:r>
      <w:r>
        <w:fldChar w:fldCharType="begin"/>
      </w:r>
      <w:r>
        <w:instrText xml:space="preserve"> PAGEREF _Toc8729 \h </w:instrText>
      </w:r>
      <w:r>
        <w:fldChar w:fldCharType="separate"/>
      </w:r>
      <w:r>
        <w:t>- 9 -</w:t>
      </w:r>
      <w:r>
        <w:fldChar w:fldCharType="end"/>
      </w:r>
      <w:r>
        <w:rPr>
          <w:rFonts w:hint="eastAsia"/>
        </w:rPr>
        <w:fldChar w:fldCharType="end"/>
      </w:r>
    </w:p>
    <w:p>
      <w:pPr>
        <w:pStyle w:val="28"/>
        <w:tabs>
          <w:tab w:val="right" w:leader="dot" w:pos="8845"/>
        </w:tabs>
        <w:spacing w:line="360" w:lineRule="auto"/>
      </w:pPr>
      <w:r>
        <w:rPr>
          <w:rFonts w:hint="eastAsia"/>
        </w:rPr>
        <w:fldChar w:fldCharType="begin"/>
      </w:r>
      <w:r>
        <w:rPr>
          <w:rFonts w:hint="eastAsia"/>
        </w:rPr>
        <w:instrText xml:space="preserve"> HYPERLINK \l _Toc28436 </w:instrText>
      </w:r>
      <w:r>
        <w:rPr>
          <w:rFonts w:hint="eastAsia"/>
        </w:rPr>
        <w:fldChar w:fldCharType="separate"/>
      </w:r>
      <w:r>
        <w:rPr>
          <w:rFonts w:hint="eastAsia" w:ascii="楷体" w:hAnsi="楷体" w:eastAsia="楷体"/>
        </w:rPr>
        <w:t>（一）机关运行经费</w:t>
      </w:r>
      <w:r>
        <w:tab/>
      </w:r>
      <w:r>
        <w:fldChar w:fldCharType="begin"/>
      </w:r>
      <w:r>
        <w:instrText xml:space="preserve"> PAGEREF _Toc28436 \h </w:instrText>
      </w:r>
      <w:r>
        <w:fldChar w:fldCharType="separate"/>
      </w:r>
      <w:r>
        <w:t>- 9 -</w:t>
      </w:r>
      <w:r>
        <w:fldChar w:fldCharType="end"/>
      </w:r>
      <w:r>
        <w:rPr>
          <w:rFonts w:hint="eastAsia"/>
        </w:rPr>
        <w:fldChar w:fldCharType="end"/>
      </w:r>
    </w:p>
    <w:p>
      <w:pPr>
        <w:pStyle w:val="28"/>
        <w:tabs>
          <w:tab w:val="right" w:leader="dot" w:pos="8845"/>
        </w:tabs>
        <w:spacing w:line="360" w:lineRule="auto"/>
      </w:pPr>
      <w:r>
        <w:rPr>
          <w:rFonts w:hint="eastAsia"/>
        </w:rPr>
        <w:fldChar w:fldCharType="begin"/>
      </w:r>
      <w:r>
        <w:rPr>
          <w:rFonts w:hint="eastAsia"/>
        </w:rPr>
        <w:instrText xml:space="preserve"> HYPERLINK \l _Toc8119 </w:instrText>
      </w:r>
      <w:r>
        <w:rPr>
          <w:rFonts w:hint="eastAsia"/>
        </w:rPr>
        <w:fldChar w:fldCharType="separate"/>
      </w:r>
      <w:r>
        <w:rPr>
          <w:rFonts w:hint="eastAsia" w:ascii="楷体" w:hAnsi="楷体" w:eastAsia="楷体"/>
        </w:rPr>
        <w:t>（二）政府采购情况</w:t>
      </w:r>
      <w:r>
        <w:tab/>
      </w:r>
      <w:r>
        <w:fldChar w:fldCharType="begin"/>
      </w:r>
      <w:r>
        <w:instrText xml:space="preserve"> PAGEREF _Toc8119 \h </w:instrText>
      </w:r>
      <w:r>
        <w:fldChar w:fldCharType="separate"/>
      </w:r>
      <w:r>
        <w:t>- 9 -</w:t>
      </w:r>
      <w:r>
        <w:fldChar w:fldCharType="end"/>
      </w:r>
      <w:r>
        <w:rPr>
          <w:rFonts w:hint="eastAsia"/>
        </w:rPr>
        <w:fldChar w:fldCharType="end"/>
      </w:r>
    </w:p>
    <w:p>
      <w:pPr>
        <w:pStyle w:val="28"/>
        <w:tabs>
          <w:tab w:val="right" w:leader="dot" w:pos="8845"/>
        </w:tabs>
        <w:spacing w:line="360" w:lineRule="auto"/>
      </w:pPr>
      <w:r>
        <w:rPr>
          <w:rFonts w:hint="eastAsia"/>
        </w:rPr>
        <w:fldChar w:fldCharType="begin"/>
      </w:r>
      <w:r>
        <w:rPr>
          <w:rFonts w:hint="eastAsia"/>
        </w:rPr>
        <w:instrText xml:space="preserve"> HYPERLINK \l _Toc14596 </w:instrText>
      </w:r>
      <w:r>
        <w:rPr>
          <w:rFonts w:hint="eastAsia"/>
        </w:rPr>
        <w:fldChar w:fldCharType="separate"/>
      </w:r>
      <w:r>
        <w:rPr>
          <w:rFonts w:hint="eastAsia" w:ascii="楷体" w:hAnsi="楷体" w:eastAsia="楷体"/>
        </w:rPr>
        <w:t>（三）国有资产占有使用情况</w:t>
      </w:r>
      <w:r>
        <w:tab/>
      </w:r>
      <w:r>
        <w:fldChar w:fldCharType="begin"/>
      </w:r>
      <w:r>
        <w:instrText xml:space="preserve"> PAGEREF _Toc14596 \h </w:instrText>
      </w:r>
      <w:r>
        <w:fldChar w:fldCharType="separate"/>
      </w:r>
      <w:r>
        <w:t>- 9 -</w:t>
      </w:r>
      <w:r>
        <w:fldChar w:fldCharType="end"/>
      </w:r>
      <w:r>
        <w:rPr>
          <w:rFonts w:hint="eastAsia"/>
        </w:rPr>
        <w:fldChar w:fldCharType="end"/>
      </w:r>
    </w:p>
    <w:p>
      <w:pPr>
        <w:pStyle w:val="28"/>
        <w:tabs>
          <w:tab w:val="right" w:leader="dot" w:pos="8845"/>
        </w:tabs>
        <w:spacing w:line="360" w:lineRule="auto"/>
      </w:pPr>
      <w:r>
        <w:rPr>
          <w:rFonts w:hint="eastAsia"/>
        </w:rPr>
        <w:fldChar w:fldCharType="begin"/>
      </w:r>
      <w:r>
        <w:rPr>
          <w:rFonts w:hint="eastAsia"/>
        </w:rPr>
        <w:instrText xml:space="preserve"> HYPERLINK \l _Toc21936 </w:instrText>
      </w:r>
      <w:r>
        <w:rPr>
          <w:rFonts w:hint="eastAsia"/>
        </w:rPr>
        <w:fldChar w:fldCharType="separate"/>
      </w:r>
      <w:r>
        <w:rPr>
          <w:rFonts w:hint="eastAsia" w:ascii="楷体" w:hAnsi="楷体" w:eastAsia="楷体"/>
        </w:rPr>
        <w:t>（四）绩效目标设置情况</w:t>
      </w:r>
      <w:r>
        <w:tab/>
      </w:r>
      <w:r>
        <w:fldChar w:fldCharType="begin"/>
      </w:r>
      <w:r>
        <w:instrText xml:space="preserve"> PAGEREF _Toc21936 \h </w:instrText>
      </w:r>
      <w:r>
        <w:fldChar w:fldCharType="separate"/>
      </w:r>
      <w:r>
        <w:t>- 10 -</w:t>
      </w:r>
      <w:r>
        <w:fldChar w:fldCharType="end"/>
      </w:r>
      <w:r>
        <w:rPr>
          <w:rFonts w:hint="eastAsia"/>
        </w:rPr>
        <w:fldChar w:fldCharType="end"/>
      </w:r>
    </w:p>
    <w:p>
      <w:pPr>
        <w:pStyle w:val="28"/>
        <w:tabs>
          <w:tab w:val="right" w:leader="dot" w:pos="8845"/>
        </w:tabs>
        <w:spacing w:line="360" w:lineRule="auto"/>
      </w:pPr>
      <w:r>
        <w:rPr>
          <w:rFonts w:hint="eastAsia"/>
        </w:rPr>
        <w:fldChar w:fldCharType="begin"/>
      </w:r>
      <w:r>
        <w:rPr>
          <w:rFonts w:hint="eastAsia"/>
        </w:rPr>
        <w:instrText xml:space="preserve"> HYPERLINK \l _Toc18278 </w:instrText>
      </w:r>
      <w:r>
        <w:rPr>
          <w:rFonts w:hint="eastAsia"/>
        </w:rPr>
        <w:fldChar w:fldCharType="separate"/>
      </w:r>
      <w:r>
        <w:rPr>
          <w:rFonts w:hint="eastAsia" w:ascii="黑体" w:hAnsi="黑体" w:eastAsia="黑体"/>
        </w:rPr>
        <w:t>十一、名词解释</w:t>
      </w:r>
      <w:r>
        <w:tab/>
      </w:r>
      <w:r>
        <w:fldChar w:fldCharType="begin"/>
      </w:r>
      <w:r>
        <w:instrText xml:space="preserve"> PAGEREF _Toc18278 \h </w:instrText>
      </w:r>
      <w:r>
        <w:fldChar w:fldCharType="separate"/>
      </w:r>
      <w:r>
        <w:t>- 10 -</w:t>
      </w:r>
      <w:r>
        <w:fldChar w:fldCharType="end"/>
      </w:r>
      <w:r>
        <w:rPr>
          <w:rFonts w:hint="eastAsia"/>
        </w:rPr>
        <w:fldChar w:fldCharType="end"/>
      </w:r>
      <w:bookmarkStart w:id="59" w:name="_GoBack"/>
      <w:bookmarkEnd w:id="59"/>
    </w:p>
    <w:p>
      <w:pPr>
        <w:pageBreakBefore w:val="0"/>
        <w:shd w:val="clear" w:fill="FFFFFF" w:themeFill="background1"/>
        <w:kinsoku/>
        <w:wordWrap/>
        <w:overflowPunct/>
        <w:topLinePunct w:val="0"/>
        <w:autoSpaceDE/>
        <w:autoSpaceDN/>
        <w:bidi w:val="0"/>
        <w:adjustRightInd/>
        <w:snapToGrid/>
        <w:spacing w:line="560" w:lineRule="exact"/>
        <w:textAlignment w:val="auto"/>
        <w:rPr>
          <w:rFonts w:ascii="黑体" w:hAnsi="黑体" w:eastAsia="黑体"/>
          <w:sz w:val="32"/>
          <w:szCs w:val="32"/>
        </w:rPr>
      </w:pPr>
      <w:r>
        <w:rPr>
          <w:rFonts w:hint="eastAsia"/>
          <w:b/>
        </w:rPr>
        <w:fldChar w:fldCharType="end"/>
      </w:r>
      <w:r>
        <w:rPr>
          <w:rFonts w:ascii="黑体" w:hAnsi="黑体" w:eastAsia="黑体" w:cs="黑体"/>
          <w:color w:val="000000"/>
          <w:kern w:val="0"/>
          <w:sz w:val="32"/>
          <w:szCs w:val="32"/>
          <w:shd w:val="clear" w:color="auto" w:fill="FFFFFF"/>
        </w:rPr>
        <w:br w:type="page"/>
      </w:r>
      <w:r>
        <w:rPr>
          <w:rFonts w:hint="eastAsia" w:ascii="黑体" w:hAnsi="黑体" w:eastAsia="黑体" w:cs="黑体"/>
          <w:color w:val="000000"/>
          <w:kern w:val="0"/>
          <w:sz w:val="32"/>
          <w:szCs w:val="32"/>
          <w:shd w:val="clear" w:color="auto" w:fill="FFFFFF"/>
        </w:rPr>
        <w:t xml:space="preserve"> </w:t>
      </w:r>
      <w:bookmarkStart w:id="9" w:name="_Toc10675"/>
      <w:bookmarkStart w:id="10" w:name="_Toc157959861"/>
      <w:r>
        <w:rPr>
          <w:rFonts w:hint="eastAsia" w:ascii="黑体" w:hAnsi="黑体" w:eastAsia="黑体"/>
          <w:sz w:val="32"/>
          <w:szCs w:val="32"/>
        </w:rPr>
        <w:t>一、基本职能及主要工作</w:t>
      </w:r>
      <w:bookmarkEnd w:id="9"/>
      <w:bookmarkEnd w:id="10"/>
    </w:p>
    <w:p>
      <w:pPr>
        <w:pStyle w:val="6"/>
        <w:pageBreakBefore w:val="0"/>
        <w:shd w:val="clear" w:fill="FFFFFF" w:themeFill="background1"/>
        <w:kinsoku/>
        <w:wordWrap/>
        <w:overflowPunct/>
        <w:topLinePunct w:val="0"/>
        <w:autoSpaceDE/>
        <w:autoSpaceDN/>
        <w:bidi w:val="0"/>
        <w:adjustRightInd/>
        <w:snapToGrid/>
        <w:spacing w:before="0" w:after="0" w:line="560" w:lineRule="exact"/>
        <w:ind w:firstLine="640" w:firstLineChars="200"/>
        <w:textAlignment w:val="auto"/>
        <w:outlineLvl w:val="1"/>
        <w:rPr>
          <w:rFonts w:ascii="楷体" w:hAnsi="楷体" w:eastAsia="楷体"/>
          <w:b w:val="0"/>
        </w:rPr>
      </w:pPr>
      <w:bookmarkStart w:id="11" w:name="_Toc17013"/>
      <w:bookmarkStart w:id="12" w:name="_Toc157959862"/>
      <w:r>
        <w:rPr>
          <w:rFonts w:hint="eastAsia" w:ascii="楷体" w:hAnsi="楷体" w:eastAsia="楷体"/>
          <w:b w:val="0"/>
        </w:rPr>
        <w:t>（一）四川省广元市中级人民法院职能简介</w:t>
      </w:r>
      <w:bookmarkEnd w:id="11"/>
      <w:bookmarkEnd w:id="12"/>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（1）依法审判法律规定由本院办理的各类案件。</w:t>
      </w:r>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（2）监督、指导全市法院的审判工作。</w:t>
      </w:r>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（3）依法行使司法执行权和司法决定权，统一管理全市法院的执行工作。</w:t>
      </w:r>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（4）负责对本院的法官和其他工作人员进行教育、管理及组织专业培训，指导基层人民法院的思想政治、教育培训工作。</w:t>
      </w:r>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（5）协助市主管部门管理全市法院机构设置、人员编制和基层人民法院领导班子。</w:t>
      </w:r>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（6）领导全市人民法院的党风廉政建设和反腐倡廉工作。</w:t>
      </w:r>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（7）协调规划管理全市人民法院的“两庭”建设、信息化建设和物质装备建设。</w:t>
      </w:r>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（8）在审判工作中宣传法制，教育公民忠于祖国、自觉遵守宪法、法律和社会公德。</w:t>
      </w:r>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rPr>
      </w:pPr>
      <w:r>
        <w:rPr>
          <w:rFonts w:ascii="Times New Roman" w:hAnsi="Times New Roman" w:eastAsia="仿宋_GB2312"/>
          <w:sz w:val="32"/>
          <w:szCs w:val="32"/>
        </w:rPr>
        <w:t>（9）对广元市人民代表大会及其常委会负责并报告工作。</w:t>
      </w:r>
    </w:p>
    <w:p>
      <w:pPr>
        <w:pStyle w:val="6"/>
        <w:pageBreakBefore w:val="0"/>
        <w:shd w:val="clear" w:fill="FFFFFF" w:themeFill="background1"/>
        <w:kinsoku/>
        <w:wordWrap/>
        <w:overflowPunct/>
        <w:topLinePunct w:val="0"/>
        <w:autoSpaceDE/>
        <w:autoSpaceDN/>
        <w:bidi w:val="0"/>
        <w:adjustRightInd/>
        <w:snapToGrid/>
        <w:spacing w:before="0" w:after="0" w:line="560" w:lineRule="exact"/>
        <w:ind w:firstLine="640" w:firstLineChars="200"/>
        <w:textAlignment w:val="auto"/>
        <w:outlineLvl w:val="1"/>
        <w:rPr>
          <w:rFonts w:ascii="楷体" w:hAnsi="楷体" w:eastAsia="楷体"/>
          <w:b w:val="0"/>
        </w:rPr>
      </w:pPr>
      <w:bookmarkStart w:id="13" w:name="_Toc157959863"/>
      <w:bookmarkStart w:id="14" w:name="_Toc32699"/>
      <w:r>
        <w:rPr>
          <w:rFonts w:hint="eastAsia" w:ascii="楷体" w:hAnsi="楷体" w:eastAsia="楷体"/>
          <w:b w:val="0"/>
        </w:rPr>
        <w:t>（二）四川省广元市中级人民法院2024年重点工作</w:t>
      </w:r>
      <w:bookmarkEnd w:id="13"/>
      <w:bookmarkEnd w:id="14"/>
    </w:p>
    <w:p>
      <w:pPr>
        <w:pStyle w:val="2"/>
        <w:pageBreakBefore w:val="0"/>
        <w:shd w:val="clear" w:fill="FFFFFF" w:themeFill="background1"/>
        <w:kinsoku/>
        <w:wordWrap/>
        <w:overflowPunct/>
        <w:topLinePunct w:val="0"/>
        <w:autoSpaceDE/>
        <w:autoSpaceDN/>
        <w:bidi w:val="0"/>
        <w:adjustRightInd/>
        <w:snapToGrid/>
        <w:spacing w:line="560" w:lineRule="exact"/>
        <w:ind w:right="-107" w:firstLine="640"/>
        <w:textAlignment w:val="auto"/>
        <w:rPr>
          <w:rFonts w:ascii="Times New Roman" w:hAnsi="Times New Roman"/>
          <w:color w:val="auto"/>
        </w:rPr>
      </w:pPr>
      <w:r>
        <w:rPr>
          <w:rFonts w:hint="eastAsia" w:ascii="Times New Roman" w:hAnsi="Times New Roman"/>
          <w:color w:val="auto"/>
        </w:rPr>
        <w:t>2024年，全市法院的总体工作思路是：坚持以习近平新时代中国特色社会主义思想为指导，贯彻落实党的二十大精神和习近平总书记来川来广视察重要指示精神，深入学习贯彻习近平法治思想，紧紧围绕“努力让人民群众在每一个司法案件中感受到公平正义”总目标，抓实公正与效率，坚持为大局服务、为人民司法，紧扣市委“1345”发展战略，充分发挥审判职能作用，努力以高水平法院工作服务保障省委十二届四次全会、市委八届八次全会决策部署落地落实，不断推动治蜀兴川广元实践再上新台阶，为加快建设川陕甘结合部现代化中心城市提供有力司法服务和保障。</w:t>
      </w:r>
    </w:p>
    <w:p>
      <w:pPr>
        <w:pStyle w:val="2"/>
        <w:pageBreakBefore w:val="0"/>
        <w:shd w:val="clear" w:fill="FFFFFF" w:themeFill="background1"/>
        <w:kinsoku/>
        <w:wordWrap/>
        <w:overflowPunct/>
        <w:topLinePunct w:val="0"/>
        <w:autoSpaceDE/>
        <w:autoSpaceDN/>
        <w:bidi w:val="0"/>
        <w:adjustRightInd/>
        <w:snapToGrid/>
        <w:spacing w:line="560" w:lineRule="exact"/>
        <w:ind w:right="-107" w:firstLine="640"/>
        <w:textAlignment w:val="auto"/>
        <w:rPr>
          <w:rFonts w:ascii="Times New Roman" w:hAnsi="Times New Roman"/>
          <w:color w:val="auto"/>
        </w:rPr>
      </w:pPr>
      <w:r>
        <w:rPr>
          <w:rFonts w:hint="eastAsia" w:ascii="楷体_GB2312" w:hAnsi="楷体_GB2312" w:eastAsia="楷体_GB2312" w:cs="楷体_GB2312"/>
          <w:color w:val="auto"/>
        </w:rPr>
        <w:t>持续凝心聚魂，在政治建设上走在前。</w:t>
      </w:r>
      <w:r>
        <w:rPr>
          <w:rFonts w:ascii="Times New Roman" w:hAnsi="Times New Roman"/>
          <w:color w:val="auto"/>
        </w:rPr>
        <w:t>牢牢把握正确政治方向，坚定不移走中国特色社会主义法治道路。深入学习贯彻习近平新时代中国特色社会主义思想，全面贯彻落实习近平法治思想和习近平总书记对政法工作</w:t>
      </w:r>
      <w:r>
        <w:rPr>
          <w:rFonts w:hint="eastAsia" w:ascii="Times New Roman" w:hAnsi="Times New Roman"/>
          <w:color w:val="auto"/>
        </w:rPr>
        <w:t>的</w:t>
      </w:r>
      <w:r>
        <w:rPr>
          <w:rFonts w:ascii="Times New Roman" w:hAnsi="Times New Roman"/>
          <w:color w:val="auto"/>
        </w:rPr>
        <w:t>重要指示精神，深刻领悟“两个确立”的决定性意义，坚决做到“两个维护”，不断提升政治判断力、政治领悟力、政治执行力。常态化开展政治轮训，筑牢思想根基。严格落实党建工作责任制，推进党建与业务深度融合、相互促进。坚持党对法院工作的绝对领导，严格贯彻落实《中国共产党政法工作条例》及我省实施细则，更加自觉把党的领导落实到法院工作各领域各环节。</w:t>
      </w:r>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楷体_GB2312" w:hAnsi="楷体_GB2312" w:eastAsia="楷体_GB2312" w:cs="楷体_GB2312"/>
          <w:sz w:val="32"/>
          <w:szCs w:val="32"/>
        </w:rPr>
        <w:t>树牢全局意识，在服务大局上善作为。</w:t>
      </w:r>
      <w:r>
        <w:rPr>
          <w:rFonts w:ascii="Times New Roman" w:hAnsi="Times New Roman" w:eastAsia="仿宋_GB2312"/>
          <w:sz w:val="32"/>
          <w:szCs w:val="32"/>
        </w:rPr>
        <w:t>全面贯彻总体国家安全观，依法惩治各类犯罪，常态化推进扫黑除恶</w:t>
      </w:r>
      <w:r>
        <w:rPr>
          <w:rFonts w:hint="eastAsia" w:ascii="Times New Roman" w:hAnsi="Times New Roman" w:eastAsia="仿宋_GB2312"/>
          <w:sz w:val="32"/>
          <w:szCs w:val="32"/>
        </w:rPr>
        <w:t>斗争</w:t>
      </w:r>
      <w:r>
        <w:rPr>
          <w:rFonts w:ascii="Times New Roman" w:hAnsi="Times New Roman" w:eastAsia="仿宋_GB2312"/>
          <w:sz w:val="32"/>
          <w:szCs w:val="32"/>
        </w:rPr>
        <w:t>。</w:t>
      </w:r>
      <w:r>
        <w:rPr>
          <w:rFonts w:hint="eastAsia" w:ascii="Times New Roman" w:hAnsi="Times New Roman" w:eastAsia="仿宋_GB2312"/>
          <w:sz w:val="32"/>
          <w:szCs w:val="32"/>
        </w:rPr>
        <w:t>加快</w:t>
      </w:r>
      <w:r>
        <w:rPr>
          <w:rFonts w:ascii="Times New Roman" w:hAnsi="Times New Roman" w:eastAsia="仿宋_GB2312"/>
          <w:sz w:val="32"/>
          <w:szCs w:val="32"/>
        </w:rPr>
        <w:t>推进审判工作现代化，认真履行对下监督指导职能，统一法律适用，提升条线指导成效。营造更高水平法治化营商环境，</w:t>
      </w:r>
      <w:r>
        <w:rPr>
          <w:rFonts w:hint="eastAsia" w:ascii="Times New Roman" w:hAnsi="Times New Roman" w:eastAsia="仿宋_GB2312"/>
          <w:sz w:val="32"/>
          <w:szCs w:val="32"/>
        </w:rPr>
        <w:t>大力防范化解金融风险，</w:t>
      </w:r>
      <w:r>
        <w:rPr>
          <w:rFonts w:ascii="Times New Roman" w:hAnsi="Times New Roman" w:eastAsia="仿宋_GB2312"/>
          <w:sz w:val="32"/>
          <w:szCs w:val="32"/>
        </w:rPr>
        <w:t>做好破产审判工作，推进“执行难”综合治理、源头治理。做实环境资源司法保护，深化嘉陵江流域环境资源司法保护成效，做优做实大蜀道生态环境和文化传承司法保护。</w:t>
      </w:r>
      <w:r>
        <w:rPr>
          <w:rFonts w:hint="eastAsia" w:ascii="Times New Roman" w:hAnsi="Times New Roman" w:eastAsia="仿宋_GB2312"/>
          <w:sz w:val="32"/>
          <w:szCs w:val="32"/>
        </w:rPr>
        <w:t>深化府院联动，助力</w:t>
      </w:r>
      <w:r>
        <w:rPr>
          <w:rFonts w:ascii="Times New Roman" w:hAnsi="Times New Roman" w:eastAsia="仿宋_GB2312"/>
          <w:sz w:val="32"/>
          <w:szCs w:val="32"/>
        </w:rPr>
        <w:t>法治政府建设，推动行政机关负责人出庭应诉常态化</w:t>
      </w:r>
      <w:r>
        <w:rPr>
          <w:rFonts w:hint="eastAsia" w:ascii="Times New Roman" w:hAnsi="Times New Roman" w:eastAsia="仿宋_GB2312"/>
          <w:sz w:val="32"/>
          <w:szCs w:val="32"/>
        </w:rPr>
        <w:t>。发挥人民法庭服务基层治理前沿阵地作用，就地高效化解矛盾纠纷，服务保障城乡融合发展。</w:t>
      </w:r>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楷体_GB2312" w:hAnsi="楷体_GB2312" w:eastAsia="楷体_GB2312" w:cs="楷体_GB2312"/>
          <w:sz w:val="32"/>
          <w:szCs w:val="32"/>
        </w:rPr>
        <w:t>回应民生关切，在司法为民上出实效。</w:t>
      </w:r>
      <w:r>
        <w:rPr>
          <w:rFonts w:ascii="Times New Roman" w:hAnsi="Times New Roman" w:eastAsia="仿宋_GB2312"/>
          <w:sz w:val="32"/>
          <w:szCs w:val="32"/>
        </w:rPr>
        <w:t>紧紧围绕“公正与效率”工作主题，坚持和发扬新时代“枫桥经验”，做实指导人民调解的法定职能，会同有关单位共同将矛盾化解在萌芽状态，切实维护经济安全和社会稳定。持续提升司法体验感，推进市法院诉讼服务中心升级改造，推动剑阁、朝天法院</w:t>
      </w:r>
      <w:r>
        <w:rPr>
          <w:rFonts w:hint="eastAsia" w:ascii="Times New Roman" w:hAnsi="Times New Roman" w:eastAsia="仿宋_GB2312"/>
          <w:sz w:val="32"/>
          <w:szCs w:val="32"/>
        </w:rPr>
        <w:t>审判法庭</w:t>
      </w:r>
      <w:r>
        <w:rPr>
          <w:rFonts w:ascii="Times New Roman" w:hAnsi="Times New Roman" w:eastAsia="仿宋_GB2312"/>
          <w:sz w:val="32"/>
          <w:szCs w:val="32"/>
        </w:rPr>
        <w:t>建成投用。</w:t>
      </w:r>
      <w:r>
        <w:rPr>
          <w:rFonts w:hint="eastAsia" w:ascii="Times New Roman" w:hAnsi="Times New Roman" w:eastAsia="仿宋_GB2312"/>
          <w:sz w:val="32"/>
          <w:szCs w:val="32"/>
        </w:rPr>
        <w:t>做优司法服务</w:t>
      </w:r>
      <w:r>
        <w:rPr>
          <w:rFonts w:ascii="Times New Roman" w:hAnsi="Times New Roman" w:eastAsia="仿宋_GB2312"/>
          <w:sz w:val="32"/>
          <w:szCs w:val="32"/>
        </w:rPr>
        <w:t>，抓实诉源治理，推进精准普法，大力弘扬社会主义核心价值观，不断增强人民群众对司法工作的获得感、满意度。</w:t>
      </w:r>
    </w:p>
    <w:p>
      <w:pPr>
        <w:pStyle w:val="15"/>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楷体_GB2312" w:hAnsi="楷体_GB2312" w:eastAsia="楷体_GB2312" w:cs="楷体_GB2312"/>
          <w:sz w:val="32"/>
          <w:szCs w:val="32"/>
        </w:rPr>
        <w:t>锚定强基导向，在锤炼队伍上树新风。</w:t>
      </w:r>
      <w:r>
        <w:rPr>
          <w:rFonts w:ascii="Times New Roman" w:hAnsi="Times New Roman" w:eastAsia="仿宋_GB2312"/>
          <w:sz w:val="32"/>
          <w:szCs w:val="32"/>
        </w:rPr>
        <w:t>坚持全面从严管党治院，统筹抓好干部</w:t>
      </w:r>
      <w:r>
        <w:rPr>
          <w:rFonts w:hint="eastAsia" w:ascii="Times New Roman" w:hAnsi="Times New Roman" w:eastAsia="仿宋_GB2312"/>
          <w:sz w:val="32"/>
          <w:szCs w:val="32"/>
        </w:rPr>
        <w:t>选</w:t>
      </w:r>
      <w:r>
        <w:rPr>
          <w:rFonts w:ascii="Times New Roman" w:hAnsi="Times New Roman" w:eastAsia="仿宋_GB2312"/>
          <w:sz w:val="32"/>
          <w:szCs w:val="32"/>
        </w:rPr>
        <w:t>育管用。有效发挥党组领导核心作用，抓实抓优领导班子自身建设。抓好高素质专业化审判人才培养，不断畅通法院干警成长成才渠道。</w:t>
      </w:r>
      <w:r>
        <w:rPr>
          <w:rFonts w:hint="eastAsia" w:ascii="Times New Roman" w:hAnsi="Times New Roman" w:eastAsia="仿宋_GB2312"/>
          <w:sz w:val="32"/>
          <w:szCs w:val="32"/>
        </w:rPr>
        <w:t>守牢司法领域意识形态主阵地，</w:t>
      </w:r>
      <w:r>
        <w:rPr>
          <w:rFonts w:ascii="Times New Roman" w:hAnsi="Times New Roman" w:eastAsia="仿宋_GB2312"/>
          <w:sz w:val="32"/>
          <w:szCs w:val="32"/>
        </w:rPr>
        <w:t>深化实施“郭兴利品牌”带动工程，</w:t>
      </w:r>
      <w:r>
        <w:rPr>
          <w:rFonts w:hint="eastAsia" w:ascii="Times New Roman" w:hAnsi="Times New Roman" w:eastAsia="仿宋_GB2312"/>
          <w:sz w:val="32"/>
          <w:szCs w:val="32"/>
        </w:rPr>
        <w:t>推进文化引领优质化</w:t>
      </w:r>
      <w:r>
        <w:rPr>
          <w:rFonts w:ascii="Times New Roman" w:hAnsi="Times New Roman" w:eastAsia="仿宋_GB2312"/>
          <w:sz w:val="32"/>
          <w:szCs w:val="32"/>
        </w:rPr>
        <w:t>。持续抓紧抓实“三个规定”如实登记填报，把人民群众对司法审判工作的监督依程序落到实处</w:t>
      </w:r>
      <w:r>
        <w:rPr>
          <w:rFonts w:hint="eastAsia" w:ascii="Times New Roman" w:hAnsi="Times New Roman" w:eastAsia="仿宋_GB2312"/>
          <w:sz w:val="32"/>
          <w:szCs w:val="32"/>
        </w:rPr>
        <w:t>。</w:t>
      </w:r>
      <w:r>
        <w:rPr>
          <w:rFonts w:ascii="Times New Roman" w:hAnsi="Times New Roman" w:eastAsia="仿宋_GB2312"/>
          <w:sz w:val="32"/>
          <w:szCs w:val="32"/>
        </w:rPr>
        <w:t>不断完善审判责任追究机制体系，驰而不息推进全面从严治党</w:t>
      </w:r>
      <w:r>
        <w:rPr>
          <w:rFonts w:hint="eastAsia" w:ascii="Times New Roman" w:hAnsi="Times New Roman" w:eastAsia="仿宋_GB2312"/>
          <w:sz w:val="32"/>
          <w:szCs w:val="32"/>
        </w:rPr>
        <w:t>。</w:t>
      </w:r>
      <w:r>
        <w:rPr>
          <w:rFonts w:ascii="Times New Roman" w:hAnsi="Times New Roman" w:eastAsia="仿宋_GB2312"/>
          <w:sz w:val="32"/>
          <w:szCs w:val="32"/>
        </w:rPr>
        <w:t>加强法院队伍革命化、正规化、专业化、职业化建设</w:t>
      </w:r>
      <w:r>
        <w:rPr>
          <w:rFonts w:hint="eastAsia" w:ascii="Times New Roman" w:hAnsi="Times New Roman" w:eastAsia="仿宋_GB2312"/>
          <w:sz w:val="32"/>
          <w:szCs w:val="32"/>
        </w:rPr>
        <w:t>，</w:t>
      </w:r>
      <w:r>
        <w:rPr>
          <w:rFonts w:ascii="Times New Roman" w:hAnsi="Times New Roman" w:eastAsia="仿宋_GB2312"/>
          <w:sz w:val="32"/>
          <w:szCs w:val="32"/>
        </w:rPr>
        <w:t>从严从实锻造忠诚干净担当的法院铁军。</w:t>
      </w:r>
    </w:p>
    <w:p>
      <w:pPr>
        <w:pStyle w:val="2"/>
        <w:pageBreakBefore w:val="0"/>
        <w:shd w:val="clear" w:fill="FFFFFF" w:themeFill="background1"/>
        <w:kinsoku/>
        <w:wordWrap/>
        <w:overflowPunct/>
        <w:topLinePunct w:val="0"/>
        <w:autoSpaceDE/>
        <w:autoSpaceDN/>
        <w:bidi w:val="0"/>
        <w:adjustRightInd/>
        <w:snapToGrid/>
        <w:spacing w:line="560" w:lineRule="exact"/>
        <w:ind w:right="-107" w:firstLine="640"/>
        <w:textAlignment w:val="auto"/>
        <w:rPr>
          <w:rFonts w:ascii="楷体_GB2312" w:hAnsi="楷体_GB2312" w:eastAsia="楷体_GB2312" w:cs="楷体_GB2312"/>
          <w:highlight w:val="yellow"/>
        </w:rPr>
      </w:pPr>
      <w:r>
        <w:rPr>
          <w:rFonts w:ascii="Times New Roman" w:hAnsi="Times New Roman"/>
          <w:color w:val="auto"/>
        </w:rPr>
        <w:t>各位代表，法安天下、德润人心。在坚定不移走中国特色社会主义法治道路上，我们心有仰望、足有定力。全市法院必将更加紧密地团结在以习近平同志为核心的党中央周围，在市委坚强领导下，认真贯彻本次大会决议，持续破题攻坚、真抓实干，努力以审判工作现代化服务保障广元现代化建设，为加快建设川陕甘结合部现代化中心城市贡献广元法院新的更大力量！</w:t>
      </w:r>
    </w:p>
    <w:p>
      <w:pPr>
        <w:pStyle w:val="5"/>
        <w:pageBreakBefore w:val="0"/>
        <w:shd w:val="clear" w:fill="FFFFFF" w:themeFill="background1"/>
        <w:kinsoku/>
        <w:wordWrap/>
        <w:overflowPunct/>
        <w:topLinePunct w:val="0"/>
        <w:autoSpaceDE/>
        <w:autoSpaceDN/>
        <w:bidi w:val="0"/>
        <w:adjustRightInd/>
        <w:snapToGrid/>
        <w:spacing w:before="0" w:after="0" w:line="560" w:lineRule="exact"/>
        <w:ind w:firstLine="640" w:firstLineChars="200"/>
        <w:textAlignment w:val="auto"/>
        <w:outlineLvl w:val="0"/>
        <w:rPr>
          <w:rFonts w:ascii="黑体" w:hAnsi="黑体" w:eastAsia="黑体"/>
          <w:b w:val="0"/>
        </w:rPr>
      </w:pPr>
      <w:bookmarkStart w:id="15" w:name="_Toc157959864"/>
      <w:bookmarkStart w:id="16" w:name="_Toc123"/>
      <w:r>
        <w:rPr>
          <w:rFonts w:hint="eastAsia" w:ascii="黑体" w:hAnsi="黑体" w:eastAsia="黑体"/>
          <w:b w:val="0"/>
        </w:rPr>
        <w:t>二、部门预算单位构成</w:t>
      </w:r>
      <w:bookmarkEnd w:id="15"/>
      <w:bookmarkEnd w:id="16"/>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四川省广元市中级人民法院</w:t>
      </w:r>
      <w:r>
        <w:rPr>
          <w:rFonts w:hint="eastAsia" w:ascii="Times New Roman" w:hAnsi="Times New Roman" w:eastAsia="仿宋_GB2312"/>
          <w:sz w:val="32"/>
          <w:szCs w:val="32"/>
          <w:lang w:eastAsia="zh-CN"/>
        </w:rPr>
        <w:t>属一级预算单位，</w:t>
      </w:r>
      <w:r>
        <w:rPr>
          <w:rFonts w:ascii="Times New Roman" w:hAnsi="Times New Roman" w:eastAsia="仿宋_GB2312"/>
          <w:sz w:val="32"/>
          <w:szCs w:val="32"/>
        </w:rPr>
        <w:t>下属二级预算单位0个。</w:t>
      </w:r>
    </w:p>
    <w:p>
      <w:pPr>
        <w:pStyle w:val="5"/>
        <w:pageBreakBefore w:val="0"/>
        <w:shd w:val="clear" w:fill="FFFFFF" w:themeFill="background1"/>
        <w:kinsoku/>
        <w:wordWrap/>
        <w:overflowPunct/>
        <w:topLinePunct w:val="0"/>
        <w:autoSpaceDE/>
        <w:autoSpaceDN/>
        <w:bidi w:val="0"/>
        <w:adjustRightInd/>
        <w:snapToGrid/>
        <w:spacing w:before="0" w:after="0" w:line="560" w:lineRule="exact"/>
        <w:ind w:firstLine="640" w:firstLineChars="200"/>
        <w:textAlignment w:val="auto"/>
        <w:outlineLvl w:val="0"/>
        <w:rPr>
          <w:rFonts w:ascii="黑体" w:hAnsi="黑体" w:eastAsia="黑体"/>
          <w:b w:val="0"/>
        </w:rPr>
      </w:pPr>
      <w:bookmarkStart w:id="17" w:name="_Toc9973"/>
      <w:bookmarkStart w:id="18" w:name="_Toc157959865"/>
      <w:r>
        <w:rPr>
          <w:rFonts w:hint="eastAsia" w:ascii="黑体" w:hAnsi="黑体" w:eastAsia="黑体"/>
          <w:b w:val="0"/>
        </w:rPr>
        <w:t>三、收支预算情况说明</w:t>
      </w:r>
      <w:bookmarkEnd w:id="17"/>
      <w:bookmarkEnd w:id="18"/>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按照综合预算的原则，</w:t>
      </w:r>
      <w:r>
        <w:rPr>
          <w:rFonts w:ascii="Times New Roman" w:hAnsi="Times New Roman" w:eastAsia="仿宋_GB2312"/>
          <w:sz w:val="32"/>
          <w:szCs w:val="32"/>
        </w:rPr>
        <w:t>四川省广元市中级人民法院</w:t>
      </w:r>
      <w:r>
        <w:rPr>
          <w:rFonts w:hint="eastAsia" w:ascii="仿宋_GB2312" w:hAnsi="仿宋_GB2312" w:eastAsia="仿宋_GB2312" w:cs="仿宋_GB2312"/>
          <w:sz w:val="32"/>
          <w:szCs w:val="32"/>
        </w:rPr>
        <w:t>所有收入和支出均纳入部门预算管理。收入包括：一般公共预算拨款收入；支出包括：</w:t>
      </w:r>
      <w:r>
        <w:rPr>
          <w:rFonts w:ascii="Times New Roman" w:hAnsi="Times New Roman" w:eastAsia="仿宋_GB2312"/>
          <w:sz w:val="32"/>
          <w:szCs w:val="32"/>
        </w:rPr>
        <w:t>公共安全支出、社会保障和就业支出、卫生健康支出、住房保障支出</w:t>
      </w:r>
      <w:r>
        <w:rPr>
          <w:rFonts w:hint="eastAsia" w:ascii="仿宋_GB2312" w:hAnsi="仿宋_GB2312" w:eastAsia="仿宋_GB2312" w:cs="仿宋_GB2312"/>
          <w:sz w:val="32"/>
          <w:szCs w:val="32"/>
        </w:rPr>
        <w:t>。</w:t>
      </w:r>
      <w:r>
        <w:rPr>
          <w:rFonts w:ascii="Times New Roman" w:hAnsi="Times New Roman" w:eastAsia="仿宋_GB2312"/>
          <w:sz w:val="32"/>
          <w:szCs w:val="32"/>
        </w:rPr>
        <w:t>四川省广元市中级人民法院</w:t>
      </w:r>
      <w:r>
        <w:rPr>
          <w:rFonts w:hint="eastAsia" w:ascii="仿宋_GB2312" w:hAnsi="仿宋_GB2312" w:eastAsia="仿宋_GB2312" w:cs="仿宋_GB2312"/>
          <w:sz w:val="32"/>
          <w:szCs w:val="32"/>
        </w:rPr>
        <w:t>2024年收支预算总数3872.25万元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比2023年收支预算总数增加107.16万元，主要原因是人员级别变动导致的人员经费年初预算数增加。</w:t>
      </w:r>
    </w:p>
    <w:p>
      <w:pPr>
        <w:pStyle w:val="6"/>
        <w:pageBreakBefore w:val="0"/>
        <w:shd w:val="clear" w:fill="FFFFFF" w:themeFill="background1"/>
        <w:kinsoku/>
        <w:wordWrap/>
        <w:overflowPunct/>
        <w:topLinePunct w:val="0"/>
        <w:autoSpaceDE/>
        <w:autoSpaceDN/>
        <w:bidi w:val="0"/>
        <w:adjustRightInd/>
        <w:snapToGrid/>
        <w:spacing w:before="0" w:after="0" w:line="560" w:lineRule="exact"/>
        <w:ind w:firstLine="640" w:firstLineChars="200"/>
        <w:textAlignment w:val="auto"/>
        <w:outlineLvl w:val="1"/>
        <w:rPr>
          <w:rFonts w:ascii="楷体" w:hAnsi="楷体" w:eastAsia="楷体"/>
          <w:b w:val="0"/>
        </w:rPr>
      </w:pPr>
      <w:bookmarkStart w:id="19" w:name="_Toc520"/>
      <w:bookmarkStart w:id="20" w:name="_Toc157959866"/>
      <w:r>
        <w:rPr>
          <w:rFonts w:hint="eastAsia" w:ascii="楷体" w:hAnsi="楷体" w:eastAsia="楷体"/>
          <w:b w:val="0"/>
        </w:rPr>
        <w:t>（一）收入预算情况</w:t>
      </w:r>
      <w:bookmarkEnd w:id="19"/>
      <w:bookmarkEnd w:id="20"/>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四川省广元市中级人民法院</w:t>
      </w:r>
      <w:r>
        <w:rPr>
          <w:rFonts w:hint="eastAsia" w:ascii="仿宋_GB2312" w:hAnsi="仿宋_GB2312" w:eastAsia="仿宋_GB2312" w:cs="仿宋_GB2312"/>
          <w:sz w:val="32"/>
          <w:szCs w:val="32"/>
        </w:rPr>
        <w:t>2024年收入预算3872.25万元，</w:t>
      </w:r>
      <w:r>
        <w:rPr>
          <w:rFonts w:hint="eastAsia" w:ascii="Times New Roman" w:hAnsi="Times New Roman" w:eastAsia="仿宋_GB2312"/>
          <w:sz w:val="32"/>
          <w:szCs w:val="32"/>
        </w:rPr>
        <w:t>均为</w:t>
      </w:r>
      <w:r>
        <w:rPr>
          <w:rFonts w:ascii="Times New Roman" w:hAnsi="Times New Roman" w:eastAsia="仿宋_GB2312"/>
          <w:sz w:val="32"/>
          <w:szCs w:val="32"/>
        </w:rPr>
        <w:t>一般公共预算拨款收入</w:t>
      </w:r>
      <w:r>
        <w:rPr>
          <w:rFonts w:hint="eastAsia" w:ascii="Times New Roman" w:hAnsi="Times New Roman" w:eastAsia="仿宋_GB2312"/>
          <w:sz w:val="32"/>
          <w:szCs w:val="32"/>
        </w:rPr>
        <w:t>。</w:t>
      </w:r>
    </w:p>
    <w:p>
      <w:pPr>
        <w:pStyle w:val="6"/>
        <w:pageBreakBefore w:val="0"/>
        <w:shd w:val="clear" w:fill="FFFFFF" w:themeFill="background1"/>
        <w:kinsoku/>
        <w:wordWrap/>
        <w:overflowPunct/>
        <w:topLinePunct w:val="0"/>
        <w:autoSpaceDE/>
        <w:autoSpaceDN/>
        <w:bidi w:val="0"/>
        <w:adjustRightInd/>
        <w:snapToGrid/>
        <w:spacing w:before="0" w:after="0" w:line="560" w:lineRule="exact"/>
        <w:ind w:firstLine="640" w:firstLineChars="200"/>
        <w:textAlignment w:val="auto"/>
        <w:outlineLvl w:val="1"/>
        <w:rPr>
          <w:rFonts w:ascii="楷体" w:hAnsi="楷体" w:eastAsia="楷体"/>
          <w:b w:val="0"/>
        </w:rPr>
      </w:pPr>
      <w:bookmarkStart w:id="21" w:name="_Toc157959867"/>
      <w:bookmarkStart w:id="22" w:name="_Toc27452"/>
      <w:r>
        <w:rPr>
          <w:rFonts w:hint="eastAsia" w:ascii="楷体" w:hAnsi="楷体" w:eastAsia="楷体"/>
          <w:b w:val="0"/>
        </w:rPr>
        <w:t>（二）支出预算情况</w:t>
      </w:r>
      <w:bookmarkEnd w:id="21"/>
      <w:bookmarkEnd w:id="22"/>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ascii="Times New Roman" w:hAnsi="Times New Roman" w:eastAsia="仿宋_GB2312"/>
          <w:sz w:val="32"/>
          <w:szCs w:val="32"/>
        </w:rPr>
        <w:t>四川省广元市中级人民法院</w:t>
      </w:r>
      <w:r>
        <w:rPr>
          <w:rFonts w:hint="eastAsia" w:ascii="仿宋_GB2312" w:hAnsi="仿宋_GB2312" w:eastAsia="仿宋_GB2312" w:cs="仿宋_GB2312"/>
          <w:sz w:val="32"/>
          <w:szCs w:val="32"/>
        </w:rPr>
        <w:t>2024年支出预算3872.25万元，其中：基本支出3139.03万元，占81.06%；项目支出733.22万元，占18.94%。</w:t>
      </w:r>
    </w:p>
    <w:p>
      <w:pPr>
        <w:pStyle w:val="5"/>
        <w:pageBreakBefore w:val="0"/>
        <w:shd w:val="clear" w:fill="FFFFFF" w:themeFill="background1"/>
        <w:kinsoku/>
        <w:wordWrap/>
        <w:overflowPunct/>
        <w:topLinePunct w:val="0"/>
        <w:autoSpaceDE/>
        <w:autoSpaceDN/>
        <w:bidi w:val="0"/>
        <w:adjustRightInd/>
        <w:snapToGrid/>
        <w:spacing w:before="0" w:after="0" w:line="560" w:lineRule="exact"/>
        <w:ind w:firstLine="640" w:firstLineChars="200"/>
        <w:textAlignment w:val="auto"/>
        <w:outlineLvl w:val="0"/>
        <w:rPr>
          <w:rFonts w:ascii="黑体" w:hAnsi="黑体" w:eastAsia="黑体"/>
          <w:b w:val="0"/>
        </w:rPr>
      </w:pPr>
      <w:bookmarkStart w:id="23" w:name="_Toc157959868"/>
      <w:bookmarkStart w:id="24" w:name="_Toc20103"/>
      <w:r>
        <w:rPr>
          <w:rFonts w:hint="eastAsia" w:ascii="黑体" w:hAnsi="黑体" w:eastAsia="黑体"/>
          <w:b w:val="0"/>
        </w:rPr>
        <w:t>四、财政拨款收支预算情况说明</w:t>
      </w:r>
      <w:bookmarkEnd w:id="23"/>
      <w:bookmarkEnd w:id="24"/>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ascii="Times New Roman" w:hAnsi="Times New Roman" w:eastAsia="仿宋_GB2312"/>
          <w:sz w:val="32"/>
          <w:szCs w:val="32"/>
        </w:rPr>
        <w:t>四川省广元市中级人民法院</w:t>
      </w:r>
      <w:r>
        <w:rPr>
          <w:rFonts w:hint="eastAsia" w:ascii="仿宋_GB2312" w:hAnsi="仿宋_GB2312" w:eastAsia="仿宋_GB2312" w:cs="仿宋_GB2312"/>
          <w:sz w:val="32"/>
          <w:szCs w:val="32"/>
        </w:rPr>
        <w:t>2024年财政拨款收支预算总数3872.25万元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比2023年财政拨款收支预算总数增加107.16万元，主要原因是人员级别变动导致的人员经费年初预算数增加。</w:t>
      </w:r>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sz w:val="32"/>
          <w:szCs w:val="32"/>
        </w:rPr>
        <w:t>收入包括：本年一般公共预算拨款收入3872.25万元；支出包括： 公共安全支出3341.37万元、 社会保障和就业支出239.14万元、 卫生健康支出82.07万元、住房保障支出209.66万元。</w:t>
      </w:r>
    </w:p>
    <w:p>
      <w:pPr>
        <w:pStyle w:val="5"/>
        <w:pageBreakBefore w:val="0"/>
        <w:shd w:val="clear" w:fill="FFFFFF" w:themeFill="background1"/>
        <w:kinsoku/>
        <w:wordWrap/>
        <w:overflowPunct/>
        <w:topLinePunct w:val="0"/>
        <w:autoSpaceDE/>
        <w:autoSpaceDN/>
        <w:bidi w:val="0"/>
        <w:adjustRightInd/>
        <w:snapToGrid/>
        <w:spacing w:before="0" w:after="0" w:line="560" w:lineRule="exact"/>
        <w:ind w:firstLine="640" w:firstLineChars="200"/>
        <w:textAlignment w:val="auto"/>
        <w:outlineLvl w:val="0"/>
        <w:rPr>
          <w:rFonts w:ascii="黑体" w:hAnsi="黑体" w:eastAsia="黑体"/>
          <w:b w:val="0"/>
        </w:rPr>
      </w:pPr>
      <w:bookmarkStart w:id="25" w:name="_Toc23907"/>
      <w:bookmarkStart w:id="26" w:name="_Toc157959869"/>
      <w:r>
        <w:rPr>
          <w:rFonts w:hint="eastAsia" w:ascii="黑体" w:hAnsi="黑体" w:eastAsia="黑体"/>
          <w:b w:val="0"/>
        </w:rPr>
        <w:t>五、一般公共预算当年拨款情况说明</w:t>
      </w:r>
      <w:bookmarkEnd w:id="25"/>
      <w:bookmarkEnd w:id="26"/>
    </w:p>
    <w:p>
      <w:pPr>
        <w:pStyle w:val="6"/>
        <w:pageBreakBefore w:val="0"/>
        <w:shd w:val="clear" w:fill="FFFFFF" w:themeFill="background1"/>
        <w:kinsoku/>
        <w:wordWrap/>
        <w:overflowPunct/>
        <w:topLinePunct w:val="0"/>
        <w:autoSpaceDE/>
        <w:autoSpaceDN/>
        <w:bidi w:val="0"/>
        <w:adjustRightInd/>
        <w:snapToGrid/>
        <w:spacing w:before="0" w:after="0" w:line="560" w:lineRule="exact"/>
        <w:ind w:firstLine="640" w:firstLineChars="200"/>
        <w:textAlignment w:val="auto"/>
        <w:outlineLvl w:val="1"/>
        <w:rPr>
          <w:rFonts w:ascii="楷体" w:hAnsi="楷体" w:eastAsia="楷体"/>
          <w:b w:val="0"/>
        </w:rPr>
      </w:pPr>
      <w:bookmarkStart w:id="27" w:name="_Toc157959870"/>
      <w:bookmarkStart w:id="28" w:name="_Toc1611"/>
      <w:r>
        <w:rPr>
          <w:rFonts w:hint="eastAsia" w:ascii="楷体" w:hAnsi="楷体" w:eastAsia="楷体"/>
          <w:b w:val="0"/>
        </w:rPr>
        <w:t>（一）一般公共预算当年拨款规模变化情况</w:t>
      </w:r>
      <w:bookmarkEnd w:id="27"/>
      <w:bookmarkEnd w:id="28"/>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ascii="Times New Roman" w:hAnsi="Times New Roman" w:eastAsia="仿宋_GB2312"/>
          <w:sz w:val="32"/>
          <w:szCs w:val="32"/>
        </w:rPr>
        <w:t>四川省广元市中级人民法院</w:t>
      </w:r>
      <w:r>
        <w:rPr>
          <w:rFonts w:hint="eastAsia" w:ascii="仿宋_GB2312" w:hAnsi="仿宋_GB2312" w:eastAsia="仿宋_GB2312" w:cs="仿宋_GB2312"/>
          <w:sz w:val="32"/>
          <w:szCs w:val="32"/>
        </w:rPr>
        <w:t>2024年一般公共预算当年拨款3872.25万元，比2023年预算数增加107.16万元，主要原因是人员级别变动导致的人员经费年初预算数增加。</w:t>
      </w:r>
    </w:p>
    <w:p>
      <w:pPr>
        <w:pStyle w:val="6"/>
        <w:pageBreakBefore w:val="0"/>
        <w:shd w:val="clear" w:fill="FFFFFF" w:themeFill="background1"/>
        <w:kinsoku/>
        <w:wordWrap/>
        <w:overflowPunct/>
        <w:topLinePunct w:val="0"/>
        <w:autoSpaceDE/>
        <w:autoSpaceDN/>
        <w:bidi w:val="0"/>
        <w:adjustRightInd/>
        <w:snapToGrid/>
        <w:spacing w:before="0" w:after="0" w:line="560" w:lineRule="exact"/>
        <w:ind w:firstLine="640" w:firstLineChars="200"/>
        <w:textAlignment w:val="auto"/>
        <w:outlineLvl w:val="1"/>
        <w:rPr>
          <w:rFonts w:ascii="楷体_GB2312" w:hAnsi="楷体_GB2312" w:eastAsia="楷体_GB2312" w:cs="楷体_GB2312"/>
        </w:rPr>
      </w:pPr>
      <w:bookmarkStart w:id="29" w:name="_Toc19472"/>
      <w:bookmarkStart w:id="30" w:name="_Toc157959871"/>
      <w:r>
        <w:rPr>
          <w:rFonts w:hint="eastAsia" w:ascii="楷体" w:hAnsi="楷体" w:eastAsia="楷体"/>
          <w:b w:val="0"/>
        </w:rPr>
        <w:t>（二）一般公共预算当年拨款结构情况</w:t>
      </w:r>
      <w:bookmarkEnd w:id="29"/>
      <w:bookmarkEnd w:id="30"/>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公共安全支出3341.37万元，占86.29%；社会保障和就业支出239.14万元，占6.18%；卫生健康支出82.07万元，占2.12%；住房保障支出209.66万元，占5.41%。</w:t>
      </w:r>
    </w:p>
    <w:p>
      <w:pPr>
        <w:pStyle w:val="6"/>
        <w:pageBreakBefore w:val="0"/>
        <w:shd w:val="clear" w:fill="FFFFFF" w:themeFill="background1"/>
        <w:kinsoku/>
        <w:wordWrap/>
        <w:overflowPunct/>
        <w:topLinePunct w:val="0"/>
        <w:autoSpaceDE/>
        <w:autoSpaceDN/>
        <w:bidi w:val="0"/>
        <w:adjustRightInd/>
        <w:snapToGrid/>
        <w:spacing w:before="0" w:after="0" w:line="560" w:lineRule="exact"/>
        <w:ind w:firstLine="640" w:firstLineChars="200"/>
        <w:textAlignment w:val="auto"/>
        <w:outlineLvl w:val="1"/>
        <w:rPr>
          <w:rFonts w:ascii="楷体_GB2312" w:hAnsi="楷体_GB2312" w:eastAsia="楷体_GB2312" w:cs="楷体_GB2312"/>
        </w:rPr>
      </w:pPr>
      <w:bookmarkStart w:id="31" w:name="_Toc157959872"/>
      <w:bookmarkStart w:id="32" w:name="_Toc13943"/>
      <w:r>
        <w:rPr>
          <w:rFonts w:hint="eastAsia" w:ascii="楷体" w:hAnsi="楷体" w:eastAsia="楷体"/>
          <w:b w:val="0"/>
        </w:rPr>
        <w:t>（三）一般公共预算当年拨款具体使用情况</w:t>
      </w:r>
      <w:bookmarkEnd w:id="31"/>
      <w:bookmarkEnd w:id="32"/>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ascii="仿宋_GB2312" w:hAnsi="仿宋_GB2312" w:eastAsia="仿宋_GB2312" w:cs="仿宋_GB2312"/>
          <w:sz w:val="32"/>
          <w:szCs w:val="32"/>
        </w:rPr>
        <w:t>1.</w:t>
      </w:r>
      <w:r>
        <w:rPr>
          <w:rFonts w:ascii="Times New Roman" w:hAnsi="Times New Roman" w:eastAsia="仿宋_GB2312"/>
          <w:sz w:val="32"/>
          <w:szCs w:val="32"/>
        </w:rPr>
        <w:t>公共安全（类）法院（款）行政运行（项）</w:t>
      </w:r>
      <w:r>
        <w:rPr>
          <w:rFonts w:hint="eastAsia" w:ascii="Times New Roman" w:hAnsi="Times New Roman" w:eastAsia="仿宋_GB2312"/>
          <w:sz w:val="32"/>
          <w:szCs w:val="32"/>
        </w:rPr>
        <w:t>2024</w:t>
      </w:r>
      <w:r>
        <w:rPr>
          <w:rFonts w:ascii="Times New Roman" w:hAnsi="Times New Roman" w:eastAsia="仿宋_GB2312"/>
          <w:sz w:val="32"/>
          <w:szCs w:val="32"/>
        </w:rPr>
        <w:t>年预算数为</w:t>
      </w:r>
      <w:r>
        <w:rPr>
          <w:rFonts w:hint="eastAsia" w:ascii="Times New Roman" w:hAnsi="Times New Roman" w:eastAsia="仿宋_GB2312"/>
          <w:sz w:val="32"/>
          <w:szCs w:val="32"/>
        </w:rPr>
        <w:t>2853.58</w:t>
      </w:r>
      <w:r>
        <w:rPr>
          <w:rFonts w:ascii="Times New Roman" w:hAnsi="Times New Roman" w:eastAsia="仿宋_GB2312"/>
          <w:sz w:val="32"/>
          <w:szCs w:val="32"/>
        </w:rPr>
        <w:t>万元，主要用于：行政单位基本工资、津贴补贴、奖金</w:t>
      </w:r>
      <w:r>
        <w:rPr>
          <w:rFonts w:hint="eastAsia" w:ascii="Times New Roman" w:hAnsi="Times New Roman" w:eastAsia="仿宋_GB2312"/>
          <w:sz w:val="32"/>
          <w:szCs w:val="32"/>
        </w:rPr>
        <w:t>等人员经费，及</w:t>
      </w:r>
      <w:r>
        <w:rPr>
          <w:rFonts w:ascii="Times New Roman" w:hAnsi="Times New Roman" w:eastAsia="仿宋_GB2312"/>
          <w:sz w:val="32"/>
          <w:szCs w:val="32"/>
        </w:rPr>
        <w:t>办公费、</w:t>
      </w:r>
      <w:r>
        <w:rPr>
          <w:rFonts w:hint="eastAsia" w:ascii="Times New Roman" w:hAnsi="Times New Roman" w:eastAsia="仿宋_GB2312"/>
          <w:sz w:val="32"/>
          <w:szCs w:val="32"/>
        </w:rPr>
        <w:t>印刷费、</w:t>
      </w:r>
      <w:r>
        <w:rPr>
          <w:rFonts w:ascii="Times New Roman" w:hAnsi="Times New Roman" w:eastAsia="仿宋_GB2312"/>
          <w:sz w:val="32"/>
          <w:szCs w:val="32"/>
        </w:rPr>
        <w:t>水费、电费</w:t>
      </w:r>
      <w:r>
        <w:rPr>
          <w:rFonts w:hint="eastAsia" w:ascii="Times New Roman" w:hAnsi="Times New Roman" w:eastAsia="仿宋_GB2312"/>
          <w:sz w:val="32"/>
          <w:szCs w:val="32"/>
        </w:rPr>
        <w:t>等日常公用经费</w:t>
      </w:r>
      <w:r>
        <w:rPr>
          <w:rFonts w:ascii="Times New Roman" w:hAnsi="Times New Roman" w:eastAsia="仿宋_GB2312"/>
          <w:sz w:val="32"/>
          <w:szCs w:val="32"/>
        </w:rPr>
        <w:t xml:space="preserve">。 </w:t>
      </w:r>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仿宋_GB2312" w:hAnsi="仿宋_GB2312" w:eastAsia="仿宋_GB2312" w:cs="仿宋_GB2312"/>
          <w:sz w:val="32"/>
          <w:szCs w:val="32"/>
        </w:rPr>
        <w:t>2.</w:t>
      </w:r>
      <w:r>
        <w:rPr>
          <w:rFonts w:ascii="Times New Roman" w:hAnsi="Times New Roman" w:eastAsia="仿宋_GB2312"/>
          <w:sz w:val="32"/>
          <w:szCs w:val="32"/>
        </w:rPr>
        <w:t>公共安全（类）法院（款）</w:t>
      </w:r>
      <w:r>
        <w:rPr>
          <w:rFonts w:hint="eastAsia" w:ascii="Times New Roman" w:hAnsi="Times New Roman" w:eastAsia="仿宋_GB2312"/>
          <w:sz w:val="32"/>
          <w:szCs w:val="32"/>
        </w:rPr>
        <w:t> 一般行政管理事务</w:t>
      </w:r>
      <w:r>
        <w:rPr>
          <w:rFonts w:ascii="Times New Roman" w:hAnsi="Times New Roman" w:eastAsia="仿宋_GB2312"/>
          <w:sz w:val="32"/>
          <w:szCs w:val="32"/>
        </w:rPr>
        <w:t>（项）20</w:t>
      </w:r>
      <w:r>
        <w:rPr>
          <w:rFonts w:hint="eastAsia" w:ascii="Times New Roman" w:hAnsi="Times New Roman" w:eastAsia="仿宋_GB2312"/>
          <w:sz w:val="32"/>
          <w:szCs w:val="32"/>
        </w:rPr>
        <w:t>24</w:t>
      </w:r>
      <w:r>
        <w:rPr>
          <w:rFonts w:ascii="Times New Roman" w:hAnsi="Times New Roman" w:eastAsia="仿宋_GB2312"/>
          <w:sz w:val="32"/>
          <w:szCs w:val="32"/>
        </w:rPr>
        <w:t>年预算数为</w:t>
      </w:r>
      <w:r>
        <w:rPr>
          <w:rFonts w:hint="eastAsia" w:ascii="Times New Roman" w:hAnsi="Times New Roman" w:eastAsia="仿宋_GB2312"/>
          <w:sz w:val="32"/>
          <w:szCs w:val="32"/>
        </w:rPr>
        <w:t>5.46</w:t>
      </w:r>
      <w:r>
        <w:rPr>
          <w:rFonts w:ascii="Times New Roman" w:hAnsi="Times New Roman" w:eastAsia="仿宋_GB2312"/>
          <w:sz w:val="32"/>
          <w:szCs w:val="32"/>
        </w:rPr>
        <w:t>万元，主要用于：我院乡村振兴经费。</w:t>
      </w:r>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仿宋_GB2312" w:hAnsi="仿宋_GB2312" w:eastAsia="仿宋_GB2312" w:cs="仿宋_GB2312"/>
          <w:sz w:val="32"/>
          <w:szCs w:val="32"/>
        </w:rPr>
        <w:t>3.</w:t>
      </w:r>
      <w:r>
        <w:rPr>
          <w:rFonts w:ascii="Times New Roman" w:hAnsi="Times New Roman" w:eastAsia="仿宋_GB2312"/>
          <w:sz w:val="32"/>
          <w:szCs w:val="32"/>
        </w:rPr>
        <w:t>公共安全（类）法院（款）案件审判（项）202</w:t>
      </w:r>
      <w:r>
        <w:rPr>
          <w:rFonts w:hint="eastAsia" w:ascii="Times New Roman" w:hAnsi="Times New Roman" w:eastAsia="仿宋_GB2312"/>
          <w:sz w:val="32"/>
          <w:szCs w:val="32"/>
        </w:rPr>
        <w:t>4</w:t>
      </w:r>
      <w:r>
        <w:rPr>
          <w:rFonts w:ascii="Times New Roman" w:hAnsi="Times New Roman" w:eastAsia="仿宋_GB2312"/>
          <w:sz w:val="32"/>
          <w:szCs w:val="32"/>
        </w:rPr>
        <w:t>年预算数为</w:t>
      </w:r>
      <w:r>
        <w:rPr>
          <w:rFonts w:hint="eastAsia" w:ascii="Times New Roman" w:hAnsi="Times New Roman" w:eastAsia="仿宋_GB2312"/>
          <w:sz w:val="32"/>
          <w:szCs w:val="32"/>
        </w:rPr>
        <w:t>338.39</w:t>
      </w:r>
      <w:r>
        <w:rPr>
          <w:rFonts w:ascii="Times New Roman" w:hAnsi="Times New Roman" w:eastAsia="仿宋_GB2312"/>
          <w:sz w:val="32"/>
          <w:szCs w:val="32"/>
        </w:rPr>
        <w:t>万元，</w:t>
      </w:r>
      <w:r>
        <w:rPr>
          <w:rFonts w:hint="eastAsia" w:ascii="Times New Roman" w:hAnsi="Times New Roman" w:eastAsia="仿宋_GB2312"/>
          <w:sz w:val="32"/>
          <w:szCs w:val="32"/>
          <w:lang w:val="en-US" w:eastAsia="zh-CN"/>
        </w:rPr>
        <w:t>主要用于：证人出庭、翻译辅助、公告送达、文书印刷、司法鉴定以及专家咨询等案件审判活动产生的经费支出。</w:t>
      </w:r>
    </w:p>
    <w:p>
      <w:pPr>
        <w:pageBreakBefore w:val="0"/>
        <w:widowControl/>
        <w:shd w:val="clear" w:fill="FFFFFF" w:themeFill="background1"/>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r>
        <w:rPr>
          <w:rFonts w:ascii="Times New Roman" w:hAnsi="Times New Roman" w:eastAsia="仿宋_GB2312"/>
          <w:sz w:val="32"/>
          <w:szCs w:val="32"/>
        </w:rPr>
        <w:t>公共安全（类）法院（款）案件执行（项）202</w:t>
      </w:r>
      <w:r>
        <w:rPr>
          <w:rFonts w:hint="eastAsia" w:ascii="Times New Roman" w:hAnsi="Times New Roman" w:eastAsia="仿宋_GB2312"/>
          <w:sz w:val="32"/>
          <w:szCs w:val="32"/>
        </w:rPr>
        <w:t>4</w:t>
      </w:r>
      <w:r>
        <w:rPr>
          <w:rFonts w:ascii="Times New Roman" w:hAnsi="Times New Roman" w:eastAsia="仿宋_GB2312"/>
          <w:sz w:val="32"/>
          <w:szCs w:val="32"/>
        </w:rPr>
        <w:t>年预算数为</w:t>
      </w:r>
      <w:r>
        <w:rPr>
          <w:rFonts w:hint="eastAsia" w:ascii="Times New Roman" w:hAnsi="Times New Roman" w:eastAsia="仿宋_GB2312"/>
          <w:sz w:val="32"/>
          <w:szCs w:val="32"/>
        </w:rPr>
        <w:t>75</w:t>
      </w:r>
      <w:r>
        <w:rPr>
          <w:rFonts w:ascii="Times New Roman" w:hAnsi="Times New Roman" w:eastAsia="仿宋_GB2312"/>
          <w:sz w:val="32"/>
          <w:szCs w:val="32"/>
        </w:rPr>
        <w:t>万元，主要用于：</w:t>
      </w:r>
      <w:r>
        <w:rPr>
          <w:rFonts w:ascii="Times New Roman" w:hAnsi="Times New Roman" w:eastAsia="仿宋_GB2312"/>
          <w:sz w:val="32"/>
          <w:szCs w:val="32"/>
          <w:lang w:val="en-US" w:eastAsia="zh-CN"/>
        </w:rPr>
        <w:t>执行差旅、邮寄送达和专项执行等工作产生的经费支出。</w:t>
      </w:r>
    </w:p>
    <w:p>
      <w:pPr>
        <w:pStyle w:val="2"/>
        <w:pageBreakBefore w:val="0"/>
        <w:shd w:val="clear" w:fill="FFFFFF" w:themeFill="background1"/>
        <w:kinsoku/>
        <w:wordWrap/>
        <w:overflowPunct/>
        <w:topLinePunct w:val="0"/>
        <w:autoSpaceDE/>
        <w:autoSpaceDN/>
        <w:bidi w:val="0"/>
        <w:adjustRightInd/>
        <w:snapToGrid/>
        <w:spacing w:line="560" w:lineRule="exact"/>
        <w:ind w:right="-107" w:firstLine="640"/>
        <w:textAlignment w:val="auto"/>
      </w:pPr>
      <w:r>
        <w:rPr>
          <w:rFonts w:hint="eastAsia" w:hAnsi="仿宋_GB2312" w:cs="仿宋_GB2312"/>
        </w:rPr>
        <w:t>5.</w:t>
      </w:r>
      <w:r>
        <w:rPr>
          <w:rFonts w:ascii="Times New Roman" w:hAnsi="Times New Roman"/>
        </w:rPr>
        <w:t>公共安全（类）法院（款）</w:t>
      </w:r>
      <w:r>
        <w:rPr>
          <w:rFonts w:hint="eastAsia" w:ascii="Times New Roman" w:hAnsi="Times New Roman"/>
        </w:rPr>
        <w:t>事业运行</w:t>
      </w:r>
      <w:r>
        <w:rPr>
          <w:rFonts w:ascii="Times New Roman" w:hAnsi="Times New Roman"/>
        </w:rPr>
        <w:t>（项）202</w:t>
      </w:r>
      <w:r>
        <w:rPr>
          <w:rFonts w:hint="eastAsia" w:ascii="Times New Roman" w:hAnsi="Times New Roman"/>
        </w:rPr>
        <w:t>4</w:t>
      </w:r>
      <w:r>
        <w:rPr>
          <w:rFonts w:ascii="Times New Roman" w:hAnsi="Times New Roman"/>
        </w:rPr>
        <w:t>年预算数为</w:t>
      </w:r>
      <w:r>
        <w:rPr>
          <w:rFonts w:hint="eastAsia" w:ascii="Times New Roman" w:hAnsi="Times New Roman"/>
        </w:rPr>
        <w:t>68.95</w:t>
      </w:r>
      <w:r>
        <w:rPr>
          <w:rFonts w:ascii="Times New Roman" w:hAnsi="Times New Roman"/>
        </w:rPr>
        <w:t>万元</w:t>
      </w:r>
      <w:r>
        <w:rPr>
          <w:rFonts w:hint="eastAsia" w:ascii="Times New Roman" w:hAnsi="Times New Roman"/>
        </w:rPr>
        <w:t>，主要用于：我院事业人员工资及公用经费。</w:t>
      </w:r>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仿宋_GB2312" w:hAnsi="仿宋_GB2312" w:eastAsia="仿宋_GB2312" w:cs="仿宋_GB2312"/>
          <w:sz w:val="32"/>
          <w:szCs w:val="32"/>
        </w:rPr>
        <w:t>6.</w:t>
      </w:r>
      <w:r>
        <w:rPr>
          <w:rFonts w:ascii="Times New Roman" w:hAnsi="Times New Roman" w:eastAsia="仿宋_GB2312"/>
          <w:sz w:val="32"/>
          <w:szCs w:val="32"/>
        </w:rPr>
        <w:t>社会保障和就业（类）行政事业单位养老支出（款）机关事业单位基本养老保险缴费支出（项）202</w:t>
      </w:r>
      <w:r>
        <w:rPr>
          <w:rFonts w:hint="eastAsia" w:ascii="Times New Roman" w:hAnsi="Times New Roman" w:eastAsia="仿宋_GB2312"/>
          <w:sz w:val="32"/>
          <w:szCs w:val="32"/>
        </w:rPr>
        <w:t>4</w:t>
      </w:r>
      <w:r>
        <w:rPr>
          <w:rFonts w:ascii="Times New Roman" w:hAnsi="Times New Roman" w:eastAsia="仿宋_GB2312"/>
          <w:sz w:val="32"/>
          <w:szCs w:val="32"/>
        </w:rPr>
        <w:t>年预算数为</w:t>
      </w:r>
      <w:r>
        <w:rPr>
          <w:rFonts w:hint="eastAsia" w:ascii="Times New Roman" w:hAnsi="Times New Roman" w:eastAsia="仿宋_GB2312"/>
          <w:sz w:val="32"/>
          <w:szCs w:val="32"/>
        </w:rPr>
        <w:t>239.14</w:t>
      </w:r>
      <w:r>
        <w:rPr>
          <w:rFonts w:ascii="Times New Roman" w:hAnsi="Times New Roman" w:eastAsia="仿宋_GB2312"/>
          <w:sz w:val="32"/>
          <w:szCs w:val="32"/>
        </w:rPr>
        <w:t>万元，主要用于：</w:t>
      </w:r>
      <w:r>
        <w:rPr>
          <w:rFonts w:hint="eastAsia" w:ascii="Times New Roman" w:hAnsi="Times New Roman" w:eastAsia="仿宋_GB2312"/>
          <w:sz w:val="32"/>
          <w:szCs w:val="32"/>
        </w:rPr>
        <w:t>实施养老保险制度由单位缴纳的基本养老保险支出。</w:t>
      </w:r>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仿宋_GB2312" w:hAnsi="仿宋_GB2312" w:eastAsia="仿宋_GB2312" w:cs="仿宋_GB2312"/>
          <w:sz w:val="32"/>
          <w:szCs w:val="32"/>
        </w:rPr>
        <w:t>7.</w:t>
      </w:r>
      <w:r>
        <w:rPr>
          <w:rFonts w:ascii="Times New Roman" w:hAnsi="Times New Roman" w:eastAsia="仿宋_GB2312"/>
          <w:sz w:val="32"/>
          <w:szCs w:val="32"/>
        </w:rPr>
        <w:t>卫生健康（类）行政事业单位医疗（款）行政单位医疗（项）202</w:t>
      </w:r>
      <w:r>
        <w:rPr>
          <w:rFonts w:hint="eastAsia" w:ascii="Times New Roman" w:hAnsi="Times New Roman" w:eastAsia="仿宋_GB2312"/>
          <w:sz w:val="32"/>
          <w:szCs w:val="32"/>
        </w:rPr>
        <w:t>4</w:t>
      </w:r>
      <w:r>
        <w:rPr>
          <w:rFonts w:ascii="Times New Roman" w:hAnsi="Times New Roman" w:eastAsia="仿宋_GB2312"/>
          <w:sz w:val="32"/>
          <w:szCs w:val="32"/>
        </w:rPr>
        <w:t>年预算数为</w:t>
      </w:r>
      <w:r>
        <w:rPr>
          <w:rFonts w:hint="eastAsia" w:ascii="Times New Roman" w:hAnsi="Times New Roman" w:eastAsia="仿宋_GB2312"/>
          <w:sz w:val="32"/>
          <w:szCs w:val="32"/>
        </w:rPr>
        <w:t>82.07</w:t>
      </w:r>
      <w:r>
        <w:rPr>
          <w:rFonts w:ascii="Times New Roman" w:hAnsi="Times New Roman" w:eastAsia="仿宋_GB2312"/>
          <w:sz w:val="32"/>
          <w:szCs w:val="32"/>
        </w:rPr>
        <w:t>万元，主要用于：</w:t>
      </w:r>
      <w:r>
        <w:rPr>
          <w:rFonts w:hint="eastAsia" w:ascii="Times New Roman" w:hAnsi="Times New Roman" w:eastAsia="仿宋_GB2312"/>
          <w:sz w:val="32"/>
          <w:szCs w:val="32"/>
        </w:rPr>
        <w:t>机关及参公管理事业单位按规定由单位缴纳的基本医疗保险支出</w:t>
      </w:r>
      <w:r>
        <w:rPr>
          <w:rFonts w:ascii="Times New Roman" w:hAnsi="Times New Roman" w:eastAsia="仿宋_GB2312"/>
          <w:sz w:val="32"/>
          <w:szCs w:val="32"/>
        </w:rPr>
        <w:t>。</w:t>
      </w:r>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8.</w:t>
      </w:r>
      <w:r>
        <w:rPr>
          <w:rFonts w:ascii="Times New Roman" w:hAnsi="Times New Roman" w:eastAsia="仿宋_GB2312"/>
          <w:sz w:val="32"/>
          <w:szCs w:val="32"/>
        </w:rPr>
        <w:t>住房保障（类）住房改革支出（款）住房公积金（项）202</w:t>
      </w:r>
      <w:r>
        <w:rPr>
          <w:rFonts w:hint="eastAsia" w:ascii="Times New Roman" w:hAnsi="Times New Roman" w:eastAsia="仿宋_GB2312"/>
          <w:sz w:val="32"/>
          <w:szCs w:val="32"/>
        </w:rPr>
        <w:t>4</w:t>
      </w:r>
      <w:r>
        <w:rPr>
          <w:rFonts w:ascii="Times New Roman" w:hAnsi="Times New Roman" w:eastAsia="仿宋_GB2312"/>
          <w:sz w:val="32"/>
          <w:szCs w:val="32"/>
        </w:rPr>
        <w:t>年预算数为</w:t>
      </w:r>
      <w:r>
        <w:rPr>
          <w:rFonts w:hint="eastAsia" w:ascii="Times New Roman" w:hAnsi="Times New Roman" w:eastAsia="仿宋_GB2312"/>
          <w:sz w:val="32"/>
          <w:szCs w:val="32"/>
        </w:rPr>
        <w:t>209.66</w:t>
      </w:r>
      <w:r>
        <w:rPr>
          <w:rFonts w:ascii="Times New Roman" w:hAnsi="Times New Roman" w:eastAsia="仿宋_GB2312"/>
          <w:sz w:val="32"/>
          <w:szCs w:val="32"/>
        </w:rPr>
        <w:t>万元，主要用于：我院按规定为职工缴纳的住房公积金支出</w:t>
      </w:r>
      <w:r>
        <w:rPr>
          <w:rFonts w:hint="eastAsia" w:ascii="仿宋_GB2312" w:hAnsi="仿宋_GB2312" w:eastAsia="仿宋_GB2312" w:cs="仿宋_GB2312"/>
          <w:sz w:val="32"/>
          <w:szCs w:val="32"/>
        </w:rPr>
        <w:t>。</w:t>
      </w:r>
    </w:p>
    <w:p>
      <w:pPr>
        <w:pStyle w:val="5"/>
        <w:pageBreakBefore w:val="0"/>
        <w:shd w:val="clear" w:fill="FFFFFF" w:themeFill="background1"/>
        <w:kinsoku/>
        <w:wordWrap/>
        <w:overflowPunct/>
        <w:topLinePunct w:val="0"/>
        <w:autoSpaceDE/>
        <w:autoSpaceDN/>
        <w:bidi w:val="0"/>
        <w:adjustRightInd/>
        <w:snapToGrid/>
        <w:spacing w:before="0" w:after="0" w:line="560" w:lineRule="exact"/>
        <w:ind w:firstLine="640" w:firstLineChars="200"/>
        <w:textAlignment w:val="auto"/>
        <w:outlineLvl w:val="0"/>
        <w:rPr>
          <w:rFonts w:ascii="黑体" w:hAnsi="黑体" w:eastAsia="黑体"/>
          <w:b w:val="0"/>
        </w:rPr>
      </w:pPr>
      <w:bookmarkStart w:id="33" w:name="_Toc3212"/>
      <w:bookmarkStart w:id="34" w:name="_Toc157959873"/>
      <w:r>
        <w:rPr>
          <w:rFonts w:hint="eastAsia" w:ascii="黑体" w:hAnsi="黑体" w:eastAsia="黑体"/>
          <w:b w:val="0"/>
        </w:rPr>
        <w:t>六、一般公共预算基本支出情况说明</w:t>
      </w:r>
      <w:bookmarkEnd w:id="33"/>
      <w:bookmarkEnd w:id="34"/>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ascii="Times New Roman" w:hAnsi="Times New Roman" w:eastAsia="仿宋_GB2312"/>
          <w:sz w:val="32"/>
          <w:szCs w:val="32"/>
        </w:rPr>
        <w:t>四川省广元市中级人民法院</w:t>
      </w:r>
      <w:r>
        <w:rPr>
          <w:rFonts w:hint="eastAsia" w:ascii="仿宋_GB2312" w:hAnsi="仿宋_GB2312" w:eastAsia="仿宋_GB2312" w:cs="仿宋_GB2312"/>
          <w:sz w:val="32"/>
          <w:szCs w:val="32"/>
        </w:rPr>
        <w:t>2024年一般公共预算基本支出</w:t>
      </w:r>
      <w:r>
        <w:rPr>
          <w:rFonts w:hint="eastAsia" w:ascii="仿宋_GB2312" w:hAnsi="仿宋_GB2312" w:eastAsia="仿宋_GB2312" w:cs="仿宋_GB2312"/>
          <w:b w:val="0"/>
          <w:bCs w:val="0"/>
          <w:sz w:val="32"/>
          <w:szCs w:val="32"/>
        </w:rPr>
        <w:t>3139.03</w:t>
      </w:r>
      <w:r>
        <w:rPr>
          <w:rFonts w:hint="eastAsia" w:ascii="仿宋_GB2312" w:hAnsi="仿宋_GB2312" w:eastAsia="仿宋_GB2312" w:cs="仿宋_GB2312"/>
          <w:sz w:val="32"/>
          <w:szCs w:val="32"/>
        </w:rPr>
        <w:t>万元，其中：</w:t>
      </w:r>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人员经费2768.71万元，主要包括：基本工资、津贴补贴、奖金、绩效工资、机关事业单位基本养老保险缴费、职工基本医疗保险缴费、 其他社会保障缴费、住房公积金、其他工资福利支出、</w:t>
      </w:r>
      <w:r>
        <w:rPr>
          <w:rFonts w:hint="eastAsia" w:ascii="仿宋_GB2312" w:hAnsi="仿宋_GB2312" w:eastAsia="仿宋_GB2312" w:cs="仿宋_GB2312"/>
          <w:sz w:val="32"/>
          <w:szCs w:val="32"/>
          <w:lang w:eastAsia="zh-CN"/>
        </w:rPr>
        <w:t>生活</w:t>
      </w:r>
      <w:r>
        <w:rPr>
          <w:rFonts w:hint="eastAsia" w:ascii="仿宋_GB2312" w:hAnsi="仿宋_GB2312" w:eastAsia="仿宋_GB2312" w:cs="仿宋_GB2312"/>
          <w:b w:val="0"/>
          <w:bCs w:val="0"/>
          <w:color w:val="000000"/>
          <w:sz w:val="32"/>
          <w:szCs w:val="32"/>
        </w:rPr>
        <w:t>补助</w:t>
      </w:r>
      <w:r>
        <w:rPr>
          <w:rFonts w:hint="eastAsia" w:ascii="仿宋_GB2312" w:hAnsi="仿宋_GB2312" w:eastAsia="仿宋_GB2312" w:cs="仿宋_GB2312"/>
          <w:sz w:val="32"/>
          <w:szCs w:val="32"/>
        </w:rPr>
        <w:t>等支出。</w:t>
      </w:r>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公用经费370.32万元，主要包括：</w:t>
      </w:r>
      <w:r>
        <w:rPr>
          <w:rFonts w:ascii="Times New Roman" w:hAnsi="Times New Roman" w:eastAsia="仿宋_GB2312"/>
          <w:sz w:val="32"/>
          <w:szCs w:val="32"/>
        </w:rPr>
        <w:t>办公费、</w:t>
      </w:r>
      <w:r>
        <w:rPr>
          <w:rFonts w:hint="eastAsia" w:ascii="Times New Roman" w:hAnsi="Times New Roman" w:eastAsia="仿宋_GB2312"/>
          <w:sz w:val="32"/>
          <w:szCs w:val="32"/>
        </w:rPr>
        <w:t>印刷费、</w:t>
      </w:r>
      <w:r>
        <w:rPr>
          <w:rFonts w:ascii="Times New Roman" w:hAnsi="Times New Roman" w:eastAsia="仿宋_GB2312"/>
          <w:sz w:val="32"/>
          <w:szCs w:val="32"/>
        </w:rPr>
        <w:t>水费、电费、邮电费、</w:t>
      </w:r>
      <w:r>
        <w:rPr>
          <w:rFonts w:hint="eastAsia" w:ascii="Times New Roman" w:hAnsi="Times New Roman" w:eastAsia="仿宋_GB2312"/>
          <w:sz w:val="32"/>
          <w:szCs w:val="32"/>
        </w:rPr>
        <w:t>差旅费、</w:t>
      </w:r>
      <w:r>
        <w:rPr>
          <w:rFonts w:ascii="Times New Roman" w:hAnsi="Times New Roman" w:eastAsia="仿宋_GB2312"/>
          <w:sz w:val="32"/>
          <w:szCs w:val="32"/>
        </w:rPr>
        <w:t>维修（护）费、</w:t>
      </w:r>
      <w:r>
        <w:rPr>
          <w:rFonts w:hint="eastAsia" w:ascii="Times New Roman" w:hAnsi="Times New Roman" w:eastAsia="仿宋_GB2312"/>
          <w:sz w:val="32"/>
          <w:szCs w:val="32"/>
        </w:rPr>
        <w:t>租赁费、会议费、培训费、</w:t>
      </w:r>
      <w:r>
        <w:rPr>
          <w:rFonts w:ascii="Times New Roman" w:hAnsi="Times New Roman" w:eastAsia="仿宋_GB2312"/>
          <w:sz w:val="32"/>
          <w:szCs w:val="32"/>
        </w:rPr>
        <w:t>公务接待费、</w:t>
      </w:r>
      <w:r>
        <w:rPr>
          <w:rFonts w:hint="eastAsia" w:ascii="Times New Roman" w:hAnsi="Times New Roman" w:eastAsia="仿宋_GB2312"/>
          <w:sz w:val="32"/>
          <w:szCs w:val="32"/>
        </w:rPr>
        <w:t>劳务费、委托业务费、</w:t>
      </w:r>
      <w:r>
        <w:rPr>
          <w:rFonts w:ascii="Times New Roman" w:hAnsi="Times New Roman" w:eastAsia="仿宋_GB2312"/>
          <w:sz w:val="32"/>
          <w:szCs w:val="32"/>
        </w:rPr>
        <w:t>工会经费、福利费、公务用车运行维护</w:t>
      </w:r>
      <w:r>
        <w:rPr>
          <w:rFonts w:hint="eastAsia" w:ascii="Times New Roman" w:hAnsi="Times New Roman" w:eastAsia="仿宋_GB2312"/>
          <w:sz w:val="32"/>
          <w:szCs w:val="32"/>
        </w:rPr>
        <w:t>费、其他交通费用、其他商</w:t>
      </w:r>
      <w:r>
        <w:rPr>
          <w:rFonts w:ascii="Times New Roman" w:hAnsi="Times New Roman" w:eastAsia="仿宋_GB2312"/>
          <w:sz w:val="32"/>
          <w:szCs w:val="32"/>
        </w:rPr>
        <w:t>品和服务支出</w:t>
      </w:r>
      <w:r>
        <w:rPr>
          <w:rFonts w:hint="eastAsia" w:ascii="仿宋_GB2312" w:hAnsi="仿宋_GB2312" w:eastAsia="仿宋_GB2312" w:cs="仿宋_GB2312"/>
          <w:sz w:val="32"/>
          <w:szCs w:val="32"/>
        </w:rPr>
        <w:t>等支出。</w:t>
      </w:r>
    </w:p>
    <w:p>
      <w:pPr>
        <w:pStyle w:val="5"/>
        <w:pageBreakBefore w:val="0"/>
        <w:shd w:val="clear" w:fill="FFFFFF" w:themeFill="background1"/>
        <w:kinsoku/>
        <w:wordWrap/>
        <w:overflowPunct/>
        <w:topLinePunct w:val="0"/>
        <w:autoSpaceDE/>
        <w:autoSpaceDN/>
        <w:bidi w:val="0"/>
        <w:adjustRightInd/>
        <w:snapToGrid/>
        <w:spacing w:before="0" w:after="0" w:line="560" w:lineRule="exact"/>
        <w:ind w:firstLine="640" w:firstLineChars="200"/>
        <w:textAlignment w:val="auto"/>
        <w:outlineLvl w:val="0"/>
        <w:rPr>
          <w:rFonts w:ascii="黑体" w:hAnsi="黑体" w:eastAsia="黑体"/>
          <w:b w:val="0"/>
        </w:rPr>
      </w:pPr>
      <w:bookmarkStart w:id="35" w:name="_Toc157959874"/>
      <w:bookmarkStart w:id="36" w:name="_Toc12576"/>
      <w:r>
        <w:rPr>
          <w:rFonts w:hint="eastAsia" w:ascii="黑体" w:hAnsi="黑体" w:eastAsia="黑体"/>
          <w:b w:val="0"/>
        </w:rPr>
        <w:t>七、“三公”经费财政拨款预算安排情况说明</w:t>
      </w:r>
      <w:bookmarkEnd w:id="35"/>
      <w:bookmarkEnd w:id="36"/>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ascii="Times New Roman" w:hAnsi="Times New Roman" w:eastAsia="仿宋_GB2312"/>
          <w:sz w:val="32"/>
          <w:szCs w:val="32"/>
        </w:rPr>
        <w:t>四川省广元市中级人民法院</w:t>
      </w:r>
      <w:r>
        <w:rPr>
          <w:rFonts w:hint="eastAsia" w:ascii="仿宋_GB2312" w:hAnsi="仿宋_GB2312" w:eastAsia="仿宋_GB2312" w:cs="仿宋_GB2312"/>
          <w:sz w:val="32"/>
          <w:szCs w:val="32"/>
        </w:rPr>
        <w:t>2024年“三公”经费财政拨款预算数16万元，其中：公务接待费8万元，公务用车购置及运行维护费8万元，因公出国（境）经费0万元。</w:t>
      </w:r>
    </w:p>
    <w:p>
      <w:pPr>
        <w:pStyle w:val="6"/>
        <w:pageBreakBefore w:val="0"/>
        <w:shd w:val="clear" w:fill="FFFFFF" w:themeFill="background1"/>
        <w:kinsoku/>
        <w:wordWrap/>
        <w:overflowPunct/>
        <w:topLinePunct w:val="0"/>
        <w:autoSpaceDE/>
        <w:autoSpaceDN/>
        <w:bidi w:val="0"/>
        <w:adjustRightInd/>
        <w:snapToGrid/>
        <w:spacing w:before="0" w:after="0" w:line="560" w:lineRule="exact"/>
        <w:ind w:firstLine="640" w:firstLineChars="200"/>
        <w:textAlignment w:val="auto"/>
        <w:outlineLvl w:val="1"/>
        <w:rPr>
          <w:rFonts w:ascii="楷体" w:hAnsi="楷体" w:eastAsia="楷体"/>
          <w:b w:val="0"/>
        </w:rPr>
      </w:pPr>
      <w:bookmarkStart w:id="37" w:name="_Toc23261"/>
      <w:bookmarkStart w:id="38" w:name="_Toc157959875"/>
      <w:r>
        <w:rPr>
          <w:rFonts w:hint="eastAsia" w:ascii="楷体" w:hAnsi="楷体" w:eastAsia="楷体"/>
          <w:b w:val="0"/>
        </w:rPr>
        <w:t>（一）公务接待费</w:t>
      </w:r>
      <w:bookmarkEnd w:id="37"/>
      <w:bookmarkEnd w:id="38"/>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公务接待费与2023年预算相比持平。</w:t>
      </w:r>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sz w:val="32"/>
          <w:szCs w:val="32"/>
        </w:rPr>
        <w:t>2024年公务接待费计划用于执行接待考察调研、检查指导等公务活动开支的交通费、住宿费、用餐费等。</w:t>
      </w:r>
    </w:p>
    <w:p>
      <w:pPr>
        <w:pStyle w:val="6"/>
        <w:pageBreakBefore w:val="0"/>
        <w:shd w:val="clear" w:fill="FFFFFF" w:themeFill="background1"/>
        <w:kinsoku/>
        <w:wordWrap/>
        <w:overflowPunct/>
        <w:topLinePunct w:val="0"/>
        <w:autoSpaceDE/>
        <w:autoSpaceDN/>
        <w:bidi w:val="0"/>
        <w:adjustRightInd/>
        <w:snapToGrid/>
        <w:spacing w:before="0" w:after="0" w:line="560" w:lineRule="exact"/>
        <w:ind w:firstLine="640" w:firstLineChars="200"/>
        <w:textAlignment w:val="auto"/>
        <w:outlineLvl w:val="1"/>
        <w:rPr>
          <w:rFonts w:ascii="楷体" w:hAnsi="楷体" w:eastAsia="楷体"/>
          <w:b w:val="0"/>
        </w:rPr>
      </w:pPr>
      <w:bookmarkStart w:id="39" w:name="_Toc157959876"/>
      <w:bookmarkStart w:id="40" w:name="_Toc13162"/>
      <w:r>
        <w:rPr>
          <w:rFonts w:hint="eastAsia" w:ascii="楷体" w:hAnsi="楷体" w:eastAsia="楷体"/>
          <w:b w:val="0"/>
        </w:rPr>
        <w:t>（二）公务用车购置及运行维护费</w:t>
      </w:r>
      <w:bookmarkEnd w:id="39"/>
      <w:bookmarkEnd w:id="40"/>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sz w:val="32"/>
          <w:szCs w:val="32"/>
        </w:rPr>
        <w:t>公务用车购置及运行维护费与2023年预算相比持平。</w:t>
      </w:r>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单位现有公务用车20辆，其中：轿车3辆，越野车7辆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商务车7辆，中型客车和大型客车3辆。</w:t>
      </w:r>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2024年安排公务用车购置费0万元，拟购置公务用车0辆。</w:t>
      </w:r>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仿宋_GB2312" w:hAnsi="仿宋_GB2312" w:eastAsia="仿宋_GB2312" w:cs="仿宋_GB2312"/>
          <w:sz w:val="32"/>
          <w:szCs w:val="32"/>
        </w:rPr>
        <w:t>2024年安排公务用车运行维护费8万元，</w:t>
      </w:r>
      <w:r>
        <w:rPr>
          <w:rFonts w:ascii="Times New Roman" w:hAnsi="Times New Roman" w:eastAsia="仿宋_GB2312"/>
          <w:sz w:val="32"/>
          <w:szCs w:val="32"/>
        </w:rPr>
        <w:t>用于1辆机要通信用车燃油、过路（桥）、维修、保险等方面支出，主要保障我院机要件及时安全收发。其余执法执勤车辆费用通过业务经费保障。</w:t>
      </w:r>
    </w:p>
    <w:p>
      <w:pPr>
        <w:pStyle w:val="6"/>
        <w:pageBreakBefore w:val="0"/>
        <w:shd w:val="clear" w:fill="FFFFFF" w:themeFill="background1"/>
        <w:kinsoku/>
        <w:wordWrap/>
        <w:overflowPunct/>
        <w:topLinePunct w:val="0"/>
        <w:autoSpaceDE/>
        <w:autoSpaceDN/>
        <w:bidi w:val="0"/>
        <w:adjustRightInd/>
        <w:snapToGrid/>
        <w:spacing w:before="0" w:after="0" w:line="560" w:lineRule="exact"/>
        <w:ind w:firstLine="640" w:firstLineChars="200"/>
        <w:textAlignment w:val="auto"/>
        <w:outlineLvl w:val="1"/>
        <w:rPr>
          <w:rFonts w:ascii="仿宋_GB2312" w:hAnsi="仿宋_GB2312" w:eastAsia="仿宋_GB2312" w:cs="仿宋_GB2312"/>
        </w:rPr>
      </w:pPr>
      <w:bookmarkStart w:id="41" w:name="_Toc5095"/>
      <w:bookmarkStart w:id="42" w:name="_Toc157959877"/>
      <w:r>
        <w:rPr>
          <w:rFonts w:hint="eastAsia" w:ascii="楷体" w:hAnsi="楷体" w:eastAsia="楷体"/>
          <w:b w:val="0"/>
        </w:rPr>
        <w:t>（三）因公出国（境）经费</w:t>
      </w:r>
      <w:bookmarkEnd w:id="41"/>
      <w:bookmarkEnd w:id="42"/>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202</w:t>
      </w:r>
      <w:r>
        <w:rPr>
          <w:rFonts w:hint="eastAsia" w:ascii="Times New Roman" w:hAnsi="Times New Roman" w:eastAsia="仿宋_GB2312"/>
          <w:sz w:val="32"/>
          <w:szCs w:val="32"/>
        </w:rPr>
        <w:t>4</w:t>
      </w:r>
      <w:r>
        <w:rPr>
          <w:rFonts w:ascii="Times New Roman" w:hAnsi="Times New Roman" w:eastAsia="仿宋_GB2312"/>
          <w:sz w:val="32"/>
          <w:szCs w:val="32"/>
        </w:rPr>
        <w:t>年部门预算未编列因公出国（境）经费，未安排出国（境）任务和计划</w:t>
      </w:r>
      <w:r>
        <w:rPr>
          <w:rFonts w:hint="eastAsia" w:ascii="Times New Roman" w:hAnsi="Times New Roman" w:eastAsia="仿宋_GB2312"/>
          <w:sz w:val="32"/>
          <w:szCs w:val="32"/>
        </w:rPr>
        <w:t>，与2023年预算相比持平。</w:t>
      </w:r>
    </w:p>
    <w:p>
      <w:pPr>
        <w:pStyle w:val="5"/>
        <w:pageBreakBefore w:val="0"/>
        <w:shd w:val="clear" w:fill="FFFFFF" w:themeFill="background1"/>
        <w:kinsoku/>
        <w:wordWrap/>
        <w:overflowPunct/>
        <w:topLinePunct w:val="0"/>
        <w:autoSpaceDE/>
        <w:autoSpaceDN/>
        <w:bidi w:val="0"/>
        <w:adjustRightInd/>
        <w:snapToGrid/>
        <w:spacing w:before="0" w:after="0" w:line="560" w:lineRule="exact"/>
        <w:ind w:firstLine="640" w:firstLineChars="200"/>
        <w:textAlignment w:val="auto"/>
        <w:outlineLvl w:val="0"/>
        <w:rPr>
          <w:rFonts w:ascii="黑体" w:hAnsi="黑体" w:eastAsia="黑体"/>
          <w:b w:val="0"/>
        </w:rPr>
      </w:pPr>
      <w:bookmarkStart w:id="43" w:name="_Toc12726"/>
      <w:bookmarkStart w:id="44" w:name="_Toc157959878"/>
      <w:r>
        <w:rPr>
          <w:rFonts w:hint="eastAsia" w:ascii="黑体" w:hAnsi="黑体" w:eastAsia="黑体"/>
          <w:b w:val="0"/>
        </w:rPr>
        <w:t>八、政府性基金预算支出情况说明</w:t>
      </w:r>
      <w:bookmarkEnd w:id="43"/>
      <w:bookmarkEnd w:id="44"/>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ascii="Times New Roman" w:hAnsi="Times New Roman" w:eastAsia="仿宋_GB2312"/>
          <w:sz w:val="32"/>
          <w:szCs w:val="32"/>
        </w:rPr>
        <w:t>四川省广元市中级人民法院</w:t>
      </w:r>
      <w:r>
        <w:rPr>
          <w:rFonts w:hint="eastAsia" w:ascii="仿宋_GB2312" w:hAnsi="仿宋_GB2312" w:eastAsia="仿宋_GB2312" w:cs="仿宋_GB2312"/>
          <w:sz w:val="32"/>
          <w:szCs w:val="32"/>
        </w:rPr>
        <w:t>2024年无政府性基金预算拨款安排的支出。</w:t>
      </w:r>
    </w:p>
    <w:p>
      <w:pPr>
        <w:pStyle w:val="5"/>
        <w:pageBreakBefore w:val="0"/>
        <w:shd w:val="clear" w:fill="FFFFFF" w:themeFill="background1"/>
        <w:kinsoku/>
        <w:wordWrap/>
        <w:overflowPunct/>
        <w:topLinePunct w:val="0"/>
        <w:autoSpaceDE/>
        <w:autoSpaceDN/>
        <w:bidi w:val="0"/>
        <w:adjustRightInd/>
        <w:snapToGrid/>
        <w:spacing w:before="0" w:after="0" w:line="560" w:lineRule="exact"/>
        <w:ind w:firstLine="640" w:firstLineChars="200"/>
        <w:textAlignment w:val="auto"/>
        <w:outlineLvl w:val="0"/>
        <w:rPr>
          <w:rFonts w:ascii="黑体" w:hAnsi="黑体" w:eastAsia="黑体"/>
          <w:b w:val="0"/>
        </w:rPr>
      </w:pPr>
      <w:bookmarkStart w:id="45" w:name="_Toc157959879"/>
      <w:bookmarkStart w:id="46" w:name="_Toc24938"/>
      <w:r>
        <w:rPr>
          <w:rFonts w:hint="eastAsia" w:ascii="黑体" w:hAnsi="黑体" w:eastAsia="黑体"/>
          <w:b w:val="0"/>
        </w:rPr>
        <w:t>九、国有资本经营预算支出情况说明</w:t>
      </w:r>
      <w:bookmarkEnd w:id="45"/>
      <w:bookmarkEnd w:id="46"/>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ascii="Times New Roman" w:hAnsi="Times New Roman" w:eastAsia="仿宋_GB2312"/>
          <w:sz w:val="32"/>
          <w:szCs w:val="32"/>
        </w:rPr>
        <w:t>四川省广元市中级人民法院</w:t>
      </w:r>
      <w:r>
        <w:rPr>
          <w:rFonts w:hint="eastAsia" w:ascii="仿宋_GB2312" w:hAnsi="仿宋_GB2312" w:eastAsia="仿宋_GB2312" w:cs="仿宋_GB2312"/>
          <w:sz w:val="32"/>
          <w:szCs w:val="32"/>
        </w:rPr>
        <w:t>2024年无国有资本经营预算拨款安排的支出。</w:t>
      </w:r>
    </w:p>
    <w:p>
      <w:pPr>
        <w:pStyle w:val="5"/>
        <w:pageBreakBefore w:val="0"/>
        <w:shd w:val="clear" w:fill="FFFFFF" w:themeFill="background1"/>
        <w:kinsoku/>
        <w:wordWrap/>
        <w:overflowPunct/>
        <w:topLinePunct w:val="0"/>
        <w:autoSpaceDE/>
        <w:autoSpaceDN/>
        <w:bidi w:val="0"/>
        <w:adjustRightInd/>
        <w:snapToGrid/>
        <w:spacing w:before="0" w:after="0" w:line="560" w:lineRule="exact"/>
        <w:ind w:firstLine="640" w:firstLineChars="200"/>
        <w:textAlignment w:val="auto"/>
        <w:outlineLvl w:val="0"/>
        <w:rPr>
          <w:rFonts w:ascii="黑体" w:hAnsi="黑体" w:eastAsia="黑体"/>
          <w:b w:val="0"/>
        </w:rPr>
      </w:pPr>
      <w:bookmarkStart w:id="47" w:name="_Toc157959880"/>
      <w:bookmarkStart w:id="48" w:name="_Toc8729"/>
      <w:r>
        <w:rPr>
          <w:rFonts w:hint="eastAsia" w:ascii="黑体" w:hAnsi="黑体" w:eastAsia="黑体"/>
          <w:b w:val="0"/>
        </w:rPr>
        <w:t>十、其他重要事项的情况说明</w:t>
      </w:r>
      <w:bookmarkEnd w:id="47"/>
      <w:bookmarkEnd w:id="48"/>
    </w:p>
    <w:p>
      <w:pPr>
        <w:pStyle w:val="6"/>
        <w:pageBreakBefore w:val="0"/>
        <w:shd w:val="clear" w:fill="FFFFFF" w:themeFill="background1"/>
        <w:kinsoku/>
        <w:wordWrap/>
        <w:overflowPunct/>
        <w:topLinePunct w:val="0"/>
        <w:autoSpaceDE/>
        <w:autoSpaceDN/>
        <w:bidi w:val="0"/>
        <w:adjustRightInd/>
        <w:snapToGrid/>
        <w:spacing w:before="0" w:after="0" w:line="560" w:lineRule="exact"/>
        <w:ind w:firstLine="640" w:firstLineChars="200"/>
        <w:textAlignment w:val="auto"/>
        <w:outlineLvl w:val="1"/>
        <w:rPr>
          <w:rFonts w:ascii="楷体" w:hAnsi="楷体" w:eastAsia="楷体"/>
          <w:b w:val="0"/>
        </w:rPr>
      </w:pPr>
      <w:bookmarkStart w:id="49" w:name="_Toc28436"/>
      <w:bookmarkStart w:id="50" w:name="_Toc157959881"/>
      <w:r>
        <w:rPr>
          <w:rFonts w:hint="eastAsia" w:ascii="楷体" w:hAnsi="楷体" w:eastAsia="楷体"/>
          <w:b w:val="0"/>
        </w:rPr>
        <w:t>（一）机关运行经费</w:t>
      </w:r>
      <w:bookmarkEnd w:id="49"/>
      <w:bookmarkEnd w:id="50"/>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2024年，</w:t>
      </w:r>
      <w:r>
        <w:rPr>
          <w:rFonts w:ascii="Times New Roman" w:hAnsi="Times New Roman" w:eastAsia="仿宋_GB2312"/>
          <w:sz w:val="32"/>
          <w:szCs w:val="32"/>
        </w:rPr>
        <w:t>四川省广元市中级人民法院</w:t>
      </w:r>
      <w:r>
        <w:rPr>
          <w:rFonts w:hint="eastAsia" w:ascii="仿宋_GB2312" w:hAnsi="仿宋_GB2312" w:eastAsia="仿宋_GB2312" w:cs="仿宋_GB2312"/>
          <w:sz w:val="32"/>
          <w:szCs w:val="32"/>
        </w:rPr>
        <w:t>机关运行经费财政拨款预算为370.32万元，比2023年预算增加8.33万元，增长2.3%。主要原因2024年预算财政供养人员增加2人，导致机关运行经费增加。</w:t>
      </w:r>
    </w:p>
    <w:p>
      <w:pPr>
        <w:pStyle w:val="6"/>
        <w:pageBreakBefore w:val="0"/>
        <w:shd w:val="clear" w:fill="FFFFFF" w:themeFill="background1"/>
        <w:kinsoku/>
        <w:wordWrap/>
        <w:overflowPunct/>
        <w:topLinePunct w:val="0"/>
        <w:autoSpaceDE/>
        <w:autoSpaceDN/>
        <w:bidi w:val="0"/>
        <w:adjustRightInd/>
        <w:snapToGrid/>
        <w:spacing w:before="0" w:after="0" w:line="560" w:lineRule="exact"/>
        <w:ind w:firstLine="640" w:firstLineChars="200"/>
        <w:textAlignment w:val="auto"/>
        <w:outlineLvl w:val="1"/>
        <w:rPr>
          <w:rFonts w:ascii="楷体" w:hAnsi="楷体" w:eastAsia="楷体"/>
          <w:b w:val="0"/>
        </w:rPr>
      </w:pPr>
      <w:bookmarkStart w:id="51" w:name="_Toc8119"/>
      <w:bookmarkStart w:id="52" w:name="_Toc157959882"/>
      <w:r>
        <w:rPr>
          <w:rFonts w:hint="eastAsia" w:ascii="楷体" w:hAnsi="楷体" w:eastAsia="楷体"/>
          <w:b w:val="0"/>
        </w:rPr>
        <w:t>（二）政府采购情况</w:t>
      </w:r>
      <w:bookmarkEnd w:id="51"/>
      <w:bookmarkEnd w:id="52"/>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2024年，</w:t>
      </w:r>
      <w:r>
        <w:rPr>
          <w:rFonts w:ascii="Times New Roman" w:hAnsi="Times New Roman" w:eastAsia="仿宋_GB2312"/>
          <w:sz w:val="32"/>
          <w:szCs w:val="32"/>
        </w:rPr>
        <w:t>四川省广元市中级人民法院</w:t>
      </w:r>
      <w:r>
        <w:rPr>
          <w:rFonts w:hint="eastAsia" w:ascii="仿宋_GB2312" w:hAnsi="仿宋_GB2312" w:eastAsia="仿宋_GB2312" w:cs="仿宋_GB2312"/>
          <w:sz w:val="32"/>
          <w:szCs w:val="32"/>
        </w:rPr>
        <w:t>安排政府采购预算90万元，其中：政府采购服务预算90万元。</w:t>
      </w:r>
    </w:p>
    <w:p>
      <w:pPr>
        <w:pStyle w:val="6"/>
        <w:pageBreakBefore w:val="0"/>
        <w:shd w:val="clear" w:fill="FFFFFF" w:themeFill="background1"/>
        <w:kinsoku/>
        <w:wordWrap/>
        <w:overflowPunct/>
        <w:topLinePunct w:val="0"/>
        <w:autoSpaceDE/>
        <w:autoSpaceDN/>
        <w:bidi w:val="0"/>
        <w:adjustRightInd/>
        <w:snapToGrid/>
        <w:spacing w:before="0" w:after="0" w:line="560" w:lineRule="exact"/>
        <w:ind w:firstLine="640" w:firstLineChars="200"/>
        <w:textAlignment w:val="auto"/>
        <w:outlineLvl w:val="1"/>
        <w:rPr>
          <w:rFonts w:ascii="楷体" w:hAnsi="楷体" w:eastAsia="楷体"/>
          <w:b w:val="0"/>
        </w:rPr>
      </w:pPr>
      <w:bookmarkStart w:id="53" w:name="_Toc157959883"/>
      <w:bookmarkStart w:id="54" w:name="_Toc14596"/>
      <w:r>
        <w:rPr>
          <w:rFonts w:hint="eastAsia" w:ascii="楷体" w:hAnsi="楷体" w:eastAsia="楷体"/>
          <w:b w:val="0"/>
        </w:rPr>
        <w:t>（三）国有资产占有使用情况</w:t>
      </w:r>
      <w:bookmarkEnd w:id="53"/>
      <w:bookmarkEnd w:id="54"/>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b w:val="0"/>
          <w:bCs w:val="0"/>
          <w:sz w:val="32"/>
          <w:szCs w:val="32"/>
        </w:rPr>
        <w:t>截至2023年底</w:t>
      </w:r>
      <w:r>
        <w:rPr>
          <w:rFonts w:hint="eastAsia" w:ascii="仿宋_GB2312" w:hAnsi="仿宋_GB2312" w:eastAsia="仿宋_GB2312" w:cs="仿宋_GB2312"/>
          <w:sz w:val="32"/>
          <w:szCs w:val="32"/>
        </w:rPr>
        <w:t>，</w:t>
      </w:r>
      <w:r>
        <w:rPr>
          <w:rFonts w:ascii="Times New Roman" w:hAnsi="Times New Roman" w:eastAsia="仿宋_GB2312"/>
          <w:sz w:val="32"/>
          <w:szCs w:val="32"/>
        </w:rPr>
        <w:t>四川省广元市中级人民法院</w:t>
      </w:r>
      <w:r>
        <w:rPr>
          <w:rFonts w:hint="eastAsia" w:ascii="仿宋_GB2312" w:hAnsi="仿宋_GB2312" w:eastAsia="仿宋_GB2312" w:cs="仿宋_GB2312"/>
          <w:sz w:val="32"/>
          <w:szCs w:val="32"/>
        </w:rPr>
        <w:t>共有车辆20辆，其中，</w:t>
      </w:r>
      <w:r>
        <w:rPr>
          <w:rFonts w:ascii="Times New Roman" w:hAnsi="Times New Roman" w:eastAsia="仿宋_GB2312"/>
          <w:sz w:val="32"/>
          <w:szCs w:val="32"/>
        </w:rPr>
        <w:t>执法执勤用车1</w:t>
      </w:r>
      <w:r>
        <w:rPr>
          <w:rFonts w:hint="eastAsia" w:ascii="Times New Roman" w:hAnsi="Times New Roman" w:eastAsia="仿宋_GB2312"/>
          <w:sz w:val="32"/>
          <w:szCs w:val="32"/>
        </w:rPr>
        <w:t>2</w:t>
      </w:r>
      <w:r>
        <w:rPr>
          <w:rFonts w:ascii="Times New Roman" w:hAnsi="Times New Roman" w:eastAsia="仿宋_GB2312"/>
          <w:sz w:val="32"/>
          <w:szCs w:val="32"/>
        </w:rPr>
        <w:t>辆，特种专用技术用车</w:t>
      </w:r>
      <w:r>
        <w:rPr>
          <w:rFonts w:hint="eastAsia" w:ascii="Times New Roman" w:hAnsi="Times New Roman" w:eastAsia="仿宋_GB2312"/>
          <w:sz w:val="32"/>
          <w:szCs w:val="32"/>
        </w:rPr>
        <w:t>7</w:t>
      </w:r>
      <w:r>
        <w:rPr>
          <w:rFonts w:ascii="Times New Roman" w:hAnsi="Times New Roman" w:eastAsia="仿宋_GB2312"/>
          <w:sz w:val="32"/>
          <w:szCs w:val="32"/>
        </w:rPr>
        <w:t>辆，机要通信用车1辆</w:t>
      </w:r>
      <w:r>
        <w:rPr>
          <w:rFonts w:hint="eastAsia" w:ascii="仿宋_GB2312" w:hAnsi="仿宋_GB2312" w:eastAsia="仿宋_GB2312" w:cs="仿宋_GB2312"/>
          <w:sz w:val="32"/>
          <w:szCs w:val="32"/>
        </w:rPr>
        <w:t>。本单位无价值200万元以上的大型设备</w:t>
      </w:r>
      <w:r>
        <w:rPr>
          <w:rFonts w:hint="eastAsia" w:ascii="仿宋_GB2312" w:hAnsi="仿宋_GB2312" w:eastAsia="仿宋_GB2312" w:cs="仿宋_GB2312"/>
          <w:color w:val="000000"/>
          <w:sz w:val="32"/>
          <w:szCs w:val="32"/>
        </w:rPr>
        <w:t>。</w:t>
      </w:r>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2024年部门预算未安排购置车辆及单位价值200万元以上大型设备。</w:t>
      </w:r>
    </w:p>
    <w:p>
      <w:pPr>
        <w:pStyle w:val="6"/>
        <w:pageBreakBefore w:val="0"/>
        <w:shd w:val="clear" w:fill="FFFFFF" w:themeFill="background1"/>
        <w:kinsoku/>
        <w:wordWrap/>
        <w:overflowPunct/>
        <w:topLinePunct w:val="0"/>
        <w:autoSpaceDE/>
        <w:autoSpaceDN/>
        <w:bidi w:val="0"/>
        <w:adjustRightInd/>
        <w:snapToGrid/>
        <w:spacing w:before="0" w:after="0" w:line="560" w:lineRule="exact"/>
        <w:ind w:firstLine="640" w:firstLineChars="200"/>
        <w:textAlignment w:val="auto"/>
        <w:outlineLvl w:val="1"/>
        <w:rPr>
          <w:rFonts w:ascii="楷体_GB2312" w:hAnsi="楷体_GB2312" w:eastAsia="楷体_GB2312" w:cs="楷体_GB2312"/>
        </w:rPr>
      </w:pPr>
      <w:bookmarkStart w:id="55" w:name="_Toc157959884"/>
      <w:bookmarkStart w:id="56" w:name="_Toc21936"/>
      <w:r>
        <w:rPr>
          <w:rFonts w:hint="eastAsia" w:ascii="楷体" w:hAnsi="楷体" w:eastAsia="楷体"/>
          <w:b w:val="0"/>
        </w:rPr>
        <w:t>（四）绩效目标设置情况</w:t>
      </w:r>
      <w:bookmarkEnd w:id="55"/>
      <w:bookmarkEnd w:id="56"/>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2024年</w:t>
      </w:r>
      <w:r>
        <w:rPr>
          <w:rFonts w:ascii="Times New Roman" w:hAnsi="Times New Roman" w:eastAsia="仿宋_GB2312"/>
          <w:sz w:val="32"/>
          <w:szCs w:val="32"/>
        </w:rPr>
        <w:t>四川省广元市中级人民法院</w:t>
      </w:r>
      <w:r>
        <w:rPr>
          <w:rFonts w:hint="eastAsia" w:ascii="仿宋_GB2312" w:hAnsi="仿宋_GB2312" w:eastAsia="仿宋_GB2312" w:cs="仿宋_GB2312"/>
          <w:sz w:val="32"/>
          <w:szCs w:val="32"/>
        </w:rPr>
        <w:t>开展绩效目标管理的项目22个，涉及预算3872.25万元。其中：人员类项目8个，涉及预算2768.71万元；运转类项目4个，涉及预算370.32万元；特定目标类项目10个，涉及预算733.22万元。</w:t>
      </w:r>
    </w:p>
    <w:p>
      <w:pPr>
        <w:pStyle w:val="5"/>
        <w:pageBreakBefore w:val="0"/>
        <w:shd w:val="clear" w:fill="FFFFFF" w:themeFill="background1"/>
        <w:kinsoku/>
        <w:wordWrap/>
        <w:overflowPunct/>
        <w:topLinePunct w:val="0"/>
        <w:autoSpaceDE/>
        <w:autoSpaceDN/>
        <w:bidi w:val="0"/>
        <w:adjustRightInd/>
        <w:snapToGrid/>
        <w:spacing w:before="0" w:after="0" w:line="560" w:lineRule="exact"/>
        <w:ind w:firstLine="640" w:firstLineChars="200"/>
        <w:textAlignment w:val="auto"/>
        <w:outlineLvl w:val="0"/>
        <w:rPr>
          <w:rFonts w:ascii="黑体" w:hAnsi="黑体" w:eastAsia="黑体"/>
          <w:b w:val="0"/>
        </w:rPr>
      </w:pPr>
      <w:bookmarkStart w:id="57" w:name="_Toc157959885"/>
      <w:bookmarkStart w:id="58" w:name="_Toc18278"/>
      <w:r>
        <w:rPr>
          <w:rFonts w:hint="eastAsia" w:ascii="黑体" w:hAnsi="黑体" w:eastAsia="黑体"/>
          <w:b w:val="0"/>
        </w:rPr>
        <w:t>十一、名词解释</w:t>
      </w:r>
      <w:bookmarkEnd w:id="57"/>
      <w:bookmarkEnd w:id="58"/>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楷体_GB2312" w:hAnsi="楷体_GB2312" w:eastAsia="楷体_GB2312" w:cs="楷体_GB2312"/>
          <w:sz w:val="32"/>
          <w:szCs w:val="32"/>
        </w:rPr>
        <w:t>（一）财政拨款收入</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sz w:val="32"/>
          <w:szCs w:val="32"/>
        </w:rPr>
        <w:t>指市财政当年安排的财政预算收入。按现行管理制度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部门预算中反映的财政拨款包括一般公共预算拨款和政府性基金预算拨款。</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（二）公共安全（类）法院（款）行政运行（项）：</w:t>
      </w:r>
      <w:r>
        <w:rPr>
          <w:rFonts w:ascii="Times New Roman" w:hAnsi="Times New Roman" w:eastAsia="仿宋_GB2312"/>
          <w:sz w:val="32"/>
          <w:szCs w:val="32"/>
        </w:rPr>
        <w:t>指反映行政单位（包括实行公务员管理的事业单位）的基本支出。　　</w:t>
      </w:r>
      <w:r>
        <w:rPr>
          <w:rFonts w:ascii="Times New Roman" w:hAnsi="Times New Roman" w:eastAsia="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（三）公共安全（类）法院（款）一般行政管理事务（项）：</w:t>
      </w:r>
      <w:r>
        <w:rPr>
          <w:rFonts w:ascii="Times New Roman" w:hAnsi="Times New Roman" w:eastAsia="仿宋_GB2312"/>
          <w:sz w:val="32"/>
          <w:szCs w:val="32"/>
        </w:rPr>
        <w:t>指反映行政单位（包括实行公务员管理的事业单位）</w:t>
      </w:r>
      <w:r>
        <w:rPr>
          <w:rFonts w:hint="eastAsia" w:ascii="Times New Roman" w:hAnsi="Times New Roman" w:eastAsia="仿宋_GB2312"/>
          <w:sz w:val="32"/>
          <w:szCs w:val="32"/>
        </w:rPr>
        <w:t>未单独设置项级科目的其他项目支出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（四）公共安全（类）法院（款）案件审判（项）：</w:t>
      </w:r>
      <w:r>
        <w:rPr>
          <w:rFonts w:ascii="Times New Roman" w:hAnsi="Times New Roman" w:eastAsia="仿宋_GB2312"/>
          <w:sz w:val="32"/>
          <w:szCs w:val="32"/>
        </w:rPr>
        <w:t>指反映人民法院对刑事、民事、行政、</w:t>
      </w:r>
      <w:r>
        <w:rPr>
          <w:rFonts w:hint="eastAsia" w:ascii="Times New Roman" w:hAnsi="Times New Roman" w:eastAsia="仿宋_GB2312"/>
          <w:sz w:val="32"/>
          <w:szCs w:val="32"/>
        </w:rPr>
        <w:t>涉外</w:t>
      </w:r>
      <w:r>
        <w:rPr>
          <w:rFonts w:ascii="Times New Roman" w:hAnsi="Times New Roman" w:eastAsia="仿宋_GB2312"/>
          <w:sz w:val="32"/>
          <w:szCs w:val="32"/>
        </w:rPr>
        <w:t>等案件审判活动的支出。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（五）公共安全（类）法院（款）案件执行（项）：</w:t>
      </w:r>
      <w:r>
        <w:rPr>
          <w:rFonts w:ascii="Times New Roman" w:hAnsi="Times New Roman" w:eastAsia="仿宋_GB2312"/>
          <w:sz w:val="32"/>
          <w:szCs w:val="32"/>
        </w:rPr>
        <w:t>指反映人民法院对刑事、民事、行政、</w:t>
      </w:r>
      <w:r>
        <w:rPr>
          <w:rFonts w:hint="eastAsia" w:ascii="Times New Roman" w:hAnsi="Times New Roman" w:eastAsia="仿宋_GB2312"/>
          <w:sz w:val="32"/>
          <w:szCs w:val="32"/>
        </w:rPr>
        <w:t>涉外</w:t>
      </w:r>
      <w:r>
        <w:rPr>
          <w:rFonts w:ascii="Times New Roman" w:hAnsi="Times New Roman" w:eastAsia="仿宋_GB2312"/>
          <w:sz w:val="32"/>
          <w:szCs w:val="32"/>
        </w:rPr>
        <w:t>等案件执行活动和对各种非诉执行活动的支出</w:t>
      </w:r>
      <w:r>
        <w:rPr>
          <w:rFonts w:hint="eastAsia" w:ascii="仿宋_GB2312" w:hAnsi="仿宋_GB2312" w:eastAsia="仿宋_GB2312" w:cs="仿宋_GB2312"/>
          <w:sz w:val="32"/>
          <w:szCs w:val="32"/>
        </w:rPr>
        <w:t>。</w:t>
      </w:r>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楷体_GB2312" w:hAnsi="楷体_GB2312" w:eastAsia="楷体_GB2312" w:cs="楷体_GB2312"/>
          <w:sz w:val="32"/>
          <w:szCs w:val="32"/>
        </w:rPr>
        <w:t>（六）公共安全（类）法院（款）事业运行（项）：</w:t>
      </w:r>
      <w:r>
        <w:rPr>
          <w:rFonts w:hint="eastAsia" w:ascii="仿宋_GB2312" w:hAnsi="仿宋_GB2312" w:eastAsia="仿宋_GB2312" w:cs="仿宋_GB2312"/>
          <w:sz w:val="32"/>
          <w:szCs w:val="32"/>
        </w:rPr>
        <w:t>指反映事业单位的基本支出，不包括行政单位（包括实行公务员管理的事业单位）后勤服务中心、医务室等附属事业单位。</w:t>
      </w:r>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楷体_GB2312" w:hAnsi="楷体_GB2312" w:eastAsia="楷体_GB2312" w:cs="楷体_GB2312"/>
          <w:sz w:val="32"/>
          <w:szCs w:val="32"/>
        </w:rPr>
        <w:t>（七）社会保障和就业（类）行政事业单位养老支出（款）机关事业单位基本养老保险缴费支出（项）：</w:t>
      </w:r>
      <w:r>
        <w:rPr>
          <w:rFonts w:ascii="Times New Roman" w:hAnsi="Times New Roman" w:eastAsia="仿宋_GB2312"/>
          <w:sz w:val="32"/>
          <w:szCs w:val="32"/>
        </w:rPr>
        <w:t>指部门实施养老保险制度由单位缴纳的养老保险的支出</w:t>
      </w:r>
      <w:r>
        <w:rPr>
          <w:rFonts w:hint="eastAsia" w:ascii="Times New Roman" w:hAnsi="Times New Roman" w:eastAsia="仿宋_GB2312"/>
          <w:sz w:val="32"/>
          <w:szCs w:val="32"/>
        </w:rPr>
        <w:t>。</w:t>
      </w:r>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楷体_GB2312" w:hAnsi="楷体_GB2312" w:eastAsia="楷体_GB2312" w:cs="楷体_GB2312"/>
          <w:sz w:val="32"/>
          <w:szCs w:val="32"/>
        </w:rPr>
        <w:t>（八）卫生健康（类）行政事业单位医疗（款）行政单位医疗（项）：</w:t>
      </w:r>
      <w:r>
        <w:rPr>
          <w:rFonts w:ascii="Times New Roman" w:hAnsi="Times New Roman" w:eastAsia="仿宋_GB2312"/>
          <w:sz w:val="32"/>
          <w:szCs w:val="32"/>
        </w:rPr>
        <w:t>指机关及参公管理事业单位用于单位应缴纳基本医疗保险支出。</w:t>
      </w:r>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楷体_GB2312" w:hAnsi="楷体_GB2312" w:eastAsia="楷体_GB2312" w:cs="楷体_GB2312"/>
          <w:sz w:val="32"/>
          <w:szCs w:val="32"/>
        </w:rPr>
        <w:t>（九）住房保障（类）住房改革支出（款）住房公积金（项）：</w:t>
      </w:r>
      <w:r>
        <w:rPr>
          <w:rFonts w:ascii="Times New Roman" w:hAnsi="Times New Roman" w:eastAsia="仿宋_GB2312"/>
          <w:sz w:val="32"/>
          <w:szCs w:val="32"/>
        </w:rPr>
        <w:t>指按照《住房公积金管理条例》的规定，由单位及其在职职工缴存的长期住房储金。</w:t>
      </w:r>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楷体_GB2312" w:hAnsi="楷体_GB2312" w:eastAsia="楷体_GB2312" w:cs="楷体_GB2312"/>
          <w:sz w:val="32"/>
          <w:szCs w:val="32"/>
        </w:rPr>
        <w:t>（十）基本支出：</w:t>
      </w:r>
      <w:r>
        <w:rPr>
          <w:rFonts w:ascii="Times New Roman" w:hAnsi="Times New Roman" w:eastAsia="仿宋_GB2312"/>
          <w:sz w:val="32"/>
          <w:szCs w:val="32"/>
        </w:rPr>
        <w:t>指为保证机构正常运转，完成日常工作任务而发生的人员支出和公用支出。</w:t>
      </w:r>
      <w:r>
        <w:rPr>
          <w:rFonts w:ascii="Times New Roman" w:hAnsi="Times New Roman" w:eastAsia="仿宋_GB2312"/>
          <w:sz w:val="32"/>
          <w:szCs w:val="32"/>
        </w:rPr>
        <w:br w:type="textWrapping"/>
      </w:r>
      <w:r>
        <w:rPr>
          <w:rFonts w:ascii="Times New Roman" w:hAnsi="Times New Roman" w:eastAsia="仿宋_GB2312"/>
          <w:sz w:val="32"/>
          <w:szCs w:val="32"/>
        </w:rPr>
        <w:t>　</w:t>
      </w:r>
      <w:r>
        <w:rPr>
          <w:rFonts w:ascii="方正楷体简体" w:hAnsi="Times New Roman" w:eastAsia="方正楷体简体"/>
          <w:sz w:val="32"/>
          <w:szCs w:val="32"/>
        </w:rPr>
        <w:t>　</w:t>
      </w:r>
      <w:r>
        <w:rPr>
          <w:rFonts w:hint="eastAsia" w:ascii="楷体_GB2312" w:hAnsi="楷体_GB2312" w:eastAsia="楷体_GB2312" w:cs="楷体_GB2312"/>
          <w:sz w:val="32"/>
          <w:szCs w:val="32"/>
        </w:rPr>
        <w:t>（十一）项目支出：</w:t>
      </w:r>
      <w:r>
        <w:rPr>
          <w:rFonts w:ascii="Times New Roman" w:hAnsi="Times New Roman" w:eastAsia="仿宋_GB2312"/>
          <w:sz w:val="32"/>
          <w:szCs w:val="32"/>
        </w:rPr>
        <w:t>指在基本支出之外为完成特定行政任务和事业发展目标所发生的支出。</w:t>
      </w:r>
    </w:p>
    <w:p>
      <w:pPr>
        <w:pageBreakBefore w:val="0"/>
        <w:shd w:val="clear" w:fill="FFFFFF" w:themeFill="background1"/>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楷体_GB2312" w:hAnsi="楷体_GB2312" w:eastAsia="楷体_GB2312" w:cs="楷体_GB2312"/>
          <w:sz w:val="32"/>
          <w:szCs w:val="32"/>
        </w:rPr>
        <w:t>（十二）“三公”经费：</w:t>
      </w:r>
      <w:r>
        <w:rPr>
          <w:rFonts w:ascii="Times New Roman" w:hAnsi="Times New Roman" w:eastAsia="仿宋_GB2312"/>
          <w:sz w:val="32"/>
          <w:szCs w:val="32"/>
        </w:rPr>
        <w:t>纳入</w:t>
      </w:r>
      <w:r>
        <w:rPr>
          <w:rFonts w:hint="eastAsia" w:ascii="Times New Roman" w:hAnsi="Times New Roman" w:eastAsia="仿宋_GB2312"/>
          <w:sz w:val="32"/>
          <w:szCs w:val="32"/>
        </w:rPr>
        <w:t>市级财政</w:t>
      </w:r>
      <w:r>
        <w:rPr>
          <w:rFonts w:ascii="Times New Roman" w:hAnsi="Times New Roman" w:eastAsia="仿宋_GB2312"/>
          <w:sz w:val="32"/>
          <w:szCs w:val="32"/>
        </w:rPr>
        <w:t>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ascii="Times New Roman" w:hAnsi="Times New Roman" w:eastAsia="仿宋_GB2312"/>
          <w:sz w:val="32"/>
          <w:szCs w:val="32"/>
        </w:rPr>
        <w:br w:type="textWrapping"/>
      </w:r>
      <w:r>
        <w:rPr>
          <w:rFonts w:ascii="Times New Roman" w:hAnsi="Times New Roman" w:eastAsia="仿宋_GB2312"/>
          <w:sz w:val="32"/>
          <w:szCs w:val="32"/>
        </w:rPr>
        <w:t>　</w:t>
      </w:r>
      <w:r>
        <w:rPr>
          <w:rFonts w:hint="eastAsia" w:ascii="Times New Roman" w:hAnsi="Times New Roman" w:eastAsia="仿宋_GB2312"/>
          <w:sz w:val="32"/>
          <w:szCs w:val="32"/>
        </w:rPr>
        <w:t xml:space="preserve"> </w:t>
      </w:r>
      <w:r>
        <w:rPr>
          <w:rFonts w:hint="eastAsia" w:ascii="楷体_GB2312" w:hAnsi="楷体_GB2312" w:eastAsia="楷体_GB2312" w:cs="楷体_GB2312"/>
          <w:sz w:val="32"/>
          <w:szCs w:val="32"/>
        </w:rPr>
        <w:t>（十三）机关运行经费：</w:t>
      </w:r>
      <w:r>
        <w:rPr>
          <w:rFonts w:ascii="Times New Roman" w:hAnsi="Times New Roman" w:eastAsia="仿宋_GB2312"/>
          <w:sz w:val="32"/>
          <w:szCs w:val="32"/>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shd w:val="clear"/>
        <w:spacing w:line="560" w:lineRule="exact"/>
        <w:ind w:firstLine="640" w:firstLineChars="200"/>
        <w:rPr>
          <w:rFonts w:hint="eastAsia" w:ascii="仿宋_GB2312" w:hAnsi="仿宋_GB2312" w:eastAsia="仿宋_GB2312" w:cs="仿宋_GB2312"/>
          <w:sz w:val="32"/>
          <w:szCs w:val="32"/>
        </w:rPr>
      </w:pPr>
    </w:p>
    <w:p>
      <w:pPr>
        <w:shd w:val="clear"/>
        <w:spacing w:line="560" w:lineRule="exact"/>
        <w:ind w:firstLine="640" w:firstLineChars="200"/>
        <w:rPr>
          <w:rFonts w:hint="eastAsia" w:ascii="仿宋_GB2312" w:hAnsi="仿宋_GB2312" w:eastAsia="仿宋_GB2312" w:cs="仿宋_GB2312"/>
          <w:sz w:val="32"/>
          <w:szCs w:val="32"/>
        </w:rPr>
      </w:pPr>
    </w:p>
    <w:p>
      <w:pPr>
        <w:shd w:val="clea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附件：部门预算公开表</w:t>
      </w:r>
    </w:p>
    <w:p>
      <w:pPr>
        <w:shd w:val="clear"/>
        <w:spacing w:line="560" w:lineRule="exact"/>
        <w:ind w:firstLine="640" w:firstLineChars="200"/>
        <w:rPr>
          <w:rFonts w:ascii="仿宋_GB2312" w:hAnsi="仿宋_GB2312" w:eastAsia="仿宋_GB2312" w:cs="仿宋_GB2312"/>
          <w:sz w:val="32"/>
          <w:szCs w:val="32"/>
        </w:rPr>
      </w:pPr>
    </w:p>
    <w:p>
      <w:pPr>
        <w:shd w:val="clear"/>
        <w:spacing w:line="576" w:lineRule="exact"/>
        <w:ind w:firstLine="642" w:firstLineChars="200"/>
        <w:rPr>
          <w:rFonts w:ascii="仿宋_GB2312" w:hAnsi="仿宋_GB2312" w:eastAsia="仿宋_GB2312" w:cs="仿宋_GB2312"/>
          <w:b/>
          <w:bCs/>
          <w:sz w:val="32"/>
          <w:szCs w:val="32"/>
        </w:rPr>
      </w:pPr>
    </w:p>
    <w:sectPr>
      <w:pgSz w:w="11906" w:h="16838"/>
      <w:pgMar w:top="2098" w:right="1474" w:bottom="1984" w:left="1587" w:header="720" w:footer="1559" w:gutter="0"/>
      <w:pgBorders>
        <w:top w:val="none" w:sz="0" w:space="0"/>
        <w:left w:val="none" w:sz="0" w:space="0"/>
        <w:bottom w:val="none" w:sz="0" w:space="0"/>
        <w:right w:val="none" w:sz="0" w:space="0"/>
      </w:pgBorders>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Cambria">
    <w:altName w:val="Noto Sans Syriac Eastern"/>
    <w:panose1 w:val="02040503050406030204"/>
    <w:charset w:val="00"/>
    <w:family w:val="auto"/>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仿宋_GB2312">
    <w:panose1 w:val="02010609030101010101"/>
    <w:charset w:val="86"/>
    <w:family w:val="modern"/>
    <w:pitch w:val="default"/>
    <w:sig w:usb0="00000001" w:usb1="080E0000" w:usb2="00000000" w:usb3="00000000" w:csb0="00040000" w:csb1="00000000"/>
  </w:font>
  <w:font w:name="Liberation Sans">
    <w:panose1 w:val="020B0604020202020204"/>
    <w:charset w:val="00"/>
    <w:family w:val="auto"/>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Calibri Light">
    <w:altName w:val="Lucida Sans"/>
    <w:panose1 w:val="020F0302020204030204"/>
    <w:charset w:val="00"/>
    <w:family w:val="auto"/>
    <w:pitch w:val="default"/>
    <w:sig w:usb0="00000000" w:usb1="00000000"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华文隶书">
    <w:altName w:val="宋体"/>
    <w:panose1 w:val="02010800040101010101"/>
    <w:charset w:val="86"/>
    <w:family w:val="auto"/>
    <w:pitch w:val="default"/>
    <w:sig w:usb0="00000000" w:usb1="0000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楷体简体">
    <w:altName w:val="宋体"/>
    <w:panose1 w:val="03000509000000000000"/>
    <w:charset w:val="86"/>
    <w:family w:val="auto"/>
    <w:pitch w:val="default"/>
    <w:sig w:usb0="00000000" w:usb1="00000000" w:usb2="00000010" w:usb3="00000000" w:csb0="00040000" w:csb1="00000000"/>
  </w:font>
  <w:font w:name="Comic Sans MS">
    <w:panose1 w:val="030F0702030302020204"/>
    <w:charset w:val="00"/>
    <w:family w:val="auto"/>
    <w:pitch w:val="default"/>
    <w:sig w:usb0="00000287" w:usb1="00000000" w:usb2="00000000" w:usb3="00000000" w:csb0="2000009F"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10"/>
      <w:tabs>
        <w:tab w:val="right" w:pos="8845"/>
        <w:tab w:val="clear" w:pos="4153"/>
        <w:tab w:val="clear" w:pos="8306"/>
      </w:tabs>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p>
  <w:p>
    <w:pPr>
      <w:pStyle w:val="1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TrueTypeFonts/>
  <w:saveSubsetFonts/>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c2ZGZiNzZiNDVlOGViOWVmM2JhOTY0NGJkNjUyYzgifQ=="/>
  </w:docVars>
  <w:rsids>
    <w:rsidRoot w:val="0088260A"/>
    <w:rsid w:val="00137595"/>
    <w:rsid w:val="002E1745"/>
    <w:rsid w:val="00341170"/>
    <w:rsid w:val="00422135"/>
    <w:rsid w:val="004956E4"/>
    <w:rsid w:val="005D5B4A"/>
    <w:rsid w:val="00627E52"/>
    <w:rsid w:val="00842679"/>
    <w:rsid w:val="0088260A"/>
    <w:rsid w:val="00AE3520"/>
    <w:rsid w:val="00B76943"/>
    <w:rsid w:val="00C17A40"/>
    <w:rsid w:val="00D27CC3"/>
    <w:rsid w:val="00E822BA"/>
    <w:rsid w:val="00FC04B4"/>
    <w:rsid w:val="012352D1"/>
    <w:rsid w:val="097554F6"/>
    <w:rsid w:val="0C103104"/>
    <w:rsid w:val="177F48AD"/>
    <w:rsid w:val="1BC85AA0"/>
    <w:rsid w:val="1ED47CA2"/>
    <w:rsid w:val="1F7BF06F"/>
    <w:rsid w:val="1FEE4B73"/>
    <w:rsid w:val="23CE9849"/>
    <w:rsid w:val="2CF369CD"/>
    <w:rsid w:val="303E4090"/>
    <w:rsid w:val="39F304DD"/>
    <w:rsid w:val="3C033A0A"/>
    <w:rsid w:val="3E3F686D"/>
    <w:rsid w:val="475C411F"/>
    <w:rsid w:val="48EF4625"/>
    <w:rsid w:val="54244390"/>
    <w:rsid w:val="54662A63"/>
    <w:rsid w:val="58064E12"/>
    <w:rsid w:val="5BFEE015"/>
    <w:rsid w:val="606D163F"/>
    <w:rsid w:val="63EDCF55"/>
    <w:rsid w:val="63FBFBCF"/>
    <w:rsid w:val="667557A7"/>
    <w:rsid w:val="669360FD"/>
    <w:rsid w:val="68FF6A83"/>
    <w:rsid w:val="6FBBC9CF"/>
    <w:rsid w:val="72BDE561"/>
    <w:rsid w:val="78462278"/>
    <w:rsid w:val="7997EA6C"/>
    <w:rsid w:val="7AB57EE0"/>
    <w:rsid w:val="7AEAE675"/>
    <w:rsid w:val="7BAFCE5D"/>
    <w:rsid w:val="7D46598C"/>
    <w:rsid w:val="7DF52B2D"/>
    <w:rsid w:val="7DFB240B"/>
    <w:rsid w:val="7E0935ED"/>
    <w:rsid w:val="7FCF2AF7"/>
    <w:rsid w:val="8DBF252D"/>
    <w:rsid w:val="9FEF033D"/>
    <w:rsid w:val="A27FF1E5"/>
    <w:rsid w:val="AD358CBD"/>
    <w:rsid w:val="AECC591F"/>
    <w:rsid w:val="AFDEB5A7"/>
    <w:rsid w:val="AFEA7FBF"/>
    <w:rsid w:val="B83F4767"/>
    <w:rsid w:val="BF930F07"/>
    <w:rsid w:val="BFCE8436"/>
    <w:rsid w:val="BFDDF603"/>
    <w:rsid w:val="C3F7EB7A"/>
    <w:rsid w:val="CFF5FEEC"/>
    <w:rsid w:val="D3DD9064"/>
    <w:rsid w:val="D6F76A0C"/>
    <w:rsid w:val="D7ECE8D2"/>
    <w:rsid w:val="DFDD4FB5"/>
    <w:rsid w:val="E7F748B5"/>
    <w:rsid w:val="EE5F3713"/>
    <w:rsid w:val="EFC9D62C"/>
    <w:rsid w:val="F6BE9755"/>
    <w:rsid w:val="F6FFA89B"/>
    <w:rsid w:val="F7FF69DC"/>
    <w:rsid w:val="FAE4EFE1"/>
    <w:rsid w:val="FB9B6F12"/>
    <w:rsid w:val="FBB66A4A"/>
    <w:rsid w:val="FDEE6989"/>
    <w:rsid w:val="FF5E7DB8"/>
    <w:rsid w:val="FF77E367"/>
    <w:rsid w:val="FFD576EB"/>
    <w:rsid w:val="FFDE185E"/>
    <w:rsid w:val="FFFBE8B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jc w:val="both"/>
    </w:pPr>
    <w:rPr>
      <w:rFonts w:ascii="Calibri" w:hAnsi="Calibri" w:eastAsia="宋体" w:cs="Times New Roman"/>
      <w:kern w:val="2"/>
      <w:sz w:val="21"/>
      <w:szCs w:val="24"/>
      <w:lang w:val="en-US" w:eastAsia="zh-CN" w:bidi="ar-SA"/>
    </w:rPr>
  </w:style>
  <w:style w:type="paragraph" w:styleId="4">
    <w:name w:val="heading 1"/>
    <w:basedOn w:val="1"/>
    <w:next w:val="1"/>
    <w:link w:val="19"/>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20"/>
    <w:unhideWhenUsed/>
    <w:qFormat/>
    <w:uiPriority w:val="0"/>
    <w:pPr>
      <w:keepNext/>
      <w:keepLines/>
      <w:spacing w:before="260" w:after="260" w:line="416" w:lineRule="auto"/>
      <w:outlineLvl w:val="1"/>
    </w:pPr>
    <w:rPr>
      <w:rFonts w:ascii="Cambria" w:hAnsi="Cambria"/>
      <w:b/>
      <w:bCs/>
      <w:sz w:val="32"/>
      <w:szCs w:val="32"/>
    </w:rPr>
  </w:style>
  <w:style w:type="paragraph" w:styleId="6">
    <w:name w:val="heading 3"/>
    <w:basedOn w:val="1"/>
    <w:next w:val="1"/>
    <w:link w:val="21"/>
    <w:unhideWhenUsed/>
    <w:qFormat/>
    <w:uiPriority w:val="0"/>
    <w:pPr>
      <w:keepNext/>
      <w:keepLines/>
      <w:spacing w:before="260" w:after="260" w:line="416" w:lineRule="auto"/>
      <w:outlineLvl w:val="2"/>
    </w:pPr>
    <w:rPr>
      <w:b/>
      <w:bCs/>
      <w:sz w:val="32"/>
      <w:szCs w:val="32"/>
    </w:rPr>
  </w:style>
  <w:style w:type="character" w:default="1" w:styleId="17">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qFormat/>
    <w:uiPriority w:val="0"/>
    <w:pPr>
      <w:ind w:right="-149" w:rightChars="-51" w:firstLine="645"/>
    </w:pPr>
    <w:rPr>
      <w:rFonts w:ascii="仿宋_GB2312" w:eastAsia="仿宋_GB2312"/>
      <w:color w:val="000000"/>
      <w:sz w:val="32"/>
      <w:szCs w:val="32"/>
    </w:rPr>
  </w:style>
  <w:style w:type="paragraph" w:styleId="7">
    <w:name w:val="caption"/>
    <w:basedOn w:val="1"/>
    <w:next w:val="1"/>
    <w:qFormat/>
    <w:uiPriority w:val="0"/>
    <w:pPr>
      <w:suppressLineNumbers/>
      <w:spacing w:before="120" w:after="120"/>
    </w:pPr>
    <w:rPr>
      <w:i/>
      <w:iCs/>
      <w:sz w:val="24"/>
    </w:rPr>
  </w:style>
  <w:style w:type="paragraph" w:styleId="8">
    <w:name w:val="Body Text"/>
    <w:basedOn w:val="1"/>
    <w:qFormat/>
    <w:uiPriority w:val="0"/>
    <w:pPr>
      <w:spacing w:after="140" w:line="276" w:lineRule="auto"/>
    </w:pPr>
  </w:style>
  <w:style w:type="paragraph" w:styleId="9">
    <w:name w:val="toc 3"/>
    <w:basedOn w:val="1"/>
    <w:next w:val="1"/>
    <w:unhideWhenUsed/>
    <w:qFormat/>
    <w:uiPriority w:val="39"/>
    <w:pPr>
      <w:widowControl/>
      <w:spacing w:after="100" w:line="259" w:lineRule="auto"/>
      <w:ind w:left="440"/>
      <w:jc w:val="left"/>
    </w:pPr>
    <w:rPr>
      <w:kern w:val="0"/>
      <w:sz w:val="22"/>
      <w:szCs w:val="22"/>
    </w:rPr>
  </w:style>
  <w:style w:type="paragraph" w:styleId="10">
    <w:name w:val="footer"/>
    <w:basedOn w:val="1"/>
    <w:link w:val="26"/>
    <w:qFormat/>
    <w:uiPriority w:val="99"/>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unhideWhenUsed/>
    <w:qFormat/>
    <w:uiPriority w:val="39"/>
    <w:pPr>
      <w:widowControl/>
      <w:spacing w:after="100" w:line="259" w:lineRule="auto"/>
      <w:jc w:val="left"/>
    </w:pPr>
    <w:rPr>
      <w:kern w:val="0"/>
      <w:sz w:val="22"/>
      <w:szCs w:val="22"/>
    </w:rPr>
  </w:style>
  <w:style w:type="paragraph" w:styleId="13">
    <w:name w:val="List"/>
    <w:basedOn w:val="8"/>
    <w:qFormat/>
    <w:uiPriority w:val="0"/>
  </w:style>
  <w:style w:type="paragraph" w:styleId="14">
    <w:name w:val="toc 2"/>
    <w:basedOn w:val="1"/>
    <w:next w:val="1"/>
    <w:unhideWhenUsed/>
    <w:qFormat/>
    <w:uiPriority w:val="39"/>
    <w:pPr>
      <w:widowControl/>
      <w:spacing w:after="100" w:line="259" w:lineRule="auto"/>
      <w:ind w:left="220"/>
      <w:jc w:val="left"/>
    </w:pPr>
    <w:rPr>
      <w:kern w:val="0"/>
      <w:sz w:val="22"/>
      <w:szCs w:val="22"/>
    </w:rPr>
  </w:style>
  <w:style w:type="paragraph" w:styleId="15">
    <w:name w:val="Normal (Web)"/>
    <w:basedOn w:val="1"/>
    <w:qFormat/>
    <w:uiPriority w:val="0"/>
    <w:rPr>
      <w:sz w:val="24"/>
    </w:rPr>
  </w:style>
  <w:style w:type="character" w:styleId="18">
    <w:name w:val="Hyperlink"/>
    <w:unhideWhenUsed/>
    <w:qFormat/>
    <w:uiPriority w:val="99"/>
    <w:rPr>
      <w:color w:val="0563C1"/>
      <w:u w:val="single"/>
    </w:rPr>
  </w:style>
  <w:style w:type="character" w:customStyle="1" w:styleId="19">
    <w:name w:val="标题 1 Char"/>
    <w:link w:val="4"/>
    <w:qFormat/>
    <w:uiPriority w:val="0"/>
    <w:rPr>
      <w:rFonts w:ascii="Calibri" w:hAnsi="Calibri"/>
      <w:b/>
      <w:bCs/>
      <w:kern w:val="44"/>
      <w:sz w:val="44"/>
      <w:szCs w:val="44"/>
    </w:rPr>
  </w:style>
  <w:style w:type="character" w:customStyle="1" w:styleId="20">
    <w:name w:val="标题 2 Char"/>
    <w:link w:val="5"/>
    <w:qFormat/>
    <w:uiPriority w:val="0"/>
    <w:rPr>
      <w:rFonts w:ascii="Cambria" w:hAnsi="Cambria" w:eastAsia="宋体" w:cs="Times New Roman"/>
      <w:b/>
      <w:bCs/>
      <w:kern w:val="2"/>
      <w:sz w:val="32"/>
      <w:szCs w:val="32"/>
    </w:rPr>
  </w:style>
  <w:style w:type="character" w:customStyle="1" w:styleId="21">
    <w:name w:val="标题 3 Char"/>
    <w:link w:val="6"/>
    <w:qFormat/>
    <w:uiPriority w:val="0"/>
    <w:rPr>
      <w:rFonts w:ascii="Calibri" w:hAnsi="Calibri"/>
      <w:b/>
      <w:bCs/>
      <w:kern w:val="2"/>
      <w:sz w:val="32"/>
      <w:szCs w:val="32"/>
    </w:rPr>
  </w:style>
  <w:style w:type="paragraph" w:customStyle="1" w:styleId="22">
    <w:name w:val="Heading"/>
    <w:basedOn w:val="1"/>
    <w:next w:val="8"/>
    <w:qFormat/>
    <w:uiPriority w:val="0"/>
    <w:pPr>
      <w:keepNext/>
      <w:spacing w:before="240" w:after="120"/>
    </w:pPr>
    <w:rPr>
      <w:rFonts w:ascii="Liberation Sans" w:hAnsi="Liberation Sans" w:eastAsia="Noto Sans CJK SC Regular" w:cs="Noto Sans CJK SC Regular"/>
      <w:sz w:val="28"/>
      <w:szCs w:val="28"/>
    </w:rPr>
  </w:style>
  <w:style w:type="paragraph" w:customStyle="1" w:styleId="23">
    <w:name w:val="Index"/>
    <w:basedOn w:val="1"/>
    <w:qFormat/>
    <w:uiPriority w:val="0"/>
    <w:pPr>
      <w:suppressLineNumbers/>
    </w:pPr>
  </w:style>
  <w:style w:type="paragraph" w:customStyle="1" w:styleId="24">
    <w:name w:val="TOC Heading"/>
    <w:basedOn w:val="4"/>
    <w:next w:val="1"/>
    <w:unhideWhenUsed/>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character" w:customStyle="1" w:styleId="25">
    <w:name w:val="默认段落字体1"/>
    <w:qFormat/>
    <w:uiPriority w:val="0"/>
  </w:style>
  <w:style w:type="character" w:customStyle="1" w:styleId="26">
    <w:name w:val="页脚 Char"/>
    <w:basedOn w:val="17"/>
    <w:link w:val="10"/>
    <w:qFormat/>
    <w:uiPriority w:val="99"/>
    <w:rPr>
      <w:rFonts w:ascii="Calibri" w:hAnsi="Calibri"/>
      <w:kern w:val="2"/>
      <w:sz w:val="18"/>
      <w:szCs w:val="24"/>
    </w:rPr>
  </w:style>
  <w:style w:type="paragraph" w:customStyle="1" w:styleId="27">
    <w:name w:val="WPSOffice手动目录 1"/>
    <w:qFormat/>
    <w:uiPriority w:val="0"/>
    <w:pPr>
      <w:ind w:leftChars="0"/>
    </w:pPr>
    <w:rPr>
      <w:rFonts w:ascii="Times New Roman" w:hAnsi="Times New Roman" w:eastAsia="宋体" w:cs="Times New Roman"/>
      <w:sz w:val="20"/>
      <w:szCs w:val="20"/>
    </w:rPr>
  </w:style>
  <w:style w:type="paragraph" w:customStyle="1" w:styleId="28">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1131</Words>
  <Characters>6448</Characters>
  <Lines>53</Lines>
  <Paragraphs>15</Paragraphs>
  <TotalTime>10</TotalTime>
  <ScaleCrop>false</ScaleCrop>
  <LinksUpToDate>false</LinksUpToDate>
  <CharactersWithSpaces>0</CharactersWithSpaces>
  <Application>WPS Office_11.8.2.1125_F1E327BC-269C-435d-A152-05C5408002CA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2024-02-05T01:24:00Z</dcterms:created>
  <dc:creator>admin</dc:creator>
  <cp:lastModifiedBy> </cp:lastModifiedBy>
  <dcterms:modified xsi:type="dcterms:W3CDTF">2024-02-18T09:25:34Z</dcterms:modified>
  <dc:title>四川省广元市中级人民法院</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