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900" w:lineRule="exact"/>
        <w:jc w:val="center"/>
        <w:textAlignment w:val="auto"/>
        <w:rPr>
          <w:rFonts w:hint="eastAsia" w:ascii="方正小标宋简体" w:hAnsi="方正小标宋简体" w:eastAsia="方正小标宋简体" w:cs="方正小标宋简体"/>
          <w:b/>
          <w:bCs/>
          <w:i w:val="0"/>
          <w:caps w:val="0"/>
          <w:color w:val="000000" w:themeColor="text1"/>
          <w:spacing w:val="0"/>
          <w:kern w:val="0"/>
          <w:sz w:val="56"/>
          <w:szCs w:val="56"/>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900" w:lineRule="exact"/>
        <w:jc w:val="center"/>
        <w:textAlignment w:val="auto"/>
        <w:rPr>
          <w:rFonts w:hint="eastAsia" w:ascii="方正小标宋简体" w:hAnsi="方正小标宋简体" w:eastAsia="方正小标宋简体" w:cs="方正小标宋简体"/>
          <w:b/>
          <w:bCs/>
          <w:i w:val="0"/>
          <w:caps w:val="0"/>
          <w:color w:val="000000" w:themeColor="text1"/>
          <w:spacing w:val="0"/>
          <w:kern w:val="0"/>
          <w:sz w:val="56"/>
          <w:szCs w:val="56"/>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900" w:lineRule="exact"/>
        <w:jc w:val="center"/>
        <w:textAlignment w:val="auto"/>
        <w:outlineLvl w:val="0"/>
        <w:rPr>
          <w:rFonts w:hint="eastAsia" w:ascii="方正小标宋简体" w:hAnsi="方正小标宋简体" w:eastAsia="方正小标宋简体" w:cs="方正小标宋简体"/>
          <w:b/>
          <w:bCs/>
          <w:i w:val="0"/>
          <w:caps w:val="0"/>
          <w:color w:val="000000" w:themeColor="text1"/>
          <w:spacing w:val="0"/>
          <w:kern w:val="0"/>
          <w:sz w:val="56"/>
          <w:szCs w:val="56"/>
          <w:highlight w:val="none"/>
          <w:shd w:val="clear" w:color="auto" w:fill="FFFFFF"/>
          <w:lang w:val="en-US" w:eastAsia="zh-CN" w:bidi="ar"/>
          <w14:textFill>
            <w14:solidFill>
              <w14:schemeClr w14:val="tx1"/>
            </w14:solidFill>
          </w14:textFill>
        </w:rPr>
      </w:pPr>
      <w:bookmarkStart w:id="0" w:name="_Toc21737"/>
      <w:r>
        <w:rPr>
          <w:rFonts w:hint="eastAsia" w:ascii="方正小标宋简体" w:hAnsi="方正小标宋简体" w:eastAsia="方正小标宋简体" w:cs="方正小标宋简体"/>
          <w:b/>
          <w:bCs/>
          <w:i w:val="0"/>
          <w:caps w:val="0"/>
          <w:color w:val="000000" w:themeColor="text1"/>
          <w:spacing w:val="0"/>
          <w:kern w:val="0"/>
          <w:sz w:val="56"/>
          <w:szCs w:val="56"/>
          <w:highlight w:val="none"/>
          <w:shd w:val="clear" w:color="auto" w:fill="FFFFFF"/>
          <w:lang w:val="en-US" w:eastAsia="zh-CN" w:bidi="ar"/>
          <w14:textFill>
            <w14:solidFill>
              <w14:schemeClr w14:val="tx1"/>
            </w14:solidFill>
          </w14:textFill>
        </w:rPr>
        <w:t>中国共产党广元市委员会组织部</w:t>
      </w:r>
      <w:bookmarkEnd w:id="0"/>
    </w:p>
    <w:p>
      <w:pPr>
        <w:keepNext w:val="0"/>
        <w:keepLines w:val="0"/>
        <w:pageBreakBefore w:val="0"/>
        <w:widowControl w:val="0"/>
        <w:kinsoku/>
        <w:wordWrap/>
        <w:overflowPunct/>
        <w:topLinePunct w:val="0"/>
        <w:autoSpaceDE/>
        <w:autoSpaceDN/>
        <w:bidi w:val="0"/>
        <w:adjustRightInd/>
        <w:snapToGrid/>
        <w:spacing w:line="900" w:lineRule="exact"/>
        <w:jc w:val="center"/>
        <w:textAlignment w:val="auto"/>
        <w:rPr>
          <w:rFonts w:hint="eastAsia" w:ascii="方正小标宋简体" w:hAnsi="方正小标宋简体" w:eastAsia="方正小标宋简体" w:cs="方正小标宋简体"/>
          <w:b/>
          <w:bCs/>
          <w:i w:val="0"/>
          <w:caps w:val="0"/>
          <w:color w:val="000000" w:themeColor="text1"/>
          <w:spacing w:val="0"/>
          <w:kern w:val="0"/>
          <w:sz w:val="56"/>
          <w:szCs w:val="56"/>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start="1"/>
          <w:cols w:space="720" w:num="1"/>
          <w:docGrid w:type="lines" w:linePitch="312" w:charSpace="0"/>
        </w:sectPr>
      </w:pPr>
      <w:r>
        <w:rPr>
          <w:rFonts w:hint="eastAsia" w:ascii="方正小标宋简体" w:hAnsi="方正小标宋简体" w:eastAsia="方正小标宋简体" w:cs="方正小标宋简体"/>
          <w:b/>
          <w:bCs/>
          <w:i w:val="0"/>
          <w:caps w:val="0"/>
          <w:color w:val="000000" w:themeColor="text1"/>
          <w:spacing w:val="0"/>
          <w:kern w:val="0"/>
          <w:sz w:val="56"/>
          <w:szCs w:val="56"/>
          <w:highlight w:val="none"/>
          <w:shd w:val="clear" w:color="auto" w:fill="FFFFFF"/>
          <w:lang w:val="en-US" w:eastAsia="zh-CN" w:bidi="ar"/>
          <w14:textFill>
            <w14:solidFill>
              <w14:schemeClr w14:val="tx1"/>
            </w14:solidFill>
          </w14:textFill>
        </w:rPr>
        <w:t>2024年部门预算编制说明</w:t>
      </w:r>
    </w:p>
    <w:sdt>
      <w:sdtPr>
        <w:rPr>
          <w:rFonts w:ascii="宋体" w:hAnsi="宋体" w:eastAsia="宋体" w:cs="Times New Roman"/>
          <w:color w:val="auto"/>
          <w:kern w:val="2"/>
          <w:sz w:val="21"/>
          <w:szCs w:val="24"/>
          <w:lang w:val="en-US" w:eastAsia="zh-CN" w:bidi="ar-SA"/>
        </w:rPr>
        <w:id w:val="147474530"/>
        <w15:color w:val="DBDBDB"/>
        <w:docPartObj>
          <w:docPartGallery w:val="Table of Contents"/>
          <w:docPartUnique/>
        </w:docPartObj>
      </w:sdtPr>
      <w:sdtEndPr>
        <w:rPr>
          <w:b/>
        </w:rPr>
      </w:sdtEndPr>
      <w:sdtContent>
        <w:p>
          <w:pPr>
            <w:spacing w:before="0" w:beforeLines="0" w:after="0" w:afterLines="0" w:line="360" w:lineRule="auto"/>
            <w:ind w:left="0" w:leftChars="0" w:right="0" w:rightChars="0" w:firstLine="0" w:firstLineChars="0"/>
            <w:jc w:val="center"/>
          </w:pPr>
          <w:bookmarkStart w:id="27" w:name="_GoBack"/>
          <w:bookmarkEnd w:id="27"/>
          <w:r>
            <w:rPr>
              <w:rFonts w:ascii="宋体" w:hAnsi="宋体" w:eastAsia="宋体"/>
              <w:sz w:val="21"/>
            </w:rPr>
            <w:t>目录</w:t>
          </w:r>
        </w:p>
        <w:p>
          <w:pPr>
            <w:pStyle w:val="15"/>
            <w:tabs>
              <w:tab w:val="right" w:leader="dot" w:pos="8845"/>
            </w:tabs>
            <w:spacing w:line="360" w:lineRule="auto"/>
            <w:rPr>
              <w:b/>
            </w:rPr>
          </w:pPr>
          <w:r>
            <w:fldChar w:fldCharType="begin"/>
          </w:r>
          <w:r>
            <w:instrText xml:space="preserve">TOC \o "1-2" \h \u </w:instrText>
          </w:r>
          <w:r>
            <w:fldChar w:fldCharType="separate"/>
          </w:r>
          <w:r>
            <w:rPr>
              <w:b/>
            </w:rPr>
            <w:fldChar w:fldCharType="begin"/>
          </w:r>
          <w:r>
            <w:rPr>
              <w:b/>
            </w:rPr>
            <w:instrText xml:space="preserve"> HYPERLINK \l _Toc28398 </w:instrText>
          </w:r>
          <w:r>
            <w:rPr>
              <w:b/>
            </w:rPr>
            <w:fldChar w:fldCharType="separate"/>
          </w:r>
          <w:r>
            <w:rPr>
              <w:rFonts w:hint="eastAsia" w:ascii="黑体" w:hAnsi="黑体" w:eastAsia="黑体" w:cs="黑体"/>
              <w:b/>
              <w:bCs/>
              <w:szCs w:val="32"/>
              <w:lang w:val="en-US" w:eastAsia="zh-CN"/>
            </w:rPr>
            <w:t>一、基本职能及主要工作</w:t>
          </w:r>
          <w:r>
            <w:rPr>
              <w:b/>
            </w:rPr>
            <w:tab/>
          </w:r>
          <w:r>
            <w:rPr>
              <w:b/>
            </w:rPr>
            <w:fldChar w:fldCharType="begin"/>
          </w:r>
          <w:r>
            <w:rPr>
              <w:b/>
            </w:rPr>
            <w:instrText xml:space="preserve"> PAGEREF _Toc28398 \h </w:instrText>
          </w:r>
          <w:r>
            <w:rPr>
              <w:b/>
            </w:rPr>
            <w:fldChar w:fldCharType="separate"/>
          </w:r>
          <w:r>
            <w:rPr>
              <w:b/>
            </w:rPr>
            <w:t>2</w:t>
          </w:r>
          <w:r>
            <w:rPr>
              <w:b/>
            </w:rPr>
            <w:fldChar w:fldCharType="end"/>
          </w:r>
          <w:r>
            <w:rPr>
              <w:b/>
            </w:rPr>
            <w:fldChar w:fldCharType="end"/>
          </w:r>
        </w:p>
        <w:p>
          <w:pPr>
            <w:pStyle w:val="16"/>
            <w:tabs>
              <w:tab w:val="right" w:leader="dot" w:pos="8845"/>
            </w:tabs>
            <w:spacing w:line="360" w:lineRule="auto"/>
          </w:pPr>
          <w:r>
            <w:fldChar w:fldCharType="begin"/>
          </w:r>
          <w:r>
            <w:instrText xml:space="preserve"> HYPERLINK \l _Toc25202 </w:instrText>
          </w:r>
          <w:r>
            <w:fldChar w:fldCharType="separate"/>
          </w:r>
          <w:r>
            <w:rPr>
              <w:rFonts w:hint="eastAsia" w:ascii="楷体_GB2312" w:hAnsi="楷体_GB2312" w:eastAsia="楷体_GB2312" w:cs="楷体_GB2312"/>
              <w:bCs/>
              <w:szCs w:val="32"/>
            </w:rPr>
            <w:t>（一）</w:t>
          </w:r>
          <w:r>
            <w:rPr>
              <w:rFonts w:hint="eastAsia" w:ascii="楷体_GB2312" w:hAnsi="楷体_GB2312" w:eastAsia="楷体_GB2312" w:cs="楷体_GB2312"/>
              <w:bCs/>
              <w:szCs w:val="32"/>
              <w:lang w:val="en-US" w:eastAsia="zh-CN"/>
            </w:rPr>
            <w:t>中国共产党广元市委员会组织部</w:t>
          </w:r>
          <w:r>
            <w:rPr>
              <w:rFonts w:hint="eastAsia" w:ascii="楷体_GB2312" w:hAnsi="楷体_GB2312" w:eastAsia="楷体_GB2312" w:cs="楷体_GB2312"/>
              <w:bCs/>
              <w:szCs w:val="32"/>
            </w:rPr>
            <w:t>职能简介</w:t>
          </w:r>
          <w:r>
            <w:tab/>
          </w:r>
          <w:r>
            <w:fldChar w:fldCharType="begin"/>
          </w:r>
          <w:r>
            <w:instrText xml:space="preserve"> PAGEREF _Toc25202 \h </w:instrText>
          </w:r>
          <w:r>
            <w:fldChar w:fldCharType="separate"/>
          </w:r>
          <w:r>
            <w:t>2</w:t>
          </w:r>
          <w:r>
            <w:fldChar w:fldCharType="end"/>
          </w:r>
          <w:r>
            <w:fldChar w:fldCharType="end"/>
          </w:r>
        </w:p>
        <w:p>
          <w:pPr>
            <w:pStyle w:val="16"/>
            <w:tabs>
              <w:tab w:val="right" w:leader="dot" w:pos="8845"/>
            </w:tabs>
            <w:spacing w:line="360" w:lineRule="auto"/>
          </w:pPr>
          <w:r>
            <w:fldChar w:fldCharType="begin"/>
          </w:r>
          <w:r>
            <w:instrText xml:space="preserve"> HYPERLINK \l _Toc2205 </w:instrText>
          </w:r>
          <w:r>
            <w:fldChar w:fldCharType="separate"/>
          </w:r>
          <w:r>
            <w:rPr>
              <w:rFonts w:hint="eastAsia" w:ascii="楷体_GB2312" w:hAnsi="楷体_GB2312" w:eastAsia="楷体_GB2312" w:cs="楷体_GB2312"/>
              <w:bCs/>
              <w:szCs w:val="32"/>
            </w:rPr>
            <w:t>（二）</w:t>
          </w:r>
          <w:r>
            <w:rPr>
              <w:rFonts w:hint="eastAsia" w:ascii="楷体_GB2312" w:hAnsi="楷体_GB2312" w:eastAsia="楷体_GB2312" w:cs="楷体_GB2312"/>
              <w:bCs/>
              <w:szCs w:val="32"/>
              <w:lang w:val="en-US" w:eastAsia="zh-CN"/>
            </w:rPr>
            <w:t>中国共产党广元市委员会组织部</w:t>
          </w:r>
          <w:r>
            <w:rPr>
              <w:rFonts w:hint="eastAsia" w:ascii="楷体_GB2312" w:hAnsi="楷体_GB2312" w:eastAsia="楷体_GB2312" w:cs="楷体_GB2312"/>
              <w:bCs/>
              <w:szCs w:val="32"/>
              <w:lang w:val="en-US"/>
            </w:rPr>
            <w:t>2024</w:t>
          </w:r>
          <w:r>
            <w:rPr>
              <w:rFonts w:hint="eastAsia" w:ascii="楷体_GB2312" w:hAnsi="楷体_GB2312" w:eastAsia="楷体_GB2312" w:cs="楷体_GB2312"/>
              <w:bCs/>
              <w:szCs w:val="32"/>
            </w:rPr>
            <w:t>年重点工作</w:t>
          </w:r>
          <w:r>
            <w:tab/>
          </w:r>
          <w:r>
            <w:fldChar w:fldCharType="begin"/>
          </w:r>
          <w:r>
            <w:instrText xml:space="preserve"> PAGEREF _Toc2205 \h </w:instrText>
          </w:r>
          <w:r>
            <w:fldChar w:fldCharType="separate"/>
          </w:r>
          <w:r>
            <w:t>3</w:t>
          </w:r>
          <w:r>
            <w:fldChar w:fldCharType="end"/>
          </w:r>
          <w:r>
            <w:fldChar w:fldCharType="end"/>
          </w:r>
        </w:p>
        <w:p>
          <w:pPr>
            <w:pStyle w:val="15"/>
            <w:tabs>
              <w:tab w:val="right" w:leader="dot" w:pos="8845"/>
            </w:tabs>
            <w:spacing w:line="360" w:lineRule="auto"/>
            <w:rPr>
              <w:b/>
            </w:rPr>
          </w:pPr>
          <w:r>
            <w:rPr>
              <w:b/>
            </w:rPr>
            <w:fldChar w:fldCharType="begin"/>
          </w:r>
          <w:r>
            <w:rPr>
              <w:b/>
            </w:rPr>
            <w:instrText xml:space="preserve"> HYPERLINK \l _Toc933 </w:instrText>
          </w:r>
          <w:r>
            <w:rPr>
              <w:b/>
            </w:rPr>
            <w:fldChar w:fldCharType="separate"/>
          </w:r>
          <w:r>
            <w:rPr>
              <w:rFonts w:hint="eastAsia" w:ascii="黑体" w:hAnsi="黑体" w:eastAsia="黑体" w:cs="黑体"/>
              <w:b/>
              <w:bCs/>
              <w:szCs w:val="32"/>
              <w:lang w:val="en-US" w:eastAsia="zh-CN"/>
            </w:rPr>
            <w:t>二、部门预算单位构成</w:t>
          </w:r>
          <w:r>
            <w:rPr>
              <w:b/>
            </w:rPr>
            <w:tab/>
          </w:r>
          <w:r>
            <w:rPr>
              <w:b/>
            </w:rPr>
            <w:fldChar w:fldCharType="begin"/>
          </w:r>
          <w:r>
            <w:rPr>
              <w:b/>
            </w:rPr>
            <w:instrText xml:space="preserve"> PAGEREF _Toc933 \h </w:instrText>
          </w:r>
          <w:r>
            <w:rPr>
              <w:b/>
            </w:rPr>
            <w:fldChar w:fldCharType="separate"/>
          </w:r>
          <w:r>
            <w:rPr>
              <w:b/>
            </w:rPr>
            <w:t>4</w:t>
          </w:r>
          <w:r>
            <w:rPr>
              <w:b/>
            </w:rPr>
            <w:fldChar w:fldCharType="end"/>
          </w:r>
          <w:r>
            <w:rPr>
              <w:b/>
            </w:rPr>
            <w:fldChar w:fldCharType="end"/>
          </w:r>
        </w:p>
        <w:p>
          <w:pPr>
            <w:pStyle w:val="15"/>
            <w:tabs>
              <w:tab w:val="right" w:leader="dot" w:pos="8845"/>
            </w:tabs>
            <w:spacing w:line="360" w:lineRule="auto"/>
            <w:rPr>
              <w:b/>
            </w:rPr>
          </w:pPr>
          <w:r>
            <w:rPr>
              <w:b/>
            </w:rPr>
            <w:fldChar w:fldCharType="begin"/>
          </w:r>
          <w:r>
            <w:rPr>
              <w:b/>
            </w:rPr>
            <w:instrText xml:space="preserve"> HYPERLINK \l _Toc15078 </w:instrText>
          </w:r>
          <w:r>
            <w:rPr>
              <w:b/>
            </w:rPr>
            <w:fldChar w:fldCharType="separate"/>
          </w:r>
          <w:r>
            <w:rPr>
              <w:rFonts w:hint="eastAsia" w:ascii="黑体" w:hAnsi="黑体" w:eastAsia="黑体" w:cs="黑体"/>
              <w:b/>
              <w:bCs/>
              <w:szCs w:val="32"/>
              <w:lang w:val="en-US" w:eastAsia="zh-CN"/>
            </w:rPr>
            <w:t>三、收支预算情况说明</w:t>
          </w:r>
          <w:r>
            <w:rPr>
              <w:b/>
            </w:rPr>
            <w:tab/>
          </w:r>
          <w:r>
            <w:rPr>
              <w:b/>
            </w:rPr>
            <w:fldChar w:fldCharType="begin"/>
          </w:r>
          <w:r>
            <w:rPr>
              <w:b/>
            </w:rPr>
            <w:instrText xml:space="preserve"> PAGEREF _Toc15078 \h </w:instrText>
          </w:r>
          <w:r>
            <w:rPr>
              <w:b/>
            </w:rPr>
            <w:fldChar w:fldCharType="separate"/>
          </w:r>
          <w:r>
            <w:rPr>
              <w:b/>
            </w:rPr>
            <w:t>4</w:t>
          </w:r>
          <w:r>
            <w:rPr>
              <w:b/>
            </w:rPr>
            <w:fldChar w:fldCharType="end"/>
          </w:r>
          <w:r>
            <w:rPr>
              <w:b/>
            </w:rPr>
            <w:fldChar w:fldCharType="end"/>
          </w:r>
        </w:p>
        <w:p>
          <w:pPr>
            <w:pStyle w:val="16"/>
            <w:tabs>
              <w:tab w:val="right" w:leader="dot" w:pos="8845"/>
            </w:tabs>
            <w:spacing w:line="360" w:lineRule="auto"/>
          </w:pPr>
          <w:r>
            <w:fldChar w:fldCharType="begin"/>
          </w:r>
          <w:r>
            <w:instrText xml:space="preserve"> HYPERLINK \l _Toc2375 </w:instrText>
          </w:r>
          <w:r>
            <w:fldChar w:fldCharType="separate"/>
          </w:r>
          <w:r>
            <w:rPr>
              <w:rFonts w:hint="eastAsia" w:ascii="楷体_GB2312" w:hAnsi="楷体_GB2312" w:eastAsia="楷体_GB2312" w:cs="楷体_GB2312"/>
              <w:bCs/>
              <w:szCs w:val="32"/>
              <w:lang w:val="en-US" w:eastAsia="zh-CN"/>
            </w:rPr>
            <w:t>（一）收入预算情况</w:t>
          </w:r>
          <w:r>
            <w:tab/>
          </w:r>
          <w:r>
            <w:fldChar w:fldCharType="begin"/>
          </w:r>
          <w:r>
            <w:instrText xml:space="preserve"> PAGEREF _Toc2375 \h </w:instrText>
          </w:r>
          <w:r>
            <w:fldChar w:fldCharType="separate"/>
          </w:r>
          <w:r>
            <w:t>4</w:t>
          </w:r>
          <w:r>
            <w:fldChar w:fldCharType="end"/>
          </w:r>
          <w:r>
            <w:fldChar w:fldCharType="end"/>
          </w:r>
        </w:p>
        <w:p>
          <w:pPr>
            <w:pStyle w:val="16"/>
            <w:tabs>
              <w:tab w:val="right" w:leader="dot" w:pos="8845"/>
            </w:tabs>
            <w:spacing w:line="360" w:lineRule="auto"/>
          </w:pPr>
          <w:r>
            <w:fldChar w:fldCharType="begin"/>
          </w:r>
          <w:r>
            <w:instrText xml:space="preserve"> HYPERLINK \l _Toc14888 </w:instrText>
          </w:r>
          <w:r>
            <w:fldChar w:fldCharType="separate"/>
          </w:r>
          <w:r>
            <w:rPr>
              <w:rFonts w:hint="eastAsia" w:ascii="楷体_GB2312" w:hAnsi="楷体_GB2312" w:eastAsia="楷体_GB2312" w:cs="楷体_GB2312"/>
              <w:bCs/>
              <w:szCs w:val="32"/>
              <w:lang w:val="en-US" w:eastAsia="zh-CN"/>
            </w:rPr>
            <w:t>（二）支出预算情况</w:t>
          </w:r>
          <w:r>
            <w:tab/>
          </w:r>
          <w:r>
            <w:fldChar w:fldCharType="begin"/>
          </w:r>
          <w:r>
            <w:instrText xml:space="preserve"> PAGEREF _Toc14888 \h </w:instrText>
          </w:r>
          <w:r>
            <w:fldChar w:fldCharType="separate"/>
          </w:r>
          <w:r>
            <w:t>4</w:t>
          </w:r>
          <w:r>
            <w:fldChar w:fldCharType="end"/>
          </w:r>
          <w:r>
            <w:fldChar w:fldCharType="end"/>
          </w:r>
        </w:p>
        <w:p>
          <w:pPr>
            <w:pStyle w:val="15"/>
            <w:tabs>
              <w:tab w:val="right" w:leader="dot" w:pos="8845"/>
            </w:tabs>
            <w:spacing w:line="360" w:lineRule="auto"/>
            <w:rPr>
              <w:b/>
            </w:rPr>
          </w:pPr>
          <w:r>
            <w:rPr>
              <w:b/>
            </w:rPr>
            <w:fldChar w:fldCharType="begin"/>
          </w:r>
          <w:r>
            <w:rPr>
              <w:b/>
            </w:rPr>
            <w:instrText xml:space="preserve"> HYPERLINK \l _Toc10787 </w:instrText>
          </w:r>
          <w:r>
            <w:rPr>
              <w:b/>
            </w:rPr>
            <w:fldChar w:fldCharType="separate"/>
          </w:r>
          <w:r>
            <w:rPr>
              <w:rFonts w:hint="eastAsia" w:ascii="黑体" w:hAnsi="黑体" w:eastAsia="黑体" w:cs="黑体"/>
              <w:b/>
              <w:bCs/>
              <w:szCs w:val="32"/>
              <w:lang w:val="en-US" w:eastAsia="zh-CN"/>
            </w:rPr>
            <w:t>四、财政拨款收支预算情况说明</w:t>
          </w:r>
          <w:r>
            <w:rPr>
              <w:b/>
            </w:rPr>
            <w:tab/>
          </w:r>
          <w:r>
            <w:rPr>
              <w:b/>
            </w:rPr>
            <w:fldChar w:fldCharType="begin"/>
          </w:r>
          <w:r>
            <w:rPr>
              <w:b/>
            </w:rPr>
            <w:instrText xml:space="preserve"> PAGEREF _Toc10787 \h </w:instrText>
          </w:r>
          <w:r>
            <w:rPr>
              <w:b/>
            </w:rPr>
            <w:fldChar w:fldCharType="separate"/>
          </w:r>
          <w:r>
            <w:rPr>
              <w:b/>
            </w:rPr>
            <w:t>5</w:t>
          </w:r>
          <w:r>
            <w:rPr>
              <w:b/>
            </w:rPr>
            <w:fldChar w:fldCharType="end"/>
          </w:r>
          <w:r>
            <w:rPr>
              <w:b/>
            </w:rPr>
            <w:fldChar w:fldCharType="end"/>
          </w:r>
        </w:p>
        <w:p>
          <w:pPr>
            <w:pStyle w:val="15"/>
            <w:tabs>
              <w:tab w:val="right" w:leader="dot" w:pos="8845"/>
            </w:tabs>
            <w:spacing w:line="360" w:lineRule="auto"/>
            <w:rPr>
              <w:b/>
            </w:rPr>
          </w:pPr>
          <w:r>
            <w:rPr>
              <w:b/>
            </w:rPr>
            <w:fldChar w:fldCharType="begin"/>
          </w:r>
          <w:r>
            <w:rPr>
              <w:b/>
            </w:rPr>
            <w:instrText xml:space="preserve"> HYPERLINK \l _Toc3657 </w:instrText>
          </w:r>
          <w:r>
            <w:rPr>
              <w:b/>
            </w:rPr>
            <w:fldChar w:fldCharType="separate"/>
          </w:r>
          <w:r>
            <w:rPr>
              <w:rFonts w:hint="eastAsia" w:ascii="黑体" w:hAnsi="黑体" w:eastAsia="黑体" w:cs="黑体"/>
              <w:b/>
              <w:bCs/>
              <w:szCs w:val="32"/>
              <w:lang w:val="en-US" w:eastAsia="zh-CN"/>
            </w:rPr>
            <w:t>五、一般公共预算当年拨款情况说明</w:t>
          </w:r>
          <w:r>
            <w:rPr>
              <w:b/>
            </w:rPr>
            <w:tab/>
          </w:r>
          <w:r>
            <w:rPr>
              <w:b/>
            </w:rPr>
            <w:fldChar w:fldCharType="begin"/>
          </w:r>
          <w:r>
            <w:rPr>
              <w:b/>
            </w:rPr>
            <w:instrText xml:space="preserve"> PAGEREF _Toc3657 \h </w:instrText>
          </w:r>
          <w:r>
            <w:rPr>
              <w:b/>
            </w:rPr>
            <w:fldChar w:fldCharType="separate"/>
          </w:r>
          <w:r>
            <w:rPr>
              <w:b/>
            </w:rPr>
            <w:t>5</w:t>
          </w:r>
          <w:r>
            <w:rPr>
              <w:b/>
            </w:rPr>
            <w:fldChar w:fldCharType="end"/>
          </w:r>
          <w:r>
            <w:rPr>
              <w:b/>
            </w:rPr>
            <w:fldChar w:fldCharType="end"/>
          </w:r>
        </w:p>
        <w:p>
          <w:pPr>
            <w:pStyle w:val="16"/>
            <w:tabs>
              <w:tab w:val="right" w:leader="dot" w:pos="8845"/>
            </w:tabs>
            <w:spacing w:line="360" w:lineRule="auto"/>
          </w:pPr>
          <w:r>
            <w:fldChar w:fldCharType="begin"/>
          </w:r>
          <w:r>
            <w:instrText xml:space="preserve"> HYPERLINK \l _Toc20936 </w:instrText>
          </w:r>
          <w:r>
            <w:fldChar w:fldCharType="separate"/>
          </w:r>
          <w:r>
            <w:rPr>
              <w:rFonts w:hint="eastAsia" w:ascii="楷体_GB2312" w:hAnsi="楷体_GB2312" w:eastAsia="楷体_GB2312" w:cs="楷体_GB2312"/>
              <w:bCs/>
              <w:szCs w:val="32"/>
              <w:lang w:val="en-US" w:eastAsia="zh-CN"/>
            </w:rPr>
            <w:t>（一）一般公共预算当年拨款规模变化情况</w:t>
          </w:r>
          <w:r>
            <w:tab/>
          </w:r>
          <w:r>
            <w:fldChar w:fldCharType="begin"/>
          </w:r>
          <w:r>
            <w:instrText xml:space="preserve"> PAGEREF _Toc20936 \h </w:instrText>
          </w:r>
          <w:r>
            <w:fldChar w:fldCharType="separate"/>
          </w:r>
          <w:r>
            <w:t>5</w:t>
          </w:r>
          <w:r>
            <w:fldChar w:fldCharType="end"/>
          </w:r>
          <w:r>
            <w:fldChar w:fldCharType="end"/>
          </w:r>
        </w:p>
        <w:p>
          <w:pPr>
            <w:pStyle w:val="16"/>
            <w:tabs>
              <w:tab w:val="right" w:leader="dot" w:pos="8845"/>
            </w:tabs>
            <w:spacing w:line="360" w:lineRule="auto"/>
          </w:pPr>
          <w:r>
            <w:fldChar w:fldCharType="begin"/>
          </w:r>
          <w:r>
            <w:instrText xml:space="preserve"> HYPERLINK \l _Toc21226 </w:instrText>
          </w:r>
          <w:r>
            <w:fldChar w:fldCharType="separate"/>
          </w:r>
          <w:r>
            <w:rPr>
              <w:rFonts w:hint="eastAsia" w:ascii="楷体_GB2312" w:hAnsi="楷体_GB2312" w:eastAsia="楷体_GB2312" w:cs="楷体_GB2312"/>
              <w:bCs/>
              <w:szCs w:val="32"/>
              <w:lang w:val="en-US" w:eastAsia="zh-CN"/>
            </w:rPr>
            <w:t>（二）一般公共预算当年拨款结构情况</w:t>
          </w:r>
          <w:r>
            <w:tab/>
          </w:r>
          <w:r>
            <w:fldChar w:fldCharType="begin"/>
          </w:r>
          <w:r>
            <w:instrText xml:space="preserve"> PAGEREF _Toc21226 \h </w:instrText>
          </w:r>
          <w:r>
            <w:fldChar w:fldCharType="separate"/>
          </w:r>
          <w:r>
            <w:t>5</w:t>
          </w:r>
          <w:r>
            <w:fldChar w:fldCharType="end"/>
          </w:r>
          <w:r>
            <w:fldChar w:fldCharType="end"/>
          </w:r>
        </w:p>
        <w:p>
          <w:pPr>
            <w:pStyle w:val="16"/>
            <w:tabs>
              <w:tab w:val="right" w:leader="dot" w:pos="8845"/>
            </w:tabs>
            <w:spacing w:line="360" w:lineRule="auto"/>
          </w:pPr>
          <w:r>
            <w:fldChar w:fldCharType="begin"/>
          </w:r>
          <w:r>
            <w:instrText xml:space="preserve"> HYPERLINK \l _Toc23125 </w:instrText>
          </w:r>
          <w:r>
            <w:fldChar w:fldCharType="separate"/>
          </w:r>
          <w:r>
            <w:rPr>
              <w:rFonts w:hint="eastAsia" w:ascii="楷体_GB2312" w:hAnsi="楷体_GB2312" w:eastAsia="楷体_GB2312" w:cs="楷体_GB2312"/>
              <w:bCs/>
              <w:szCs w:val="32"/>
              <w:lang w:val="en-US" w:eastAsia="zh-CN"/>
            </w:rPr>
            <w:t>（三）一般公共预算当年拨款具体使用情况</w:t>
          </w:r>
          <w:r>
            <w:tab/>
          </w:r>
          <w:r>
            <w:fldChar w:fldCharType="begin"/>
          </w:r>
          <w:r>
            <w:instrText xml:space="preserve"> PAGEREF _Toc23125 \h </w:instrText>
          </w:r>
          <w:r>
            <w:fldChar w:fldCharType="separate"/>
          </w:r>
          <w:r>
            <w:t>5</w:t>
          </w:r>
          <w:r>
            <w:fldChar w:fldCharType="end"/>
          </w:r>
          <w:r>
            <w:fldChar w:fldCharType="end"/>
          </w:r>
        </w:p>
        <w:p>
          <w:pPr>
            <w:pStyle w:val="15"/>
            <w:tabs>
              <w:tab w:val="right" w:leader="dot" w:pos="8845"/>
            </w:tabs>
            <w:spacing w:line="360" w:lineRule="auto"/>
            <w:rPr>
              <w:b/>
            </w:rPr>
          </w:pPr>
          <w:r>
            <w:rPr>
              <w:b/>
            </w:rPr>
            <w:fldChar w:fldCharType="begin"/>
          </w:r>
          <w:r>
            <w:rPr>
              <w:b/>
            </w:rPr>
            <w:instrText xml:space="preserve"> HYPERLINK \l _Toc6802 </w:instrText>
          </w:r>
          <w:r>
            <w:rPr>
              <w:b/>
            </w:rPr>
            <w:fldChar w:fldCharType="separate"/>
          </w:r>
          <w:r>
            <w:rPr>
              <w:rFonts w:hint="eastAsia" w:ascii="黑体" w:hAnsi="黑体" w:eastAsia="黑体" w:cs="黑体"/>
              <w:b/>
              <w:bCs/>
              <w:szCs w:val="32"/>
              <w:lang w:val="en-US" w:eastAsia="zh-CN"/>
            </w:rPr>
            <w:t>六、一般公共预算基本支出情况说明</w:t>
          </w:r>
          <w:r>
            <w:rPr>
              <w:b/>
            </w:rPr>
            <w:tab/>
          </w:r>
          <w:r>
            <w:rPr>
              <w:b/>
            </w:rPr>
            <w:fldChar w:fldCharType="begin"/>
          </w:r>
          <w:r>
            <w:rPr>
              <w:b/>
            </w:rPr>
            <w:instrText xml:space="preserve"> PAGEREF _Toc6802 \h </w:instrText>
          </w:r>
          <w:r>
            <w:rPr>
              <w:b/>
            </w:rPr>
            <w:fldChar w:fldCharType="separate"/>
          </w:r>
          <w:r>
            <w:rPr>
              <w:b/>
            </w:rPr>
            <w:t>6</w:t>
          </w:r>
          <w:r>
            <w:rPr>
              <w:b/>
            </w:rPr>
            <w:fldChar w:fldCharType="end"/>
          </w:r>
          <w:r>
            <w:rPr>
              <w:b/>
            </w:rPr>
            <w:fldChar w:fldCharType="end"/>
          </w:r>
        </w:p>
        <w:p>
          <w:pPr>
            <w:pStyle w:val="15"/>
            <w:tabs>
              <w:tab w:val="right" w:leader="dot" w:pos="8845"/>
            </w:tabs>
            <w:spacing w:line="360" w:lineRule="auto"/>
            <w:rPr>
              <w:b/>
            </w:rPr>
          </w:pPr>
          <w:r>
            <w:rPr>
              <w:b/>
            </w:rPr>
            <w:fldChar w:fldCharType="begin"/>
          </w:r>
          <w:r>
            <w:rPr>
              <w:b/>
            </w:rPr>
            <w:instrText xml:space="preserve"> HYPERLINK \l _Toc12690 </w:instrText>
          </w:r>
          <w:r>
            <w:rPr>
              <w:b/>
            </w:rPr>
            <w:fldChar w:fldCharType="separate"/>
          </w:r>
          <w:r>
            <w:rPr>
              <w:rFonts w:hint="eastAsia" w:ascii="黑体" w:hAnsi="黑体" w:eastAsia="黑体" w:cs="黑体"/>
              <w:b/>
              <w:bCs/>
              <w:szCs w:val="32"/>
              <w:lang w:val="en-US" w:eastAsia="zh-CN"/>
            </w:rPr>
            <w:t>七、“三公”经费财政拨款预算安排情况说明</w:t>
          </w:r>
          <w:r>
            <w:rPr>
              <w:b/>
            </w:rPr>
            <w:tab/>
          </w:r>
          <w:r>
            <w:rPr>
              <w:b/>
            </w:rPr>
            <w:fldChar w:fldCharType="begin"/>
          </w:r>
          <w:r>
            <w:rPr>
              <w:b/>
            </w:rPr>
            <w:instrText xml:space="preserve"> PAGEREF _Toc12690 \h </w:instrText>
          </w:r>
          <w:r>
            <w:rPr>
              <w:b/>
            </w:rPr>
            <w:fldChar w:fldCharType="separate"/>
          </w:r>
          <w:r>
            <w:rPr>
              <w:b/>
            </w:rPr>
            <w:t>7</w:t>
          </w:r>
          <w:r>
            <w:rPr>
              <w:b/>
            </w:rPr>
            <w:fldChar w:fldCharType="end"/>
          </w:r>
          <w:r>
            <w:rPr>
              <w:b/>
            </w:rPr>
            <w:fldChar w:fldCharType="end"/>
          </w:r>
        </w:p>
        <w:p>
          <w:pPr>
            <w:pStyle w:val="16"/>
            <w:tabs>
              <w:tab w:val="right" w:leader="dot" w:pos="8845"/>
            </w:tabs>
            <w:spacing w:line="360" w:lineRule="auto"/>
          </w:pPr>
          <w:r>
            <w:fldChar w:fldCharType="begin"/>
          </w:r>
          <w:r>
            <w:instrText xml:space="preserve"> HYPERLINK \l _Toc5079 </w:instrText>
          </w:r>
          <w:r>
            <w:fldChar w:fldCharType="separate"/>
          </w:r>
          <w:r>
            <w:rPr>
              <w:rFonts w:hint="eastAsia" w:ascii="楷体_GB2312" w:hAnsi="楷体_GB2312" w:eastAsia="楷体_GB2312" w:cs="楷体_GB2312"/>
              <w:bCs/>
              <w:szCs w:val="32"/>
              <w:lang w:val="en-US" w:eastAsia="zh-CN"/>
            </w:rPr>
            <w:t>（一）公务接待费</w:t>
          </w:r>
          <w:r>
            <w:tab/>
          </w:r>
          <w:r>
            <w:fldChar w:fldCharType="begin"/>
          </w:r>
          <w:r>
            <w:instrText xml:space="preserve"> PAGEREF _Toc5079 \h </w:instrText>
          </w:r>
          <w:r>
            <w:fldChar w:fldCharType="separate"/>
          </w:r>
          <w:r>
            <w:t>7</w:t>
          </w:r>
          <w:r>
            <w:fldChar w:fldCharType="end"/>
          </w:r>
          <w:r>
            <w:fldChar w:fldCharType="end"/>
          </w:r>
        </w:p>
        <w:p>
          <w:pPr>
            <w:pStyle w:val="16"/>
            <w:tabs>
              <w:tab w:val="right" w:leader="dot" w:pos="8845"/>
            </w:tabs>
            <w:spacing w:line="360" w:lineRule="auto"/>
          </w:pPr>
          <w:r>
            <w:fldChar w:fldCharType="begin"/>
          </w:r>
          <w:r>
            <w:instrText xml:space="preserve"> HYPERLINK \l _Toc11241 </w:instrText>
          </w:r>
          <w:r>
            <w:fldChar w:fldCharType="separate"/>
          </w:r>
          <w:r>
            <w:rPr>
              <w:rFonts w:hint="eastAsia" w:ascii="楷体_GB2312" w:hAnsi="楷体_GB2312" w:eastAsia="楷体_GB2312" w:cs="楷体_GB2312"/>
              <w:bCs/>
              <w:szCs w:val="32"/>
              <w:lang w:val="en-US" w:eastAsia="zh-CN"/>
            </w:rPr>
            <w:t>（二） 公务用车购置及运行维护费</w:t>
          </w:r>
          <w:r>
            <w:tab/>
          </w:r>
          <w:r>
            <w:fldChar w:fldCharType="begin"/>
          </w:r>
          <w:r>
            <w:instrText xml:space="preserve"> PAGEREF _Toc11241 \h </w:instrText>
          </w:r>
          <w:r>
            <w:fldChar w:fldCharType="separate"/>
          </w:r>
          <w:r>
            <w:t>7</w:t>
          </w:r>
          <w:r>
            <w:fldChar w:fldCharType="end"/>
          </w:r>
          <w:r>
            <w:fldChar w:fldCharType="end"/>
          </w:r>
        </w:p>
        <w:p>
          <w:pPr>
            <w:pStyle w:val="16"/>
            <w:tabs>
              <w:tab w:val="right" w:leader="dot" w:pos="8845"/>
            </w:tabs>
            <w:spacing w:line="360" w:lineRule="auto"/>
          </w:pPr>
          <w:r>
            <w:fldChar w:fldCharType="begin"/>
          </w:r>
          <w:r>
            <w:instrText xml:space="preserve"> HYPERLINK \l _Toc18690 </w:instrText>
          </w:r>
          <w:r>
            <w:fldChar w:fldCharType="separate"/>
          </w:r>
          <w:r>
            <w:rPr>
              <w:rFonts w:hint="eastAsia" w:ascii="仿宋_GB2312" w:hAnsi="仿宋_GB2312" w:eastAsia="仿宋_GB2312" w:cs="仿宋_GB2312"/>
              <w:bCs/>
              <w:szCs w:val="32"/>
              <w:lang w:val="en-US" w:eastAsia="zh-CN"/>
            </w:rPr>
            <w:t>（</w:t>
          </w:r>
          <w:r>
            <w:rPr>
              <w:rFonts w:hint="eastAsia" w:ascii="楷体_GB2312" w:hAnsi="楷体_GB2312" w:eastAsia="楷体_GB2312" w:cs="楷体_GB2312"/>
              <w:bCs/>
              <w:szCs w:val="32"/>
              <w:lang w:val="en-US" w:eastAsia="zh-CN"/>
            </w:rPr>
            <w:t>三）因公出国（境）经费</w:t>
          </w:r>
          <w:r>
            <w:tab/>
          </w:r>
          <w:r>
            <w:fldChar w:fldCharType="begin"/>
          </w:r>
          <w:r>
            <w:instrText xml:space="preserve"> PAGEREF _Toc18690 \h </w:instrText>
          </w:r>
          <w:r>
            <w:fldChar w:fldCharType="separate"/>
          </w:r>
          <w:r>
            <w:t>8</w:t>
          </w:r>
          <w:r>
            <w:fldChar w:fldCharType="end"/>
          </w:r>
          <w:r>
            <w:fldChar w:fldCharType="end"/>
          </w:r>
        </w:p>
        <w:p>
          <w:pPr>
            <w:pStyle w:val="15"/>
            <w:tabs>
              <w:tab w:val="right" w:leader="dot" w:pos="8845"/>
            </w:tabs>
            <w:spacing w:line="360" w:lineRule="auto"/>
            <w:rPr>
              <w:b/>
            </w:rPr>
          </w:pPr>
          <w:r>
            <w:rPr>
              <w:b/>
            </w:rPr>
            <w:fldChar w:fldCharType="begin"/>
          </w:r>
          <w:r>
            <w:rPr>
              <w:b/>
            </w:rPr>
            <w:instrText xml:space="preserve"> HYPERLINK \l _Toc7157 </w:instrText>
          </w:r>
          <w:r>
            <w:rPr>
              <w:b/>
            </w:rPr>
            <w:fldChar w:fldCharType="separate"/>
          </w:r>
          <w:r>
            <w:rPr>
              <w:rFonts w:hint="eastAsia" w:ascii="黑体" w:hAnsi="黑体" w:eastAsia="黑体" w:cs="黑体"/>
              <w:b/>
              <w:bCs/>
              <w:szCs w:val="32"/>
              <w:lang w:val="en-US" w:eastAsia="zh-CN"/>
            </w:rPr>
            <w:t>八、政府性基金预算支出情况说明</w:t>
          </w:r>
          <w:r>
            <w:rPr>
              <w:b/>
            </w:rPr>
            <w:tab/>
          </w:r>
          <w:r>
            <w:rPr>
              <w:b/>
            </w:rPr>
            <w:fldChar w:fldCharType="begin"/>
          </w:r>
          <w:r>
            <w:rPr>
              <w:b/>
            </w:rPr>
            <w:instrText xml:space="preserve"> PAGEREF _Toc7157 \h </w:instrText>
          </w:r>
          <w:r>
            <w:rPr>
              <w:b/>
            </w:rPr>
            <w:fldChar w:fldCharType="separate"/>
          </w:r>
          <w:r>
            <w:rPr>
              <w:b/>
            </w:rPr>
            <w:t>8</w:t>
          </w:r>
          <w:r>
            <w:rPr>
              <w:b/>
            </w:rPr>
            <w:fldChar w:fldCharType="end"/>
          </w:r>
          <w:r>
            <w:rPr>
              <w:b/>
            </w:rPr>
            <w:fldChar w:fldCharType="end"/>
          </w:r>
        </w:p>
        <w:p>
          <w:pPr>
            <w:pStyle w:val="15"/>
            <w:tabs>
              <w:tab w:val="right" w:leader="dot" w:pos="8845"/>
            </w:tabs>
            <w:spacing w:line="360" w:lineRule="auto"/>
            <w:rPr>
              <w:b/>
            </w:rPr>
          </w:pPr>
          <w:r>
            <w:rPr>
              <w:b/>
            </w:rPr>
            <w:fldChar w:fldCharType="begin"/>
          </w:r>
          <w:r>
            <w:rPr>
              <w:b/>
            </w:rPr>
            <w:instrText xml:space="preserve"> HYPERLINK \l _Toc21971 </w:instrText>
          </w:r>
          <w:r>
            <w:rPr>
              <w:b/>
            </w:rPr>
            <w:fldChar w:fldCharType="separate"/>
          </w:r>
          <w:r>
            <w:rPr>
              <w:rFonts w:hint="eastAsia" w:ascii="黑体" w:hAnsi="黑体" w:eastAsia="黑体" w:cs="黑体"/>
              <w:b/>
              <w:bCs/>
              <w:szCs w:val="32"/>
              <w:lang w:val="en-US" w:eastAsia="zh-CN"/>
            </w:rPr>
            <w:t>九、国有资本经营预算支出情况说明</w:t>
          </w:r>
          <w:r>
            <w:rPr>
              <w:b/>
            </w:rPr>
            <w:tab/>
          </w:r>
          <w:r>
            <w:rPr>
              <w:b/>
            </w:rPr>
            <w:fldChar w:fldCharType="begin"/>
          </w:r>
          <w:r>
            <w:rPr>
              <w:b/>
            </w:rPr>
            <w:instrText xml:space="preserve"> PAGEREF _Toc21971 \h </w:instrText>
          </w:r>
          <w:r>
            <w:rPr>
              <w:b/>
            </w:rPr>
            <w:fldChar w:fldCharType="separate"/>
          </w:r>
          <w:r>
            <w:rPr>
              <w:b/>
            </w:rPr>
            <w:t>8</w:t>
          </w:r>
          <w:r>
            <w:rPr>
              <w:b/>
            </w:rPr>
            <w:fldChar w:fldCharType="end"/>
          </w:r>
          <w:r>
            <w:rPr>
              <w:b/>
            </w:rPr>
            <w:fldChar w:fldCharType="end"/>
          </w:r>
        </w:p>
        <w:p>
          <w:pPr>
            <w:pStyle w:val="15"/>
            <w:tabs>
              <w:tab w:val="right" w:leader="dot" w:pos="8845"/>
            </w:tabs>
            <w:spacing w:line="360" w:lineRule="auto"/>
            <w:rPr>
              <w:b/>
            </w:rPr>
          </w:pPr>
          <w:r>
            <w:rPr>
              <w:b/>
            </w:rPr>
            <w:fldChar w:fldCharType="begin"/>
          </w:r>
          <w:r>
            <w:rPr>
              <w:b/>
            </w:rPr>
            <w:instrText xml:space="preserve"> HYPERLINK \l _Toc15300 </w:instrText>
          </w:r>
          <w:r>
            <w:rPr>
              <w:b/>
            </w:rPr>
            <w:fldChar w:fldCharType="separate"/>
          </w:r>
          <w:r>
            <w:rPr>
              <w:rFonts w:hint="eastAsia" w:ascii="黑体" w:hAnsi="黑体" w:eastAsia="黑体" w:cs="黑体"/>
              <w:b/>
              <w:bCs/>
              <w:szCs w:val="32"/>
              <w:lang w:val="en-US" w:eastAsia="zh-CN"/>
            </w:rPr>
            <w:t>十、其他重要事项的情况说明</w:t>
          </w:r>
          <w:r>
            <w:rPr>
              <w:b/>
            </w:rPr>
            <w:tab/>
          </w:r>
          <w:r>
            <w:rPr>
              <w:b/>
            </w:rPr>
            <w:fldChar w:fldCharType="begin"/>
          </w:r>
          <w:r>
            <w:rPr>
              <w:b/>
            </w:rPr>
            <w:instrText xml:space="preserve"> PAGEREF _Toc15300 \h </w:instrText>
          </w:r>
          <w:r>
            <w:rPr>
              <w:b/>
            </w:rPr>
            <w:fldChar w:fldCharType="separate"/>
          </w:r>
          <w:r>
            <w:rPr>
              <w:b/>
            </w:rPr>
            <w:t>8</w:t>
          </w:r>
          <w:r>
            <w:rPr>
              <w:b/>
            </w:rPr>
            <w:fldChar w:fldCharType="end"/>
          </w:r>
          <w:r>
            <w:rPr>
              <w:b/>
            </w:rPr>
            <w:fldChar w:fldCharType="end"/>
          </w:r>
        </w:p>
        <w:p>
          <w:pPr>
            <w:pStyle w:val="16"/>
            <w:tabs>
              <w:tab w:val="right" w:leader="dot" w:pos="8845"/>
            </w:tabs>
            <w:spacing w:line="360" w:lineRule="auto"/>
          </w:pPr>
          <w:r>
            <w:fldChar w:fldCharType="begin"/>
          </w:r>
          <w:r>
            <w:instrText xml:space="preserve"> HYPERLINK \l _Toc3139 </w:instrText>
          </w:r>
          <w:r>
            <w:fldChar w:fldCharType="separate"/>
          </w:r>
          <w:r>
            <w:rPr>
              <w:rFonts w:hint="eastAsia" w:ascii="楷体_GB2312" w:hAnsi="楷体_GB2312" w:eastAsia="楷体_GB2312" w:cs="楷体_GB2312"/>
              <w:bCs/>
              <w:szCs w:val="32"/>
              <w:lang w:val="en-US" w:eastAsia="zh-CN"/>
            </w:rPr>
            <w:t>（一）机关运行经费</w:t>
          </w:r>
          <w:r>
            <w:tab/>
          </w:r>
          <w:r>
            <w:fldChar w:fldCharType="begin"/>
          </w:r>
          <w:r>
            <w:instrText xml:space="preserve"> PAGEREF _Toc3139 \h </w:instrText>
          </w:r>
          <w:r>
            <w:fldChar w:fldCharType="separate"/>
          </w:r>
          <w:r>
            <w:t>8</w:t>
          </w:r>
          <w:r>
            <w:fldChar w:fldCharType="end"/>
          </w:r>
          <w:r>
            <w:fldChar w:fldCharType="end"/>
          </w:r>
        </w:p>
        <w:p>
          <w:pPr>
            <w:pStyle w:val="16"/>
            <w:tabs>
              <w:tab w:val="right" w:leader="dot" w:pos="8845"/>
            </w:tabs>
            <w:spacing w:line="360" w:lineRule="auto"/>
          </w:pPr>
          <w:r>
            <w:fldChar w:fldCharType="begin"/>
          </w:r>
          <w:r>
            <w:instrText xml:space="preserve"> HYPERLINK \l _Toc7427 </w:instrText>
          </w:r>
          <w:r>
            <w:fldChar w:fldCharType="separate"/>
          </w:r>
          <w:r>
            <w:rPr>
              <w:rFonts w:hint="eastAsia" w:ascii="楷体_GB2312" w:hAnsi="楷体_GB2312" w:eastAsia="楷体_GB2312" w:cs="楷体_GB2312"/>
              <w:bCs/>
              <w:szCs w:val="32"/>
              <w:lang w:val="en-US" w:eastAsia="zh-CN"/>
            </w:rPr>
            <w:t>（二）政府采购情况</w:t>
          </w:r>
          <w:r>
            <w:tab/>
          </w:r>
          <w:r>
            <w:fldChar w:fldCharType="begin"/>
          </w:r>
          <w:r>
            <w:instrText xml:space="preserve"> PAGEREF _Toc7427 \h </w:instrText>
          </w:r>
          <w:r>
            <w:fldChar w:fldCharType="separate"/>
          </w:r>
          <w:r>
            <w:t>8</w:t>
          </w:r>
          <w:r>
            <w:fldChar w:fldCharType="end"/>
          </w:r>
          <w:r>
            <w:fldChar w:fldCharType="end"/>
          </w:r>
        </w:p>
        <w:p>
          <w:pPr>
            <w:pStyle w:val="16"/>
            <w:tabs>
              <w:tab w:val="right" w:leader="dot" w:pos="8845"/>
            </w:tabs>
            <w:spacing w:line="360" w:lineRule="auto"/>
          </w:pPr>
          <w:r>
            <w:fldChar w:fldCharType="begin"/>
          </w:r>
          <w:r>
            <w:instrText xml:space="preserve"> HYPERLINK \l _Toc2168 </w:instrText>
          </w:r>
          <w:r>
            <w:fldChar w:fldCharType="separate"/>
          </w:r>
          <w:r>
            <w:rPr>
              <w:rFonts w:hint="eastAsia" w:ascii="楷体_GB2312" w:hAnsi="楷体_GB2312" w:eastAsia="楷体_GB2312" w:cs="楷体_GB2312"/>
              <w:bCs/>
              <w:szCs w:val="32"/>
              <w:lang w:val="en-US" w:eastAsia="zh-CN"/>
            </w:rPr>
            <w:t>（三）国有资产占有使用情况</w:t>
          </w:r>
          <w:r>
            <w:tab/>
          </w:r>
          <w:r>
            <w:fldChar w:fldCharType="begin"/>
          </w:r>
          <w:r>
            <w:instrText xml:space="preserve"> PAGEREF _Toc2168 \h </w:instrText>
          </w:r>
          <w:r>
            <w:fldChar w:fldCharType="separate"/>
          </w:r>
          <w:r>
            <w:t>8</w:t>
          </w:r>
          <w:r>
            <w:fldChar w:fldCharType="end"/>
          </w:r>
          <w:r>
            <w:fldChar w:fldCharType="end"/>
          </w:r>
        </w:p>
        <w:p>
          <w:pPr>
            <w:pStyle w:val="16"/>
            <w:tabs>
              <w:tab w:val="right" w:leader="dot" w:pos="8845"/>
            </w:tabs>
            <w:spacing w:line="360" w:lineRule="auto"/>
          </w:pPr>
          <w:r>
            <w:fldChar w:fldCharType="begin"/>
          </w:r>
          <w:r>
            <w:instrText xml:space="preserve"> HYPERLINK \l _Toc16300 </w:instrText>
          </w:r>
          <w:r>
            <w:fldChar w:fldCharType="separate"/>
          </w:r>
          <w:r>
            <w:rPr>
              <w:rFonts w:hint="eastAsia" w:ascii="楷体_GB2312" w:hAnsi="楷体_GB2312" w:eastAsia="楷体_GB2312" w:cs="楷体_GB2312"/>
              <w:bCs/>
              <w:szCs w:val="32"/>
              <w:lang w:val="en-US" w:eastAsia="zh-CN"/>
            </w:rPr>
            <w:t>（四）绩效目标设置情况</w:t>
          </w:r>
          <w:r>
            <w:tab/>
          </w:r>
          <w:r>
            <w:fldChar w:fldCharType="begin"/>
          </w:r>
          <w:r>
            <w:instrText xml:space="preserve"> PAGEREF _Toc16300 \h </w:instrText>
          </w:r>
          <w:r>
            <w:fldChar w:fldCharType="separate"/>
          </w:r>
          <w:r>
            <w:t>9</w:t>
          </w:r>
          <w:r>
            <w:fldChar w:fldCharType="end"/>
          </w:r>
          <w:r>
            <w:fldChar w:fldCharType="end"/>
          </w:r>
        </w:p>
        <w:p>
          <w:pPr>
            <w:pStyle w:val="15"/>
            <w:tabs>
              <w:tab w:val="right" w:leader="dot" w:pos="8845"/>
            </w:tabs>
            <w:spacing w:line="360" w:lineRule="auto"/>
            <w:rPr>
              <w:b/>
            </w:rPr>
          </w:pPr>
          <w:r>
            <w:rPr>
              <w:b/>
            </w:rPr>
            <w:fldChar w:fldCharType="begin"/>
          </w:r>
          <w:r>
            <w:rPr>
              <w:b/>
            </w:rPr>
            <w:instrText xml:space="preserve"> HYPERLINK \l _Toc30028 </w:instrText>
          </w:r>
          <w:r>
            <w:rPr>
              <w:b/>
            </w:rPr>
            <w:fldChar w:fldCharType="separate"/>
          </w:r>
          <w:r>
            <w:rPr>
              <w:rFonts w:hint="eastAsia" w:ascii="黑体" w:hAnsi="黑体" w:eastAsia="黑体" w:cs="黑体"/>
              <w:b/>
              <w:bCs/>
              <w:szCs w:val="32"/>
              <w:lang w:val="en-US" w:eastAsia="zh-CN"/>
            </w:rPr>
            <w:t>十一、名词解释</w:t>
          </w:r>
          <w:r>
            <w:rPr>
              <w:b/>
            </w:rPr>
            <w:tab/>
          </w:r>
          <w:r>
            <w:rPr>
              <w:b/>
            </w:rPr>
            <w:fldChar w:fldCharType="begin"/>
          </w:r>
          <w:r>
            <w:rPr>
              <w:b/>
            </w:rPr>
            <w:instrText xml:space="preserve"> PAGEREF _Toc30028 \h </w:instrText>
          </w:r>
          <w:r>
            <w:rPr>
              <w:b/>
            </w:rPr>
            <w:fldChar w:fldCharType="separate"/>
          </w:r>
          <w:r>
            <w:rPr>
              <w:b/>
            </w:rPr>
            <w:t>9</w:t>
          </w:r>
          <w:r>
            <w:rPr>
              <w:b/>
            </w:rPr>
            <w:fldChar w:fldCharType="end"/>
          </w:r>
          <w:r>
            <w:rPr>
              <w:b/>
            </w:rPr>
            <w:fldChar w:fldCharType="end"/>
          </w:r>
        </w:p>
        <w:p>
          <w:pPr>
            <w:spacing w:line="360" w:lineRule="auto"/>
          </w:pPr>
          <w:r>
            <w:rPr>
              <w:b/>
            </w:rPr>
            <w:fldChar w:fldCharType="end"/>
          </w:r>
        </w:p>
      </w:sdtContent>
    </w:sdt>
    <w:p>
      <w:pPr>
        <w:keepNext w:val="0"/>
        <w:keepLines w:val="0"/>
        <w:pageBreakBefore w:val="0"/>
        <w:widowControl w:val="0"/>
        <w:kinsoku/>
        <w:wordWrap/>
        <w:overflowPunct/>
        <w:topLinePunct w:val="0"/>
        <w:autoSpaceDE/>
        <w:autoSpaceDN/>
        <w:bidi w:val="0"/>
        <w:adjustRightInd/>
        <w:snapToGrid/>
        <w:spacing w:line="900" w:lineRule="exact"/>
        <w:jc w:val="both"/>
        <w:textAlignment w:val="auto"/>
        <w:rPr>
          <w:rFonts w:hint="eastAsia" w:ascii="方正小标宋简体" w:hAnsi="方正小标宋简体" w:eastAsia="方正小标宋简体" w:cs="方正小标宋简体"/>
          <w:b/>
          <w:bCs/>
          <w:i w:val="0"/>
          <w:caps w:val="0"/>
          <w:color w:val="000000" w:themeColor="text1"/>
          <w:spacing w:val="0"/>
          <w:kern w:val="0"/>
          <w:sz w:val="56"/>
          <w:szCs w:val="56"/>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bCs/>
          <w:i w:val="0"/>
          <w:caps w:val="0"/>
          <w:color w:val="000000" w:themeColor="text1"/>
          <w:spacing w:val="0"/>
          <w:kern w:val="0"/>
          <w:sz w:val="56"/>
          <w:szCs w:val="56"/>
          <w:highlight w:val="none"/>
          <w:shd w:val="clear" w:color="auto" w:fill="FFFFFF"/>
          <w:lang w:val="en-US" w:eastAsia="zh-CN" w:bidi="ar"/>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黑体" w:hAnsi="黑体" w:eastAsia="黑体" w:cs="黑体"/>
          <w:b/>
          <w:bCs/>
          <w:sz w:val="32"/>
          <w:szCs w:val="32"/>
        </w:rPr>
      </w:pPr>
      <w:bookmarkStart w:id="1" w:name="_Toc28398"/>
      <w:r>
        <w:rPr>
          <w:rFonts w:hint="eastAsia" w:ascii="黑体" w:hAnsi="黑体" w:eastAsia="黑体" w:cs="黑体"/>
          <w:b/>
          <w:bCs/>
          <w:sz w:val="32"/>
          <w:szCs w:val="32"/>
          <w:lang w:val="en-US" w:eastAsia="zh-CN"/>
        </w:rPr>
        <w:t>一、基本职能及主要工作</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1"/>
        <w:rPr>
          <w:rFonts w:hint="eastAsia" w:ascii="楷体_GB2312" w:hAnsi="楷体_GB2312" w:eastAsia="楷体_GB2312" w:cs="楷体_GB2312"/>
          <w:b/>
          <w:bCs/>
          <w:sz w:val="32"/>
          <w:szCs w:val="32"/>
        </w:rPr>
      </w:pPr>
      <w:bookmarkStart w:id="2" w:name="_Toc25202"/>
      <w:r>
        <w:rPr>
          <w:rFonts w:hint="eastAsia" w:ascii="楷体_GB2312" w:hAnsi="楷体_GB2312" w:eastAsia="楷体_GB2312" w:cs="楷体_GB2312"/>
          <w:b/>
          <w:bCs/>
          <w:sz w:val="32"/>
          <w:szCs w:val="32"/>
        </w:rPr>
        <w:t>（一）</w:t>
      </w:r>
      <w:r>
        <w:rPr>
          <w:rFonts w:hint="eastAsia" w:ascii="楷体_GB2312" w:hAnsi="楷体_GB2312" w:eastAsia="楷体_GB2312" w:cs="楷体_GB2312"/>
          <w:b/>
          <w:bCs/>
          <w:sz w:val="32"/>
          <w:szCs w:val="32"/>
          <w:lang w:val="en-US" w:eastAsia="zh-CN"/>
        </w:rPr>
        <w:t>中国共产党广元市委员会组织部</w:t>
      </w:r>
      <w:r>
        <w:rPr>
          <w:rFonts w:hint="eastAsia" w:ascii="楷体_GB2312" w:hAnsi="楷体_GB2312" w:eastAsia="楷体_GB2312" w:cs="楷体_GB2312"/>
          <w:b/>
          <w:bCs/>
          <w:sz w:val="32"/>
          <w:szCs w:val="32"/>
        </w:rPr>
        <w:t>职能简介</w:t>
      </w:r>
      <w:bookmarkEnd w:id="2"/>
    </w:p>
    <w:p>
      <w:pPr>
        <w:keepNext w:val="0"/>
        <w:keepLines w:val="0"/>
        <w:pageBreakBefore w:val="0"/>
        <w:widowControl w:val="0"/>
        <w:kinsoku/>
        <w:wordWrap/>
        <w:overflowPunct/>
        <w:topLinePunct w:val="0"/>
        <w:autoSpaceDE/>
        <w:autoSpaceDN/>
        <w:bidi w:val="0"/>
        <w:adjustRightInd/>
        <w:snapToGrid/>
        <w:spacing w:line="576" w:lineRule="exact"/>
        <w:ind w:firstLine="627" w:firstLineChars="200"/>
        <w:textAlignment w:val="auto"/>
        <w:rPr>
          <w:rFonts w:hint="eastAsia" w:ascii="仿宋_GB2312" w:hAnsi="宋体" w:eastAsia="仿宋_GB2312" w:cs="宋体"/>
          <w:b/>
          <w:bCs/>
          <w:color w:val="auto"/>
          <w:spacing w:val="-4"/>
          <w:kern w:val="0"/>
          <w:sz w:val="32"/>
          <w:szCs w:val="32"/>
          <w:shd w:val="clear" w:color="auto" w:fill="FFFFFF"/>
          <w:lang w:val="en-US" w:eastAsia="zh-CN" w:bidi="ar"/>
        </w:rPr>
      </w:pPr>
      <w:r>
        <w:rPr>
          <w:rFonts w:hint="eastAsia" w:ascii="仿宋_GB2312" w:hAnsi="宋体" w:eastAsia="仿宋_GB2312" w:cs="宋体"/>
          <w:b/>
          <w:bCs/>
          <w:color w:val="auto"/>
          <w:spacing w:val="-4"/>
          <w:kern w:val="0"/>
          <w:sz w:val="32"/>
          <w:szCs w:val="32"/>
          <w:shd w:val="clear" w:color="auto" w:fill="FFFFFF"/>
          <w:lang w:val="en-US" w:eastAsia="zh-CN" w:bidi="ar"/>
        </w:rPr>
        <w:t>贯彻新时代党的建设总要求和新时代党的组织路线，落实市委相关决策部署。</w:t>
      </w:r>
    </w:p>
    <w:p>
      <w:pPr>
        <w:keepNext w:val="0"/>
        <w:keepLines w:val="0"/>
        <w:pageBreakBefore w:val="0"/>
        <w:widowControl w:val="0"/>
        <w:kinsoku/>
        <w:wordWrap/>
        <w:overflowPunct/>
        <w:topLinePunct w:val="0"/>
        <w:autoSpaceDE/>
        <w:autoSpaceDN/>
        <w:bidi w:val="0"/>
        <w:adjustRightInd/>
        <w:snapToGrid/>
        <w:spacing w:line="576" w:lineRule="exact"/>
        <w:ind w:firstLine="627" w:firstLineChars="200"/>
        <w:textAlignment w:val="auto"/>
        <w:rPr>
          <w:rFonts w:hint="eastAsia" w:ascii="仿宋_GB2312" w:hAnsi="宋体" w:eastAsia="仿宋_GB2312" w:cs="宋体"/>
          <w:b/>
          <w:bCs/>
          <w:color w:val="auto"/>
          <w:spacing w:val="-4"/>
          <w:kern w:val="0"/>
          <w:sz w:val="32"/>
          <w:szCs w:val="32"/>
          <w:shd w:val="clear" w:color="auto" w:fill="FFFFFF"/>
          <w:lang w:val="en-US" w:eastAsia="zh-CN" w:bidi="ar"/>
        </w:rPr>
      </w:pPr>
      <w:r>
        <w:rPr>
          <w:rFonts w:hint="eastAsia" w:ascii="仿宋_GB2312" w:hAnsi="宋体" w:eastAsia="仿宋_GB2312" w:cs="宋体"/>
          <w:b/>
          <w:bCs/>
          <w:color w:val="auto"/>
          <w:spacing w:val="-4"/>
          <w:kern w:val="0"/>
          <w:sz w:val="32"/>
          <w:szCs w:val="32"/>
          <w:shd w:val="clear" w:color="auto" w:fill="FFFFFF"/>
          <w:lang w:val="en-US" w:eastAsia="zh-CN" w:bidi="ar"/>
        </w:rPr>
        <w:t>1.负责全市党的组织体系、组织制度建设，负责基层党组织建设规划指导和党员队伍宏观管理，指导开展党员教育工作。</w:t>
      </w:r>
    </w:p>
    <w:p>
      <w:pPr>
        <w:keepNext w:val="0"/>
        <w:keepLines w:val="0"/>
        <w:pageBreakBefore w:val="0"/>
        <w:widowControl w:val="0"/>
        <w:kinsoku/>
        <w:wordWrap/>
        <w:overflowPunct/>
        <w:topLinePunct w:val="0"/>
        <w:autoSpaceDE/>
        <w:autoSpaceDN/>
        <w:bidi w:val="0"/>
        <w:adjustRightInd/>
        <w:snapToGrid/>
        <w:spacing w:line="576" w:lineRule="exact"/>
        <w:ind w:firstLine="627" w:firstLineChars="200"/>
        <w:textAlignment w:val="auto"/>
        <w:rPr>
          <w:rFonts w:hint="eastAsia" w:ascii="仿宋_GB2312" w:hAnsi="宋体" w:eastAsia="仿宋_GB2312" w:cs="宋体"/>
          <w:b/>
          <w:bCs/>
          <w:color w:val="auto"/>
          <w:spacing w:val="-4"/>
          <w:kern w:val="0"/>
          <w:sz w:val="32"/>
          <w:szCs w:val="32"/>
          <w:shd w:val="clear" w:color="auto" w:fill="FFFFFF"/>
          <w:lang w:val="en-US" w:eastAsia="zh-CN" w:bidi="ar"/>
        </w:rPr>
      </w:pPr>
      <w:r>
        <w:rPr>
          <w:rFonts w:hint="eastAsia" w:ascii="仿宋_GB2312" w:hAnsi="宋体" w:eastAsia="仿宋_GB2312" w:cs="宋体"/>
          <w:b/>
          <w:bCs/>
          <w:color w:val="auto"/>
          <w:spacing w:val="-4"/>
          <w:kern w:val="0"/>
          <w:sz w:val="32"/>
          <w:szCs w:val="32"/>
          <w:shd w:val="clear" w:color="auto" w:fill="FFFFFF"/>
          <w:lang w:val="en-US" w:eastAsia="zh-CN" w:bidi="ar"/>
        </w:rPr>
        <w:t>2.负责全市领导班子和干部队伍建设的总体规划和宏观管理。负责市委管理领导班子和领导干部的考察考核、日常管理，提出调整配备建议，审核办理任免、工资、退休、兼职、待遇等有关事项。负责全市优秀年轻干部队伍建设工作。</w:t>
      </w:r>
    </w:p>
    <w:p>
      <w:pPr>
        <w:keepNext w:val="0"/>
        <w:keepLines w:val="0"/>
        <w:pageBreakBefore w:val="0"/>
        <w:widowControl w:val="0"/>
        <w:kinsoku/>
        <w:wordWrap/>
        <w:overflowPunct/>
        <w:topLinePunct w:val="0"/>
        <w:autoSpaceDE/>
        <w:autoSpaceDN/>
        <w:bidi w:val="0"/>
        <w:adjustRightInd/>
        <w:snapToGrid/>
        <w:spacing w:line="576" w:lineRule="exact"/>
        <w:ind w:firstLine="627" w:firstLineChars="200"/>
        <w:textAlignment w:val="auto"/>
        <w:rPr>
          <w:rFonts w:hint="eastAsia" w:ascii="仿宋_GB2312" w:hAnsi="宋体" w:eastAsia="仿宋_GB2312" w:cs="宋体"/>
          <w:b/>
          <w:bCs/>
          <w:color w:val="auto"/>
          <w:spacing w:val="-4"/>
          <w:kern w:val="0"/>
          <w:sz w:val="32"/>
          <w:szCs w:val="32"/>
          <w:shd w:val="clear" w:color="auto" w:fill="FFFFFF"/>
          <w:lang w:val="en-US" w:eastAsia="zh-CN" w:bidi="ar"/>
        </w:rPr>
      </w:pPr>
      <w:r>
        <w:rPr>
          <w:rFonts w:hint="eastAsia" w:ascii="仿宋_GB2312" w:hAnsi="宋体" w:eastAsia="仿宋_GB2312" w:cs="宋体"/>
          <w:b/>
          <w:bCs/>
          <w:color w:val="auto"/>
          <w:spacing w:val="-4"/>
          <w:kern w:val="0"/>
          <w:sz w:val="32"/>
          <w:szCs w:val="32"/>
          <w:shd w:val="clear" w:color="auto" w:fill="FFFFFF"/>
          <w:lang w:val="en-US" w:eastAsia="zh-CN" w:bidi="ar"/>
        </w:rPr>
        <w:t>3.负责管理全市公务员工作。牵头组织实施公务员管理政策法规，承担公务员录用、调配、考核、奖惩、培训、监督、工资福利等工作，指导公务员绩效管理工作。</w:t>
      </w:r>
    </w:p>
    <w:p>
      <w:pPr>
        <w:keepNext w:val="0"/>
        <w:keepLines w:val="0"/>
        <w:pageBreakBefore w:val="0"/>
        <w:widowControl w:val="0"/>
        <w:kinsoku/>
        <w:wordWrap/>
        <w:overflowPunct/>
        <w:topLinePunct w:val="0"/>
        <w:autoSpaceDE/>
        <w:autoSpaceDN/>
        <w:bidi w:val="0"/>
        <w:adjustRightInd/>
        <w:snapToGrid/>
        <w:spacing w:line="576" w:lineRule="exact"/>
        <w:ind w:firstLine="627" w:firstLineChars="200"/>
        <w:textAlignment w:val="auto"/>
        <w:rPr>
          <w:rFonts w:hint="eastAsia" w:ascii="仿宋_GB2312" w:hAnsi="宋体" w:eastAsia="仿宋_GB2312" w:cs="宋体"/>
          <w:b/>
          <w:bCs/>
          <w:color w:val="auto"/>
          <w:spacing w:val="-4"/>
          <w:kern w:val="0"/>
          <w:sz w:val="32"/>
          <w:szCs w:val="32"/>
          <w:shd w:val="clear" w:color="auto" w:fill="FFFFFF"/>
          <w:lang w:val="en-US" w:eastAsia="zh-CN" w:bidi="ar"/>
        </w:rPr>
      </w:pPr>
      <w:r>
        <w:rPr>
          <w:rFonts w:hint="eastAsia" w:ascii="仿宋_GB2312" w:hAnsi="宋体" w:eastAsia="仿宋_GB2312" w:cs="宋体"/>
          <w:b/>
          <w:bCs/>
          <w:color w:val="auto"/>
          <w:spacing w:val="-4"/>
          <w:kern w:val="0"/>
          <w:sz w:val="32"/>
          <w:szCs w:val="32"/>
          <w:shd w:val="clear" w:color="auto" w:fill="FFFFFF"/>
          <w:lang w:val="en-US" w:eastAsia="zh-CN" w:bidi="ar"/>
        </w:rPr>
        <w:t>4.负责全市人才工作的宏观指导、组织协调和督促检查，牵头推进人才发展体制机制改革和政策创新，牵头推进市校（院、企）战略合作、人才对外开放、党委联系服务专家工作，统筹实施重大人才工程和人才表彰奖励。</w:t>
      </w:r>
    </w:p>
    <w:p>
      <w:pPr>
        <w:keepNext w:val="0"/>
        <w:keepLines w:val="0"/>
        <w:pageBreakBefore w:val="0"/>
        <w:widowControl w:val="0"/>
        <w:kinsoku/>
        <w:wordWrap/>
        <w:overflowPunct/>
        <w:topLinePunct w:val="0"/>
        <w:autoSpaceDE/>
        <w:autoSpaceDN/>
        <w:bidi w:val="0"/>
        <w:adjustRightInd/>
        <w:snapToGrid/>
        <w:spacing w:line="576" w:lineRule="exact"/>
        <w:ind w:firstLine="627" w:firstLineChars="200"/>
        <w:textAlignment w:val="auto"/>
        <w:rPr>
          <w:rFonts w:hint="eastAsia" w:ascii="仿宋_GB2312" w:hAnsi="宋体" w:eastAsia="仿宋_GB2312" w:cs="宋体"/>
          <w:b/>
          <w:bCs/>
          <w:color w:val="auto"/>
          <w:spacing w:val="-4"/>
          <w:kern w:val="0"/>
          <w:sz w:val="32"/>
          <w:szCs w:val="32"/>
          <w:shd w:val="clear" w:color="auto" w:fill="FFFFFF"/>
          <w:lang w:val="en-US" w:eastAsia="zh-CN" w:bidi="ar"/>
        </w:rPr>
      </w:pPr>
      <w:r>
        <w:rPr>
          <w:rFonts w:hint="eastAsia" w:ascii="仿宋_GB2312" w:hAnsi="宋体" w:eastAsia="仿宋_GB2312" w:cs="宋体"/>
          <w:b/>
          <w:bCs/>
          <w:color w:val="auto"/>
          <w:spacing w:val="-4"/>
          <w:kern w:val="0"/>
          <w:sz w:val="32"/>
          <w:szCs w:val="32"/>
          <w:shd w:val="clear" w:color="auto" w:fill="FFFFFF"/>
          <w:lang w:val="en-US" w:eastAsia="zh-CN" w:bidi="ar"/>
        </w:rPr>
        <w:t>5.负责全市干部教育培训工作的宏观指导、政策规划、组织协调和督促检查，负责市重点培训项目的策划、实施和管理，指导全市干部教育培训基地建设管理、师资队伍建设等工作。</w:t>
      </w:r>
    </w:p>
    <w:p>
      <w:pPr>
        <w:keepNext w:val="0"/>
        <w:keepLines w:val="0"/>
        <w:pageBreakBefore w:val="0"/>
        <w:widowControl w:val="0"/>
        <w:kinsoku/>
        <w:wordWrap/>
        <w:overflowPunct/>
        <w:topLinePunct w:val="0"/>
        <w:autoSpaceDE/>
        <w:autoSpaceDN/>
        <w:bidi w:val="0"/>
        <w:adjustRightInd/>
        <w:snapToGrid/>
        <w:spacing w:line="576" w:lineRule="exact"/>
        <w:ind w:firstLine="627" w:firstLineChars="200"/>
        <w:textAlignment w:val="auto"/>
        <w:rPr>
          <w:rFonts w:hint="eastAsia" w:ascii="仿宋_GB2312" w:hAnsi="宋体" w:eastAsia="仿宋_GB2312" w:cs="宋体"/>
          <w:b/>
          <w:bCs/>
          <w:color w:val="auto"/>
          <w:spacing w:val="-4"/>
          <w:kern w:val="0"/>
          <w:sz w:val="32"/>
          <w:szCs w:val="32"/>
          <w:shd w:val="clear" w:color="auto" w:fill="FFFFFF"/>
          <w:lang w:val="en-US" w:eastAsia="zh-CN" w:bidi="ar"/>
        </w:rPr>
      </w:pPr>
      <w:r>
        <w:rPr>
          <w:rFonts w:hint="eastAsia" w:ascii="仿宋_GB2312" w:hAnsi="宋体" w:eastAsia="仿宋_GB2312" w:cs="宋体"/>
          <w:b/>
          <w:bCs/>
          <w:color w:val="auto"/>
          <w:spacing w:val="-4"/>
          <w:kern w:val="0"/>
          <w:sz w:val="32"/>
          <w:szCs w:val="32"/>
          <w:shd w:val="clear" w:color="auto" w:fill="FFFFFF"/>
          <w:lang w:val="en-US" w:eastAsia="zh-CN" w:bidi="ar"/>
        </w:rPr>
        <w:t>6.负责全市组织系统干部监督工作的宏观指导和综合协调，制定和落实干部监督工作制度，组织开展对选人用人工作情况的监督检查，受理和办理有关问题举报，组织实施领导干部报告个人有关事项及抽查核实工作。</w:t>
      </w:r>
    </w:p>
    <w:p>
      <w:pPr>
        <w:keepNext w:val="0"/>
        <w:keepLines w:val="0"/>
        <w:pageBreakBefore w:val="0"/>
        <w:widowControl w:val="0"/>
        <w:kinsoku/>
        <w:wordWrap/>
        <w:overflowPunct/>
        <w:topLinePunct w:val="0"/>
        <w:autoSpaceDE/>
        <w:autoSpaceDN/>
        <w:bidi w:val="0"/>
        <w:adjustRightInd/>
        <w:snapToGrid/>
        <w:spacing w:line="576" w:lineRule="exact"/>
        <w:ind w:firstLine="627" w:firstLineChars="200"/>
        <w:textAlignment w:val="auto"/>
        <w:rPr>
          <w:rFonts w:hint="eastAsia" w:ascii="仿宋_GB2312" w:hAnsi="宋体" w:eastAsia="仿宋_GB2312" w:cs="宋体"/>
          <w:b/>
          <w:bCs/>
          <w:color w:val="auto"/>
          <w:spacing w:val="-4"/>
          <w:kern w:val="0"/>
          <w:sz w:val="32"/>
          <w:szCs w:val="32"/>
          <w:shd w:val="clear" w:color="auto" w:fill="FFFFFF"/>
          <w:lang w:val="en-US" w:eastAsia="zh-CN" w:bidi="ar"/>
        </w:rPr>
      </w:pPr>
      <w:r>
        <w:rPr>
          <w:rFonts w:hint="eastAsia" w:ascii="仿宋_GB2312" w:hAnsi="宋体" w:eastAsia="仿宋_GB2312" w:cs="宋体"/>
          <w:b/>
          <w:bCs/>
          <w:color w:val="auto"/>
          <w:spacing w:val="-4"/>
          <w:kern w:val="0"/>
          <w:sz w:val="32"/>
          <w:szCs w:val="32"/>
          <w:shd w:val="clear" w:color="auto" w:fill="FFFFFF"/>
          <w:lang w:val="en-US" w:eastAsia="zh-CN" w:bidi="ar"/>
        </w:rPr>
        <w:t>7.统一管理市委机构编制委员会办公室，归口管理市委老干部局。</w:t>
      </w:r>
    </w:p>
    <w:p>
      <w:pPr>
        <w:keepNext w:val="0"/>
        <w:keepLines w:val="0"/>
        <w:pageBreakBefore w:val="0"/>
        <w:widowControl w:val="0"/>
        <w:kinsoku/>
        <w:wordWrap/>
        <w:overflowPunct/>
        <w:topLinePunct w:val="0"/>
        <w:autoSpaceDE/>
        <w:autoSpaceDN/>
        <w:bidi w:val="0"/>
        <w:adjustRightInd/>
        <w:snapToGrid/>
        <w:spacing w:line="576" w:lineRule="exact"/>
        <w:ind w:firstLine="627" w:firstLineChars="200"/>
        <w:textAlignment w:val="auto"/>
        <w:rPr>
          <w:rFonts w:hint="eastAsia" w:ascii="仿宋_GB2312" w:hAnsi="宋体" w:eastAsia="仿宋_GB2312" w:cs="宋体"/>
          <w:b/>
          <w:bCs/>
          <w:color w:val="auto"/>
          <w:spacing w:val="-4"/>
          <w:kern w:val="0"/>
          <w:sz w:val="32"/>
          <w:szCs w:val="32"/>
          <w:shd w:val="clear" w:color="auto" w:fill="FFFFFF"/>
          <w:lang w:val="en-US" w:eastAsia="zh-CN" w:bidi="ar"/>
        </w:rPr>
      </w:pPr>
      <w:r>
        <w:rPr>
          <w:rFonts w:hint="eastAsia" w:ascii="仿宋_GB2312" w:hAnsi="宋体" w:eastAsia="仿宋_GB2312" w:cs="宋体"/>
          <w:b/>
          <w:bCs/>
          <w:color w:val="auto"/>
          <w:spacing w:val="-4"/>
          <w:kern w:val="0"/>
          <w:sz w:val="32"/>
          <w:szCs w:val="32"/>
          <w:shd w:val="clear" w:color="auto" w:fill="FFFFFF"/>
          <w:lang w:val="en-US" w:eastAsia="zh-CN" w:bidi="ar"/>
        </w:rPr>
        <w:t>8.承担市委党建领导小组、市人才工作领导小组的日常工作。</w:t>
      </w:r>
    </w:p>
    <w:p>
      <w:pPr>
        <w:keepNext w:val="0"/>
        <w:keepLines w:val="0"/>
        <w:pageBreakBefore w:val="0"/>
        <w:widowControl w:val="0"/>
        <w:kinsoku/>
        <w:wordWrap/>
        <w:overflowPunct/>
        <w:topLinePunct w:val="0"/>
        <w:autoSpaceDE/>
        <w:autoSpaceDN/>
        <w:bidi w:val="0"/>
        <w:adjustRightInd/>
        <w:snapToGrid/>
        <w:spacing w:line="576" w:lineRule="exact"/>
        <w:ind w:firstLine="627" w:firstLineChars="200"/>
        <w:textAlignment w:val="auto"/>
        <w:rPr>
          <w:rFonts w:hint="eastAsia" w:ascii="仿宋_GB2312" w:hAnsi="宋体" w:eastAsia="仿宋_GB2312" w:cs="宋体"/>
          <w:b/>
          <w:bCs/>
          <w:color w:val="auto"/>
          <w:spacing w:val="-4"/>
          <w:kern w:val="0"/>
          <w:sz w:val="32"/>
          <w:szCs w:val="32"/>
          <w:shd w:val="clear" w:color="auto" w:fill="FFFFFF"/>
          <w:lang w:val="en-US" w:eastAsia="zh-CN" w:bidi="ar"/>
        </w:rPr>
      </w:pPr>
      <w:r>
        <w:rPr>
          <w:rFonts w:hint="eastAsia" w:ascii="仿宋_GB2312" w:hAnsi="宋体" w:eastAsia="仿宋_GB2312" w:cs="宋体"/>
          <w:b/>
          <w:bCs/>
          <w:color w:val="auto"/>
          <w:spacing w:val="-4"/>
          <w:kern w:val="0"/>
          <w:sz w:val="32"/>
          <w:szCs w:val="32"/>
          <w:shd w:val="clear" w:color="auto" w:fill="FFFFFF"/>
          <w:lang w:val="en-US" w:eastAsia="zh-CN" w:bidi="ar"/>
        </w:rPr>
        <w:t>9.完成市委交办的其他任务。</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1"/>
        <w:rPr>
          <w:rFonts w:hint="eastAsia" w:ascii="楷体_GB2312" w:hAnsi="楷体_GB2312" w:eastAsia="楷体_GB2312" w:cs="楷体_GB2312"/>
          <w:b/>
          <w:bCs/>
          <w:sz w:val="32"/>
          <w:szCs w:val="32"/>
        </w:rPr>
      </w:pPr>
      <w:bookmarkStart w:id="3" w:name="_Toc2205"/>
      <w:r>
        <w:rPr>
          <w:rFonts w:hint="eastAsia" w:ascii="楷体_GB2312" w:hAnsi="楷体_GB2312" w:eastAsia="楷体_GB2312" w:cs="楷体_GB2312"/>
          <w:b/>
          <w:bCs/>
          <w:sz w:val="32"/>
          <w:szCs w:val="32"/>
        </w:rPr>
        <w:t>（二）</w:t>
      </w:r>
      <w:r>
        <w:rPr>
          <w:rFonts w:hint="eastAsia" w:ascii="楷体_GB2312" w:hAnsi="楷体_GB2312" w:eastAsia="楷体_GB2312" w:cs="楷体_GB2312"/>
          <w:b/>
          <w:bCs/>
          <w:sz w:val="32"/>
          <w:szCs w:val="32"/>
          <w:lang w:val="en-US" w:eastAsia="zh-CN"/>
        </w:rPr>
        <w:t>中国共产党广元市委员会组织部</w:t>
      </w:r>
      <w:r>
        <w:rPr>
          <w:rFonts w:hint="eastAsia" w:ascii="楷体_GB2312" w:hAnsi="楷体_GB2312" w:eastAsia="楷体_GB2312" w:cs="楷体_GB2312"/>
          <w:b/>
          <w:bCs/>
          <w:sz w:val="32"/>
          <w:szCs w:val="32"/>
          <w:lang w:val="en-US"/>
        </w:rPr>
        <w:t>2024</w:t>
      </w:r>
      <w:r>
        <w:rPr>
          <w:rFonts w:hint="eastAsia" w:ascii="楷体_GB2312" w:hAnsi="楷体_GB2312" w:eastAsia="楷体_GB2312" w:cs="楷体_GB2312"/>
          <w:b/>
          <w:bCs/>
          <w:sz w:val="32"/>
          <w:szCs w:val="32"/>
        </w:rPr>
        <w:t>年重点工作</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27" w:firstLineChars="200"/>
        <w:textAlignment w:val="auto"/>
        <w:rPr>
          <w:rFonts w:hint="eastAsia" w:ascii="仿宋_GB2312" w:hAnsi="宋体" w:eastAsia="仿宋_GB2312" w:cs="宋体"/>
          <w:b/>
          <w:bCs/>
          <w:color w:val="auto"/>
          <w:spacing w:val="-4"/>
          <w:kern w:val="0"/>
          <w:sz w:val="32"/>
          <w:szCs w:val="32"/>
          <w:shd w:val="clear" w:color="auto" w:fill="FFFFFF"/>
          <w:lang w:val="en-US" w:eastAsia="zh-CN" w:bidi="ar"/>
        </w:rPr>
      </w:pPr>
      <w:r>
        <w:rPr>
          <w:rFonts w:hint="eastAsia" w:ascii="仿宋_GB2312" w:hAnsi="宋体" w:eastAsia="仿宋_GB2312" w:cs="宋体"/>
          <w:b/>
          <w:bCs/>
          <w:color w:val="auto"/>
          <w:spacing w:val="-4"/>
          <w:kern w:val="0"/>
          <w:sz w:val="32"/>
          <w:szCs w:val="32"/>
          <w:shd w:val="clear" w:color="auto" w:fill="FFFFFF"/>
          <w:lang w:val="en-US" w:eastAsia="zh-CN" w:bidi="ar"/>
        </w:rPr>
        <w:t>2024年，组织工作将深入贯彻习近平总书记关于党的建设的重要思想和来川来广视察重要指示精神，全面落实中央和省委、市委各项决策部署，为加快建设川陕甘结合部现代化中心城市提供坚强保证。一是深入实施习近平新时代中国特色社会主义思想凝心铸魂计划，实施思想领航、党性铸魂、履职赋能、先锋淬炼、薪火传承五大工程，推动党员干部学思想、见行动。二是深入开展干部争先提能行动，开展市管领导班子换届中期评估研判并针对性进行调整优化，推进一线专项考核考察，迭代升级现有激励政策，促进干部激情干事、幸福生活。三是加快建设川陕甘结合部绿色产业人才集聚地，深入推进重点产业项目“揭榜攻坚”行动，市县联动举办“广纳英才·元来有你”引才月活动，深化“周末工程师”柔性引才。四是抓实各领域基层党建全面进步过硬，探索开展驻村帮扶工作“拉练比武”，分类抓好中省财政扶持村集体经济项目巩固提升，持续调整优化社区下辖党组织设置，推进规上企业、专精特新企业党组织全覆盖，全面推行基层党组织基本活动质量监测评估，夯实发展治理的基层基础。五是从严抓好模范部门、过硬队伍建设，开展组织部门基础规范化、工作品牌化、队伍专业化、形象亲民化、管理效能化“五化建设”，以排头兵姿态走好第一方阵。</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黑体" w:hAnsi="黑体" w:eastAsia="黑体" w:cs="黑体"/>
          <w:b/>
          <w:bCs/>
          <w:color w:val="auto"/>
          <w:sz w:val="32"/>
          <w:szCs w:val="32"/>
          <w:lang w:val="en-US" w:eastAsia="zh-CN"/>
        </w:rPr>
      </w:pPr>
      <w:bookmarkStart w:id="4" w:name="_Toc933"/>
      <w:r>
        <w:rPr>
          <w:rFonts w:hint="eastAsia" w:ascii="黑体" w:hAnsi="黑体" w:eastAsia="黑体" w:cs="黑体"/>
          <w:b/>
          <w:bCs/>
          <w:color w:val="auto"/>
          <w:sz w:val="32"/>
          <w:szCs w:val="32"/>
          <w:lang w:val="en-US" w:eastAsia="zh-CN"/>
        </w:rPr>
        <w:t>二、部门预算单位构成</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27" w:firstLineChars="200"/>
        <w:textAlignment w:val="auto"/>
        <w:rPr>
          <w:rFonts w:hint="eastAsia" w:ascii="仿宋_GB2312" w:hAnsi="宋体" w:eastAsia="仿宋_GB2312" w:cs="宋体"/>
          <w:b/>
          <w:bCs/>
          <w:color w:val="auto"/>
          <w:spacing w:val="-4"/>
          <w:kern w:val="0"/>
          <w:sz w:val="32"/>
          <w:szCs w:val="32"/>
          <w:shd w:val="clear" w:color="auto" w:fill="FFFFFF"/>
          <w:lang w:val="en-US" w:eastAsia="zh-CN" w:bidi="ar"/>
        </w:rPr>
      </w:pPr>
      <w:r>
        <w:rPr>
          <w:rFonts w:hint="eastAsia" w:ascii="仿宋_GB2312" w:hAnsi="宋体" w:eastAsia="仿宋_GB2312" w:cs="宋体"/>
          <w:b/>
          <w:bCs/>
          <w:color w:val="auto"/>
          <w:spacing w:val="-4"/>
          <w:kern w:val="0"/>
          <w:sz w:val="32"/>
          <w:szCs w:val="32"/>
          <w:shd w:val="clear" w:color="auto" w:fill="FFFFFF"/>
          <w:lang w:val="en-US" w:eastAsia="zh-CN" w:bidi="ar"/>
        </w:rPr>
        <w:t>我部为财政一级预算单位，执行行政单位会计制度。内设20个职能科室，下属4个中心，无下属二级预算单位。</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黑体" w:hAnsi="黑体" w:eastAsia="黑体" w:cs="黑体"/>
          <w:b/>
          <w:bCs/>
          <w:color w:val="auto"/>
          <w:sz w:val="32"/>
          <w:szCs w:val="32"/>
        </w:rPr>
      </w:pPr>
      <w:bookmarkStart w:id="5" w:name="_Toc15078"/>
      <w:r>
        <w:rPr>
          <w:rFonts w:hint="eastAsia" w:ascii="黑体" w:hAnsi="黑体" w:eastAsia="黑体" w:cs="黑体"/>
          <w:b/>
          <w:bCs/>
          <w:color w:val="auto"/>
          <w:sz w:val="32"/>
          <w:szCs w:val="32"/>
          <w:lang w:val="en-US" w:eastAsia="zh-CN"/>
        </w:rPr>
        <w:t>三、收支预算情况说明</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按照综合预算的原则，中国共产党广元市委员会组织部所有收入和支出均纳入部门预算管理。收入包括：一般公共预算拨款收入、其他收入；支出包括：一般公共服务支出、社会保障和就业支出、卫生健康支出、住房保障支出。中国共产党广元市委员会组织部2024年收支预算总数1784.27万元，比2023年收支预算总数增加73.7万元，主要原因是2024年年度考核奖8000元/人·年纳入部门预算。</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1"/>
        <w:rPr>
          <w:rFonts w:hint="eastAsia" w:ascii="楷体_GB2312" w:hAnsi="楷体_GB2312" w:eastAsia="楷体_GB2312" w:cs="楷体_GB2312"/>
          <w:b/>
          <w:bCs/>
          <w:color w:val="auto"/>
          <w:sz w:val="32"/>
          <w:szCs w:val="32"/>
          <w:lang w:val="en-US" w:eastAsia="zh-CN"/>
        </w:rPr>
      </w:pPr>
      <w:bookmarkStart w:id="6" w:name="_Toc2375"/>
      <w:r>
        <w:rPr>
          <w:rFonts w:hint="eastAsia" w:ascii="楷体_GB2312" w:hAnsi="楷体_GB2312" w:eastAsia="楷体_GB2312" w:cs="楷体_GB2312"/>
          <w:b/>
          <w:bCs/>
          <w:color w:val="auto"/>
          <w:sz w:val="32"/>
          <w:szCs w:val="32"/>
          <w:lang w:val="en-US" w:eastAsia="zh-CN"/>
        </w:rPr>
        <w:t>（一）收入预算情况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中国共产党广元市委员会组织部2024年收入预算1784.27万元，其中：一般公共预算拨款收入1739.86万元，占97.51%；其他收入44.41万元，占2.49%。</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1"/>
        <w:rPr>
          <w:rFonts w:hint="eastAsia" w:ascii="楷体_GB2312" w:hAnsi="楷体_GB2312" w:eastAsia="楷体_GB2312" w:cs="楷体_GB2312"/>
          <w:b/>
          <w:bCs/>
          <w:sz w:val="32"/>
          <w:szCs w:val="32"/>
          <w:lang w:val="en-US" w:eastAsia="zh-CN"/>
        </w:rPr>
      </w:pPr>
      <w:bookmarkStart w:id="7" w:name="_Toc14888"/>
      <w:r>
        <w:rPr>
          <w:rFonts w:hint="eastAsia" w:ascii="楷体_GB2312" w:hAnsi="楷体_GB2312" w:eastAsia="楷体_GB2312" w:cs="楷体_GB2312"/>
          <w:b/>
          <w:bCs/>
          <w:sz w:val="32"/>
          <w:szCs w:val="32"/>
          <w:lang w:val="en-US" w:eastAsia="zh-CN"/>
        </w:rPr>
        <w:t>（二）支出预算情况</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中国共产党广元市委员会组织部2024年支出预算1784.27万元，其中：基本支出1486.86万元，占83.33%；项目支出297.41万元，占16.67%。</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黑体" w:hAnsi="黑体" w:eastAsia="黑体" w:cs="黑体"/>
          <w:b/>
          <w:bCs/>
          <w:sz w:val="32"/>
          <w:szCs w:val="32"/>
        </w:rPr>
      </w:pPr>
      <w:bookmarkStart w:id="8" w:name="_Toc10787"/>
      <w:r>
        <w:rPr>
          <w:rFonts w:hint="eastAsia" w:ascii="黑体" w:hAnsi="黑体" w:eastAsia="黑体" w:cs="黑体"/>
          <w:b/>
          <w:bCs/>
          <w:sz w:val="32"/>
          <w:szCs w:val="32"/>
          <w:lang w:val="en-US" w:eastAsia="zh-CN"/>
        </w:rPr>
        <w:t>四、财政拨款收支预算情况说明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sz w:val="32"/>
          <w:szCs w:val="32"/>
          <w:lang w:val="en-US" w:eastAsia="zh-CN"/>
        </w:rPr>
        <w:t>中国共产党广元市委员会组织部2024年财政拨款收支预算总</w:t>
      </w:r>
      <w:r>
        <w:rPr>
          <w:rFonts w:hint="eastAsia" w:ascii="仿宋_GB2312" w:hAnsi="仿宋_GB2312" w:eastAsia="仿宋_GB2312" w:cs="仿宋_GB2312"/>
          <w:b/>
          <w:bCs/>
          <w:color w:val="auto"/>
          <w:sz w:val="32"/>
          <w:szCs w:val="32"/>
          <w:lang w:val="en-US" w:eastAsia="zh-CN"/>
        </w:rPr>
        <w:t>数1739.86万元，比2023年财政拨款收支预算总数增加29.29</w:t>
      </w:r>
      <w:r>
        <w:rPr>
          <w:rFonts w:hint="eastAsia" w:ascii="仿宋_GB2312" w:hAnsi="仿宋_GB2312" w:eastAsia="仿宋_GB2312" w:cs="仿宋_GB2312"/>
          <w:b/>
          <w:bCs/>
          <w:sz w:val="32"/>
          <w:szCs w:val="32"/>
          <w:lang w:val="en-US" w:eastAsia="zh-CN"/>
        </w:rPr>
        <w:t>万元，</w:t>
      </w:r>
      <w:r>
        <w:rPr>
          <w:rFonts w:hint="eastAsia" w:ascii="仿宋_GB2312" w:hAnsi="仿宋_GB2312" w:eastAsia="仿宋_GB2312" w:cs="仿宋_GB2312"/>
          <w:b/>
          <w:bCs/>
          <w:color w:val="auto"/>
          <w:sz w:val="32"/>
          <w:szCs w:val="32"/>
          <w:lang w:val="en-US" w:eastAsia="zh-CN"/>
        </w:rPr>
        <w:t>主要原因是2024年年度考核奖8000元/人·年纳入部门预算，2024年在岗人数较上年同期减少1人。</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收入包括：本年一般公共预算拨款收入1739.86万元；支出包括：一般公共服务支出1440.91万元、社会保障和就业支出138.18万元、卫生健康支出43.96万元、住房保障支出116.81万元。</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黑体" w:hAnsi="黑体" w:eastAsia="黑体" w:cs="黑体"/>
          <w:b/>
          <w:bCs/>
          <w:sz w:val="32"/>
          <w:szCs w:val="32"/>
          <w:lang w:val="en-US" w:eastAsia="zh-CN"/>
        </w:rPr>
      </w:pPr>
      <w:bookmarkStart w:id="9" w:name="_Toc3657"/>
      <w:r>
        <w:rPr>
          <w:rFonts w:hint="eastAsia" w:ascii="黑体" w:hAnsi="黑体" w:eastAsia="黑体" w:cs="黑体"/>
          <w:b/>
          <w:bCs/>
          <w:sz w:val="32"/>
          <w:szCs w:val="32"/>
          <w:lang w:val="en-US" w:eastAsia="zh-CN"/>
        </w:rPr>
        <w:t>五、一般公共预算当年拨款情况说明</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1"/>
        <w:rPr>
          <w:rFonts w:hint="eastAsia" w:ascii="楷体_GB2312" w:hAnsi="楷体_GB2312" w:eastAsia="楷体_GB2312" w:cs="楷体_GB2312"/>
          <w:b/>
          <w:bCs/>
          <w:sz w:val="32"/>
          <w:szCs w:val="32"/>
          <w:lang w:val="en-US" w:eastAsia="zh-CN"/>
        </w:rPr>
      </w:pPr>
      <w:bookmarkStart w:id="10" w:name="_Toc20936"/>
      <w:r>
        <w:rPr>
          <w:rFonts w:hint="eastAsia" w:ascii="楷体_GB2312" w:hAnsi="楷体_GB2312" w:eastAsia="楷体_GB2312" w:cs="楷体_GB2312"/>
          <w:b/>
          <w:bCs/>
          <w:sz w:val="32"/>
          <w:szCs w:val="32"/>
          <w:lang w:val="en-US" w:eastAsia="zh-CN"/>
        </w:rPr>
        <w:t>（一）一般公共预算当年拨款规模变化情况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sz w:val="32"/>
          <w:szCs w:val="32"/>
          <w:lang w:val="en-US" w:eastAsia="zh-CN"/>
        </w:rPr>
        <w:t>中国共产党广元市委员会组织部2024年一般公共预算当年拨款1739.86万元，比2023年预算数增加</w:t>
      </w:r>
      <w:r>
        <w:rPr>
          <w:rFonts w:hint="eastAsia" w:ascii="仿宋_GB2312" w:hAnsi="仿宋_GB2312" w:eastAsia="仿宋_GB2312" w:cs="仿宋_GB2312"/>
          <w:b/>
          <w:bCs/>
          <w:color w:val="auto"/>
          <w:sz w:val="32"/>
          <w:szCs w:val="32"/>
          <w:lang w:val="en-US" w:eastAsia="zh-CN"/>
        </w:rPr>
        <w:t>29.29</w:t>
      </w:r>
      <w:r>
        <w:rPr>
          <w:rFonts w:hint="eastAsia" w:ascii="仿宋_GB2312" w:hAnsi="仿宋_GB2312" w:eastAsia="仿宋_GB2312" w:cs="仿宋_GB2312"/>
          <w:b/>
          <w:bCs/>
          <w:sz w:val="32"/>
          <w:szCs w:val="32"/>
          <w:lang w:val="en-US" w:eastAsia="zh-CN"/>
        </w:rPr>
        <w:t>万元，</w:t>
      </w:r>
      <w:r>
        <w:rPr>
          <w:rFonts w:hint="eastAsia" w:ascii="仿宋_GB2312" w:hAnsi="仿宋_GB2312" w:eastAsia="仿宋_GB2312" w:cs="仿宋_GB2312"/>
          <w:b/>
          <w:bCs/>
          <w:color w:val="auto"/>
          <w:sz w:val="32"/>
          <w:szCs w:val="32"/>
          <w:lang w:val="en-US" w:eastAsia="zh-CN"/>
        </w:rPr>
        <w:t>主要原因是2024年年度考核奖8000元/人·年纳入部门预算，2024年在岗人数较上年同期减少1人。</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1"/>
        <w:rPr>
          <w:rFonts w:hint="eastAsia" w:ascii="楷体_GB2312" w:hAnsi="楷体_GB2312" w:eastAsia="楷体_GB2312" w:cs="楷体_GB2312"/>
          <w:b/>
          <w:bCs/>
          <w:sz w:val="32"/>
          <w:szCs w:val="32"/>
          <w:lang w:val="en-US" w:eastAsia="zh-CN"/>
        </w:rPr>
      </w:pPr>
      <w:bookmarkStart w:id="11" w:name="_Toc21226"/>
      <w:r>
        <w:rPr>
          <w:rFonts w:hint="eastAsia" w:ascii="楷体_GB2312" w:hAnsi="楷体_GB2312" w:eastAsia="楷体_GB2312" w:cs="楷体_GB2312"/>
          <w:b/>
          <w:bCs/>
          <w:sz w:val="32"/>
          <w:szCs w:val="32"/>
          <w:lang w:val="en-US" w:eastAsia="zh-CN"/>
        </w:rPr>
        <w:t>（二）一般公共预算当年拨款结构情况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一般公共服务支出1440.91万元，占82.82%；社会保障和就业支出138.18万元，占7.94%；卫生健康支出43.96万元，占2.53%；住房保障支出116.81万元，占6.71%。</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1"/>
        <w:rPr>
          <w:rFonts w:hint="eastAsia" w:ascii="楷体_GB2312" w:hAnsi="楷体_GB2312" w:eastAsia="楷体_GB2312" w:cs="楷体_GB2312"/>
          <w:b/>
          <w:bCs/>
          <w:sz w:val="32"/>
          <w:szCs w:val="32"/>
          <w:lang w:val="en-US" w:eastAsia="zh-CN"/>
        </w:rPr>
      </w:pPr>
      <w:bookmarkStart w:id="12" w:name="_Toc23125"/>
      <w:r>
        <w:rPr>
          <w:rFonts w:hint="eastAsia" w:ascii="楷体_GB2312" w:hAnsi="楷体_GB2312" w:eastAsia="楷体_GB2312" w:cs="楷体_GB2312"/>
          <w:b/>
          <w:bCs/>
          <w:sz w:val="32"/>
          <w:szCs w:val="32"/>
          <w:lang w:val="en-US" w:eastAsia="zh-CN"/>
        </w:rPr>
        <w:t>（三）一般公共预算当年拨款具体使用情况</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val="en-US" w:eastAsia="zh-CN"/>
        </w:rPr>
      </w:pPr>
      <w:r>
        <w:rPr>
          <w:rFonts w:hint="default"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一般公共服务（类）组织事务（款）行政运行（项）2024年预算数为1085.26万元，主要用于：行政单位工资奖金津补贴、其他工资福利支出、办公经费、会议费、培训费、公务接待费、公务用车运行维护费、维修（护）费、其他商品和服务支出、设备购置、其他对个人和家庭补助。</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default"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lang w:val="en-US" w:eastAsia="zh-CN"/>
        </w:rPr>
        <w:t>一般公共服务（类）组织事务（款）一般行政管理事务（项）2024年预算数为253万元，主要用于：</w:t>
      </w:r>
      <w:r>
        <w:rPr>
          <w:rFonts w:hint="eastAsia" w:ascii="仿宋_GB2312" w:hAnsi="宋体" w:eastAsia="仿宋_GB2312" w:cs="宋体"/>
          <w:b/>
          <w:bCs/>
          <w:color w:val="auto"/>
          <w:kern w:val="0"/>
          <w:sz w:val="32"/>
          <w:szCs w:val="32"/>
          <w:shd w:val="clear" w:color="auto" w:fill="FFFFFF"/>
          <w:lang w:bidi="ar"/>
        </w:rPr>
        <w:t>补充部机关办公经费、培训费、维修（护）费、其他商品和服务支出</w:t>
      </w:r>
      <w:r>
        <w:rPr>
          <w:rFonts w:hint="eastAsia" w:ascii="仿宋_GB2312" w:hAnsi="仿宋_GB2312" w:eastAsia="仿宋_GB2312" w:cs="仿宋_GB2312"/>
          <w:b/>
          <w:bCs/>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default" w:ascii="仿宋_GB2312" w:hAnsi="仿宋_GB2312" w:eastAsia="仿宋_GB2312" w:cs="仿宋_GB2312"/>
          <w:b/>
          <w:bCs/>
          <w:color w:val="auto"/>
          <w:sz w:val="32"/>
          <w:szCs w:val="32"/>
          <w:lang w:val="en-US" w:eastAsia="zh-CN"/>
        </w:rPr>
        <w:t>3.</w:t>
      </w:r>
      <w:r>
        <w:rPr>
          <w:rFonts w:hint="eastAsia" w:ascii="仿宋_GB2312" w:hAnsi="仿宋_GB2312" w:eastAsia="仿宋_GB2312" w:cs="仿宋_GB2312"/>
          <w:b/>
          <w:bCs/>
          <w:color w:val="auto"/>
          <w:sz w:val="32"/>
          <w:szCs w:val="32"/>
          <w:lang w:val="en-US" w:eastAsia="zh-CN"/>
        </w:rPr>
        <w:t>一般公共服务（类）组织事务（款）事业运行（项）2024年预算数为102.65万元，主要用于：事业单位的基本支出，包括基本</w:t>
      </w:r>
      <w:r>
        <w:rPr>
          <w:rFonts w:hint="eastAsia" w:ascii="仿宋_GB2312" w:hAnsi="宋体" w:eastAsia="仿宋_GB2312" w:cs="宋体"/>
          <w:b/>
          <w:bCs/>
          <w:color w:val="auto"/>
          <w:kern w:val="0"/>
          <w:sz w:val="32"/>
          <w:szCs w:val="32"/>
          <w:shd w:val="clear" w:color="auto" w:fill="FFFFFF"/>
          <w:lang w:bidi="ar"/>
        </w:rPr>
        <w:t>工资</w:t>
      </w:r>
      <w:r>
        <w:rPr>
          <w:rFonts w:hint="eastAsia" w:ascii="仿宋_GB2312" w:hAnsi="宋体" w:eastAsia="仿宋_GB2312" w:cs="宋体"/>
          <w:b/>
          <w:bCs/>
          <w:color w:val="auto"/>
          <w:kern w:val="0"/>
          <w:sz w:val="32"/>
          <w:szCs w:val="32"/>
          <w:shd w:val="clear" w:color="auto" w:fill="FFFFFF"/>
          <w:lang w:eastAsia="zh-CN" w:bidi="ar"/>
        </w:rPr>
        <w:t>、</w:t>
      </w:r>
      <w:r>
        <w:rPr>
          <w:rFonts w:hint="eastAsia" w:ascii="仿宋_GB2312" w:hAnsi="宋体" w:eastAsia="仿宋_GB2312" w:cs="宋体"/>
          <w:b/>
          <w:bCs/>
          <w:color w:val="auto"/>
          <w:kern w:val="0"/>
          <w:sz w:val="32"/>
          <w:szCs w:val="32"/>
          <w:shd w:val="clear" w:color="auto" w:fill="FFFFFF"/>
          <w:lang w:bidi="ar"/>
        </w:rPr>
        <w:t>津补贴、奖金</w:t>
      </w:r>
      <w:r>
        <w:rPr>
          <w:rFonts w:hint="eastAsia" w:ascii="仿宋_GB2312" w:hAnsi="宋体" w:eastAsia="仿宋_GB2312" w:cs="宋体"/>
          <w:b/>
          <w:bCs/>
          <w:color w:val="auto"/>
          <w:kern w:val="0"/>
          <w:sz w:val="32"/>
          <w:szCs w:val="32"/>
          <w:shd w:val="clear" w:color="auto" w:fill="FFFFFF"/>
          <w:lang w:eastAsia="zh-CN" w:bidi="ar"/>
        </w:rPr>
        <w:t>、</w:t>
      </w:r>
      <w:r>
        <w:rPr>
          <w:rFonts w:hint="eastAsia" w:ascii="仿宋_GB2312" w:hAnsi="宋体" w:eastAsia="仿宋_GB2312" w:cs="宋体"/>
          <w:b/>
          <w:bCs/>
          <w:color w:val="auto"/>
          <w:kern w:val="0"/>
          <w:sz w:val="32"/>
          <w:szCs w:val="32"/>
          <w:shd w:val="clear" w:color="auto" w:fill="FFFFFF"/>
          <w:lang w:val="en-US" w:eastAsia="zh-CN" w:bidi="ar"/>
        </w:rPr>
        <w:t>公用经费等</w:t>
      </w:r>
      <w:r>
        <w:rPr>
          <w:rFonts w:hint="eastAsia" w:ascii="仿宋_GB2312" w:hAnsi="仿宋_GB2312" w:eastAsia="仿宋_GB2312" w:cs="仿宋_GB2312"/>
          <w:b/>
          <w:bCs/>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4.社会保障和就业（类）行政事业单位养老支出（款）机关事业单位基本养老保险缴费支出（项）2024年预算数为138.18万元，主要用于：实施养老保险制度由单位缴纳的基本养老保险支出。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5.卫生健康（类）行政事业单位医疗（款）行政单位医疗（项）2024年预算数为43.96万元，主要用于：机关及参公管理事业单位按规定由单位缴纳的基本医疗保险支出。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color w:val="auto"/>
          <w:sz w:val="32"/>
          <w:szCs w:val="32"/>
          <w:lang w:val="en-US" w:eastAsia="zh-CN"/>
        </w:rPr>
        <w:t>6.住房保障（类）住房改革支出（款）住</w:t>
      </w:r>
      <w:r>
        <w:rPr>
          <w:rFonts w:hint="eastAsia" w:ascii="仿宋_GB2312" w:hAnsi="仿宋_GB2312" w:eastAsia="仿宋_GB2312" w:cs="仿宋_GB2312"/>
          <w:b/>
          <w:bCs/>
          <w:sz w:val="32"/>
          <w:szCs w:val="32"/>
          <w:lang w:val="en-US" w:eastAsia="zh-CN"/>
        </w:rPr>
        <w:t>房公积金（项）2024年预算数为116.81万元，主要用于：部门按规定为职工缴纳的住房公积金支出。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黑体" w:hAnsi="黑体" w:eastAsia="黑体" w:cs="黑体"/>
          <w:b/>
          <w:bCs/>
          <w:sz w:val="32"/>
          <w:szCs w:val="32"/>
        </w:rPr>
      </w:pPr>
      <w:bookmarkStart w:id="13" w:name="_Toc6802"/>
      <w:r>
        <w:rPr>
          <w:rFonts w:hint="eastAsia" w:ascii="黑体" w:hAnsi="黑体" w:eastAsia="黑体" w:cs="黑体"/>
          <w:b/>
          <w:bCs/>
          <w:sz w:val="32"/>
          <w:szCs w:val="32"/>
          <w:lang w:val="en-US" w:eastAsia="zh-CN"/>
        </w:rPr>
        <w:t>六、一般公共预算基本支出情况说明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中国共产党广元市委员会组织部2024年一般公共预算基本支出1486.86万元，其中：</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人员经费1257.46万元，主要包括：基本工资、津贴补贴、奖金、绩效工资、机关事业单位基本养老保险缴费、职工基本医疗保险缴费、其他社会保障缴费、住房公积金、生活补助等支出。</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公用经费229.40万元，主要包括：办公费、印刷费、水费、电费、邮电费、差旅费、维修（护）费、租赁费、会议费、培训费、公务接待费、劳务费、工会经费、福利费、公务用车运行维护费、其他交通费用、其他商品和服务支出等支出。</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黑体" w:hAnsi="黑体" w:eastAsia="黑体" w:cs="黑体"/>
          <w:b/>
          <w:bCs/>
          <w:sz w:val="32"/>
          <w:szCs w:val="32"/>
        </w:rPr>
      </w:pPr>
      <w:bookmarkStart w:id="14" w:name="_Toc12690"/>
      <w:r>
        <w:rPr>
          <w:rFonts w:hint="eastAsia" w:ascii="黑体" w:hAnsi="黑体" w:eastAsia="黑体" w:cs="黑体"/>
          <w:b/>
          <w:bCs/>
          <w:sz w:val="32"/>
          <w:szCs w:val="32"/>
          <w:lang w:val="en-US" w:eastAsia="zh-CN"/>
        </w:rPr>
        <w:t>七、“三公”经费财政拨款预算安排情况说明</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中国共产党广元市委员会组织部2024年“三公”经费财政拨款预算数9.5万元，其中：公务接待费4万元，公务用车购置及运行维护费5.5万元，因公出国（境）经费0万元。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1"/>
        <w:rPr>
          <w:rFonts w:hint="eastAsia" w:ascii="楷体_GB2312" w:hAnsi="楷体_GB2312" w:eastAsia="楷体_GB2312" w:cs="楷体_GB2312"/>
          <w:b/>
          <w:bCs/>
          <w:sz w:val="32"/>
          <w:szCs w:val="32"/>
          <w:lang w:val="en-US" w:eastAsia="zh-CN"/>
        </w:rPr>
      </w:pPr>
      <w:bookmarkStart w:id="15" w:name="_Toc5079"/>
      <w:r>
        <w:rPr>
          <w:rFonts w:hint="eastAsia" w:ascii="楷体_GB2312" w:hAnsi="楷体_GB2312" w:eastAsia="楷体_GB2312" w:cs="楷体_GB2312"/>
          <w:b/>
          <w:bCs/>
          <w:sz w:val="32"/>
          <w:szCs w:val="32"/>
          <w:lang w:val="en-US" w:eastAsia="zh-CN"/>
        </w:rPr>
        <w:t>（一）公务接待费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公务接待费与2023年预算相比持平。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3" w:firstLineChars="200"/>
        <w:textAlignment w:val="auto"/>
        <w:outlineLvl w:val="1"/>
        <w:rPr>
          <w:rFonts w:hint="eastAsia" w:ascii="楷体_GB2312" w:hAnsi="楷体_GB2312" w:eastAsia="楷体_GB2312" w:cs="楷体_GB2312"/>
          <w:b/>
          <w:bCs/>
          <w:sz w:val="32"/>
          <w:szCs w:val="32"/>
          <w:lang w:val="en-US" w:eastAsia="zh-CN"/>
        </w:rPr>
      </w:pPr>
      <w:bookmarkStart w:id="16" w:name="_Toc11241"/>
      <w:r>
        <w:rPr>
          <w:rFonts w:hint="eastAsia" w:ascii="楷体_GB2312" w:hAnsi="楷体_GB2312" w:eastAsia="楷体_GB2312" w:cs="楷体_GB2312"/>
          <w:b/>
          <w:bCs/>
          <w:sz w:val="32"/>
          <w:szCs w:val="32"/>
          <w:lang w:val="en-US" w:eastAsia="zh-CN"/>
        </w:rPr>
        <w:t>公务用车购置及运行维护费</w:t>
      </w:r>
      <w:bookmarkEnd w:id="16"/>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color w:val="0000FF"/>
          <w:sz w:val="32"/>
          <w:szCs w:val="32"/>
          <w:lang w:val="en-US" w:eastAsia="zh-CN"/>
        </w:rPr>
      </w:pPr>
      <w:r>
        <w:rPr>
          <w:rFonts w:hint="eastAsia" w:ascii="仿宋_GB2312" w:hAnsi="宋体" w:eastAsia="仿宋_GB2312" w:cs="宋体"/>
          <w:b/>
          <w:bCs/>
          <w:kern w:val="0"/>
          <w:sz w:val="32"/>
          <w:szCs w:val="32"/>
          <w:shd w:val="clear" w:color="auto" w:fill="FFFFFF"/>
          <w:lang w:bidi="ar"/>
        </w:rPr>
        <w:t>单位现有公务用车1辆，其中：轿车0辆，旅行车（含商务车）0辆，越野车1辆。</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宋体" w:eastAsia="仿宋_GB2312" w:cs="宋体"/>
          <w:b/>
          <w:bCs/>
          <w:kern w:val="0"/>
          <w:sz w:val="32"/>
          <w:szCs w:val="32"/>
          <w:shd w:val="clear" w:color="auto" w:fill="FFFFFF"/>
          <w:lang w:bidi="ar"/>
        </w:rPr>
        <w:t>20</w:t>
      </w:r>
      <w:r>
        <w:rPr>
          <w:rFonts w:hint="eastAsia" w:ascii="仿宋_GB2312" w:hAnsi="宋体" w:eastAsia="仿宋_GB2312" w:cs="宋体"/>
          <w:b/>
          <w:bCs/>
          <w:kern w:val="0"/>
          <w:sz w:val="32"/>
          <w:szCs w:val="32"/>
          <w:shd w:val="clear" w:color="auto" w:fill="FFFFFF"/>
          <w:lang w:val="en-US" w:eastAsia="zh-CN" w:bidi="ar"/>
        </w:rPr>
        <w:t>24</w:t>
      </w:r>
      <w:r>
        <w:rPr>
          <w:rFonts w:hint="eastAsia" w:ascii="仿宋_GB2312" w:hAnsi="宋体" w:eastAsia="仿宋_GB2312" w:cs="宋体"/>
          <w:b/>
          <w:bCs/>
          <w:kern w:val="0"/>
          <w:sz w:val="32"/>
          <w:szCs w:val="32"/>
          <w:shd w:val="clear" w:color="auto" w:fill="FFFFFF"/>
          <w:lang w:bidi="ar"/>
        </w:rPr>
        <w:t>年公务用车购置费0万元，</w:t>
      </w:r>
      <w:r>
        <w:rPr>
          <w:rFonts w:hint="eastAsia" w:ascii="仿宋_GB2312" w:hAnsi="宋体" w:eastAsia="仿宋_GB2312" w:cs="宋体"/>
          <w:b/>
          <w:bCs/>
          <w:kern w:val="0"/>
          <w:sz w:val="32"/>
          <w:szCs w:val="32"/>
          <w:shd w:val="clear" w:color="auto" w:fill="FFFFFF"/>
          <w:lang w:eastAsia="zh-CN" w:bidi="ar"/>
        </w:rPr>
        <w:t>与</w:t>
      </w:r>
      <w:r>
        <w:rPr>
          <w:rFonts w:hint="eastAsia" w:ascii="仿宋_GB2312" w:hAnsi="宋体" w:eastAsia="仿宋_GB2312" w:cs="宋体"/>
          <w:b/>
          <w:bCs/>
          <w:kern w:val="0"/>
          <w:sz w:val="32"/>
          <w:szCs w:val="32"/>
          <w:shd w:val="clear" w:color="auto" w:fill="FFFFFF"/>
          <w:lang w:bidi="ar"/>
        </w:rPr>
        <w:t>202</w:t>
      </w:r>
      <w:r>
        <w:rPr>
          <w:rFonts w:hint="eastAsia" w:ascii="仿宋_GB2312" w:hAnsi="宋体" w:eastAsia="仿宋_GB2312" w:cs="宋体"/>
          <w:b/>
          <w:bCs/>
          <w:kern w:val="0"/>
          <w:sz w:val="32"/>
          <w:szCs w:val="32"/>
          <w:shd w:val="clear" w:color="auto" w:fill="FFFFFF"/>
          <w:lang w:val="en-US" w:eastAsia="zh-CN" w:bidi="ar"/>
        </w:rPr>
        <w:t>3</w:t>
      </w:r>
      <w:r>
        <w:rPr>
          <w:rFonts w:hint="eastAsia" w:ascii="仿宋_GB2312" w:hAnsi="宋体" w:eastAsia="仿宋_GB2312" w:cs="宋体"/>
          <w:b/>
          <w:bCs/>
          <w:kern w:val="0"/>
          <w:sz w:val="32"/>
          <w:szCs w:val="32"/>
          <w:shd w:val="clear" w:color="auto" w:fill="FFFFFF"/>
          <w:lang w:bidi="ar"/>
        </w:rPr>
        <w:t>年预算</w:t>
      </w:r>
      <w:r>
        <w:rPr>
          <w:rFonts w:hint="eastAsia" w:ascii="仿宋_GB2312" w:hAnsi="宋体" w:eastAsia="仿宋_GB2312" w:cs="宋体"/>
          <w:b/>
          <w:bCs/>
          <w:kern w:val="0"/>
          <w:sz w:val="32"/>
          <w:szCs w:val="32"/>
          <w:shd w:val="clear" w:color="auto" w:fill="FFFFFF"/>
          <w:lang w:eastAsia="zh-CN" w:bidi="ar"/>
        </w:rPr>
        <w:t>相比</w:t>
      </w:r>
      <w:r>
        <w:rPr>
          <w:rFonts w:hint="eastAsia" w:ascii="仿宋_GB2312" w:hAnsi="宋体" w:eastAsia="仿宋_GB2312" w:cs="宋体"/>
          <w:b/>
          <w:bCs/>
          <w:kern w:val="0"/>
          <w:sz w:val="32"/>
          <w:szCs w:val="32"/>
          <w:shd w:val="clear" w:color="auto" w:fill="FFFFFF"/>
          <w:lang w:bidi="ar"/>
        </w:rPr>
        <w:t>持平，原因是202</w:t>
      </w:r>
      <w:r>
        <w:rPr>
          <w:rFonts w:hint="eastAsia" w:ascii="仿宋_GB2312" w:hAnsi="宋体" w:eastAsia="仿宋_GB2312" w:cs="宋体"/>
          <w:b/>
          <w:bCs/>
          <w:kern w:val="0"/>
          <w:sz w:val="32"/>
          <w:szCs w:val="32"/>
          <w:shd w:val="clear" w:color="auto" w:fill="FFFFFF"/>
          <w:lang w:val="en-US" w:eastAsia="zh-CN" w:bidi="ar"/>
        </w:rPr>
        <w:t>4</w:t>
      </w:r>
      <w:r>
        <w:rPr>
          <w:rFonts w:hint="eastAsia" w:ascii="仿宋_GB2312" w:hAnsi="宋体" w:eastAsia="仿宋_GB2312" w:cs="宋体"/>
          <w:b/>
          <w:bCs/>
          <w:kern w:val="0"/>
          <w:sz w:val="32"/>
          <w:szCs w:val="32"/>
          <w:shd w:val="clear" w:color="auto" w:fill="FFFFFF"/>
          <w:lang w:bidi="ar"/>
        </w:rPr>
        <w:t>年无公务用车购置计划</w:t>
      </w:r>
      <w:r>
        <w:rPr>
          <w:rFonts w:hint="eastAsia" w:ascii="仿宋_GB2312" w:hAnsi="仿宋_GB2312" w:eastAsia="仿宋_GB2312" w:cs="仿宋_GB2312"/>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宋体" w:eastAsia="仿宋_GB2312" w:cs="宋体"/>
          <w:b/>
          <w:bCs/>
          <w:kern w:val="0"/>
          <w:sz w:val="32"/>
          <w:szCs w:val="32"/>
          <w:shd w:val="clear" w:color="auto" w:fill="FFFFFF"/>
          <w:lang w:val="en-US" w:eastAsia="zh-CN" w:bidi="ar"/>
        </w:rPr>
      </w:pPr>
      <w:r>
        <w:rPr>
          <w:rFonts w:hint="eastAsia" w:ascii="仿宋_GB2312" w:hAnsi="宋体" w:eastAsia="仿宋_GB2312" w:cs="宋体"/>
          <w:b/>
          <w:bCs/>
          <w:kern w:val="0"/>
          <w:sz w:val="32"/>
          <w:szCs w:val="32"/>
          <w:shd w:val="clear" w:color="auto" w:fill="FFFFFF"/>
          <w:lang w:val="en-US" w:eastAsia="zh-CN" w:bidi="ar"/>
        </w:rPr>
        <w:t>2024年安排公务用车运行维护费5.5万元，</w:t>
      </w:r>
      <w:r>
        <w:rPr>
          <w:rFonts w:hint="eastAsia" w:ascii="仿宋_GB2312" w:hAnsi="宋体" w:eastAsia="仿宋_GB2312" w:cs="宋体"/>
          <w:b/>
          <w:bCs/>
          <w:kern w:val="0"/>
          <w:sz w:val="32"/>
          <w:szCs w:val="32"/>
          <w:shd w:val="clear" w:color="auto" w:fill="FFFFFF"/>
          <w:lang w:bidi="ar"/>
        </w:rPr>
        <w:t>用于1辆公务用车燃油、过路（桥）、维修、保险等方面支出，主要</w:t>
      </w:r>
      <w:r>
        <w:rPr>
          <w:rFonts w:hint="eastAsia" w:ascii="仿宋_GB2312" w:hAnsi="宋体" w:eastAsia="仿宋_GB2312" w:cs="宋体"/>
          <w:b/>
          <w:bCs/>
          <w:kern w:val="0"/>
          <w:sz w:val="32"/>
          <w:szCs w:val="32"/>
          <w:shd w:val="clear" w:color="auto" w:fill="FFFFFF"/>
          <w:lang w:eastAsia="zh-CN" w:bidi="ar"/>
        </w:rPr>
        <w:t>保障</w:t>
      </w:r>
      <w:r>
        <w:rPr>
          <w:rFonts w:hint="eastAsia" w:ascii="仿宋_GB2312" w:hAnsi="宋体" w:eastAsia="仿宋_GB2312" w:cs="宋体"/>
          <w:b/>
          <w:bCs/>
          <w:kern w:val="0"/>
          <w:sz w:val="32"/>
          <w:szCs w:val="32"/>
          <w:shd w:val="clear" w:color="auto" w:fill="FFFFFF"/>
          <w:lang w:bidi="ar"/>
        </w:rPr>
        <w:t>20</w:t>
      </w:r>
      <w:r>
        <w:rPr>
          <w:rFonts w:hint="eastAsia" w:ascii="仿宋_GB2312" w:hAnsi="宋体" w:eastAsia="仿宋_GB2312" w:cs="宋体"/>
          <w:b/>
          <w:bCs/>
          <w:kern w:val="0"/>
          <w:sz w:val="32"/>
          <w:szCs w:val="32"/>
          <w:shd w:val="clear" w:color="auto" w:fill="FFFFFF"/>
          <w:lang w:val="en-US" w:eastAsia="zh-CN" w:bidi="ar"/>
        </w:rPr>
        <w:t>24</w:t>
      </w:r>
      <w:r>
        <w:rPr>
          <w:rFonts w:hint="eastAsia" w:ascii="仿宋_GB2312" w:hAnsi="宋体" w:eastAsia="仿宋_GB2312" w:cs="宋体"/>
          <w:b/>
          <w:bCs/>
          <w:kern w:val="0"/>
          <w:sz w:val="32"/>
          <w:szCs w:val="32"/>
          <w:shd w:val="clear" w:color="auto" w:fill="FFFFFF"/>
          <w:lang w:bidi="ar"/>
        </w:rPr>
        <w:t>年部机关干部外出开展干部考察工作、抓党建促乡村振兴等重大工作所用。</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w:t>
      </w:r>
      <w:bookmarkStart w:id="17" w:name="_Toc18690"/>
      <w:r>
        <w:rPr>
          <w:rFonts w:hint="eastAsia" w:ascii="仿宋_GB2312" w:hAnsi="仿宋_GB2312" w:eastAsia="仿宋_GB2312" w:cs="仿宋_GB2312"/>
          <w:b/>
          <w:bCs/>
          <w:sz w:val="32"/>
          <w:szCs w:val="32"/>
          <w:lang w:val="en-US" w:eastAsia="zh-CN"/>
        </w:rPr>
        <w:t>（</w:t>
      </w:r>
      <w:r>
        <w:rPr>
          <w:rFonts w:hint="eastAsia" w:ascii="楷体_GB2312" w:hAnsi="楷体_GB2312" w:eastAsia="楷体_GB2312" w:cs="楷体_GB2312"/>
          <w:b/>
          <w:bCs/>
          <w:sz w:val="32"/>
          <w:szCs w:val="32"/>
          <w:lang w:val="en-US" w:eastAsia="zh-CN"/>
        </w:rPr>
        <w:t>三）因公出国（境）经费</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Times New Roman" w:eastAsia="仿宋_GB2312" w:cs="Times New Roman"/>
          <w:b/>
          <w:bCs/>
          <w:kern w:val="0"/>
          <w:sz w:val="32"/>
          <w:szCs w:val="32"/>
          <w:shd w:val="clear" w:color="auto" w:fill="FFFFFF"/>
          <w:lang w:eastAsia="zh-CN" w:bidi="ar"/>
        </w:rPr>
      </w:pPr>
      <w:r>
        <w:rPr>
          <w:rFonts w:hint="eastAsia" w:ascii="仿宋_GB2312" w:hAnsi="Times New Roman" w:eastAsia="仿宋_GB2312" w:cs="Times New Roman"/>
          <w:b/>
          <w:bCs/>
          <w:kern w:val="0"/>
          <w:sz w:val="32"/>
          <w:szCs w:val="32"/>
          <w:shd w:val="clear" w:color="auto" w:fill="FFFFFF"/>
          <w:lang w:bidi="ar"/>
        </w:rPr>
        <w:t>20</w:t>
      </w:r>
      <w:r>
        <w:rPr>
          <w:rFonts w:hint="eastAsia" w:ascii="仿宋_GB2312" w:hAnsi="Times New Roman" w:eastAsia="仿宋_GB2312" w:cs="Times New Roman"/>
          <w:b/>
          <w:bCs/>
          <w:kern w:val="0"/>
          <w:sz w:val="32"/>
          <w:szCs w:val="32"/>
          <w:shd w:val="clear" w:color="auto" w:fill="FFFFFF"/>
          <w:lang w:val="en-US" w:eastAsia="zh-CN" w:bidi="ar"/>
        </w:rPr>
        <w:t>24</w:t>
      </w:r>
      <w:r>
        <w:rPr>
          <w:rFonts w:hint="eastAsia" w:ascii="仿宋_GB2312" w:hAnsi="Times New Roman" w:eastAsia="仿宋_GB2312" w:cs="Times New Roman"/>
          <w:b/>
          <w:bCs/>
          <w:kern w:val="0"/>
          <w:sz w:val="32"/>
          <w:szCs w:val="32"/>
          <w:shd w:val="clear" w:color="auto" w:fill="FFFFFF"/>
          <w:lang w:bidi="ar"/>
        </w:rPr>
        <w:t>年部门预算未编列因公出国（境）经费，未安排出国（出境）任务和计划</w:t>
      </w:r>
      <w:r>
        <w:rPr>
          <w:rFonts w:hint="eastAsia" w:ascii="仿宋_GB2312" w:hAnsi="Times New Roman" w:eastAsia="仿宋_GB2312" w:cs="Times New Roman"/>
          <w:b/>
          <w:bCs/>
          <w:kern w:val="0"/>
          <w:sz w:val="32"/>
          <w:szCs w:val="32"/>
          <w:shd w:val="clear" w:color="auto" w:fill="FFFFFF"/>
          <w:lang w:eastAsia="zh-CN" w:bidi="ar"/>
        </w:rPr>
        <w:t>。</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黑体" w:hAnsi="黑体" w:eastAsia="黑体" w:cs="黑体"/>
          <w:b/>
          <w:bCs/>
          <w:sz w:val="32"/>
          <w:szCs w:val="32"/>
          <w:lang w:val="en-US" w:eastAsia="zh-CN"/>
        </w:rPr>
      </w:pPr>
      <w:bookmarkStart w:id="18" w:name="_Toc7157"/>
      <w:r>
        <w:rPr>
          <w:rFonts w:hint="eastAsia" w:ascii="黑体" w:hAnsi="黑体" w:eastAsia="黑体" w:cs="黑体"/>
          <w:b/>
          <w:bCs/>
          <w:sz w:val="32"/>
          <w:szCs w:val="32"/>
          <w:lang w:val="en-US" w:eastAsia="zh-CN"/>
        </w:rPr>
        <w:t>八、政府性基金预算支出情况说明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中国共产党广元市委员会组织部2024年无政府性基金预算拨款安排的支出。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黑体" w:hAnsi="黑体" w:eastAsia="黑体" w:cs="黑体"/>
          <w:b/>
          <w:bCs/>
          <w:sz w:val="32"/>
          <w:szCs w:val="32"/>
          <w:lang w:val="en-US" w:eastAsia="zh-CN"/>
        </w:rPr>
      </w:pPr>
      <w:bookmarkStart w:id="19" w:name="_Toc21971"/>
      <w:r>
        <w:rPr>
          <w:rFonts w:hint="eastAsia" w:ascii="黑体" w:hAnsi="黑体" w:eastAsia="黑体" w:cs="黑体"/>
          <w:b/>
          <w:bCs/>
          <w:sz w:val="32"/>
          <w:szCs w:val="32"/>
          <w:lang w:val="en-US" w:eastAsia="zh-CN"/>
        </w:rPr>
        <w:t>九、国有资本经营预算支出情况说明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中国共产党广元市委员会组织部2024年无国有资本经营预算拨款安排的支出。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黑体" w:hAnsi="黑体" w:eastAsia="黑体" w:cs="黑体"/>
          <w:b/>
          <w:bCs/>
          <w:color w:val="auto"/>
          <w:sz w:val="32"/>
          <w:szCs w:val="32"/>
        </w:rPr>
      </w:pPr>
      <w:bookmarkStart w:id="20" w:name="_Toc15300"/>
      <w:r>
        <w:rPr>
          <w:rFonts w:hint="eastAsia" w:ascii="黑体" w:hAnsi="黑体" w:eastAsia="黑体" w:cs="黑体"/>
          <w:b/>
          <w:bCs/>
          <w:color w:val="auto"/>
          <w:sz w:val="32"/>
          <w:szCs w:val="32"/>
          <w:lang w:val="en-US" w:eastAsia="zh-CN"/>
        </w:rPr>
        <w:t>十、其他重要事项的情况说明</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1"/>
        <w:rPr>
          <w:rFonts w:hint="eastAsia" w:ascii="楷体_GB2312" w:hAnsi="楷体_GB2312" w:eastAsia="楷体_GB2312" w:cs="楷体_GB2312"/>
          <w:b/>
          <w:bCs/>
          <w:sz w:val="32"/>
          <w:szCs w:val="32"/>
          <w:lang w:val="en-US" w:eastAsia="zh-CN"/>
        </w:rPr>
      </w:pPr>
      <w:bookmarkStart w:id="21" w:name="_Toc3139"/>
      <w:r>
        <w:rPr>
          <w:rFonts w:hint="eastAsia" w:ascii="楷体_GB2312" w:hAnsi="楷体_GB2312" w:eastAsia="楷体_GB2312" w:cs="楷体_GB2312"/>
          <w:b/>
          <w:bCs/>
          <w:sz w:val="32"/>
          <w:szCs w:val="32"/>
          <w:lang w:val="en-US" w:eastAsia="zh-CN"/>
        </w:rPr>
        <w:t>（一）机关运行经费</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2024年，中国共产党广元市委员会组织部机关运行经费财政拨款预算为229.40万元，比2023年预算减少4.62万元，下降1.97%。2024年在岗人数较上年同期减少1人。</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1"/>
        <w:rPr>
          <w:rFonts w:hint="eastAsia" w:ascii="楷体_GB2312" w:hAnsi="楷体_GB2312" w:eastAsia="楷体_GB2312" w:cs="楷体_GB2312"/>
          <w:b/>
          <w:bCs/>
          <w:sz w:val="32"/>
          <w:szCs w:val="32"/>
          <w:lang w:val="en-US" w:eastAsia="zh-CN"/>
        </w:rPr>
      </w:pPr>
      <w:bookmarkStart w:id="22" w:name="_Toc7427"/>
      <w:r>
        <w:rPr>
          <w:rFonts w:hint="eastAsia" w:ascii="楷体_GB2312" w:hAnsi="楷体_GB2312" w:eastAsia="楷体_GB2312" w:cs="楷体_GB2312"/>
          <w:b/>
          <w:bCs/>
          <w:sz w:val="32"/>
          <w:szCs w:val="32"/>
          <w:lang w:val="en-US" w:eastAsia="zh-CN"/>
        </w:rPr>
        <w:t>（二）政府采购情况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2024年，中国共产党广元市委员会组织部安排政府采购预算0万元。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1"/>
        <w:rPr>
          <w:rFonts w:hint="eastAsia" w:ascii="楷体_GB2312" w:hAnsi="楷体_GB2312" w:eastAsia="楷体_GB2312" w:cs="楷体_GB2312"/>
          <w:b/>
          <w:bCs/>
          <w:sz w:val="32"/>
          <w:szCs w:val="32"/>
          <w:lang w:val="en-US" w:eastAsia="zh-CN"/>
        </w:rPr>
      </w:pPr>
      <w:bookmarkStart w:id="23" w:name="_Toc2168"/>
      <w:r>
        <w:rPr>
          <w:rFonts w:hint="eastAsia" w:ascii="楷体_GB2312" w:hAnsi="楷体_GB2312" w:eastAsia="楷体_GB2312" w:cs="楷体_GB2312"/>
          <w:b/>
          <w:bCs/>
          <w:sz w:val="32"/>
          <w:szCs w:val="32"/>
          <w:lang w:val="en-US" w:eastAsia="zh-CN"/>
        </w:rPr>
        <w:t>（三）国有资产占有使用情况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截至2023年底，中国共产党广元市委员会组织部共有车辆1辆，其中，定向保障用车1辆1。单位价值200万元以上大型设备0台。</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1"/>
        <w:rPr>
          <w:rFonts w:hint="eastAsia" w:ascii="楷体_GB2312" w:hAnsi="楷体_GB2312" w:eastAsia="楷体_GB2312" w:cs="楷体_GB2312"/>
          <w:b/>
          <w:bCs/>
          <w:color w:val="auto"/>
          <w:sz w:val="32"/>
          <w:szCs w:val="32"/>
        </w:rPr>
      </w:pPr>
      <w:bookmarkStart w:id="24" w:name="_Toc16300"/>
      <w:r>
        <w:rPr>
          <w:rFonts w:hint="eastAsia" w:ascii="楷体_GB2312" w:hAnsi="楷体_GB2312" w:eastAsia="楷体_GB2312" w:cs="楷体_GB2312"/>
          <w:b/>
          <w:bCs/>
          <w:sz w:val="32"/>
          <w:szCs w:val="32"/>
          <w:lang w:val="en-US" w:eastAsia="zh-CN"/>
        </w:rPr>
        <w:t>（四</w:t>
      </w:r>
      <w:r>
        <w:rPr>
          <w:rFonts w:hint="eastAsia" w:ascii="楷体_GB2312" w:hAnsi="楷体_GB2312" w:eastAsia="楷体_GB2312" w:cs="楷体_GB2312"/>
          <w:b/>
          <w:bCs/>
          <w:color w:val="auto"/>
          <w:sz w:val="32"/>
          <w:szCs w:val="32"/>
          <w:lang w:val="en-US" w:eastAsia="zh-CN"/>
        </w:rPr>
        <w:t>）绩效目标设置情况</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2024年中国共产党广元市委员会组织部开展绩效目标管理的项目30个，涉及预算1784.27万元。其中：人员类项目9个，涉及预算1257.46万元；运转类项目6个，涉及预算273.81万元；特定目标类项目15个，涉及预算253万元。</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黑体" w:hAnsi="黑体" w:eastAsia="黑体" w:cs="黑体"/>
          <w:b/>
          <w:bCs/>
          <w:color w:val="auto"/>
          <w:sz w:val="32"/>
          <w:szCs w:val="32"/>
        </w:rPr>
      </w:pPr>
      <w:bookmarkStart w:id="25" w:name="_Toc30028"/>
      <w:r>
        <w:rPr>
          <w:rFonts w:hint="eastAsia" w:ascii="黑体" w:hAnsi="黑体" w:eastAsia="黑体" w:cs="黑体"/>
          <w:b/>
          <w:bCs/>
          <w:color w:val="auto"/>
          <w:sz w:val="32"/>
          <w:szCs w:val="32"/>
          <w:lang w:val="en-US" w:eastAsia="zh-CN"/>
        </w:rPr>
        <w:t>十一、名词解释</w:t>
      </w:r>
      <w:bookmarkEnd w:id="25"/>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0" w:leftChars="0" w:firstLine="420" w:firstLineChars="0"/>
        <w:textAlignment w:val="auto"/>
        <w:outlineLvl w:val="1"/>
        <w:rPr>
          <w:rFonts w:hint="eastAsia" w:ascii="仿宋_GB2312" w:hAnsi="仿宋_GB2312" w:eastAsia="仿宋_GB2312" w:cs="仿宋_GB2312"/>
          <w:b/>
          <w:bCs/>
          <w:color w:val="auto"/>
          <w:sz w:val="32"/>
          <w:szCs w:val="32"/>
          <w:lang w:val="en-US" w:eastAsia="zh-CN"/>
        </w:rPr>
      </w:pPr>
      <w:bookmarkStart w:id="26" w:name="_Toc10983"/>
      <w:r>
        <w:rPr>
          <w:rFonts w:hint="eastAsia" w:ascii="楷体_GB2312" w:hAnsi="楷体_GB2312" w:eastAsia="楷体_GB2312" w:cs="楷体_GB2312"/>
          <w:b/>
          <w:bCs/>
          <w:color w:val="auto"/>
          <w:sz w:val="32"/>
          <w:szCs w:val="32"/>
          <w:lang w:val="en-US" w:eastAsia="zh-CN"/>
        </w:rPr>
        <w:t>一般公共预算拨款收入：</w:t>
      </w:r>
      <w:r>
        <w:rPr>
          <w:rFonts w:hint="eastAsia" w:ascii="仿宋_GB2312" w:hAnsi="仿宋_GB2312" w:eastAsia="仿宋_GB2312" w:cs="仿宋_GB2312"/>
          <w:b/>
          <w:bCs/>
          <w:color w:val="auto"/>
          <w:sz w:val="32"/>
          <w:szCs w:val="32"/>
          <w:lang w:val="en-US" w:eastAsia="zh-CN"/>
        </w:rPr>
        <w:t>指市级财政当年拨付的资金</w:t>
      </w:r>
      <w:bookmarkEnd w:id="26"/>
      <w:r>
        <w:rPr>
          <w:rFonts w:hint="eastAsia" w:ascii="仿宋_GB2312" w:hAnsi="仿宋_GB2312" w:eastAsia="仿宋_GB2312" w:cs="仿宋_GB2312"/>
          <w:b/>
          <w:bCs/>
          <w:color w:val="auto"/>
          <w:sz w:val="32"/>
          <w:szCs w:val="32"/>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0" w:leftChars="0" w:firstLine="420" w:firstLineChars="0"/>
        <w:textAlignment w:val="auto"/>
        <w:outlineLvl w:val="1"/>
        <w:rPr>
          <w:rFonts w:hint="eastAsia" w:ascii="仿宋_GB2312" w:hAnsi="仿宋_GB2312" w:eastAsia="仿宋_GB2312" w:cs="仿宋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一般公共服务（类）组织事务（款）行政运行（项）：</w:t>
      </w:r>
      <w:r>
        <w:rPr>
          <w:rFonts w:hint="eastAsia" w:ascii="仿宋_GB2312" w:hAnsi="仿宋_GB2312" w:eastAsia="仿宋_GB2312" w:cs="仿宋_GB2312"/>
          <w:b/>
          <w:bCs/>
          <w:color w:val="auto"/>
          <w:sz w:val="32"/>
          <w:szCs w:val="32"/>
          <w:lang w:val="en-US" w:eastAsia="zh-CN"/>
        </w:rPr>
        <w:t>指组织部行政单位及参照公务员法管理的事业单位，用于保障机构正常运行、开展日常工作的基本支出。</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一般公共服务（类）组织事务（款）一般行政管理事务（项）：</w:t>
      </w:r>
      <w:r>
        <w:rPr>
          <w:rFonts w:hint="eastAsia" w:ascii="仿宋_GB2312" w:hAnsi="仿宋_GB2312" w:eastAsia="仿宋_GB2312" w:cs="仿宋_GB2312"/>
          <w:b/>
          <w:bCs/>
          <w:color w:val="auto"/>
          <w:sz w:val="32"/>
          <w:szCs w:val="32"/>
          <w:lang w:val="en-US" w:eastAsia="zh-CN"/>
        </w:rPr>
        <w:t>指组织部行政单位及参照公务员法管理的事业单位未单独设置项级科目的专门性财政管理工作的项目支出。</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一般公共服务（类）组织事务（款）事业运行（项）：</w:t>
      </w:r>
      <w:r>
        <w:rPr>
          <w:rFonts w:hint="eastAsia" w:ascii="仿宋_GB2312" w:hAnsi="仿宋_GB2312" w:eastAsia="仿宋_GB2312" w:cs="仿宋_GB2312"/>
          <w:b/>
          <w:bCs/>
          <w:color w:val="auto"/>
          <w:sz w:val="32"/>
          <w:szCs w:val="32"/>
          <w:lang w:val="en-US" w:eastAsia="zh-CN"/>
        </w:rPr>
        <w:t>指组织部参照公务员法管理的事业单位的基本支出。</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社会保障和就业（类）行政事业单位养老支出（款）机关事业单位基本养老保险缴费支出（项）：</w:t>
      </w:r>
      <w:r>
        <w:rPr>
          <w:rFonts w:hint="eastAsia" w:ascii="仿宋_GB2312" w:hAnsi="仿宋_GB2312" w:eastAsia="仿宋_GB2312" w:cs="仿宋_GB2312"/>
          <w:b/>
          <w:bCs/>
          <w:color w:val="auto"/>
          <w:sz w:val="32"/>
          <w:szCs w:val="32"/>
          <w:lang w:val="en-US" w:eastAsia="zh-CN"/>
        </w:rPr>
        <w:t>指机关事业单位实施养老保险制度由单位缴纳的基本养老保险费支出。</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卫生健康（类）行政事业单位医疗（款）行政单位医疗（项）：</w:t>
      </w:r>
      <w:r>
        <w:rPr>
          <w:rFonts w:hint="eastAsia" w:ascii="仿宋_GB2312" w:hAnsi="仿宋_GB2312" w:eastAsia="仿宋_GB2312" w:cs="仿宋_GB2312"/>
          <w:b/>
          <w:bCs/>
          <w:color w:val="auto"/>
          <w:sz w:val="32"/>
          <w:szCs w:val="32"/>
          <w:lang w:val="en-US" w:eastAsia="zh-CN"/>
        </w:rPr>
        <w:t>指机关及参公管理事业单位用于单位应缴纳基本医疗保险支出。</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住房保障（类）住房改革支出（款）住房公积金（项）：</w:t>
      </w:r>
      <w:r>
        <w:rPr>
          <w:rFonts w:hint="eastAsia" w:ascii="仿宋_GB2312" w:hAnsi="仿宋_GB2312" w:eastAsia="仿宋_GB2312" w:cs="仿宋_GB2312"/>
          <w:b/>
          <w:bCs/>
          <w:color w:val="auto"/>
          <w:sz w:val="32"/>
          <w:szCs w:val="32"/>
          <w:lang w:val="en-US" w:eastAsia="zh-CN"/>
        </w:rPr>
        <w:t>指按照《住房公积金管理条例》的规定，由单位及其在职职工缴存的长期住房储金。</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基本支出：</w:t>
      </w:r>
      <w:r>
        <w:rPr>
          <w:rFonts w:hint="eastAsia" w:ascii="仿宋_GB2312" w:hAnsi="仿宋_GB2312" w:eastAsia="仿宋_GB2312" w:cs="仿宋_GB2312"/>
          <w:b/>
          <w:bCs/>
          <w:color w:val="auto"/>
          <w:sz w:val="32"/>
          <w:szCs w:val="32"/>
          <w:lang w:val="en-US" w:eastAsia="zh-CN"/>
        </w:rPr>
        <w:t>指为保证机构正常运转，完成日常工作任务而发生的人员支出和公用支出。</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项目支出：</w:t>
      </w:r>
      <w:r>
        <w:rPr>
          <w:rFonts w:hint="eastAsia" w:ascii="仿宋_GB2312" w:hAnsi="仿宋_GB2312" w:eastAsia="仿宋_GB2312" w:cs="仿宋_GB2312"/>
          <w:b/>
          <w:bCs/>
          <w:color w:val="auto"/>
          <w:sz w:val="32"/>
          <w:szCs w:val="32"/>
          <w:lang w:val="en-US" w:eastAsia="zh-CN"/>
        </w:rPr>
        <w:t>指在基本支出之外为完成特定行政任务和事业发展目标所发生的支出。</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“三公”经费：</w:t>
      </w:r>
      <w:r>
        <w:rPr>
          <w:rFonts w:hint="eastAsia" w:ascii="仿宋_GB2312" w:hAnsi="仿宋_GB2312" w:eastAsia="仿宋_GB2312" w:cs="仿宋_GB2312"/>
          <w:b/>
          <w:bCs/>
          <w:color w:val="auto"/>
          <w:sz w:val="32"/>
          <w:szCs w:val="32"/>
          <w:lang w:val="en-US" w:eastAsia="zh-CN"/>
        </w:rPr>
        <w:t>纳入部门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机关运行经费：</w:t>
      </w:r>
      <w:r>
        <w:rPr>
          <w:rFonts w:hint="eastAsia" w:ascii="仿宋_GB2312" w:hAnsi="仿宋_GB2312" w:eastAsia="仿宋_GB2312" w:cs="仿宋_GB2312"/>
          <w:b/>
          <w:bCs/>
          <w:color w:val="auto"/>
          <w:sz w:val="32"/>
          <w:szCs w:val="32"/>
          <w:lang w:val="en-US" w:eastAsia="zh-CN"/>
        </w:rPr>
        <w:t>为保障行政单位（包括参照公务员法管理的事业单位）运行用于购买货物和服务的各项资金，包括办公及印刷费、邮电费、差旅费、会议费、培训费、福利费、日常维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附件：部门预算公开表</w:t>
      </w:r>
    </w:p>
    <w:sectPr>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CEDD4DC-BFA2-4167-82EB-86306FFDF40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embedRegular r:id="rId2" w:fontKey="{8302BCEA-A57F-4094-8E19-5B20CE822A4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00000" w:usb2="00000000" w:usb3="00000000" w:csb0="00040000" w:csb1="00000000"/>
    <w:embedRegular r:id="rId3" w:fontKey="{CD3D2B2C-E2F3-42CE-B42D-69B395F7C6BF}"/>
  </w:font>
  <w:font w:name="楷体_GB2312">
    <w:altName w:val="楷体"/>
    <w:panose1 w:val="02010609030101010101"/>
    <w:charset w:val="86"/>
    <w:family w:val="auto"/>
    <w:pitch w:val="default"/>
    <w:sig w:usb0="00000000" w:usb1="00000000" w:usb2="00000000" w:usb3="00000000" w:csb0="00040000" w:csb1="00000000"/>
    <w:embedRegular r:id="rId4" w:fontKey="{F4188FD2-5FF2-46C8-8EE2-5F5A38032106}"/>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79503A"/>
    <w:multiLevelType w:val="singleLevel"/>
    <w:tmpl w:val="1A79503A"/>
    <w:lvl w:ilvl="0" w:tentative="0">
      <w:start w:val="1"/>
      <w:numFmt w:val="chineseCounting"/>
      <w:suff w:val="nothing"/>
      <w:lvlText w:val="（%1）"/>
      <w:lvlJc w:val="left"/>
      <w:pPr>
        <w:ind w:left="0" w:firstLine="420"/>
      </w:pPr>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12352D1"/>
    <w:rsid w:val="04A91D2C"/>
    <w:rsid w:val="05924D4E"/>
    <w:rsid w:val="05FB30A8"/>
    <w:rsid w:val="09B64B07"/>
    <w:rsid w:val="0B2D1098"/>
    <w:rsid w:val="128C061E"/>
    <w:rsid w:val="15BB6746"/>
    <w:rsid w:val="175F6CC1"/>
    <w:rsid w:val="1B770817"/>
    <w:rsid w:val="1F7BF06F"/>
    <w:rsid w:val="1FEE4B73"/>
    <w:rsid w:val="1FFEE479"/>
    <w:rsid w:val="20076707"/>
    <w:rsid w:val="23CE9849"/>
    <w:rsid w:val="27EF4161"/>
    <w:rsid w:val="2DA709E8"/>
    <w:rsid w:val="36BB3DD7"/>
    <w:rsid w:val="376D3CB4"/>
    <w:rsid w:val="39F304DD"/>
    <w:rsid w:val="3EE7989F"/>
    <w:rsid w:val="40416B7A"/>
    <w:rsid w:val="40F85C36"/>
    <w:rsid w:val="43CD67A4"/>
    <w:rsid w:val="46FFAC46"/>
    <w:rsid w:val="475F022D"/>
    <w:rsid w:val="4FF5290E"/>
    <w:rsid w:val="54244390"/>
    <w:rsid w:val="54662A63"/>
    <w:rsid w:val="58064E12"/>
    <w:rsid w:val="5B601658"/>
    <w:rsid w:val="5BFEE015"/>
    <w:rsid w:val="5FE7E2BB"/>
    <w:rsid w:val="5FFFFCB9"/>
    <w:rsid w:val="63660521"/>
    <w:rsid w:val="63664569"/>
    <w:rsid w:val="63EDCF55"/>
    <w:rsid w:val="63FBFBCF"/>
    <w:rsid w:val="65970B6C"/>
    <w:rsid w:val="669360FD"/>
    <w:rsid w:val="68FF6A83"/>
    <w:rsid w:val="691C3B40"/>
    <w:rsid w:val="6A3FC9A4"/>
    <w:rsid w:val="6FBBC9CF"/>
    <w:rsid w:val="71D138A4"/>
    <w:rsid w:val="71FE29C7"/>
    <w:rsid w:val="72BDE561"/>
    <w:rsid w:val="75DF4727"/>
    <w:rsid w:val="77DB5D11"/>
    <w:rsid w:val="78462278"/>
    <w:rsid w:val="7997EA6C"/>
    <w:rsid w:val="7AEAE675"/>
    <w:rsid w:val="7B07029F"/>
    <w:rsid w:val="7BAFCE5D"/>
    <w:rsid w:val="7BEA4F00"/>
    <w:rsid w:val="7D46598C"/>
    <w:rsid w:val="7DFB240B"/>
    <w:rsid w:val="7E0935ED"/>
    <w:rsid w:val="7EE7941B"/>
    <w:rsid w:val="7F577F5F"/>
    <w:rsid w:val="7FCF2AF7"/>
    <w:rsid w:val="8DEE918D"/>
    <w:rsid w:val="958EDFDC"/>
    <w:rsid w:val="9FEF033D"/>
    <w:rsid w:val="A27FF1E5"/>
    <w:rsid w:val="A3B86714"/>
    <w:rsid w:val="AEFECE6F"/>
    <w:rsid w:val="AFDEB5A7"/>
    <w:rsid w:val="AFEA7FBF"/>
    <w:rsid w:val="B0FB4BCD"/>
    <w:rsid w:val="B2545264"/>
    <w:rsid w:val="B7D548BC"/>
    <w:rsid w:val="B83F4767"/>
    <w:rsid w:val="BF930F07"/>
    <w:rsid w:val="BFBF9441"/>
    <w:rsid w:val="BFCE8436"/>
    <w:rsid w:val="BFFBD6EE"/>
    <w:rsid w:val="C3F7EB7A"/>
    <w:rsid w:val="CFF5FEEC"/>
    <w:rsid w:val="CFFE59C3"/>
    <w:rsid w:val="D3DD9064"/>
    <w:rsid w:val="D6F76A0C"/>
    <w:rsid w:val="D7ECE8D2"/>
    <w:rsid w:val="DFDD4FB5"/>
    <w:rsid w:val="E7F748B5"/>
    <w:rsid w:val="EE5F3713"/>
    <w:rsid w:val="EFC9D62C"/>
    <w:rsid w:val="F3CD7B13"/>
    <w:rsid w:val="F6BE9755"/>
    <w:rsid w:val="F6FFA89B"/>
    <w:rsid w:val="F9CF9E83"/>
    <w:rsid w:val="FA53B89C"/>
    <w:rsid w:val="FAE4EFE1"/>
    <w:rsid w:val="FB9B6F12"/>
    <w:rsid w:val="FBB66A4A"/>
    <w:rsid w:val="FBFEAA48"/>
    <w:rsid w:val="FDEE6989"/>
    <w:rsid w:val="FDF6C774"/>
    <w:rsid w:val="FDFE99B9"/>
    <w:rsid w:val="FE7B571D"/>
    <w:rsid w:val="FF5E7DB8"/>
    <w:rsid w:val="FF77E367"/>
    <w:rsid w:val="FFBD9EDE"/>
    <w:rsid w:val="FFD576EB"/>
    <w:rsid w:val="FFEFD178"/>
    <w:rsid w:val="FFFA408F"/>
    <w:rsid w:val="FFFBE8B7"/>
    <w:rsid w:val="FFFEC9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Salutation"/>
    <w:basedOn w:val="1"/>
    <w:next w:val="1"/>
    <w:autoRedefine/>
    <w:qFormat/>
    <w:uiPriority w:val="0"/>
    <w:rPr>
      <w:rFonts w:ascii="Times New Roman" w:hAnsi="Times New Roman"/>
    </w:rPr>
  </w:style>
  <w:style w:type="paragraph" w:styleId="3">
    <w:name w:val="caption"/>
    <w:basedOn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qFormat/>
    <w:uiPriority w:val="0"/>
    <w:rPr>
      <w:sz w:val="24"/>
    </w:rPr>
  </w:style>
  <w:style w:type="character" w:styleId="11">
    <w:name w:val="page number"/>
    <w:basedOn w:val="10"/>
    <w:qFormat/>
    <w:uiPriority w:val="0"/>
  </w:style>
  <w:style w:type="character" w:customStyle="1" w:styleId="12">
    <w:name w:val="默认段落字体1"/>
    <w:qFormat/>
    <w:uiPriority w:val="0"/>
  </w:style>
  <w:style w:type="paragraph" w:customStyle="1" w:styleId="13">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autoRedefine/>
    <w:qFormat/>
    <w:uiPriority w:val="0"/>
    <w:pPr>
      <w:widowControl w:val="0"/>
      <w:suppressLineNumbers/>
      <w:suppressAutoHyphens/>
    </w:pPr>
  </w:style>
  <w:style w:type="paragraph" w:customStyle="1" w:styleId="15">
    <w:name w:val="WPSOffice手动目录 1"/>
    <w:uiPriority w:val="0"/>
    <w:pPr>
      <w:ind w:leftChars="0"/>
    </w:pPr>
    <w:rPr>
      <w:sz w:val="20"/>
      <w:szCs w:val="20"/>
    </w:rPr>
  </w:style>
  <w:style w:type="paragraph" w:customStyle="1" w:styleId="16">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Office_12.1.0.16250_F1E327BC-269C-435d-A152-05C5408002CA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2018-12-01T01:47:00Z</dcterms:created>
  <dc:creator>admin</dc:creator>
  <cp:lastModifiedBy>玖千余为春秋</cp:lastModifiedBy>
  <dcterms:modified xsi:type="dcterms:W3CDTF">2024-02-19T11:43:50Z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96081F72B7444D3C8C1C7DDAED24732C_13</vt:lpwstr>
  </property>
</Properties>
</file>