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atLeas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atLeas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中共广元市委政策研究室</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atLeas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sdt>
      <w:sdtPr>
        <w:rPr>
          <w:rFonts w:ascii="宋体" w:hAnsi="宋体" w:eastAsia="宋体" w:cs="Times New Roman"/>
          <w:color w:val="auto"/>
          <w:kern w:val="2"/>
          <w:sz w:val="21"/>
          <w:szCs w:val="24"/>
          <w:lang w:val="en-US" w:eastAsia="zh-CN" w:bidi="ar-SA"/>
        </w:rPr>
        <w:id w:val="78694106"/>
        <w15:color w:val="DBDBDB"/>
        <w:docPartObj>
          <w:docPartGallery w:val="Table of Contents"/>
          <w:docPartUnique/>
        </w:docPartObj>
      </w:sdtPr>
      <w:sdtEndPr>
        <w:rPr>
          <w:rFonts w:ascii="宋体" w:hAnsi="宋体" w:eastAsia="宋体" w:cs="Times New Roman"/>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3"/>
            <w:tabs>
              <w:tab w:val="right" w:leader="dot" w:pos="8845"/>
            </w:tabs>
            <w:spacing w:line="300" w:lineRule="auto"/>
          </w:pPr>
          <w:r>
            <w:fldChar w:fldCharType="begin"/>
          </w:r>
          <w:r>
            <w:instrText xml:space="preserve">TOC \o "1-3" \h \u </w:instrText>
          </w:r>
          <w:r>
            <w:fldChar w:fldCharType="separate"/>
          </w:r>
        </w:p>
        <w:p>
          <w:pPr>
            <w:pStyle w:val="13"/>
            <w:tabs>
              <w:tab w:val="right" w:leader="dot" w:pos="8845"/>
            </w:tabs>
            <w:spacing w:line="300" w:lineRule="auto"/>
          </w:pPr>
          <w:r>
            <w:fldChar w:fldCharType="begin"/>
          </w:r>
          <w:r>
            <w:instrText xml:space="preserve"> HYPERLINK \l _Toc1396971130 </w:instrText>
          </w:r>
          <w: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_Toc1396971130 \h </w:instrText>
          </w:r>
          <w:r>
            <w:fldChar w:fldCharType="separate"/>
          </w:r>
          <w:r>
            <w:t>1</w:t>
          </w:r>
          <w:r>
            <w:fldChar w:fldCharType="end"/>
          </w:r>
          <w:r>
            <w:fldChar w:fldCharType="end"/>
          </w:r>
        </w:p>
        <w:p>
          <w:pPr>
            <w:pStyle w:val="14"/>
            <w:tabs>
              <w:tab w:val="right" w:leader="dot" w:pos="8845"/>
            </w:tabs>
            <w:spacing w:line="300" w:lineRule="auto"/>
          </w:pPr>
          <w:r>
            <w:fldChar w:fldCharType="begin"/>
          </w:r>
          <w:r>
            <w:instrText xml:space="preserve"> HYPERLINK \l _Toc1814425506 </w:instrText>
          </w:r>
          <w: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中共广元市委政策研究室</w:t>
          </w:r>
          <w:r>
            <w:rPr>
              <w:rFonts w:hint="eastAsia" w:ascii="楷体_GB2312" w:hAnsi="楷体_GB2312" w:eastAsia="楷体_GB2312" w:cs="楷体_GB2312"/>
              <w:szCs w:val="32"/>
            </w:rPr>
            <w:t>职能简介</w:t>
          </w:r>
          <w:r>
            <w:tab/>
          </w:r>
          <w:r>
            <w:fldChar w:fldCharType="begin"/>
          </w:r>
          <w:r>
            <w:instrText xml:space="preserve"> PAGEREF _Toc1814425506 \h </w:instrText>
          </w:r>
          <w:r>
            <w:fldChar w:fldCharType="separate"/>
          </w:r>
          <w:r>
            <w:t>1</w:t>
          </w:r>
          <w:r>
            <w:fldChar w:fldCharType="end"/>
          </w:r>
          <w:r>
            <w:fldChar w:fldCharType="end"/>
          </w:r>
        </w:p>
        <w:p>
          <w:pPr>
            <w:pStyle w:val="14"/>
            <w:tabs>
              <w:tab w:val="right" w:leader="dot" w:pos="8845"/>
            </w:tabs>
            <w:spacing w:line="300" w:lineRule="auto"/>
          </w:pPr>
          <w:r>
            <w:fldChar w:fldCharType="begin"/>
          </w:r>
          <w:r>
            <w:instrText xml:space="preserve"> HYPERLINK \l _Toc1438570204 </w:instrText>
          </w:r>
          <w:r>
            <w:fldChar w:fldCharType="separate"/>
          </w:r>
          <w:r>
            <w:rPr>
              <w:rFonts w:hint="eastAsia" w:ascii="楷体_GB2312" w:hAnsi="楷体_GB2312" w:eastAsia="楷体_GB2312" w:cs="楷体_GB2312"/>
              <w:szCs w:val="32"/>
              <w:lang w:val="en-US" w:eastAsia="zh-CN"/>
            </w:rPr>
            <w:t>（二）中共广元市委政策研究室2024年重点工作</w:t>
          </w:r>
          <w:r>
            <w:tab/>
          </w:r>
          <w:r>
            <w:fldChar w:fldCharType="begin"/>
          </w:r>
          <w:r>
            <w:instrText xml:space="preserve"> PAGEREF _Toc1438570204 \h </w:instrText>
          </w:r>
          <w:r>
            <w:fldChar w:fldCharType="separate"/>
          </w:r>
          <w:r>
            <w:t>2</w:t>
          </w:r>
          <w:r>
            <w:fldChar w:fldCharType="end"/>
          </w:r>
          <w:r>
            <w:fldChar w:fldCharType="end"/>
          </w:r>
        </w:p>
        <w:p>
          <w:pPr>
            <w:pStyle w:val="13"/>
            <w:tabs>
              <w:tab w:val="right" w:leader="dot" w:pos="8845"/>
            </w:tabs>
            <w:spacing w:line="300" w:lineRule="auto"/>
          </w:pPr>
          <w:r>
            <w:fldChar w:fldCharType="begin"/>
          </w:r>
          <w:r>
            <w:instrText xml:space="preserve"> HYPERLINK \l _Toc845699045 </w:instrText>
          </w:r>
          <w: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_Toc845699045 \h </w:instrText>
          </w:r>
          <w:r>
            <w:fldChar w:fldCharType="separate"/>
          </w:r>
          <w:r>
            <w:t>3</w:t>
          </w:r>
          <w:r>
            <w:fldChar w:fldCharType="end"/>
          </w:r>
          <w:r>
            <w:fldChar w:fldCharType="end"/>
          </w:r>
        </w:p>
        <w:p>
          <w:pPr>
            <w:pStyle w:val="13"/>
            <w:tabs>
              <w:tab w:val="right" w:leader="dot" w:pos="8845"/>
            </w:tabs>
            <w:spacing w:line="300" w:lineRule="auto"/>
          </w:pPr>
          <w:r>
            <w:fldChar w:fldCharType="begin"/>
          </w:r>
          <w:r>
            <w:instrText xml:space="preserve"> HYPERLINK \l _Toc1923979217 </w:instrText>
          </w:r>
          <w: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_Toc1923979217 \h </w:instrText>
          </w:r>
          <w:r>
            <w:fldChar w:fldCharType="separate"/>
          </w:r>
          <w:r>
            <w:t>3</w:t>
          </w:r>
          <w:r>
            <w:fldChar w:fldCharType="end"/>
          </w:r>
          <w:r>
            <w:fldChar w:fldCharType="end"/>
          </w:r>
        </w:p>
        <w:p>
          <w:pPr>
            <w:pStyle w:val="14"/>
            <w:tabs>
              <w:tab w:val="right" w:leader="dot" w:pos="8845"/>
            </w:tabs>
            <w:spacing w:line="300" w:lineRule="auto"/>
          </w:pPr>
          <w:r>
            <w:fldChar w:fldCharType="begin"/>
          </w:r>
          <w:r>
            <w:instrText xml:space="preserve"> HYPERLINK \l _Toc675812389 </w:instrText>
          </w:r>
          <w: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_Toc675812389 \h </w:instrText>
          </w:r>
          <w:r>
            <w:fldChar w:fldCharType="separate"/>
          </w:r>
          <w:r>
            <w:t>4</w:t>
          </w:r>
          <w:r>
            <w:fldChar w:fldCharType="end"/>
          </w:r>
          <w:r>
            <w:fldChar w:fldCharType="end"/>
          </w:r>
        </w:p>
        <w:p>
          <w:pPr>
            <w:pStyle w:val="14"/>
            <w:tabs>
              <w:tab w:val="right" w:leader="dot" w:pos="8845"/>
            </w:tabs>
            <w:spacing w:line="300" w:lineRule="auto"/>
          </w:pPr>
          <w:r>
            <w:fldChar w:fldCharType="begin"/>
          </w:r>
          <w:r>
            <w:instrText xml:space="preserve"> HYPERLINK \l _Toc1703377452 </w:instrText>
          </w:r>
          <w: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_Toc1703377452 \h </w:instrText>
          </w:r>
          <w:r>
            <w:fldChar w:fldCharType="separate"/>
          </w:r>
          <w:r>
            <w:t>4</w:t>
          </w:r>
          <w:r>
            <w:fldChar w:fldCharType="end"/>
          </w:r>
          <w:r>
            <w:fldChar w:fldCharType="end"/>
          </w:r>
        </w:p>
        <w:p>
          <w:pPr>
            <w:pStyle w:val="13"/>
            <w:tabs>
              <w:tab w:val="right" w:leader="dot" w:pos="8845"/>
            </w:tabs>
            <w:spacing w:line="300" w:lineRule="auto"/>
          </w:pPr>
          <w:r>
            <w:fldChar w:fldCharType="begin"/>
          </w:r>
          <w:r>
            <w:instrText xml:space="preserve"> HYPERLINK \l _Toc1857294655 </w:instrText>
          </w:r>
          <w: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_Toc1857294655 \h </w:instrText>
          </w:r>
          <w:r>
            <w:fldChar w:fldCharType="separate"/>
          </w:r>
          <w:r>
            <w:t>4</w:t>
          </w:r>
          <w:r>
            <w:fldChar w:fldCharType="end"/>
          </w:r>
          <w:r>
            <w:fldChar w:fldCharType="end"/>
          </w:r>
        </w:p>
        <w:p>
          <w:pPr>
            <w:pStyle w:val="13"/>
            <w:tabs>
              <w:tab w:val="right" w:leader="dot" w:pos="8845"/>
            </w:tabs>
            <w:spacing w:line="300" w:lineRule="auto"/>
          </w:pPr>
          <w:r>
            <w:fldChar w:fldCharType="begin"/>
          </w:r>
          <w:r>
            <w:instrText xml:space="preserve"> HYPERLINK \l _Toc1046808207 </w:instrText>
          </w:r>
          <w: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_Toc1046808207 \h </w:instrText>
          </w:r>
          <w:r>
            <w:fldChar w:fldCharType="separate"/>
          </w:r>
          <w:r>
            <w:t>4</w:t>
          </w:r>
          <w:r>
            <w:fldChar w:fldCharType="end"/>
          </w:r>
          <w:r>
            <w:fldChar w:fldCharType="end"/>
          </w:r>
        </w:p>
        <w:p>
          <w:pPr>
            <w:pStyle w:val="14"/>
            <w:tabs>
              <w:tab w:val="right" w:leader="dot" w:pos="8845"/>
            </w:tabs>
            <w:spacing w:line="300" w:lineRule="auto"/>
          </w:pPr>
          <w:r>
            <w:fldChar w:fldCharType="begin"/>
          </w:r>
          <w:r>
            <w:instrText xml:space="preserve"> HYPERLINK \l _Toc1524669158 </w:instrText>
          </w:r>
          <w: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_Toc1524669158 \h </w:instrText>
          </w:r>
          <w:r>
            <w:fldChar w:fldCharType="separate"/>
          </w:r>
          <w:r>
            <w:t>4</w:t>
          </w:r>
          <w:r>
            <w:fldChar w:fldCharType="end"/>
          </w:r>
          <w:r>
            <w:fldChar w:fldCharType="end"/>
          </w:r>
        </w:p>
        <w:p>
          <w:pPr>
            <w:pStyle w:val="14"/>
            <w:tabs>
              <w:tab w:val="right" w:leader="dot" w:pos="8845"/>
            </w:tabs>
            <w:spacing w:line="300" w:lineRule="auto"/>
          </w:pPr>
          <w:r>
            <w:fldChar w:fldCharType="begin"/>
          </w:r>
          <w:r>
            <w:instrText xml:space="preserve"> HYPERLINK \l _Toc1912410256 </w:instrText>
          </w:r>
          <w: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_Toc1912410256 \h </w:instrText>
          </w:r>
          <w:r>
            <w:fldChar w:fldCharType="separate"/>
          </w:r>
          <w:r>
            <w:t>4</w:t>
          </w:r>
          <w:r>
            <w:fldChar w:fldCharType="end"/>
          </w:r>
          <w:r>
            <w:fldChar w:fldCharType="end"/>
          </w:r>
        </w:p>
        <w:p>
          <w:pPr>
            <w:pStyle w:val="14"/>
            <w:tabs>
              <w:tab w:val="right" w:leader="dot" w:pos="8845"/>
            </w:tabs>
            <w:spacing w:line="300" w:lineRule="auto"/>
          </w:pPr>
          <w:r>
            <w:fldChar w:fldCharType="begin"/>
          </w:r>
          <w:r>
            <w:instrText xml:space="preserve"> HYPERLINK \l _Toc1209611701 </w:instrText>
          </w:r>
          <w: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_Toc1209611701 \h </w:instrText>
          </w:r>
          <w:r>
            <w:fldChar w:fldCharType="separate"/>
          </w:r>
          <w:r>
            <w:t>5</w:t>
          </w:r>
          <w:r>
            <w:fldChar w:fldCharType="end"/>
          </w:r>
          <w:r>
            <w:fldChar w:fldCharType="end"/>
          </w:r>
        </w:p>
        <w:p>
          <w:pPr>
            <w:pStyle w:val="13"/>
            <w:tabs>
              <w:tab w:val="right" w:leader="dot" w:pos="8845"/>
            </w:tabs>
            <w:spacing w:line="300" w:lineRule="auto"/>
          </w:pPr>
          <w:r>
            <w:fldChar w:fldCharType="begin"/>
          </w:r>
          <w:r>
            <w:instrText xml:space="preserve"> HYPERLINK \l _Toc1486349291 </w:instrText>
          </w:r>
          <w: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_Toc1486349291 \h </w:instrText>
          </w:r>
          <w:r>
            <w:fldChar w:fldCharType="separate"/>
          </w:r>
          <w:r>
            <w:t>6</w:t>
          </w:r>
          <w:r>
            <w:fldChar w:fldCharType="end"/>
          </w:r>
          <w:r>
            <w:fldChar w:fldCharType="end"/>
          </w:r>
        </w:p>
        <w:p>
          <w:pPr>
            <w:pStyle w:val="13"/>
            <w:tabs>
              <w:tab w:val="right" w:leader="dot" w:pos="8845"/>
            </w:tabs>
            <w:spacing w:line="300" w:lineRule="auto"/>
          </w:pPr>
          <w:r>
            <w:fldChar w:fldCharType="begin"/>
          </w:r>
          <w:r>
            <w:instrText xml:space="preserve"> HYPERLINK \l _Toc1529214496 </w:instrText>
          </w:r>
          <w:r>
            <w:fldChar w:fldCharType="separate"/>
          </w:r>
          <w:r>
            <w:rPr>
              <w:rFonts w:hint="eastAsia" w:ascii="黑体" w:hAnsi="黑体" w:eastAsia="黑体" w:cs="黑体"/>
              <w:szCs w:val="32"/>
              <w:lang w:val="en-US" w:eastAsia="zh-CN"/>
            </w:rPr>
            <w:t>七、 “三公”经费财政拨款预算安排情况说明</w:t>
          </w:r>
          <w:r>
            <w:tab/>
          </w:r>
          <w:r>
            <w:fldChar w:fldCharType="begin"/>
          </w:r>
          <w:r>
            <w:instrText xml:space="preserve"> PAGEREF _Toc1529214496 \h </w:instrText>
          </w:r>
          <w:r>
            <w:fldChar w:fldCharType="separate"/>
          </w:r>
          <w:r>
            <w:t>6</w:t>
          </w:r>
          <w:r>
            <w:fldChar w:fldCharType="end"/>
          </w:r>
          <w:r>
            <w:fldChar w:fldCharType="end"/>
          </w:r>
        </w:p>
        <w:p>
          <w:pPr>
            <w:pStyle w:val="14"/>
            <w:tabs>
              <w:tab w:val="right" w:leader="dot" w:pos="8845"/>
            </w:tabs>
            <w:spacing w:line="300" w:lineRule="auto"/>
          </w:pPr>
          <w:r>
            <w:fldChar w:fldCharType="begin"/>
          </w:r>
          <w:r>
            <w:instrText xml:space="preserve"> HYPERLINK \l _Toc1173850064 </w:instrText>
          </w:r>
          <w: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_Toc1173850064 \h </w:instrText>
          </w:r>
          <w:r>
            <w:fldChar w:fldCharType="separate"/>
          </w:r>
          <w:r>
            <w:t>6</w:t>
          </w:r>
          <w:r>
            <w:fldChar w:fldCharType="end"/>
          </w:r>
          <w:r>
            <w:fldChar w:fldCharType="end"/>
          </w:r>
        </w:p>
        <w:p>
          <w:pPr>
            <w:pStyle w:val="14"/>
            <w:tabs>
              <w:tab w:val="right" w:leader="dot" w:pos="8845"/>
            </w:tabs>
            <w:spacing w:line="300" w:lineRule="auto"/>
          </w:pPr>
          <w:r>
            <w:fldChar w:fldCharType="begin"/>
          </w:r>
          <w:r>
            <w:instrText xml:space="preserve"> HYPERLINK \l _Toc1321879347 </w:instrText>
          </w:r>
          <w:r>
            <w:fldChar w:fldCharType="separate"/>
          </w:r>
          <w:r>
            <w:rPr>
              <w:rFonts w:hint="default" w:ascii="楷体_GB2312" w:hAnsi="楷体_GB2312" w:eastAsia="楷体_GB2312" w:cs="楷体_GB2312"/>
              <w:szCs w:val="32"/>
              <w:lang w:eastAsia="zh-CN"/>
            </w:rPr>
            <w:t>（二）</w:t>
          </w:r>
          <w:r>
            <w:rPr>
              <w:rFonts w:hint="eastAsia" w:ascii="楷体_GB2312" w:hAnsi="楷体_GB2312" w:eastAsia="楷体_GB2312" w:cs="楷体_GB2312"/>
              <w:szCs w:val="32"/>
              <w:lang w:val="en-US" w:eastAsia="zh-CN"/>
            </w:rPr>
            <w:t>公务用车购置及运行维护费</w:t>
          </w:r>
          <w:r>
            <w:tab/>
          </w:r>
          <w:r>
            <w:fldChar w:fldCharType="begin"/>
          </w:r>
          <w:r>
            <w:instrText xml:space="preserve"> PAGEREF _Toc1321879347 \h </w:instrText>
          </w:r>
          <w:r>
            <w:fldChar w:fldCharType="separate"/>
          </w:r>
          <w:r>
            <w:t>7</w:t>
          </w:r>
          <w:r>
            <w:fldChar w:fldCharType="end"/>
          </w:r>
          <w:r>
            <w:fldChar w:fldCharType="end"/>
          </w:r>
        </w:p>
        <w:p>
          <w:pPr>
            <w:pStyle w:val="14"/>
            <w:tabs>
              <w:tab w:val="right" w:leader="dot" w:pos="8845"/>
            </w:tabs>
            <w:spacing w:line="300" w:lineRule="auto"/>
          </w:pPr>
          <w:r>
            <w:fldChar w:fldCharType="begin"/>
          </w:r>
          <w:r>
            <w:instrText xml:space="preserve"> HYPERLINK \l _Toc526165805 </w:instrText>
          </w:r>
          <w: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_Toc526165805 \h </w:instrText>
          </w:r>
          <w:r>
            <w:fldChar w:fldCharType="separate"/>
          </w:r>
          <w:r>
            <w:t>7</w:t>
          </w:r>
          <w:r>
            <w:fldChar w:fldCharType="end"/>
          </w:r>
          <w:r>
            <w:fldChar w:fldCharType="end"/>
          </w:r>
        </w:p>
        <w:p>
          <w:pPr>
            <w:pStyle w:val="13"/>
            <w:tabs>
              <w:tab w:val="right" w:leader="dot" w:pos="8845"/>
            </w:tabs>
            <w:spacing w:line="300" w:lineRule="auto"/>
          </w:pPr>
          <w:r>
            <w:fldChar w:fldCharType="begin"/>
          </w:r>
          <w:r>
            <w:instrText xml:space="preserve"> HYPERLINK \l _Toc395446526 </w:instrText>
          </w:r>
          <w: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_Toc395446526 \h </w:instrText>
          </w:r>
          <w:r>
            <w:fldChar w:fldCharType="separate"/>
          </w:r>
          <w:r>
            <w:t>7</w:t>
          </w:r>
          <w:r>
            <w:fldChar w:fldCharType="end"/>
          </w:r>
          <w:r>
            <w:fldChar w:fldCharType="end"/>
          </w:r>
        </w:p>
        <w:p>
          <w:pPr>
            <w:pStyle w:val="13"/>
            <w:tabs>
              <w:tab w:val="right" w:leader="dot" w:pos="8845"/>
            </w:tabs>
            <w:spacing w:line="300" w:lineRule="auto"/>
          </w:pPr>
          <w:r>
            <w:fldChar w:fldCharType="begin"/>
          </w:r>
          <w:r>
            <w:instrText xml:space="preserve"> HYPERLINK \l _Toc17648895 </w:instrText>
          </w:r>
          <w: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_Toc17648895 \h </w:instrText>
          </w:r>
          <w:r>
            <w:fldChar w:fldCharType="separate"/>
          </w:r>
          <w:r>
            <w:t>7</w:t>
          </w:r>
          <w:r>
            <w:fldChar w:fldCharType="end"/>
          </w:r>
          <w:r>
            <w:fldChar w:fldCharType="end"/>
          </w:r>
        </w:p>
        <w:p>
          <w:pPr>
            <w:pStyle w:val="13"/>
            <w:tabs>
              <w:tab w:val="right" w:leader="dot" w:pos="8845"/>
            </w:tabs>
            <w:spacing w:line="300" w:lineRule="auto"/>
          </w:pPr>
          <w:r>
            <w:fldChar w:fldCharType="begin"/>
          </w:r>
          <w:r>
            <w:instrText xml:space="preserve"> HYPERLINK \l _Toc1246801397 </w:instrText>
          </w:r>
          <w: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_Toc1246801397 \h </w:instrText>
          </w:r>
          <w:r>
            <w:fldChar w:fldCharType="separate"/>
          </w:r>
          <w:r>
            <w:t>7</w:t>
          </w:r>
          <w:r>
            <w:fldChar w:fldCharType="end"/>
          </w:r>
          <w:r>
            <w:fldChar w:fldCharType="end"/>
          </w:r>
        </w:p>
        <w:p>
          <w:pPr>
            <w:pStyle w:val="14"/>
            <w:tabs>
              <w:tab w:val="right" w:leader="dot" w:pos="8845"/>
            </w:tabs>
            <w:spacing w:line="300" w:lineRule="auto"/>
          </w:pPr>
          <w:r>
            <w:fldChar w:fldCharType="begin"/>
          </w:r>
          <w:r>
            <w:instrText xml:space="preserve"> HYPERLINK \l _Toc529648978 </w:instrText>
          </w:r>
          <w: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_Toc529648978 \h </w:instrText>
          </w:r>
          <w:r>
            <w:fldChar w:fldCharType="separate"/>
          </w:r>
          <w:r>
            <w:t>7</w:t>
          </w:r>
          <w:r>
            <w:fldChar w:fldCharType="end"/>
          </w:r>
          <w:r>
            <w:fldChar w:fldCharType="end"/>
          </w:r>
        </w:p>
        <w:p>
          <w:pPr>
            <w:pStyle w:val="14"/>
            <w:tabs>
              <w:tab w:val="right" w:leader="dot" w:pos="8845"/>
            </w:tabs>
            <w:spacing w:line="300" w:lineRule="auto"/>
          </w:pPr>
          <w:r>
            <w:fldChar w:fldCharType="begin"/>
          </w:r>
          <w:r>
            <w:instrText xml:space="preserve"> HYPERLINK \l _Toc977977518 </w:instrText>
          </w:r>
          <w: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_Toc977977518 \h </w:instrText>
          </w:r>
          <w:r>
            <w:fldChar w:fldCharType="separate"/>
          </w:r>
          <w:r>
            <w:t>8</w:t>
          </w:r>
          <w:r>
            <w:fldChar w:fldCharType="end"/>
          </w:r>
          <w:r>
            <w:fldChar w:fldCharType="end"/>
          </w:r>
        </w:p>
        <w:p>
          <w:pPr>
            <w:pStyle w:val="14"/>
            <w:tabs>
              <w:tab w:val="right" w:leader="dot" w:pos="8845"/>
            </w:tabs>
            <w:spacing w:line="300" w:lineRule="auto"/>
          </w:pPr>
          <w:r>
            <w:fldChar w:fldCharType="begin"/>
          </w:r>
          <w:r>
            <w:instrText xml:space="preserve"> HYPERLINK \l _Toc2100053153 </w:instrText>
          </w:r>
          <w: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_Toc2100053153 \h </w:instrText>
          </w:r>
          <w:r>
            <w:fldChar w:fldCharType="separate"/>
          </w:r>
          <w:r>
            <w:t>8</w:t>
          </w:r>
          <w:r>
            <w:fldChar w:fldCharType="end"/>
          </w:r>
          <w:r>
            <w:fldChar w:fldCharType="end"/>
          </w:r>
        </w:p>
        <w:p>
          <w:pPr>
            <w:pStyle w:val="14"/>
            <w:tabs>
              <w:tab w:val="right" w:leader="dot" w:pos="8845"/>
            </w:tabs>
            <w:spacing w:line="300" w:lineRule="auto"/>
          </w:pPr>
          <w:r>
            <w:fldChar w:fldCharType="begin"/>
          </w:r>
          <w:r>
            <w:instrText xml:space="preserve"> HYPERLINK \l _Toc685090590 </w:instrText>
          </w:r>
          <w: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_Toc685090590 \h </w:instrText>
          </w:r>
          <w:r>
            <w:fldChar w:fldCharType="separate"/>
          </w:r>
          <w:r>
            <w:t>8</w:t>
          </w:r>
          <w:r>
            <w:fldChar w:fldCharType="end"/>
          </w:r>
          <w:r>
            <w:fldChar w:fldCharType="end"/>
          </w:r>
        </w:p>
        <w:p>
          <w:pPr>
            <w:pStyle w:val="13"/>
            <w:tabs>
              <w:tab w:val="right" w:leader="dot" w:pos="8845"/>
            </w:tabs>
            <w:spacing w:line="300" w:lineRule="auto"/>
          </w:pPr>
          <w:r>
            <w:fldChar w:fldCharType="begin"/>
          </w:r>
          <w:r>
            <w:instrText xml:space="preserve"> HYPERLINK \l _Toc32904474 </w:instrText>
          </w:r>
          <w:r>
            <w:fldChar w:fldCharType="separate"/>
          </w:r>
          <w:r>
            <w:rPr>
              <w:rFonts w:hint="eastAsia" w:ascii="黑体" w:hAnsi="黑体" w:eastAsia="黑体" w:cs="黑体"/>
              <w:szCs w:val="32"/>
              <w:lang w:val="en-US" w:eastAsia="zh-CN"/>
            </w:rPr>
            <w:t>十一、名词解释</w:t>
          </w:r>
          <w:r>
            <w:tab/>
          </w:r>
          <w:r>
            <w:fldChar w:fldCharType="begin"/>
          </w:r>
          <w:r>
            <w:instrText xml:space="preserve"> PAGEREF _Toc32904474 \h </w:instrText>
          </w:r>
          <w:r>
            <w:fldChar w:fldCharType="separate"/>
          </w:r>
          <w:r>
            <w:t>8</w:t>
          </w:r>
          <w:r>
            <w:fldChar w:fldCharType="end"/>
          </w:r>
          <w:r>
            <w:fldChar w:fldCharType="end"/>
          </w:r>
        </w:p>
        <w:p>
          <w:pPr>
            <w:spacing w:line="300" w:lineRule="auto"/>
          </w:pPr>
          <w:r>
            <w:fldChar w:fldCharType="end"/>
          </w:r>
        </w:p>
      </w:sdtContent>
    </w:sdt>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0" w:name="_Toc139697113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1814425506"/>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中共广元市委政策研究室</w:t>
      </w:r>
      <w:r>
        <w:rPr>
          <w:rFonts w:hint="eastAsia" w:ascii="楷体_GB2312" w:hAnsi="楷体_GB2312" w:eastAsia="楷体_GB2312" w:cs="楷体_GB2312"/>
          <w:sz w:val="32"/>
          <w:szCs w:val="32"/>
        </w:rPr>
        <w:t>职能简介</w:t>
      </w:r>
      <w:bookmarkEnd w:id="1"/>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委政研室是从事综合性调查研究、为市委提供决策参谋服务的工作机关，主要职责是：按照党的路线、方针、政策，对全市改革开放和社会主义现代化建设的战略性、全局性、综合性问题开展调查和研究，组织专家进行咨询、论证，为市委决策提供依据和参考。在市委领导下，围绕中央、省委重大决策部署，对全市经济、政治、社会、文化、生态文明和党的建设等方面的重大问题、重点工作进行调查研究，提出意见和建议，供市委决策参考。牵头组织起草市委重大会议相关文稿。根据市委的指示，牵头组织起草市委部分综合性重要文件。组织协调市级机关和县区的调研力量，完成市委确定的重大问题或热点、难点问题的调查研究。组织市内外专家对我市发展中的重大问题进行研究、论证，为市委决策提供依据和参考。办好市委机关刊物《决策与实践》以及《决策参阅》。完成市委交办的其他任务。</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中共广元市委全面深化改革委员</w:t>
      </w:r>
      <w:r>
        <w:rPr>
          <w:rFonts w:hint="eastAsia" w:ascii="仿宋_GB2312" w:hAnsi="仿宋_GB2312" w:eastAsia="仿宋_GB2312" w:cs="仿宋_GB2312"/>
          <w:color w:val="000000"/>
          <w:sz w:val="32"/>
          <w:szCs w:val="32"/>
        </w:rPr>
        <w:t>会办公室（以下简称市委改革办）设在市委政研室，</w:t>
      </w:r>
      <w:r>
        <w:rPr>
          <w:rFonts w:hint="eastAsia" w:ascii="仿宋_GB2312" w:hAnsi="仿宋_GB2312" w:eastAsia="仿宋_GB2312" w:cs="仿宋_GB2312"/>
          <w:sz w:val="32"/>
          <w:szCs w:val="32"/>
        </w:rPr>
        <w:t>接受中共广元市委全面深化改革委员会（以下简称委员会）的直接领导，负责处理委员会日常事务，承担委员会具体工作，负责组织开展全面深化改革重大问题的政策研究，组织谋划研究中长期改革规划和重大改革举措，统筹协调有关方面提出改革方案和措施，指导协调督促有关方面落实委员会决定事项、工作部署和要求，组织开展全面深化改革各项重大举措落实情况督察，牵头完成省委下达市委的全面深化改革目标考核任务等。设置市委改革办秘书科，负责协调处理市委改革办日常事务。市委政研室的内设机构根据工作需要承担市委改革办相关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 w:name="_Toc1438570204"/>
      <w:r>
        <w:rPr>
          <w:rFonts w:hint="eastAsia" w:ascii="楷体_GB2312" w:hAnsi="楷体_GB2312" w:eastAsia="楷体_GB2312" w:cs="楷体_GB2312"/>
          <w:sz w:val="32"/>
          <w:szCs w:val="32"/>
          <w:lang w:val="en-US" w:eastAsia="zh-CN"/>
        </w:rPr>
        <w:t>（二）中共广元市委政策研究室2024年重点工作</w:t>
      </w:r>
      <w:bookmarkEnd w:id="2"/>
    </w:p>
    <w:p>
      <w:pPr>
        <w:keepNext w:val="0"/>
        <w:keepLines w:val="0"/>
        <w:pageBreakBefore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加强政策研究，更好发挥市委参谋助手作用。</w:t>
      </w:r>
      <w:r>
        <w:rPr>
          <w:rFonts w:hint="eastAsia" w:ascii="仿宋_GB2312" w:hAnsi="仿宋_GB2312" w:eastAsia="仿宋_GB2312" w:cs="仿宋_GB2312"/>
          <w:sz w:val="32"/>
          <w:szCs w:val="32"/>
        </w:rPr>
        <w:t>一是全力做好重大文稿服务。紧扣市委中心工作，积极服务市委决策，牵头起草市委八届九次、十次全会《决定》稿及其说明稿。积极研究起草市委主要领导署名文章，力争完成市委主要领导署名文章4篇以上。二是扛牢以文辅政职责。坚持市县一体、部门联动、长效推进，聚焦破解重点难点问题，深入基层一线调研，着力提高调查研究实效，拿出更多站位高、视野宽、落点实、能运用的高质量调研成果，主动为市委决策提供参考。三是办好特色刊物。进一步强化精品意识，编辑出版《决策与实践》6期，强化对战略性、前瞻性、重大性问题研究。</w:t>
      </w:r>
    </w:p>
    <w:p>
      <w:pPr>
        <w:keepNext w:val="0"/>
        <w:keepLines w:val="0"/>
        <w:pageBreakBefore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坚持对标对表，明确目标推动改革落实。</w:t>
      </w:r>
      <w:r>
        <w:rPr>
          <w:rFonts w:hint="eastAsia" w:ascii="仿宋_GB2312" w:hAnsi="仿宋_GB2312" w:eastAsia="仿宋_GB2312" w:cs="仿宋_GB2312"/>
          <w:sz w:val="32"/>
          <w:szCs w:val="32"/>
        </w:rPr>
        <w:t>聚焦改革重点难点，完善改革落实机制，切实以改革创新破解难题、赋能高质量发展。一是进一步抓好中央、省委改革部署落实，做好重点改革事项、重大改革试点推进，以重点突破带动改革向纵深推进。二是进一步推出一批原动力原创性改革举措。聚焦习近平总书记来川来广视察重要指示精神，研制符合广元实际的自主创新改革方案。鼓励引导基层探索创新，推动顶层设计和基层探索良性互动、有机结合。三是进一步完善改革推进机制。完善改革任务调度和督促落实机制，抓好平时的跟踪督促、年中的优化调整、年底的对照盘点。四是进一步抓好改革经验总结提炼和宣传推广。及时总结提炼基层改革创新实践，形成一批可复制可推广的典型案例和经验做法。</w:t>
      </w:r>
    </w:p>
    <w:p>
      <w:pPr>
        <w:keepNext w:val="0"/>
        <w:keepLines w:val="0"/>
        <w:pageBreakBefore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坚持从严从实，全面落实从严治党各项任务。</w:t>
      </w:r>
      <w:r>
        <w:rPr>
          <w:rFonts w:hint="eastAsia" w:ascii="仿宋_GB2312" w:hAnsi="仿宋_GB2312" w:eastAsia="仿宋_GB2312" w:cs="仿宋_GB2312"/>
          <w:sz w:val="32"/>
          <w:szCs w:val="32"/>
        </w:rPr>
        <w:t>坚持严字当头，突出标本兼治，深化正风肃纪，抓好党风廉政建设。自觉接受配合市纪委监委、派驻纪检组监督，定期分析研判、及时靶向纠治，坚决防止前紧后松、虎头蛇尾,不断巩固风清气正的机关政治生态。进一步抓好机关党建工作，持续抓好干部常态化学习，坚持严管与厚爱结合、激励与约束并重，推动政研干部主动履职尽责、积极担当作为。大兴学习研究之风，推动工作格局重塑性优化、人员力量系统性整合、职能作用整体性提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845699045"/>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中共广元市委政策研究室属于一级预算单位，下属无二级预算单位。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1923979217"/>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中共广元市委政策研究室所有收入和支出均纳入部门预算管理。收入包括：一般公共预算拨款收入；支出包括：一般公共服务支出、社会保障和就业支出、卫生健康支出、住房保障支出。中共广元市委政策研究室2024年收支预算总数376.06万元,比2023年收支预算总数减少3.62万元，主要原因是2023年退休1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675812389"/>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中共广元市委政策研究室2024年收入预算376.06万元，其中：一般公共预算拨款收入376.06万元，占100%。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703377452"/>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中共广元市委政策研究室2024年支出预算376.06万元，其中：基本支出358.10万元，占95.22%；项目支出17.96万元，占4.78%</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1857294655"/>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中共广元市委政策研究室2024年财政拨款收支预算总数376.06万元,比2023年财政拨款收支预算总数减少3.62万元，主要原因是2023年退休1人。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收入包括：本年一般公共预算拨款收入376.06万元；支出包括：一般公共服务支出306.42万元、社会保障和就业支出32.36万元、卫生健康支出10.26万元、住房保障支出27.02万元。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1046808207"/>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1524669158"/>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中共广元市委政策研究室2024年一般公共预算当年拨款376.06万元，比2023年预算数减少3.62万元，主要原因是2023年退休1人。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912410256"/>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一般公共服务支出306.42万元，占81.48%；社会保障和就业支出32.36万元，占8.60%；卫生健康支出10.26万元，占2.73%；住房保障支出27.02万元，占7.19%。</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209611701"/>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b/>
          <w:bCs/>
          <w:sz w:val="32"/>
          <w:szCs w:val="32"/>
          <w:lang w:val="en-US" w:eastAsia="zh-CN"/>
        </w:rPr>
        <w:t>一般公共服务支出（类）党委办公厅（室）及相关机构事务（款）行政运行（项）</w:t>
      </w:r>
      <w:r>
        <w:rPr>
          <w:rFonts w:hint="eastAsia" w:ascii="仿宋_GB2312" w:hAnsi="仿宋_GB2312" w:eastAsia="仿宋_GB2312" w:cs="仿宋_GB2312"/>
          <w:sz w:val="32"/>
          <w:szCs w:val="32"/>
          <w:lang w:val="en-US" w:eastAsia="zh-CN"/>
        </w:rPr>
        <w:t>2024年预算数为288.46万元，主要用于：</w:t>
      </w:r>
      <w:r>
        <w:rPr>
          <w:rFonts w:hint="eastAsia" w:ascii="仿宋_GB2312" w:hAnsi="仿宋_GB2312" w:eastAsia="仿宋_GB2312" w:cs="仿宋_GB2312"/>
          <w:sz w:val="32"/>
          <w:szCs w:val="32"/>
          <w:lang w:val="en-US" w:eastAsia="zh-Hans"/>
        </w:rPr>
        <w:t>行政单位</w:t>
      </w:r>
      <w:r>
        <w:rPr>
          <w:rFonts w:hint="eastAsia" w:ascii="仿宋_GB2312" w:hAnsi="仿宋_GB2312" w:eastAsia="仿宋_GB2312" w:cs="仿宋_GB2312"/>
          <w:sz w:val="32"/>
          <w:szCs w:val="32"/>
          <w:lang w:val="en-US" w:eastAsia="zh-CN"/>
        </w:rPr>
        <w:t>基本工资、津贴补贴、奖金、办公费、印刷费、水费、电费、邮电费、物业管理费、差旅费、维修（护）费、</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会议费、公务接待费、工会经费、福利费、其他交通费用、其他商品和服务支出</w:t>
      </w:r>
      <w:r>
        <w:rPr>
          <w:rFonts w:hint="eastAsia" w:ascii="仿宋_GB2312" w:hAnsi="仿宋_GB2312" w:eastAsia="仿宋_GB2312" w:cs="仿宋_GB2312"/>
          <w:sz w:val="32"/>
          <w:szCs w:val="32"/>
          <w:lang w:eastAsia="zh-Hans"/>
        </w:rPr>
        <w:t>、</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生活补助支出</w:t>
      </w:r>
      <w:r>
        <w:rPr>
          <w:rFonts w:hint="eastAsia" w:ascii="仿宋_GB2312" w:hAnsi="仿宋_GB2312" w:eastAsia="仿宋_GB2312" w:cs="仿宋_GB2312"/>
          <w:i w:val="0"/>
          <w:caps w:val="0"/>
          <w:color w:val="333333"/>
          <w:spacing w:val="0"/>
          <w:kern w:val="0"/>
          <w:sz w:val="32"/>
          <w:szCs w:val="32"/>
          <w:shd w:val="clear" w:color="auto" w:fill="FFFFFF"/>
          <w:lang w:val="en-US" w:eastAsia="zh-Hans" w:bidi="ar"/>
        </w:rPr>
        <w:t xml:space="preserve">。 </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2.一般公共服务支出（类）党委办公厅（室）及相关机构事务（款）一般行政管理事务（项）</w:t>
      </w:r>
      <w:r>
        <w:rPr>
          <w:rFonts w:hint="eastAsia" w:ascii="仿宋_GB2312" w:hAnsi="仿宋_GB2312" w:eastAsia="仿宋_GB2312" w:cs="仿宋_GB2312"/>
          <w:sz w:val="32"/>
          <w:szCs w:val="32"/>
          <w:lang w:val="en-US" w:eastAsia="zh-CN"/>
        </w:rPr>
        <w:t>2024年预算数为17.96万元，主要用于：</w:t>
      </w:r>
      <w:r>
        <w:rPr>
          <w:rFonts w:hint="eastAsia" w:ascii="仿宋_GB2312" w:hAnsi="仿宋_GB2312" w:eastAsia="仿宋_GB2312" w:cs="仿宋_GB2312"/>
          <w:sz w:val="32"/>
          <w:szCs w:val="32"/>
        </w:rPr>
        <w:t>改革、政研、刊物工作差旅费、印刷费、培训费、办公设备购置等支出。</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2"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3.社会保障和就业支出（类）行政事业单位养老支出（款）机关事业单位基本养老保险缴费支出（项）</w:t>
      </w:r>
      <w:r>
        <w:rPr>
          <w:rFonts w:hint="eastAsia" w:ascii="仿宋_GB2312" w:hAnsi="仿宋_GB2312" w:eastAsia="仿宋_GB2312" w:cs="仿宋_GB2312"/>
          <w:sz w:val="32"/>
          <w:szCs w:val="32"/>
          <w:lang w:val="en-US" w:eastAsia="zh-CN"/>
        </w:rPr>
        <w:t>2024年预算数为32.14万元，主要用于：实施养老保险制度由单位缴纳的基本养老保险支出。</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2"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auto"/>
          <w:sz w:val="32"/>
          <w:szCs w:val="32"/>
          <w:lang w:val="en-US" w:eastAsia="zh-CN"/>
        </w:rPr>
        <w:t>4.社会保障和就业支出（类）其他社会保障和就业支出（款）其他社会保障和就业支出（项）</w:t>
      </w:r>
      <w:r>
        <w:rPr>
          <w:rFonts w:hint="eastAsia" w:ascii="仿宋_GB2312" w:hAnsi="仿宋_GB2312" w:eastAsia="仿宋_GB2312" w:cs="仿宋_GB2312"/>
          <w:sz w:val="32"/>
          <w:szCs w:val="32"/>
          <w:lang w:val="en-US" w:eastAsia="zh-CN"/>
        </w:rPr>
        <w:t>2024年预算数为0.22万元，主要用于：实施工伤保险制度由单位缴纳的工伤保险支出。</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2"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5.卫生健康支出（类）行政事业单位医疗（款）行政单位医疗（项）</w:t>
      </w:r>
      <w:r>
        <w:rPr>
          <w:rFonts w:hint="eastAsia" w:ascii="仿宋_GB2312" w:hAnsi="仿宋_GB2312" w:eastAsia="仿宋_GB2312" w:cs="仿宋_GB2312"/>
          <w:sz w:val="32"/>
          <w:szCs w:val="32"/>
          <w:lang w:val="en-US" w:eastAsia="zh-CN"/>
        </w:rPr>
        <w:t>2024年预算数为10.26万元，主要用于：机关及参公管理事业单位按规定由单位缴纳的基本医疗保险支出。</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2"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6.住房保障支出（类）住房改革支出（款）住房公积金（项）</w:t>
      </w:r>
      <w:r>
        <w:rPr>
          <w:rFonts w:hint="eastAsia" w:ascii="仿宋_GB2312" w:hAnsi="仿宋_GB2312" w:eastAsia="仿宋_GB2312" w:cs="仿宋_GB2312"/>
          <w:sz w:val="32"/>
          <w:szCs w:val="32"/>
          <w:lang w:val="en-US" w:eastAsia="zh-CN"/>
        </w:rPr>
        <w:t>2024年预算数为27.02万元，主要用于：部门按规定为职工缴纳的住房公积金支出。</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0" w:firstLineChars="200"/>
        <w:jc w:val="both"/>
        <w:textAlignment w:val="auto"/>
        <w:outlineLvl w:val="0"/>
        <w:rPr>
          <w:rFonts w:hint="eastAsia" w:ascii="黑体" w:hAnsi="黑体" w:eastAsia="黑体" w:cs="黑体"/>
          <w:sz w:val="32"/>
          <w:szCs w:val="32"/>
          <w:lang w:val="en-US" w:eastAsia="zh-CN"/>
        </w:rPr>
      </w:pPr>
      <w:bookmarkStart w:id="12" w:name="_Toc1486349291"/>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中共广元市委政策研究室2024年一般公共预算基本支出358.10万元，其中：</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人员经费303.68万元，主要包括：基本工资、津贴补贴、奖金、</w:t>
      </w:r>
      <w:r>
        <w:rPr>
          <w:rFonts w:hint="default" w:ascii="仿宋_GB2312" w:hAnsi="仿宋_GB2312" w:eastAsia="仿宋_GB2312" w:cs="仿宋_GB2312"/>
          <w:sz w:val="32"/>
          <w:szCs w:val="32"/>
          <w:lang w:eastAsia="zh-CN"/>
        </w:rPr>
        <w:t>机关事业单位基本养老保险缴费</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eastAsia="zh-CN"/>
        </w:rPr>
        <w:t>职工基本医疗保险缴费、其他社会保障缴费、</w:t>
      </w:r>
      <w:r>
        <w:rPr>
          <w:rFonts w:hint="eastAsia" w:ascii="仿宋_GB2312" w:hAnsi="仿宋_GB2312" w:eastAsia="仿宋_GB2312" w:cs="仿宋_GB2312"/>
          <w:sz w:val="32"/>
          <w:szCs w:val="32"/>
          <w:lang w:val="en-US" w:eastAsia="zh-CN"/>
        </w:rPr>
        <w:t>住房公积金、</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生活补助</w:t>
      </w:r>
      <w:r>
        <w:rPr>
          <w:rFonts w:hint="eastAsia" w:ascii="仿宋_GB2312" w:hAnsi="仿宋_GB2312" w:eastAsia="仿宋_GB2312" w:cs="仿宋_GB2312"/>
          <w:sz w:val="32"/>
          <w:szCs w:val="32"/>
          <w:lang w:val="en-US" w:eastAsia="zh-CN"/>
        </w:rPr>
        <w:t>等支出。</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公用经费54.42万元，主要包括：办公费、印刷费、水费、电费、邮电费、物业管理费、差旅费、维修（护）费、会议费、公务接待费、工会经费、福利费、其他交通费用、</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其他商品和服务支出</w:t>
      </w:r>
      <w:r>
        <w:rPr>
          <w:rFonts w:hint="eastAsia" w:ascii="仿宋_GB2312" w:hAnsi="仿宋_GB2312" w:eastAsia="仿宋_GB2312" w:cs="仿宋_GB2312"/>
          <w:sz w:val="32"/>
          <w:szCs w:val="32"/>
          <w:lang w:val="en-US" w:eastAsia="zh-CN"/>
        </w:rPr>
        <w:t>等支出。</w:t>
      </w:r>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0" w:firstLineChars="200"/>
        <w:jc w:val="both"/>
        <w:textAlignment w:val="auto"/>
        <w:outlineLvl w:val="0"/>
        <w:rPr>
          <w:rFonts w:hint="eastAsia" w:ascii="黑体" w:hAnsi="黑体" w:eastAsia="黑体" w:cs="黑体"/>
          <w:sz w:val="32"/>
          <w:szCs w:val="32"/>
          <w:lang w:val="en-US" w:eastAsia="zh-CN"/>
        </w:rPr>
      </w:pPr>
      <w:bookmarkStart w:id="13" w:name="_Toc1529214496"/>
      <w:r>
        <w:rPr>
          <w:rFonts w:hint="eastAsia" w:ascii="黑体" w:hAnsi="黑体" w:eastAsia="黑体" w:cs="黑体"/>
          <w:sz w:val="32"/>
          <w:szCs w:val="32"/>
          <w:lang w:val="en-US" w:eastAsia="zh-CN"/>
        </w:rPr>
        <w:t>“三公”经费财政拨款预算安排情况说明</w:t>
      </w:r>
      <w:bookmarkEnd w:id="13"/>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中共广元市委政策研究室2024年“三公”经费财政拨款预算数1.14万元，其中：公务接待费1.14万元，公务用车购置及运行维护费0万元，因公出国（境）经费0万元。</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14" w:name="_Toc1173850064"/>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321879347"/>
      <w:r>
        <w:rPr>
          <w:rFonts w:hint="default" w:ascii="楷体_GB2312" w:hAnsi="楷体_GB2312" w:eastAsia="楷体_GB2312" w:cs="楷体_GB2312"/>
          <w:sz w:val="32"/>
          <w:szCs w:val="32"/>
          <w:lang w:eastAsia="zh-CN"/>
        </w:rPr>
        <w:t>（二）</w:t>
      </w:r>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2024年安排公务用车购置费0万元。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6" w:name="_Toc526165805"/>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因公出国（境）经费与2023年预算持平。2024年未安排因公出国（境）经费。</w:t>
      </w:r>
      <w:bookmarkStart w:id="25" w:name="_GoBack"/>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395446526"/>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中共广元市委政策研究室2024年无政府性基金预算拨款安排的支出。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7648895"/>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中共广元市委政策研究室2024年无国有资本经营预算拨款安排的支出。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1246801397"/>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529648978"/>
      <w:r>
        <w:rPr>
          <w:rFonts w:hint="eastAsia" w:ascii="楷体_GB2312" w:hAnsi="楷体_GB2312" w:eastAsia="楷体_GB2312" w:cs="楷体_GB2312"/>
          <w:sz w:val="32"/>
          <w:szCs w:val="32"/>
          <w:lang w:val="en-US" w:eastAsia="zh-CN"/>
        </w:rPr>
        <w:t>（一）机关运行经费</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2024年，中共广元市委政策研究室机关运行经费财政拨款预算为54.42万元，比2023年预算增加减少3.36万元，下降5.82%。主要原因是2023年退休1人。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977977518"/>
      <w:r>
        <w:rPr>
          <w:rFonts w:hint="eastAsia" w:ascii="楷体_GB2312" w:hAnsi="楷体_GB2312" w:eastAsia="楷体_GB2312" w:cs="楷体_GB2312"/>
          <w:sz w:val="32"/>
          <w:szCs w:val="32"/>
          <w:lang w:val="en-US" w:eastAsia="zh-CN"/>
        </w:rPr>
        <w:t>（二）政府采购情况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2024年，中共广元市委政策研究室安排政府采购预算0.84万元，其中：政府采购货物预算0.84万元。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2100053153"/>
      <w:r>
        <w:rPr>
          <w:rFonts w:hint="eastAsia" w:ascii="楷体_GB2312" w:hAnsi="楷体_GB2312" w:eastAsia="楷体_GB2312" w:cs="楷体_GB2312"/>
          <w:sz w:val="32"/>
          <w:szCs w:val="32"/>
          <w:lang w:val="en-US" w:eastAsia="zh-CN"/>
        </w:rPr>
        <w:t>（三）国有资产占有使用情况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截至2023年底，中共广元市委政策研究室共有车辆0辆。单位价值200万元以上大型设备0台（套）。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3" w:name="_Toc685090590"/>
      <w:r>
        <w:rPr>
          <w:rFonts w:hint="eastAsia" w:ascii="楷体_GB2312" w:hAnsi="楷体_GB2312" w:eastAsia="楷体_GB2312" w:cs="楷体_GB2312"/>
          <w:sz w:val="32"/>
          <w:szCs w:val="32"/>
          <w:lang w:val="en-US" w:eastAsia="zh-CN"/>
        </w:rPr>
        <w:t>（四）绩效目标设置情况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2024年中共广元市委政策研究室开展绩效目标管理的项目13个，涉及预算376.06万元。其中：人员类项目6个，涉及预算 303.68万元；运转类项目3个，涉及预算54.42万元；特定目标类项目4个，涉及预算17.96万元。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32904474"/>
      <w:r>
        <w:rPr>
          <w:rFonts w:hint="eastAsia" w:ascii="黑体" w:hAnsi="黑体" w:eastAsia="黑体" w:cs="黑体"/>
          <w:sz w:val="32"/>
          <w:szCs w:val="32"/>
          <w:lang w:val="en-US" w:eastAsia="zh-CN"/>
        </w:rPr>
        <w:t>十一、名词解释</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（一）财政拨款收入</w:t>
      </w:r>
      <w:r>
        <w:rPr>
          <w:rFonts w:hint="default" w:ascii="仿宋_GB2312" w:hAnsi="仿宋_GB2312" w:eastAsia="仿宋_GB2312" w:cs="仿宋_GB2312"/>
          <w:i w:val="0"/>
          <w:caps w:val="0"/>
          <w:color w:val="333333"/>
          <w:spacing w:val="0"/>
          <w:kern w:val="0"/>
          <w:sz w:val="32"/>
          <w:szCs w:val="32"/>
          <w:shd w:val="clear" w:color="auto" w:fill="FFFFFF"/>
          <w:lang w:val="en-US" w:eastAsia="zh-CN" w:bidi="ar"/>
        </w:rPr>
        <w:t>:</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指市财政当年安排的财政预算收入。按现行管理制度</w:t>
      </w:r>
      <w:r>
        <w:rPr>
          <w:rFonts w:hint="default" w:ascii="仿宋_GB2312" w:hAnsi="仿宋_GB2312" w:eastAsia="仿宋_GB2312" w:cs="仿宋_GB2312"/>
          <w:i w:val="0"/>
          <w:caps w:val="0"/>
          <w:color w:val="333333"/>
          <w:spacing w:val="0"/>
          <w:kern w:val="0"/>
          <w:sz w:val="32"/>
          <w:szCs w:val="32"/>
          <w:shd w:val="clear" w:color="auto" w:fill="FFFFFF"/>
          <w:lang w:val="en-US" w:eastAsia="zh-CN" w:bidi="ar"/>
        </w:rPr>
        <w:t>,</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部门预算中反映的财政拨款包括一般公共预算拨款和政府性基金预算拨款。</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（二）一般公共服务支出（类）党委办公厅（室）及相关机构事务（款）行政运行（项）：</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反映行政单位的基本支出。</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（三）一般公共服务支出（类）党委办公厅（室）及相关机构事务（款）一般行政管理事务（项）：</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反映行政单位未单独设置项级科目的其他项目支出。</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（四）社会保障和就业支出（类）行政事业单位养老支出（款）机关事业单位基本养老保险缴费支出（项）：</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反映机关事业单位实施养老保险制度由单位缴纳的养老保险费支出。</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（五）社会保障和就业支出（类）其他社会保障和就业支出（款）其他社会保障和就业支出（项）：</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反映除上述项目以外其他用于社会保障和就业方面的支出。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　</w:t>
      </w:r>
      <w:r>
        <w:rPr>
          <w:rFonts w:hint="eastAsia" w:ascii="楷体_GB2312" w:hAnsi="楷体_GB2312" w:eastAsia="楷体_GB2312" w:cs="楷体_GB2312"/>
          <w:sz w:val="32"/>
          <w:szCs w:val="32"/>
          <w:lang w:val="en-US" w:eastAsia="zh-CN"/>
        </w:rPr>
        <w:t xml:space="preserve"> （六）卫生健康支出（类）行政事业单位医疗（款）行政单位医疗（项）：</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反映财政部门安排的行政单位基本医疗保险缴费经费，未参加医疗保险的行政单位的公费医疗经费，按国家规定享受离休人员、红军老战士待遇人员的医疗经费。</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default"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（七）住房保障支出（类）住房改革支出（款）住房公积金（项）：</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反映</w:t>
      </w:r>
      <w:r>
        <w:rPr>
          <w:rFonts w:hint="default" w:ascii="仿宋_GB2312" w:hAnsi="仿宋_GB2312" w:eastAsia="仿宋_GB2312" w:cs="仿宋_GB2312"/>
          <w:i w:val="0"/>
          <w:caps w:val="0"/>
          <w:color w:val="333333"/>
          <w:spacing w:val="0"/>
          <w:kern w:val="0"/>
          <w:sz w:val="32"/>
          <w:szCs w:val="32"/>
          <w:shd w:val="clear" w:color="auto" w:fill="FFFFFF"/>
          <w:lang w:val="en-US" w:eastAsia="zh-CN" w:bidi="ar"/>
        </w:rPr>
        <w:t>按照《住房公积金管理条例》的规定，由单位及其在职职工缴存的长期住房储金。</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（八）基本支出：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指为保证机构正常运转，完成日常工作任务而发生的人员支出和公用支出。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　</w:t>
      </w:r>
      <w:r>
        <w:rPr>
          <w:rFonts w:hint="eastAsia" w:ascii="楷体_GB2312" w:hAnsi="楷体_GB2312" w:eastAsia="楷体_GB2312" w:cs="楷体_GB2312"/>
          <w:sz w:val="32"/>
          <w:szCs w:val="32"/>
          <w:lang w:val="en-US" w:eastAsia="zh-CN"/>
        </w:rPr>
        <w:t>　（九）项目支出：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指在基本支出之外为完成特定行政任务和事业发展目标所发生的支出。</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（十）“三公”经费：</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 xml:space="preserve">   </w:t>
      </w:r>
      <w:r>
        <w:rPr>
          <w:rFonts w:hint="eastAsia" w:ascii="楷体_GB2312" w:hAnsi="楷体_GB2312" w:eastAsia="楷体_GB2312" w:cs="楷体_GB2312"/>
          <w:sz w:val="32"/>
          <w:szCs w:val="32"/>
          <w:lang w:val="en-US" w:eastAsia="zh-CN"/>
        </w:rPr>
        <w:t xml:space="preserve"> （十一）机关运行经费：</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为保障行政单位（包括参照公务员法管理的事业单位）运行用于购买货物和服务的各项资金，包括办公费、印刷费、水费、电费、邮电费、物业管理费、差旅费、维修（护）费、会议费、公务接待费、工会经费、福利费、其他交通费用、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WAAAAZHJzL1BLAQIUABQAAAAIAIdO4kDO&#10;qXm5zwAAAAUBAAAPAAAAAAAAAAEAIAAAADgAAABkcnMvZG93bnJldi54bWxQSwECFAAUAAAACACH&#10;TuJAxseocd4BAAC+AwAADgAAAAAAAAABACAAAAA0AQAAZHJzL2Uyb0RvYy54bWxQSwUGAAAAAAYA&#10;BgBZAQAAhAU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5B52E4"/>
    <w:multiLevelType w:val="singleLevel"/>
    <w:tmpl w:val="B85B52E4"/>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1MGUwOWEwMTg1NjgzNDFmMWE5N2JkMDNlNzc3ZjkifQ=="/>
  </w:docVars>
  <w:rsids>
    <w:rsidRoot w:val="00000000"/>
    <w:rsid w:val="011E4C51"/>
    <w:rsid w:val="012352D1"/>
    <w:rsid w:val="04C21B55"/>
    <w:rsid w:val="05137CAE"/>
    <w:rsid w:val="054F4E62"/>
    <w:rsid w:val="0DA96231"/>
    <w:rsid w:val="12CC7AF2"/>
    <w:rsid w:val="172C0AB5"/>
    <w:rsid w:val="176B470B"/>
    <w:rsid w:val="19012B93"/>
    <w:rsid w:val="1ED63A2E"/>
    <w:rsid w:val="1F7BF06F"/>
    <w:rsid w:val="1FEE4B73"/>
    <w:rsid w:val="21B63672"/>
    <w:rsid w:val="23CE9849"/>
    <w:rsid w:val="2782542B"/>
    <w:rsid w:val="2D5C387E"/>
    <w:rsid w:val="2F2E323D"/>
    <w:rsid w:val="2FB26F13"/>
    <w:rsid w:val="37EFF9B0"/>
    <w:rsid w:val="383663D0"/>
    <w:rsid w:val="39F304DD"/>
    <w:rsid w:val="3D474095"/>
    <w:rsid w:val="42B63C4D"/>
    <w:rsid w:val="43B71FC6"/>
    <w:rsid w:val="45D66B6A"/>
    <w:rsid w:val="473A6930"/>
    <w:rsid w:val="4C0A4479"/>
    <w:rsid w:val="4D3D1082"/>
    <w:rsid w:val="4D95294C"/>
    <w:rsid w:val="4DB20ADD"/>
    <w:rsid w:val="4FB81218"/>
    <w:rsid w:val="513D3693"/>
    <w:rsid w:val="54244390"/>
    <w:rsid w:val="54662A63"/>
    <w:rsid w:val="54B077EB"/>
    <w:rsid w:val="58064E12"/>
    <w:rsid w:val="5AE937C1"/>
    <w:rsid w:val="5B315186"/>
    <w:rsid w:val="5BFEE015"/>
    <w:rsid w:val="5CB32755"/>
    <w:rsid w:val="5FF7A8F0"/>
    <w:rsid w:val="63CE6384"/>
    <w:rsid w:val="63EDCF55"/>
    <w:rsid w:val="63FBFBCF"/>
    <w:rsid w:val="6600136C"/>
    <w:rsid w:val="66111AE9"/>
    <w:rsid w:val="669360FD"/>
    <w:rsid w:val="68FF6A83"/>
    <w:rsid w:val="6AB13BE9"/>
    <w:rsid w:val="6DBB3B60"/>
    <w:rsid w:val="6ED926EF"/>
    <w:rsid w:val="6FBBC9CF"/>
    <w:rsid w:val="70C25BD4"/>
    <w:rsid w:val="72BDE561"/>
    <w:rsid w:val="74FD2112"/>
    <w:rsid w:val="762D03B8"/>
    <w:rsid w:val="78462278"/>
    <w:rsid w:val="78764CC5"/>
    <w:rsid w:val="7997EA6C"/>
    <w:rsid w:val="7A9D64D7"/>
    <w:rsid w:val="7AEAE675"/>
    <w:rsid w:val="7BAFCE5D"/>
    <w:rsid w:val="7BCE4A5E"/>
    <w:rsid w:val="7C532B94"/>
    <w:rsid w:val="7D46598C"/>
    <w:rsid w:val="7DFB240B"/>
    <w:rsid w:val="7E0935ED"/>
    <w:rsid w:val="7F9E8367"/>
    <w:rsid w:val="7FCF2AF7"/>
    <w:rsid w:val="7FF7D4D6"/>
    <w:rsid w:val="9FEF033D"/>
    <w:rsid w:val="A27FF1E5"/>
    <w:rsid w:val="AFBD4522"/>
    <w:rsid w:val="AFDEB5A7"/>
    <w:rsid w:val="AFEA7FBF"/>
    <w:rsid w:val="B83F4767"/>
    <w:rsid w:val="BF930F07"/>
    <w:rsid w:val="BFCE8436"/>
    <w:rsid w:val="C3F7EB7A"/>
    <w:rsid w:val="CFF5FEEC"/>
    <w:rsid w:val="D3DD9064"/>
    <w:rsid w:val="D6F76A0C"/>
    <w:rsid w:val="D7ECE8D2"/>
    <w:rsid w:val="DBBD665D"/>
    <w:rsid w:val="DEFF3852"/>
    <w:rsid w:val="DFDD4FB5"/>
    <w:rsid w:val="DFEDA923"/>
    <w:rsid w:val="E7F748B5"/>
    <w:rsid w:val="EE5F3713"/>
    <w:rsid w:val="EFC9D62C"/>
    <w:rsid w:val="F6BE9755"/>
    <w:rsid w:val="F6FFA89B"/>
    <w:rsid w:val="FAE4EFE1"/>
    <w:rsid w:val="FB9B6F12"/>
    <w:rsid w:val="FBB66A4A"/>
    <w:rsid w:val="FDEE6989"/>
    <w:rsid w:val="FDF75A61"/>
    <w:rsid w:val="FF5E7DB8"/>
    <w:rsid w:val="FF77E367"/>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2"/>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1</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 </cp:lastModifiedBy>
  <cp:lastPrinted>2024-01-31T23:29:00Z</cp:lastPrinted>
  <dcterms:modified xsi:type="dcterms:W3CDTF">2024-02-05T11:41:59Z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21EF6BE5556D492488BF2911B8916BF2_13</vt:lpwstr>
  </property>
</Properties>
</file>