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457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广元市人民政府办公室</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83195"/>
        <w15:color w:val="DBDBDB"/>
        <w:docPartObj>
          <w:docPartGallery w:val="Table of Contents"/>
          <w:docPartUnique/>
        </w:docPartObj>
      </w:sdtPr>
      <w:sdtEndPr>
        <w:rPr>
          <w:rFonts w:hint="eastAsia" w:ascii="Calibri" w:hAnsi="Calibri" w:eastAsia="宋体" w:cs="Times New Roman"/>
          <w:b/>
          <w:color w:val="auto"/>
          <w:kern w:val="2"/>
          <w:sz w:val="18"/>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_Toc7520 </w:instrText>
          </w:r>
          <w:r>
            <w:rPr>
              <w:rFonts w:hint="eastAsia"/>
              <w:b/>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_Toc7520 \h </w:instrText>
          </w:r>
          <w:r>
            <w:rPr>
              <w:b/>
            </w:rPr>
            <w:fldChar w:fldCharType="separate"/>
          </w:r>
          <w:r>
            <w:rPr>
              <w:b/>
            </w:rPr>
            <w:t>3</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_Toc23149 </w:instrText>
          </w:r>
          <w:r>
            <w:rPr>
              <w:rFonts w:hint="eastAsia"/>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广元市人民政府办公室</w:t>
          </w:r>
          <w:r>
            <w:rPr>
              <w:rFonts w:hint="eastAsia" w:ascii="楷体_GB2312" w:hAnsi="楷体_GB2312" w:eastAsia="楷体_GB2312" w:cs="楷体_GB2312"/>
              <w:szCs w:val="32"/>
            </w:rPr>
            <w:t>职能简介</w:t>
          </w:r>
          <w:r>
            <w:tab/>
          </w:r>
          <w:r>
            <w:fldChar w:fldCharType="begin"/>
          </w:r>
          <w:r>
            <w:instrText xml:space="preserve"> PAGEREF _Toc23149 \h </w:instrText>
          </w:r>
          <w:r>
            <w:fldChar w:fldCharType="separate"/>
          </w:r>
          <w:r>
            <w:t>3</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_Toc15558 </w:instrText>
          </w:r>
          <w:r>
            <w:rPr>
              <w:rFonts w:hint="eastAsia"/>
              <w:lang w:val="en-US" w:eastAsia="zh-CN"/>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广元市人民政府办公室</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_Toc15558 \h </w:instrText>
          </w:r>
          <w:r>
            <w:fldChar w:fldCharType="separate"/>
          </w:r>
          <w:r>
            <w:t>4</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_Toc24750 </w:instrText>
          </w:r>
          <w:r>
            <w:rPr>
              <w:rFonts w:hint="eastAsia"/>
              <w:b/>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_Toc24750 \h </w:instrText>
          </w:r>
          <w:r>
            <w:rPr>
              <w:b/>
            </w:rPr>
            <w:fldChar w:fldCharType="separate"/>
          </w:r>
          <w:r>
            <w:rPr>
              <w:b/>
            </w:rPr>
            <w:t>6</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_Toc3534 </w:instrText>
          </w:r>
          <w:r>
            <w:rPr>
              <w:rFonts w:hint="eastAsia"/>
              <w:b/>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_Toc3534 \h </w:instrText>
          </w:r>
          <w:r>
            <w:rPr>
              <w:b/>
            </w:rPr>
            <w:fldChar w:fldCharType="separate"/>
          </w:r>
          <w:r>
            <w:rPr>
              <w:b/>
            </w:rPr>
            <w:t>7</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_Toc3798 </w:instrText>
          </w:r>
          <w:r>
            <w:rPr>
              <w:rFonts w:hint="eastAsia"/>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_Toc3798 \h </w:instrText>
          </w:r>
          <w:r>
            <w:fldChar w:fldCharType="separate"/>
          </w:r>
          <w:r>
            <w:t>7</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_Toc14774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_Toc14774 \h </w:instrText>
          </w:r>
          <w:r>
            <w:fldChar w:fldCharType="separate"/>
          </w:r>
          <w:r>
            <w:t>7</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_Toc6559 </w:instrText>
          </w:r>
          <w:r>
            <w:rPr>
              <w:rFonts w:hint="eastAsia"/>
              <w:b/>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_Toc6559 \h </w:instrText>
          </w:r>
          <w:r>
            <w:rPr>
              <w:b/>
            </w:rPr>
            <w:fldChar w:fldCharType="separate"/>
          </w:r>
          <w:r>
            <w:rPr>
              <w:b/>
            </w:rPr>
            <w:t>7</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_Toc22779 </w:instrText>
          </w:r>
          <w:r>
            <w:rPr>
              <w:rFonts w:hint="eastAsia"/>
              <w:b/>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_Toc22779 \h </w:instrText>
          </w:r>
          <w:r>
            <w:rPr>
              <w:b/>
            </w:rPr>
            <w:fldChar w:fldCharType="separate"/>
          </w:r>
          <w:r>
            <w:rPr>
              <w:b/>
            </w:rPr>
            <w:t>8</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_Toc15251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_Toc15251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_Toc14326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_Toc14326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_Toc951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_Toc951 \h </w:instrText>
          </w:r>
          <w:r>
            <w:fldChar w:fldCharType="separate"/>
          </w:r>
          <w:r>
            <w:t>8</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_Toc5477 </w:instrText>
          </w:r>
          <w:r>
            <w:rPr>
              <w:rFonts w:hint="eastAsia"/>
              <w:b/>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_Toc5477 \h </w:instrText>
          </w:r>
          <w:r>
            <w:rPr>
              <w:b/>
            </w:rPr>
            <w:fldChar w:fldCharType="separate"/>
          </w:r>
          <w:r>
            <w:rPr>
              <w:b/>
            </w:rPr>
            <w:t>9</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_Toc6775 </w:instrText>
          </w:r>
          <w:r>
            <w:rPr>
              <w:rFonts w:hint="eastAsia"/>
              <w:b/>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_Toc6775 \h </w:instrText>
          </w:r>
          <w:r>
            <w:rPr>
              <w:b/>
            </w:rPr>
            <w:fldChar w:fldCharType="separate"/>
          </w:r>
          <w:r>
            <w:rPr>
              <w:b/>
            </w:rPr>
            <w:t>10</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_Toc21022 </w:instrText>
          </w:r>
          <w:r>
            <w:rPr>
              <w:rFonts w:hint="eastAsia"/>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_Toc21022 \h </w:instrText>
          </w:r>
          <w:r>
            <w:fldChar w:fldCharType="separate"/>
          </w:r>
          <w:r>
            <w:t>10</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_Toc14080 </w:instrText>
          </w:r>
          <w:r>
            <w:rPr>
              <w:rFonts w:hint="eastAsia"/>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_Toc14080 \h </w:instrText>
          </w:r>
          <w:r>
            <w:fldChar w:fldCharType="separate"/>
          </w:r>
          <w:r>
            <w:t>10</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_Toc899 </w:instrText>
          </w:r>
          <w:r>
            <w:rPr>
              <w:rFonts w:hint="eastAsia"/>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_Toc899 \h </w:instrText>
          </w:r>
          <w:r>
            <w:fldChar w:fldCharType="separate"/>
          </w:r>
          <w:r>
            <w:t>10</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_Toc4210 </w:instrText>
          </w:r>
          <w:r>
            <w:rPr>
              <w:rFonts w:hint="eastAsia"/>
              <w:b/>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_Toc4210 \h </w:instrText>
          </w:r>
          <w:r>
            <w:rPr>
              <w:b/>
            </w:rPr>
            <w:fldChar w:fldCharType="separate"/>
          </w:r>
          <w:r>
            <w:rPr>
              <w:b/>
            </w:rPr>
            <w:t>11</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_Toc9839 </w:instrText>
          </w:r>
          <w:r>
            <w:rPr>
              <w:rFonts w:hint="eastAsia"/>
              <w:b/>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_Toc9839 \h </w:instrText>
          </w:r>
          <w:r>
            <w:rPr>
              <w:b/>
            </w:rPr>
            <w:fldChar w:fldCharType="separate"/>
          </w:r>
          <w:r>
            <w:rPr>
              <w:b/>
            </w:rPr>
            <w:t>11</w:t>
          </w:r>
          <w:r>
            <w:rPr>
              <w:b/>
            </w:rPr>
            <w:fldChar w:fldCharType="end"/>
          </w:r>
          <w:r>
            <w:rPr>
              <w:rFonts w:hint="eastAsia"/>
              <w:b/>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_Toc12682 </w:instrText>
          </w:r>
          <w:r>
            <w:rPr>
              <w:rFonts w:hint="eastAsia"/>
              <w:b/>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_Toc12682 \h </w:instrText>
          </w:r>
          <w:r>
            <w:rPr>
              <w:b/>
            </w:rPr>
            <w:fldChar w:fldCharType="separate"/>
          </w:r>
          <w:r>
            <w:rPr>
              <w:b/>
            </w:rPr>
            <w:t>11</w:t>
          </w:r>
          <w:r>
            <w:rPr>
              <w:b/>
            </w:rPr>
            <w:fldChar w:fldCharType="end"/>
          </w:r>
          <w:r>
            <w:rPr>
              <w:rFonts w:hint="eastAsia"/>
              <w:b/>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_Toc24244 </w:instrText>
          </w:r>
          <w:r>
            <w:rPr>
              <w:rFonts w:hint="eastAsia"/>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_Toc24244 \h </w:instrText>
          </w:r>
          <w:r>
            <w:fldChar w:fldCharType="separate"/>
          </w:r>
          <w:r>
            <w:t>11</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_Toc2741 </w:instrText>
          </w:r>
          <w:r>
            <w:rPr>
              <w:rFonts w:hint="eastAsia"/>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_Toc2741 \h </w:instrText>
          </w:r>
          <w:r>
            <w:fldChar w:fldCharType="separate"/>
          </w:r>
          <w:r>
            <w:t>11</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_Toc20324 </w:instrText>
          </w:r>
          <w:r>
            <w:rPr>
              <w:rFonts w:hint="eastAsia"/>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_Toc20324 \h </w:instrText>
          </w:r>
          <w:r>
            <w:fldChar w:fldCharType="separate"/>
          </w:r>
          <w:r>
            <w:t>11</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_Toc15792 </w:instrText>
          </w:r>
          <w:r>
            <w:rPr>
              <w:rFonts w:hint="eastAsia"/>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_Toc15792 \h </w:instrText>
          </w:r>
          <w:r>
            <w:fldChar w:fldCharType="separate"/>
          </w:r>
          <w:r>
            <w:t>11</w:t>
          </w:r>
          <w:r>
            <w:fldChar w:fldCharType="end"/>
          </w:r>
          <w:r>
            <w:rPr>
              <w:rFonts w:hint="eastAsia"/>
              <w:lang w:val="en-US" w:eastAsia="zh-CN"/>
            </w:rPr>
            <w:fldChar w:fldCharType="end"/>
          </w:r>
        </w:p>
        <w:p>
          <w:pPr>
            <w:pStyle w:val="14"/>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_Toc14966 </w:instrText>
          </w:r>
          <w:r>
            <w:rPr>
              <w:rFonts w:hint="eastAsia"/>
              <w:b/>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_Toc14966 \h </w:instrText>
          </w:r>
          <w:r>
            <w:rPr>
              <w:b/>
            </w:rPr>
            <w:fldChar w:fldCharType="separate"/>
          </w:r>
          <w:r>
            <w:rPr>
              <w:b/>
            </w:rPr>
            <w:t>12</w:t>
          </w:r>
          <w:r>
            <w:rPr>
              <w:b/>
            </w:rPr>
            <w:fldChar w:fldCharType="end"/>
          </w:r>
          <w:r>
            <w:rPr>
              <w:rFonts w:hint="eastAsia"/>
              <w:b/>
              <w:lang w:val="en-US" w:eastAsia="zh-CN"/>
            </w:rPr>
            <w:fldChar w:fldCharType="end"/>
          </w:r>
        </w:p>
        <w:p>
          <w:pPr>
            <w:pStyle w:val="2"/>
            <w:spacing w:line="360" w:lineRule="auto"/>
            <w:rPr>
              <w:rFonts w:hint="eastAsia"/>
              <w:lang w:val="en-US" w:eastAsia="zh-CN"/>
            </w:rPr>
          </w:pPr>
          <w:r>
            <w:rPr>
              <w:rFonts w:hint="eastAsia"/>
              <w:b/>
              <w:lang w:val="en-US" w:eastAsia="zh-CN"/>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7520"/>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314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广元市人民政府办公室</w:t>
      </w:r>
      <w:r>
        <w:rPr>
          <w:rFonts w:hint="eastAsia" w:ascii="楷体_GB2312" w:hAnsi="楷体_GB2312" w:eastAsia="楷体_GB2312" w:cs="楷体_GB2312"/>
          <w:sz w:val="32"/>
          <w:szCs w:val="32"/>
        </w:rPr>
        <w:t>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广元市人民政府办公室是市人民政府的综合办事机构，主要是参与政务、管理事务和搞好服务。主要职责是：</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承办市政府公文处理。起草或审核以市政府、市政府办公室名义发布的公文；办理国务院、国务院办公厅及各部委和省政府、省政府办公厅及各厅局发送市政府的文电；指导全市行政机关公文处理工作；研究市政府部门和县区政府请示市政府的事项，提出拟办意见，报市政府领导同志审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2.负责市政府会议的会务办理工作，协助市政府领导同志组织实施会议决定事项。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3.督促检查市政府部门和县区人民政府对市政府决定事项及市政府领导同志指示的贯彻落实情况，及时向市政府领导同志报告。</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4.根据市政府领导同志的指示，对市政府部门间争议问题提出处理意见和建议，报市政府领导同志决定。</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机关行政效能建设工作；负责推进、指导、督促全市政务公开、政府信息公开具体工作；负责全市政务信息采编和向国务院办公厅、省政府办公厅信息报送工作；负责政府系统电子政务外网工作和政府网站建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6.组织协调办理涉及市政府工作的人大代表议案、批评、建议和政协委员提案、建议案工作。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7.围绕市政府中心工作和市政府领导同志的指示，组织专题调查研究，及时反映情况，提出政策性建议。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8.负责公共机构节约能源资源、公务用车、后勤服务等机关事务行政管理工作。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9.贯彻执行金融工作方针政策和法律法规；制定全市金融业发展规划和政策措施；承担地方金融组织的行政管理工作，协助办理防范金融风险、维护地方金融秩序方面的行政事务。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10.贯彻执行国家有关民营经济发展的方针政策和法律法规，制定全市民营经济发展工作目标，指导县区民营经济发展。</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11.负责“放管服”改革、行政权力依法规范公开运行、公共资源交易管理等工作的统筹指导，负责指导、协调、监督并推进深化行政审批制度改革工作。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12.负责市政府值班工作，指导县区政府和市政府部门政务值班值守工作，及时报告重要情况。</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13.管理市政府办公室直属单位。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14.办理市委市政府交办的其他事项。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5558"/>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广元市人民政府办公室</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shd w:val="clear"/>
        <w:spacing w:line="55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市政府办公室将坚定以习近平新时代中国特色社会主义思想为指导，以全面贯彻落实党的二十大精神为主线，深入贯彻落实中央、省、市决策部署，认真落实“1345”发展战略，为推动新时代治蜀兴川广元实践再上新台阶贡献智慧和力量。</w:t>
      </w:r>
    </w:p>
    <w:p>
      <w:pPr>
        <w:shd w:val="clear"/>
        <w:spacing w:line="550" w:lineRule="exact"/>
        <w:ind w:firstLine="640" w:firstLineChars="200"/>
        <w:rPr>
          <w:rFonts w:ascii="仿宋_GB2312" w:eastAsia="仿宋_GB2312" w:cs="Times New Roman"/>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强化思想引领，着力提升政治水平。</w:t>
      </w:r>
      <w:r>
        <w:rPr>
          <w:rFonts w:hint="eastAsia" w:ascii="仿宋_GB2312" w:eastAsia="仿宋_GB2312" w:cs="Times New Roman"/>
          <w:sz w:val="32"/>
          <w:szCs w:val="32"/>
        </w:rPr>
        <w:t>坚持“政治机关”理念，把机关政治建设贯穿于各项工作之中，教育引导党员干部进一步提升政治判断力、政治领悟力、政治执行力，坚决讲政治铸忠诚，</w:t>
      </w:r>
      <w:r>
        <w:rPr>
          <w:rFonts w:hint="eastAsia" w:ascii="仿宋_GB2312" w:eastAsia="仿宋_GB2312"/>
          <w:sz w:val="32"/>
          <w:szCs w:val="32"/>
        </w:rPr>
        <w:t>坚决拥护“两个确立”，</w:t>
      </w:r>
      <w:r>
        <w:rPr>
          <w:rFonts w:hint="eastAsia" w:ascii="仿宋_GB2312" w:eastAsia="仿宋_GB2312" w:cs="Times New Roman"/>
          <w:sz w:val="32"/>
          <w:szCs w:val="32"/>
        </w:rPr>
        <w:t>不断增强“四个意识”、坚定“四个自信”、做到“两个维护”。积极</w:t>
      </w:r>
      <w:r>
        <w:rPr>
          <w:rFonts w:ascii="仿宋_GB2312" w:eastAsia="仿宋_GB2312" w:cs="Times New Roman"/>
          <w:sz w:val="32"/>
          <w:szCs w:val="32"/>
        </w:rPr>
        <w:t>参加主题教育各项活动</w:t>
      </w:r>
      <w:r>
        <w:rPr>
          <w:rFonts w:hint="eastAsia" w:ascii="仿宋_GB2312" w:eastAsia="仿宋_GB2312" w:cs="Times New Roman"/>
          <w:sz w:val="32"/>
          <w:szCs w:val="32"/>
        </w:rPr>
        <w:t>安排</w:t>
      </w:r>
      <w:r>
        <w:rPr>
          <w:rFonts w:ascii="仿宋_GB2312" w:eastAsia="仿宋_GB2312" w:cs="Times New Roman"/>
          <w:sz w:val="32"/>
          <w:szCs w:val="32"/>
        </w:rPr>
        <w:t>，</w:t>
      </w:r>
      <w:r>
        <w:rPr>
          <w:rFonts w:hint="eastAsia" w:ascii="仿宋_GB2312" w:eastAsia="仿宋_GB2312" w:cs="Times New Roman"/>
          <w:sz w:val="32"/>
          <w:szCs w:val="32"/>
        </w:rPr>
        <w:t>通过扎实开展理论中心组学习会、办公室党组（扩大）会、干部职工会、民主生活会、组织生活会等，全面学习领会习近平新时代中国特色社会主义思想丰富内涵，切实加强党员干部党性锤炼和理想信念教育，进一步强化政治自觉、坚定思想自觉、增强行动自觉，不折不扣推进党中央国务院、省委省政府和市委市政府决策部署贯彻落实、见行见效。</w:t>
      </w:r>
    </w:p>
    <w:p>
      <w:pPr>
        <w:shd w:val="clear"/>
        <w:spacing w:line="550"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lang w:val="en-US" w:eastAsia="zh-CN"/>
        </w:rPr>
        <w:t>2.</w:t>
      </w:r>
      <w:r>
        <w:rPr>
          <w:rFonts w:hint="eastAsia" w:ascii="仿宋_GB2312" w:eastAsia="仿宋_GB2312" w:cs="Times New Roman"/>
          <w:sz w:val="32"/>
          <w:szCs w:val="32"/>
        </w:rPr>
        <w:t>强化参谋辅政，着力提升服务质效。紧紧围绕全市发展大局和市委、市政府中心工作，按照“九个把关”和“三个更加”要求，继续做好全市重大活动、重大事项、重大项目的统筹协调服务。继续优化文电办理流程，促进文电办理提速增效。加大会议活动统筹整合力度，规范化高标准推进会务活动办理。进一步提升以文辅政、政务调研能力水平，提高调研成果运用。坚持绩效考评、通报评比，多出信息精品。规范督办工作流程，实行督查信息化管理、定期反馈制度，严把督查落实关。</w:t>
      </w:r>
      <w:r>
        <w:rPr>
          <w:rFonts w:hint="eastAsia" w:ascii="仿宋_GB2312" w:eastAsia="仿宋_GB2312"/>
          <w:sz w:val="32"/>
          <w:szCs w:val="32"/>
        </w:rPr>
        <w:t>持续深化“放管服”改革、“一网通办”前提下的“最多跑一次”改革，不断深化网上群众路线工作，强化“互联网+监管”，</w:t>
      </w:r>
      <w:r>
        <w:rPr>
          <w:rFonts w:hint="eastAsia" w:ascii="仿宋_GB2312" w:eastAsia="仿宋_GB2312" w:cs="Times New Roman"/>
          <w:sz w:val="32"/>
          <w:szCs w:val="32"/>
        </w:rPr>
        <w:t>助力打造最优营商环境。积极协调督促落实民营经济优惠政策及企业家恳谈会议定事项，推进</w:t>
      </w:r>
      <w:r>
        <w:rPr>
          <w:rFonts w:hint="eastAsia" w:ascii="仿宋_GB2312" w:hAnsi="仿宋_GB2312" w:eastAsia="仿宋_GB2312"/>
          <w:sz w:val="32"/>
          <w:szCs w:val="32"/>
        </w:rPr>
        <w:t>民营经济市场主体增长、</w:t>
      </w:r>
      <w:r>
        <w:rPr>
          <w:rFonts w:hint="eastAsia" w:ascii="仿宋_GB2312" w:eastAsia="仿宋_GB2312"/>
          <w:sz w:val="32"/>
          <w:szCs w:val="32"/>
        </w:rPr>
        <w:t>民营经济增加值增长</w:t>
      </w:r>
      <w:r>
        <w:rPr>
          <w:rFonts w:hint="eastAsia" w:ascii="仿宋_GB2312" w:hAnsi="仿宋_GB2312" w:eastAsia="仿宋_GB2312"/>
          <w:sz w:val="32"/>
          <w:szCs w:val="32"/>
        </w:rPr>
        <w:t>。</w:t>
      </w:r>
      <w:r>
        <w:rPr>
          <w:rFonts w:hint="eastAsia" w:ascii="仿宋_GB2312" w:eastAsia="仿宋_GB2312" w:cs="Times New Roman"/>
          <w:sz w:val="32"/>
          <w:szCs w:val="32"/>
        </w:rPr>
        <w:t>持续开展政府网站和政务新媒体专项整治，加强信息公开、互动和政策解读，进一步加强基层政务公开，有力有序推动先行试点到全域推进。大力做好机关事务管理、机关效能、值班值守、安全保卫等各项工作。</w:t>
      </w:r>
    </w:p>
    <w:p>
      <w:pPr>
        <w:pStyle w:val="7"/>
        <w:shd w:val="clear"/>
        <w:spacing w:before="0" w:beforeAutospacing="0" w:after="0" w:afterAutospacing="0" w:line="550" w:lineRule="exact"/>
        <w:ind w:firstLine="640"/>
        <w:rPr>
          <w:rFonts w:hint="eastAsia" w:ascii="黑体" w:hAnsi="黑体" w:eastAsia="黑体" w:cs="黑体"/>
          <w:sz w:val="32"/>
          <w:szCs w:val="32"/>
          <w:lang w:val="en-US" w:eastAsia="zh-CN"/>
        </w:rPr>
      </w:pPr>
      <w:r>
        <w:rPr>
          <w:rFonts w:hint="eastAsia" w:ascii="仿宋_GB2312" w:eastAsia="仿宋_GB2312" w:cs="Times New Roman"/>
          <w:sz w:val="32"/>
          <w:szCs w:val="32"/>
          <w:lang w:val="en-US" w:eastAsia="zh-CN"/>
        </w:rPr>
        <w:t>3.</w:t>
      </w:r>
      <w:r>
        <w:rPr>
          <w:rFonts w:hint="eastAsia" w:ascii="仿宋_GB2312" w:eastAsia="仿宋_GB2312" w:cs="Times New Roman"/>
          <w:sz w:val="32"/>
          <w:szCs w:val="32"/>
        </w:rPr>
        <w:t>强化队伍建设，着力提升干部素质。继续实施干部能力提升计划，坚持全方位、多角度、立体式考准考实干部政治素质，提高选人用人质量。充分发挥干部能力素质评价机制，实行平时考核、专项考核与年终考核相结合，强化人文关怀，健全正向激励机制，支持鼓励党员干部主动担当勇攻坚、敢于奉献加油干、对标先进争一流，始终迸发“不服输、敢争先”的精气神。始终严肃党内政治生活，持之以恒推进全面从严治党，严明政治纪律和政治规矩，压紧压实“两个责任”，加强作风建设和廉政建设，坚决杜绝形式主义官僚主义。常态化开展廉政警示教育、廉政谈话，持续抓好以案学法、以案示警、以案促改等工作，推动市政府办公室“三服务”工作取得</w:t>
      </w:r>
      <w:r>
        <w:rPr>
          <w:rFonts w:ascii="仿宋_GB2312" w:eastAsia="仿宋_GB2312" w:cs="Times New Roman"/>
          <w:sz w:val="32"/>
          <w:szCs w:val="32"/>
        </w:rPr>
        <w:t>新进展新成效</w:t>
      </w:r>
      <w:r>
        <w:rPr>
          <w:rFonts w:hint="eastAsia" w:ascii="仿宋_GB2312" w:eastAsia="仿宋_GB2312" w:cs="Times New Roman"/>
          <w:sz w:val="32"/>
          <w:szCs w:val="32"/>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4750"/>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广元市人民政府办公室本级预算包括：广元市人民政府办公室属行政单位预算，1个参公单位，2个事业单位预算。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纳入广元市人民政府办公室单位2024年本级预算编制范围的预算单位包括：</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1.广元市人民政府办公室（行政单位）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2.广元市经济社会发展研究中心（未单独编报预算参公事业单位）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3.广元市电子政务外网管理中心（未单独编报预算事业单位）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4.广元市民营经济服务中心（未单独编报预算事业单位）</w:t>
      </w:r>
    </w:p>
    <w:p>
      <w:pPr>
        <w:keepNext w:val="0"/>
        <w:keepLines w:val="0"/>
        <w:pageBreakBefore w:val="0"/>
        <w:widowControl w:val="0"/>
        <w:shd w:val="clear"/>
        <w:kinsoku/>
        <w:wordWrap/>
        <w:overflowPunct/>
        <w:topLinePunct w:val="0"/>
        <w:autoSpaceDE/>
        <w:autoSpaceDN/>
        <w:bidi w:val="0"/>
        <w:adjustRightInd/>
        <w:snapToGrid/>
        <w:spacing w:line="576" w:lineRule="exact"/>
        <w:ind w:left="638" w:leftChars="304" w:firstLine="0" w:firstLineChars="0"/>
        <w:textAlignment w:val="auto"/>
        <w:outlineLvl w:val="0"/>
        <w:rPr>
          <w:rFonts w:hint="eastAsia" w:ascii="黑体" w:hAnsi="黑体" w:eastAsia="黑体" w:cs="黑体"/>
          <w:sz w:val="32"/>
          <w:szCs w:val="32"/>
        </w:rPr>
      </w:pPr>
      <w:bookmarkStart w:id="5" w:name="_Toc3534"/>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人民政府办公室所有收入和支出均纳入部门预算管理。收入包括：一般公共预算拨款收入；支出包括：一般公共服务支出、社会保障和就业支出、卫生健康支出、住房保障支出。广元市人民政府办公室2024年收支预算总数3449.68万元，比2023年收支预算总数减少70.36万元，</w:t>
      </w:r>
      <w:r>
        <w:rPr>
          <w:rFonts w:hint="eastAsia" w:ascii="仿宋_GB2312" w:hAnsi="仿宋" w:eastAsia="仿宋_GB2312" w:cs="仿宋"/>
          <w:color w:val="000000"/>
          <w:kern w:val="0"/>
          <w:sz w:val="32"/>
          <w:szCs w:val="32"/>
          <w:shd w:val="clear" w:color="auto" w:fill="FFFFFF"/>
          <w:lang w:bidi="ar"/>
        </w:rPr>
        <w:t>主要原因</w:t>
      </w:r>
      <w:r>
        <w:rPr>
          <w:rFonts w:hint="eastAsia" w:ascii="仿宋_GB2312" w:hAnsi="仿宋" w:eastAsia="仿宋_GB2312" w:cs="仿宋"/>
          <w:color w:val="000000"/>
          <w:kern w:val="0"/>
          <w:sz w:val="32"/>
          <w:szCs w:val="32"/>
          <w:shd w:val="clear" w:color="auto" w:fill="FFFFFF"/>
          <w:lang w:eastAsia="zh-CN" w:bidi="ar"/>
        </w:rPr>
        <w:t>是</w:t>
      </w:r>
      <w:r>
        <w:rPr>
          <w:rFonts w:hint="eastAsia" w:ascii="仿宋_GB2312" w:hAnsi="仿宋" w:eastAsia="仿宋_GB2312" w:cs="仿宋"/>
          <w:color w:val="000000"/>
          <w:kern w:val="0"/>
          <w:sz w:val="32"/>
          <w:szCs w:val="32"/>
          <w:shd w:val="clear" w:color="auto" w:fill="FFFFFF"/>
          <w:lang w:val="en-US" w:eastAsia="zh-CN" w:bidi="ar"/>
        </w:rPr>
        <w:t>2023年底新调入人员未纳入2024年部门预算中。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3798"/>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广元市人民政府办公室2024年收入预算3449.68万元，其中：一般公共预算拨款收入</w:t>
      </w:r>
      <w:r>
        <w:rPr>
          <w:rFonts w:hint="eastAsia" w:ascii="仿宋_GB2312" w:hAnsi="仿宋_GB2312" w:eastAsia="仿宋_GB2312" w:cs="仿宋_GB2312"/>
          <w:color w:val="auto"/>
          <w:sz w:val="32"/>
          <w:szCs w:val="32"/>
          <w:lang w:val="en-US" w:eastAsia="zh-CN"/>
        </w:rPr>
        <w:t>3449.68万</w:t>
      </w:r>
      <w:r>
        <w:rPr>
          <w:rFonts w:hint="eastAsia" w:ascii="仿宋_GB2312" w:hAnsi="仿宋_GB2312" w:eastAsia="仿宋_GB2312" w:cs="仿宋_GB2312"/>
          <w:sz w:val="32"/>
          <w:szCs w:val="32"/>
          <w:lang w:val="en-US" w:eastAsia="zh-CN"/>
        </w:rPr>
        <w:t>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4774"/>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广元市人民政府办公室2024年支出预算3449.68万元，其中：基本支出2507.01万元，占72.67%；项目支出942.67万元，占27.33%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6559"/>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广元市人民政府办公室2024年财政拨款收支预算总数3449.68万元，比2023年财政拨款收支预算总数减少70.36万元，</w:t>
      </w:r>
      <w:r>
        <w:rPr>
          <w:rFonts w:hint="eastAsia" w:ascii="仿宋_GB2312" w:hAnsi="仿宋" w:eastAsia="仿宋_GB2312" w:cs="仿宋"/>
          <w:color w:val="000000"/>
          <w:kern w:val="0"/>
          <w:sz w:val="32"/>
          <w:szCs w:val="32"/>
          <w:shd w:val="clear" w:color="auto" w:fill="FFFFFF"/>
          <w:lang w:bidi="ar"/>
        </w:rPr>
        <w:t>主要原因</w:t>
      </w:r>
      <w:r>
        <w:rPr>
          <w:rFonts w:hint="eastAsia" w:ascii="仿宋_GB2312" w:hAnsi="仿宋" w:eastAsia="仿宋_GB2312" w:cs="仿宋"/>
          <w:color w:val="000000"/>
          <w:kern w:val="0"/>
          <w:sz w:val="32"/>
          <w:szCs w:val="32"/>
          <w:shd w:val="clear" w:color="auto" w:fill="FFFFFF"/>
          <w:lang w:eastAsia="zh-CN" w:bidi="ar"/>
        </w:rPr>
        <w:t>是</w:t>
      </w:r>
      <w:r>
        <w:rPr>
          <w:rFonts w:hint="eastAsia" w:ascii="仿宋_GB2312" w:hAnsi="仿宋" w:eastAsia="仿宋_GB2312" w:cs="仿宋"/>
          <w:color w:val="000000"/>
          <w:kern w:val="0"/>
          <w:sz w:val="32"/>
          <w:szCs w:val="32"/>
          <w:shd w:val="clear" w:color="auto" w:fill="FFFFFF"/>
          <w:lang w:val="en-US" w:eastAsia="zh-CN" w:bidi="ar"/>
        </w:rPr>
        <w:t>2023年底新调入人员未纳入2024年部门预算中。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收入包括：本年一般公共预算拨款收入3449.68万元；支出包括：一般公共服务支出2984.31万元、社会保障和就业支出216.19万元、卫生健康支出69.50万元、住房保障支出179.68万元。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2779"/>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5251"/>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广元市人民政府办公室2024年一般公共预算当年拨款3449.38万元，比2023年预算数减少70.36万元，</w:t>
      </w:r>
      <w:r>
        <w:rPr>
          <w:rFonts w:hint="eastAsia" w:ascii="仿宋_GB2312" w:hAnsi="仿宋" w:eastAsia="仿宋_GB2312" w:cs="仿宋"/>
          <w:color w:val="000000"/>
          <w:kern w:val="0"/>
          <w:sz w:val="32"/>
          <w:szCs w:val="32"/>
          <w:shd w:val="clear" w:color="auto" w:fill="FFFFFF"/>
          <w:lang w:bidi="ar"/>
        </w:rPr>
        <w:t>主要原因</w:t>
      </w:r>
      <w:r>
        <w:rPr>
          <w:rFonts w:hint="eastAsia" w:ascii="仿宋_GB2312" w:hAnsi="仿宋" w:eastAsia="仿宋_GB2312" w:cs="仿宋"/>
          <w:color w:val="000000"/>
          <w:kern w:val="0"/>
          <w:sz w:val="32"/>
          <w:szCs w:val="32"/>
          <w:shd w:val="clear" w:color="auto" w:fill="FFFFFF"/>
          <w:lang w:eastAsia="zh-CN" w:bidi="ar"/>
        </w:rPr>
        <w:t>是</w:t>
      </w:r>
      <w:r>
        <w:rPr>
          <w:rFonts w:hint="eastAsia" w:ascii="仿宋_GB2312" w:hAnsi="仿宋" w:eastAsia="仿宋_GB2312" w:cs="仿宋"/>
          <w:color w:val="000000"/>
          <w:kern w:val="0"/>
          <w:sz w:val="32"/>
          <w:szCs w:val="32"/>
          <w:shd w:val="clear" w:color="auto" w:fill="FFFFFF"/>
          <w:lang w:val="en-US" w:eastAsia="zh-CN" w:bidi="ar"/>
        </w:rPr>
        <w:t>2023年底新调入人员未纳入2024年部门预算中</w:t>
      </w:r>
      <w:r>
        <w:rPr>
          <w:rFonts w:hint="eastAsia" w:ascii="仿宋_GB2312" w:hAnsi="仿宋" w:eastAsia="仿宋_GB2312" w:cs="仿宋"/>
          <w:color w:val="000000"/>
          <w:kern w:val="0"/>
          <w:sz w:val="32"/>
          <w:szCs w:val="32"/>
          <w:shd w:val="clear" w:color="auto" w:fill="FFFFFF"/>
          <w:lang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4326"/>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一般公共服务支出2984.31万元，占86.51%；社会保障和就业支出216.19万元，占6.27%；卫生健康支出69.50万元，占2.01%；住房保障支出179.68万元，占5.21%。</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951"/>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1.一般公共服务（类）</w:t>
      </w:r>
      <w:r>
        <w:rPr>
          <w:rFonts w:hint="eastAsia" w:ascii="仿宋_GB2312" w:hAnsi="仿宋_GB2312" w:eastAsia="仿宋_GB2312" w:cs="仿宋_GB2312"/>
          <w:color w:val="auto"/>
          <w:sz w:val="32"/>
          <w:szCs w:val="32"/>
          <w:lang w:val="en-US" w:eastAsia="zh-CN"/>
        </w:rPr>
        <w:t>政府办公厅（室）</w:t>
      </w:r>
      <w:r>
        <w:rPr>
          <w:rFonts w:hint="eastAsia" w:ascii="仿宋_GB2312" w:hAnsi="仿宋_GB2312" w:eastAsia="仿宋_GB2312" w:cs="仿宋_GB2312"/>
          <w:sz w:val="32"/>
          <w:szCs w:val="32"/>
          <w:lang w:val="en-US" w:eastAsia="zh-CN"/>
        </w:rPr>
        <w:t>及相关机构事务（款）行政运行（项）2024年预算数为1798.31万元，主要用于保障行政单位机关和参公事业单位正常运转， 用于行政运行方面的经费支出。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2.一般公共服务（类）</w:t>
      </w:r>
      <w:r>
        <w:rPr>
          <w:rFonts w:hint="eastAsia" w:ascii="仿宋_GB2312" w:hAnsi="仿宋_GB2312" w:eastAsia="仿宋_GB2312" w:cs="仿宋_GB2312"/>
          <w:color w:val="auto"/>
          <w:sz w:val="32"/>
          <w:szCs w:val="32"/>
          <w:lang w:val="en-US" w:eastAsia="zh-CN"/>
        </w:rPr>
        <w:t>政府办公厅（室）</w:t>
      </w:r>
      <w:r>
        <w:rPr>
          <w:rFonts w:hint="eastAsia" w:ascii="仿宋_GB2312" w:hAnsi="仿宋_GB2312" w:eastAsia="仿宋_GB2312" w:cs="仿宋_GB2312"/>
          <w:sz w:val="32"/>
          <w:szCs w:val="32"/>
          <w:lang w:val="en-US" w:eastAsia="zh-CN"/>
        </w:rPr>
        <w:t>及相关机构事务（款）一般行政管理事务（项）2024年预算数为942.67万元，主要用于行政单位和下属事业单位专项工作经费，如乡村振兴工作经费、女子警务室工作经费、政务公开工作经费等支出。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3.一般公共服务（类）</w:t>
      </w:r>
      <w:r>
        <w:rPr>
          <w:rFonts w:hint="eastAsia" w:ascii="仿宋_GB2312" w:hAnsi="仿宋_GB2312" w:eastAsia="仿宋_GB2312" w:cs="仿宋_GB2312"/>
          <w:color w:val="auto"/>
          <w:sz w:val="32"/>
          <w:szCs w:val="32"/>
          <w:lang w:val="en-US" w:eastAsia="zh-CN"/>
        </w:rPr>
        <w:t>政府办公厅（室）</w:t>
      </w:r>
      <w:r>
        <w:rPr>
          <w:rFonts w:hint="eastAsia" w:ascii="仿宋_GB2312" w:hAnsi="仿宋_GB2312" w:eastAsia="仿宋_GB2312" w:cs="仿宋_GB2312"/>
          <w:sz w:val="32"/>
          <w:szCs w:val="32"/>
          <w:lang w:val="en-US" w:eastAsia="zh-CN"/>
        </w:rPr>
        <w:t>及相关机构事务（款）事业运行（项）2024年预算数为243.33万元，主要用于下属事业单位正常运转，用于事业运行方面的经费支出。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4.社会保障和就业（类）其他社会保障和就业支出（款）其他社会保障和就业支出（项）2024年预算数为2.38万元，主要用于工伤失业保险等其他社会保障和就业支出。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5.社会保障和就业（类）行政事业单位养老支出（款）机关事业单位基本养老保险缴费支出（项）2024年预算数为213.81万元，主要用于实施养老保险制度由单位缴纳的基本养老保险支出。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6.卫生健康（类）行政事业单位医疗（款）行政单位医疗（项）2024年预算数69.50万元，主要用于机关及参公管理事业单位按规定由单位缴纳的基本医疗保险支出。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7.住房保障（类）住房改革支出（款）住房公积金（项）2024年预算数为179.68万元，主要用于部门按规定为职工缴纳的住房公积金支出。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5477"/>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广元市人民政府办公室2024年一般公共预算基本支出2507.01万元，其中：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人员经费2107.20万元，主要包括：基本工资、津贴补贴、奖金、绩效工资、机关事业单位基本养老保险缴费、职工基本医疗保险缴费、其他社会保障缴费、住房公积金、生活补助等支出。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公用经费399.81万元，主要包括：办公费、水费、电费、邮电费、差旅费、公务接待费、工会经费、福利费、公务用车运行维护费、其他交通费用、其他商品和服务支出等支出。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6775"/>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广元市人民政府办公室2024年“三公”经费财政拨款预算数74万元，其中：公务接待费26万元，公务用车购置及运行维护费48万元，因公出国（境）经费0万元。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1022"/>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darkGray"/>
          <w:lang w:val="en-US" w:eastAsia="zh-CN"/>
        </w:rPr>
      </w:pPr>
      <w:r>
        <w:rPr>
          <w:rFonts w:hint="eastAsia" w:ascii="仿宋_GB2312" w:hAnsi="仿宋_GB2312" w:eastAsia="仿宋_GB2312" w:cs="仿宋_GB2312"/>
          <w:sz w:val="32"/>
          <w:szCs w:val="32"/>
          <w:lang w:val="en-US" w:eastAsia="zh-CN"/>
        </w:rPr>
        <w:t>公务接待费与2023年预算相比减少6万元，主要原因是厉行节约。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4080"/>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公务用车购置及运行维护费与2023年预算相比减少2万元，主要原因是厉行节约。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单位现有公务用车4辆，其中：轿车1辆，越野车3辆。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26" w:name="_GoBack"/>
      <w:bookmarkEnd w:id="26"/>
      <w:r>
        <w:rPr>
          <w:rFonts w:hint="eastAsia" w:ascii="仿宋_GB2312" w:hAnsi="仿宋_GB2312" w:eastAsia="仿宋_GB2312" w:cs="仿宋_GB2312"/>
          <w:sz w:val="32"/>
          <w:szCs w:val="32"/>
          <w:lang w:val="en-US" w:eastAsia="zh-CN"/>
        </w:rPr>
        <w:t>2024年安排公务用车运行维护费48万元，用于4辆公务用车燃油、过路（桥）、维修、保险等方面支出，</w:t>
      </w:r>
      <w:r>
        <w:rPr>
          <w:rFonts w:hint="eastAsia" w:ascii="仿宋_GB2312" w:hAnsi="仿宋" w:eastAsia="仿宋_GB2312" w:cs="仿宋"/>
          <w:color w:val="000000"/>
          <w:kern w:val="0"/>
          <w:sz w:val="32"/>
          <w:szCs w:val="32"/>
          <w:shd w:val="clear" w:color="auto" w:fill="FFFFFF"/>
          <w:lang w:bidi="ar"/>
        </w:rPr>
        <w:t>主要保障领导及应急用车。</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89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因公出国（境）经费与2023年预算持平，2024年部门预算未编列因公出国（境）经费，未安排出国（境）任务和计划。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4210"/>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9839"/>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广元市人民政府办公室2024年无国有资本经营预算拨款安排的支出。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2682"/>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4244"/>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 w:eastAsia="仿宋_GB2312" w:cs="仿宋"/>
          <w:color w:val="000000"/>
          <w:kern w:val="0"/>
          <w:sz w:val="32"/>
          <w:szCs w:val="32"/>
          <w:shd w:val="clear" w:color="auto" w:fill="FFFFFF"/>
          <w:lang w:eastAsia="zh-CN" w:bidi="ar"/>
        </w:rPr>
        <w:t>广元市人民政府办公室</w:t>
      </w:r>
      <w:r>
        <w:rPr>
          <w:rFonts w:hint="eastAsia" w:ascii="仿宋_GB2312" w:hAnsi="仿宋" w:eastAsia="仿宋_GB2312" w:cs="仿宋"/>
          <w:color w:val="000000"/>
          <w:kern w:val="0"/>
          <w:sz w:val="32"/>
          <w:szCs w:val="32"/>
          <w:shd w:val="clear" w:color="auto" w:fill="FFFFFF"/>
          <w:lang w:bidi="ar"/>
        </w:rPr>
        <w:t>机关运行经费财政拨款预算为</w:t>
      </w:r>
      <w:r>
        <w:rPr>
          <w:rFonts w:hint="eastAsia" w:ascii="仿宋_GB2312" w:hAnsi="仿宋_GB2312" w:eastAsia="仿宋_GB2312" w:cs="仿宋_GB2312"/>
          <w:sz w:val="32"/>
          <w:szCs w:val="32"/>
          <w:lang w:val="en-US" w:eastAsia="zh-CN"/>
        </w:rPr>
        <w:t>399.81万元，比2023年预算减少33.10万元，下降7.65%。主要原因是厉行节约。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741"/>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2024年，广元市人民政府办公室安排政府采购预算314.84万元，其中：政府采购货物预算11.07万元，政府采购服务预算303.74万元。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0324"/>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截至2023年底，广元市人民政府办公室共有车辆4辆，其中，实物保障用车1辆、应急保障用车3辆。单位无价值200万元以上的大型设备。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15792"/>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人民政府办公室开展绩效目标管理的项目29个，涉及预算3449.68万元。其中：人员类项目8个，涉及预算2107.2万元；运转类项目4个，涉及预算399.81万元；特定目标类项目17个，涉及预算942.67万元。因部分项目内容涉密，不予公开。</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4966"/>
      <w:r>
        <w:rPr>
          <w:rFonts w:hint="eastAsia" w:ascii="黑体" w:hAnsi="黑体" w:eastAsia="黑体" w:cs="黑体"/>
          <w:sz w:val="32"/>
          <w:szCs w:val="32"/>
          <w:lang w:val="en-US" w:eastAsia="zh-CN"/>
        </w:rPr>
        <w:t>十一、名词解释</w:t>
      </w:r>
      <w:bookmarkEnd w:id="25"/>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一般公共预算拨款收入：指市财政当年安排的财政预算收入。按现行管理制度，部门预算中反映的财政拨款包括一般公共预算拨款和政府性基金预算拨款。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一般公共服务（类）</w:t>
      </w:r>
      <w:r>
        <w:rPr>
          <w:rFonts w:hint="eastAsia" w:ascii="仿宋_GB2312" w:hAnsi="仿宋_GB2312" w:eastAsia="仿宋_GB2312" w:cs="仿宋_GB2312"/>
          <w:color w:val="auto"/>
          <w:sz w:val="32"/>
          <w:szCs w:val="32"/>
          <w:lang w:val="en-US" w:eastAsia="zh-CN"/>
        </w:rPr>
        <w:t>政府办公厅（室）及相关机构事务（款）行政运行（项）：指机关单位及下属单位用于保障机构正常运行、开展日常工作的基本支出。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一般公共服务（类）政府办公厅（室）及相关机构事务（款）一般行政管理事务（项）：指机关单位及下属单位开展项目管理工作的项目支出。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一般公共服务（类）政府办公厅（室）及相关机构事务（款）事业运行（项）：反映事业单位的基本支出，不包括行政单位（包括实行公务员管理的事业单位）后勤服务中心、医务室等附属事业单位。</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社会保障和就业（类）其他社会保障和就业支出（款）其他社会保障和就业支出（项）：反映工伤失业等其他社会保障和就业支出。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卫生健康（类）行政事业单位医疗（款）行政单位医疗（项）：指机关单位及下属单位用于单位应缴纳基本医疗保险支出。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住房保障（类）住房改革支出（款）住房公积金（项）：指按照《住房公积金管理条例》的规定，由单位及其在职职工缴存的长期住房储金。</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基本支出：指为保证机构正常运转，完成日常工作任务而发生的人员支出和公用支出。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项目支出：指在基本支出之外为完成特定行政任务和事业发展目标所发生的支出。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楷体_GB2312" w:hAnsi="楷体_GB2312" w:eastAsia="楷体_GB2312" w:cs="楷体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49BCD6-FCBB-4C5E-8ECD-846303A4A8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AF300D9-3C36-4BDF-A856-14E6F26B8A34}"/>
  </w:font>
  <w:font w:name="方正小标宋简体">
    <w:panose1 w:val="03000509000000000000"/>
    <w:charset w:val="86"/>
    <w:family w:val="auto"/>
    <w:pitch w:val="default"/>
    <w:sig w:usb0="00000001" w:usb1="080E0000" w:usb2="00000000" w:usb3="00000000" w:csb0="00040000" w:csb1="00000000"/>
    <w:embedRegular r:id="rId3" w:fontKey="{93074E91-785B-4A53-B8EF-5AD74770FA27}"/>
  </w:font>
  <w:font w:name="Droid Sans">
    <w:altName w:val="Arial Unicode MS"/>
    <w:panose1 w:val="00000000000000000000"/>
    <w:charset w:val="00"/>
    <w:family w:val="auto"/>
    <w:pitch w:val="default"/>
    <w:sig w:usb0="00000000" w:usb1="00000000" w:usb2="00000000" w:usb3="00000000" w:csb0="00040001"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楷体_GB2312">
    <w:panose1 w:val="02010609030101010101"/>
    <w:charset w:val="86"/>
    <w:family w:val="auto"/>
    <w:pitch w:val="default"/>
    <w:sig w:usb0="00000001" w:usb1="080E0000" w:usb2="00000000" w:usb3="00000000" w:csb0="00040000" w:csb1="00000000"/>
    <w:embedRegular r:id="rId4" w:fontKey="{6CD951D0-9647-4DC0-A2B4-53DB666D419A}"/>
  </w:font>
  <w:font w:name="仿宋_GB2312">
    <w:panose1 w:val="02010609030101010101"/>
    <w:charset w:val="86"/>
    <w:family w:val="modern"/>
    <w:pitch w:val="default"/>
    <w:sig w:usb0="00000001" w:usb1="080E0000" w:usb2="00000000" w:usb3="00000000" w:csb0="00040000" w:csb1="00000000"/>
    <w:embedRegular r:id="rId5" w:fontKey="{EBF306A9-7BF8-4F25-BB9C-6E06C2E0382A}"/>
  </w:font>
  <w:font w:name="仿宋">
    <w:panose1 w:val="02010609060101010101"/>
    <w:charset w:val="86"/>
    <w:family w:val="auto"/>
    <w:pitch w:val="default"/>
    <w:sig w:usb0="800002BF" w:usb1="38CF7CFA" w:usb2="00000016" w:usb3="00000000" w:csb0="00040001" w:csb1="00000000"/>
    <w:embedRegular r:id="rId6" w:fontKey="{46161F7A-BC12-49F9-A088-F9BE50C4DD0C}"/>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10D50"/>
    <w:multiLevelType w:val="singleLevel"/>
    <w:tmpl w:val="A7F10D50"/>
    <w:lvl w:ilvl="0" w:tentative="0">
      <w:start w:val="1"/>
      <w:numFmt w:val="chineseCounting"/>
      <w:suff w:val="nothing"/>
      <w:lvlText w:val="（%1）"/>
      <w:lvlJc w:val="left"/>
      <w:pPr>
        <w:ind w:left="0" w:firstLine="42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7de07e93-66c7-4bdd-903e-2c4ec1592510"/>
  </w:docVars>
  <w:rsids>
    <w:rsidRoot w:val="00000000"/>
    <w:rsid w:val="00DA62C5"/>
    <w:rsid w:val="00FB09D5"/>
    <w:rsid w:val="012352D1"/>
    <w:rsid w:val="02160F0D"/>
    <w:rsid w:val="043A125E"/>
    <w:rsid w:val="05044224"/>
    <w:rsid w:val="075C081C"/>
    <w:rsid w:val="08830271"/>
    <w:rsid w:val="0B2F0EC4"/>
    <w:rsid w:val="0B437CCE"/>
    <w:rsid w:val="0B633415"/>
    <w:rsid w:val="0E4B5014"/>
    <w:rsid w:val="10481D41"/>
    <w:rsid w:val="10AF4A06"/>
    <w:rsid w:val="114A472F"/>
    <w:rsid w:val="11A83272"/>
    <w:rsid w:val="14F33F14"/>
    <w:rsid w:val="1828329C"/>
    <w:rsid w:val="189746FE"/>
    <w:rsid w:val="190F6D64"/>
    <w:rsid w:val="199C0FC2"/>
    <w:rsid w:val="1C7D3C0B"/>
    <w:rsid w:val="1E1A6F96"/>
    <w:rsid w:val="1E485497"/>
    <w:rsid w:val="1EFA71A0"/>
    <w:rsid w:val="1F7BF06F"/>
    <w:rsid w:val="1FEE4B73"/>
    <w:rsid w:val="20F1504D"/>
    <w:rsid w:val="21DE339D"/>
    <w:rsid w:val="22711C11"/>
    <w:rsid w:val="23B33488"/>
    <w:rsid w:val="23CE9849"/>
    <w:rsid w:val="244261C9"/>
    <w:rsid w:val="25701635"/>
    <w:rsid w:val="2687014A"/>
    <w:rsid w:val="27A6495D"/>
    <w:rsid w:val="29DA4910"/>
    <w:rsid w:val="2A131E4B"/>
    <w:rsid w:val="2A273B1B"/>
    <w:rsid w:val="2AA8279A"/>
    <w:rsid w:val="2B5D6ED1"/>
    <w:rsid w:val="2E4E753A"/>
    <w:rsid w:val="2F68672D"/>
    <w:rsid w:val="304D5D95"/>
    <w:rsid w:val="31CC3212"/>
    <w:rsid w:val="33B72E33"/>
    <w:rsid w:val="358677AD"/>
    <w:rsid w:val="35BD7CFC"/>
    <w:rsid w:val="38C45ADC"/>
    <w:rsid w:val="39D23A46"/>
    <w:rsid w:val="39F304DD"/>
    <w:rsid w:val="39F64F44"/>
    <w:rsid w:val="3A35391F"/>
    <w:rsid w:val="3A497942"/>
    <w:rsid w:val="3AF56159"/>
    <w:rsid w:val="3C706E90"/>
    <w:rsid w:val="3E2D0700"/>
    <w:rsid w:val="3E451AF1"/>
    <w:rsid w:val="3FF87D86"/>
    <w:rsid w:val="423E48AF"/>
    <w:rsid w:val="424724A6"/>
    <w:rsid w:val="426E5C20"/>
    <w:rsid w:val="49130FDC"/>
    <w:rsid w:val="4AE86B03"/>
    <w:rsid w:val="4B874F81"/>
    <w:rsid w:val="4BF214C5"/>
    <w:rsid w:val="4D104637"/>
    <w:rsid w:val="4D321645"/>
    <w:rsid w:val="5034452F"/>
    <w:rsid w:val="515F3303"/>
    <w:rsid w:val="51E37BD7"/>
    <w:rsid w:val="536A2433"/>
    <w:rsid w:val="53C26D12"/>
    <w:rsid w:val="54244390"/>
    <w:rsid w:val="54662A63"/>
    <w:rsid w:val="56F21649"/>
    <w:rsid w:val="57DE59AF"/>
    <w:rsid w:val="58064E12"/>
    <w:rsid w:val="587F428B"/>
    <w:rsid w:val="596539D6"/>
    <w:rsid w:val="5A252C10"/>
    <w:rsid w:val="5BFEE015"/>
    <w:rsid w:val="61486FB1"/>
    <w:rsid w:val="61D41DC7"/>
    <w:rsid w:val="63EDCF55"/>
    <w:rsid w:val="63FBFBCF"/>
    <w:rsid w:val="651741AC"/>
    <w:rsid w:val="666F5074"/>
    <w:rsid w:val="669360FD"/>
    <w:rsid w:val="68FF6A83"/>
    <w:rsid w:val="6D72039C"/>
    <w:rsid w:val="6F0B52B0"/>
    <w:rsid w:val="6F4A043A"/>
    <w:rsid w:val="6FBBC9CF"/>
    <w:rsid w:val="703419A7"/>
    <w:rsid w:val="70D34D1C"/>
    <w:rsid w:val="71153587"/>
    <w:rsid w:val="71946BA2"/>
    <w:rsid w:val="71A22A7D"/>
    <w:rsid w:val="71B454C5"/>
    <w:rsid w:val="72BDE561"/>
    <w:rsid w:val="759A22AD"/>
    <w:rsid w:val="776CB836"/>
    <w:rsid w:val="77732DB5"/>
    <w:rsid w:val="77F71C38"/>
    <w:rsid w:val="78462278"/>
    <w:rsid w:val="78B35B5F"/>
    <w:rsid w:val="78F07340"/>
    <w:rsid w:val="792A6EEF"/>
    <w:rsid w:val="7997EA6C"/>
    <w:rsid w:val="7A1545F8"/>
    <w:rsid w:val="7A3C0E30"/>
    <w:rsid w:val="7A48677B"/>
    <w:rsid w:val="7AEAE675"/>
    <w:rsid w:val="7BAFCE5D"/>
    <w:rsid w:val="7D46598C"/>
    <w:rsid w:val="7DFB240B"/>
    <w:rsid w:val="7E0935ED"/>
    <w:rsid w:val="7F33200F"/>
    <w:rsid w:val="7FCF2AF7"/>
    <w:rsid w:val="9F7F0563"/>
    <w:rsid w:val="9FEF033D"/>
    <w:rsid w:val="A27FF1E5"/>
    <w:rsid w:val="AF7D64D6"/>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4"/>
    <w:qFormat/>
    <w:uiPriority w:val="0"/>
  </w:style>
  <w:style w:type="paragraph" w:styleId="7">
    <w:name w:val="Normal (Web)"/>
    <w:basedOn w:val="1"/>
    <w:next w:val="8"/>
    <w:qFormat/>
    <w:uiPriority w:val="0"/>
    <w:rPr>
      <w:sz w:val="24"/>
    </w:rPr>
  </w:style>
  <w:style w:type="paragraph" w:styleId="8">
    <w:name w:val="Body Text First Indent 2"/>
    <w:next w:val="1"/>
    <w:qFormat/>
    <w:uiPriority w:val="0"/>
    <w:pPr>
      <w:widowControl w:val="0"/>
      <w:spacing w:before="100" w:beforeAutospacing="1" w:after="120"/>
      <w:ind w:left="200" w:leftChars="200" w:firstLine="200" w:firstLineChars="200"/>
      <w:jc w:val="both"/>
    </w:pPr>
    <w:rPr>
      <w:rFonts w:ascii="Times New Roman" w:hAnsi="Times New Roman" w:eastAsia="方正小标宋简体" w:cs="Droid Sans"/>
      <w:kern w:val="2"/>
      <w:sz w:val="24"/>
      <w:szCs w:val="24"/>
      <w:lang w:val="en-US" w:eastAsia="zh-CN" w:bidi="ar-SA"/>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uiPriority w:val="0"/>
    <w:pPr>
      <w:ind w:leftChars="0"/>
    </w:pPr>
    <w:rPr>
      <w:rFonts w:ascii="Times New Roman" w:hAnsi="Times New Roman" w:eastAsia="宋体" w:cs="Times New Roman"/>
      <w:sz w:val="20"/>
      <w:szCs w:val="20"/>
    </w:rPr>
  </w:style>
  <w:style w:type="paragraph" w:customStyle="1" w:styleId="15">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21</TotalTime>
  <ScaleCrop>false</ScaleCrop>
  <LinksUpToDate>false</LinksUpToDate>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dell</cp:lastModifiedBy>
  <dcterms:modified xsi:type="dcterms:W3CDTF">2024-03-04T14:58:10Z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105628DBB6E84397929AB9B8D48B2B14_13</vt:lpwstr>
  </property>
</Properties>
</file>