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中共广元市委目标绩效管理办公室</w:t>
      </w:r>
    </w:p>
    <w:p>
      <w:pPr>
        <w:widowControl/>
        <w:shd w:val="clear" w:color="auto" w:fill="FFFFFF"/>
        <w:spacing w:line="580" w:lineRule="atLeast"/>
        <w:jc w:val="center"/>
        <w:rPr>
          <w:rFonts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2024年</w:t>
      </w:r>
      <w:r>
        <w:rPr>
          <w:rFonts w:hint="default" w:ascii="方正小标宋简体" w:hAnsi="方正小标宋简体" w:eastAsia="方正小标宋简体" w:cs="方正小标宋简体"/>
          <w:color w:val="000000"/>
          <w:kern w:val="0"/>
          <w:sz w:val="44"/>
          <w:szCs w:val="44"/>
          <w:shd w:val="clear" w:color="auto" w:fill="FFFFFF"/>
        </w:rPr>
        <w:t>单位</w:t>
      </w:r>
      <w:r>
        <w:rPr>
          <w:rFonts w:hint="eastAsia" w:ascii="方正小标宋简体" w:hAnsi="方正小标宋简体" w:eastAsia="方正小标宋简体" w:cs="方正小标宋简体"/>
          <w:color w:val="000000"/>
          <w:kern w:val="0"/>
          <w:sz w:val="44"/>
          <w:szCs w:val="44"/>
          <w:shd w:val="clear" w:color="auto" w:fill="FFFFFF"/>
        </w:rPr>
        <w:t>预算编制说明</w:t>
      </w: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ascii="黑体" w:hAnsi="黑体" w:eastAsia="黑体" w:cs="黑体"/>
          <w:color w:val="000000"/>
          <w:kern w:val="0"/>
          <w:sz w:val="32"/>
          <w:szCs w:val="32"/>
          <w:shd w:val="clear" w:color="auto" w:fill="FFFFFF"/>
        </w:rPr>
      </w:pPr>
    </w:p>
    <w:p>
      <w:pPr>
        <w:jc w:val="center"/>
        <w:rPr>
          <w:rFonts w:hint="eastAsia" w:ascii="黑体" w:hAnsi="黑体" w:eastAsia="黑体" w:cs="黑体"/>
          <w:color w:val="000000"/>
          <w:kern w:val="0"/>
          <w:sz w:val="32"/>
          <w:szCs w:val="32"/>
          <w:shd w:val="clear" w:color="auto" w:fill="FFFFFF"/>
        </w:rPr>
      </w:pPr>
    </w:p>
    <w:p>
      <w:pPr>
        <w:jc w:val="center"/>
        <w:rPr>
          <w:rFonts w:hint="eastAsia"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目   录</w:t>
      </w:r>
    </w:p>
    <w:sdt>
      <w:sdtPr>
        <w:rPr>
          <w:rFonts w:ascii="宋体" w:hAnsi="宋体" w:eastAsia="宋体" w:cs="Times New Roman"/>
          <w:kern w:val="2"/>
          <w:sz w:val="21"/>
          <w:szCs w:val="24"/>
          <w:lang w:val="en-US" w:eastAsia="zh-CN" w:bidi="ar-SA"/>
        </w:rPr>
        <w:id w:val="139067633"/>
        <w15:color w:val="DBDBDB"/>
        <w:docPartObj>
          <w:docPartGallery w:val="Table of Contents"/>
          <w:docPartUnique/>
        </w:docPartObj>
      </w:sdtPr>
      <w:sdtEndPr>
        <w:rPr>
          <w:rFonts w:hint="eastAsia" w:ascii="Times New Roman" w:hAnsi="Times New Roman" w:eastAsia="仿宋_GB2312" w:cs="Times New Roman"/>
          <w:b/>
          <w:kern w:val="2"/>
          <w:sz w:val="32"/>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20"/>
            <w:tabs>
              <w:tab w:val="right" w:leader="dot" w:pos="8845"/>
            </w:tabs>
            <w:rPr>
              <w:b/>
            </w:rPr>
          </w:pPr>
          <w:r>
            <w:rPr>
              <w:rFonts w:hint="eastAsia"/>
            </w:rPr>
            <w:fldChar w:fldCharType="begin"/>
          </w:r>
          <w:r>
            <w:rPr>
              <w:rFonts w:hint="eastAsia"/>
            </w:rPr>
            <w:instrText xml:space="preserve">TOC \o "1-2" \h \u </w:instrText>
          </w:r>
          <w:r>
            <w:rPr>
              <w:rFonts w:hint="eastAsia"/>
            </w:rPr>
            <w:fldChar w:fldCharType="separate"/>
          </w:r>
          <w:r>
            <w:rPr>
              <w:rFonts w:hint="eastAsia"/>
              <w:b/>
            </w:rPr>
            <w:fldChar w:fldCharType="begin"/>
          </w:r>
          <w:r>
            <w:rPr>
              <w:rFonts w:hint="eastAsia"/>
              <w:b/>
            </w:rPr>
            <w:instrText xml:space="preserve"> HYPERLINK \l _Toc1477449593 </w:instrText>
          </w:r>
          <w:r>
            <w:rPr>
              <w:rFonts w:hint="eastAsia"/>
              <w:b/>
            </w:rPr>
            <w:fldChar w:fldCharType="separate"/>
          </w:r>
          <w:r>
            <w:rPr>
              <w:rFonts w:hint="eastAsia" w:ascii="黑体" w:hAnsi="黑体" w:eastAsia="黑体" w:cs="黑体"/>
              <w:b/>
              <w:szCs w:val="32"/>
            </w:rPr>
            <w:t>一、基本职能及主要工作</w:t>
          </w:r>
          <w:r>
            <w:rPr>
              <w:b/>
            </w:rPr>
            <w:tab/>
          </w:r>
          <w:r>
            <w:rPr>
              <w:b/>
            </w:rPr>
            <w:fldChar w:fldCharType="begin"/>
          </w:r>
          <w:r>
            <w:rPr>
              <w:b/>
            </w:rPr>
            <w:instrText xml:space="preserve"> PAGEREF _Toc1477449593 \h </w:instrText>
          </w:r>
          <w:r>
            <w:rPr>
              <w:b/>
            </w:rPr>
            <w:fldChar w:fldCharType="separate"/>
          </w:r>
          <w:r>
            <w:rPr>
              <w:b/>
            </w:rPr>
            <w:t>2</w:t>
          </w:r>
          <w:r>
            <w:rPr>
              <w:b/>
            </w:rPr>
            <w:fldChar w:fldCharType="end"/>
          </w:r>
          <w:r>
            <w:rPr>
              <w:rFonts w:hint="eastAsia"/>
              <w:b/>
            </w:rPr>
            <w:fldChar w:fldCharType="end"/>
          </w:r>
        </w:p>
        <w:p>
          <w:pPr>
            <w:pStyle w:val="21"/>
            <w:tabs>
              <w:tab w:val="right" w:leader="dot" w:pos="8845"/>
            </w:tabs>
          </w:pPr>
          <w:r>
            <w:rPr>
              <w:rFonts w:hint="eastAsia"/>
            </w:rPr>
            <w:fldChar w:fldCharType="begin"/>
          </w:r>
          <w:r>
            <w:rPr>
              <w:rFonts w:hint="eastAsia"/>
            </w:rPr>
            <w:instrText xml:space="preserve"> HYPERLINK \l _Toc1382743880 </w:instrText>
          </w:r>
          <w:r>
            <w:rPr>
              <w:rFonts w:hint="eastAsia"/>
            </w:rPr>
            <w:fldChar w:fldCharType="separate"/>
          </w:r>
          <w:r>
            <w:rPr>
              <w:rFonts w:hint="eastAsia" w:ascii="楷体_GB2312" w:hAnsi="楷体_GB2312" w:eastAsia="楷体_GB2312" w:cs="楷体_GB2312"/>
              <w:szCs w:val="32"/>
            </w:rPr>
            <w:t>（一）单位职能简介</w:t>
          </w:r>
          <w:r>
            <w:tab/>
          </w:r>
          <w:r>
            <w:fldChar w:fldCharType="begin"/>
          </w:r>
          <w:r>
            <w:instrText xml:space="preserve"> PAGEREF _Toc1382743880 \h </w:instrText>
          </w:r>
          <w:r>
            <w:fldChar w:fldCharType="separate"/>
          </w:r>
          <w:r>
            <w:t>2</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_Toc1992006143 </w:instrText>
          </w:r>
          <w:r>
            <w:rPr>
              <w:rFonts w:hint="eastAsia"/>
            </w:rPr>
            <w:fldChar w:fldCharType="separate"/>
          </w:r>
          <w:r>
            <w:rPr>
              <w:rFonts w:hint="eastAsia" w:ascii="楷体_GB2312" w:hAnsi="楷体_GB2312" w:eastAsia="楷体_GB2312" w:cs="楷体_GB2312"/>
              <w:szCs w:val="32"/>
            </w:rPr>
            <w:t>（二）单位2024年重点工作</w:t>
          </w:r>
          <w:r>
            <w:tab/>
          </w:r>
          <w:r>
            <w:fldChar w:fldCharType="begin"/>
          </w:r>
          <w:r>
            <w:instrText xml:space="preserve"> PAGEREF _Toc1992006143 \h </w:instrText>
          </w:r>
          <w:r>
            <w:fldChar w:fldCharType="separate"/>
          </w:r>
          <w:r>
            <w:t>3</w:t>
          </w:r>
          <w:r>
            <w:fldChar w:fldCharType="end"/>
          </w:r>
          <w:r>
            <w:rPr>
              <w:rFonts w:hint="eastAsia"/>
            </w:rPr>
            <w:fldChar w:fldCharType="end"/>
          </w:r>
        </w:p>
        <w:p>
          <w:pPr>
            <w:pStyle w:val="20"/>
            <w:tabs>
              <w:tab w:val="right" w:leader="dot" w:pos="8845"/>
            </w:tabs>
            <w:rPr>
              <w:b/>
            </w:rPr>
          </w:pPr>
          <w:r>
            <w:rPr>
              <w:rFonts w:hint="eastAsia"/>
              <w:b/>
            </w:rPr>
            <w:fldChar w:fldCharType="begin"/>
          </w:r>
          <w:r>
            <w:rPr>
              <w:rFonts w:hint="eastAsia"/>
              <w:b/>
            </w:rPr>
            <w:instrText xml:space="preserve"> HYPERLINK \l _Toc1419491270 </w:instrText>
          </w:r>
          <w:r>
            <w:rPr>
              <w:rFonts w:hint="eastAsia"/>
              <w:b/>
            </w:rPr>
            <w:fldChar w:fldCharType="separate"/>
          </w:r>
          <w:r>
            <w:rPr>
              <w:rFonts w:hint="eastAsia" w:ascii="黑体" w:hAnsi="黑体" w:eastAsia="黑体" w:cs="黑体"/>
              <w:b/>
              <w:szCs w:val="32"/>
            </w:rPr>
            <w:t>二、部门预算单位构成</w:t>
          </w:r>
          <w:r>
            <w:rPr>
              <w:b/>
            </w:rPr>
            <w:tab/>
          </w:r>
          <w:r>
            <w:rPr>
              <w:b/>
            </w:rPr>
            <w:fldChar w:fldCharType="begin"/>
          </w:r>
          <w:r>
            <w:rPr>
              <w:b/>
            </w:rPr>
            <w:instrText xml:space="preserve"> PAGEREF _Toc1419491270 \h </w:instrText>
          </w:r>
          <w:r>
            <w:rPr>
              <w:b/>
            </w:rPr>
            <w:fldChar w:fldCharType="separate"/>
          </w:r>
          <w:r>
            <w:rPr>
              <w:b/>
            </w:rPr>
            <w:t>4</w:t>
          </w:r>
          <w:r>
            <w:rPr>
              <w:b/>
            </w:rPr>
            <w:fldChar w:fldCharType="end"/>
          </w:r>
          <w:r>
            <w:rPr>
              <w:rFonts w:hint="eastAsia"/>
              <w:b/>
            </w:rPr>
            <w:fldChar w:fldCharType="end"/>
          </w:r>
        </w:p>
        <w:p>
          <w:pPr>
            <w:pStyle w:val="20"/>
            <w:tabs>
              <w:tab w:val="right" w:leader="dot" w:pos="8845"/>
            </w:tabs>
            <w:rPr>
              <w:b/>
            </w:rPr>
          </w:pPr>
          <w:r>
            <w:rPr>
              <w:rFonts w:hint="eastAsia"/>
              <w:b/>
            </w:rPr>
            <w:fldChar w:fldCharType="begin"/>
          </w:r>
          <w:r>
            <w:rPr>
              <w:rFonts w:hint="eastAsia"/>
              <w:b/>
            </w:rPr>
            <w:instrText xml:space="preserve"> HYPERLINK \l _Toc1696369515 </w:instrText>
          </w:r>
          <w:r>
            <w:rPr>
              <w:rFonts w:hint="eastAsia"/>
              <w:b/>
            </w:rPr>
            <w:fldChar w:fldCharType="separate"/>
          </w:r>
          <w:r>
            <w:rPr>
              <w:rFonts w:hint="eastAsia" w:ascii="黑体" w:hAnsi="黑体" w:eastAsia="黑体" w:cs="黑体"/>
              <w:b/>
              <w:szCs w:val="32"/>
            </w:rPr>
            <w:t>三、收支预算情况说明</w:t>
          </w:r>
          <w:r>
            <w:rPr>
              <w:b/>
            </w:rPr>
            <w:tab/>
          </w:r>
          <w:r>
            <w:rPr>
              <w:b/>
            </w:rPr>
            <w:fldChar w:fldCharType="begin"/>
          </w:r>
          <w:r>
            <w:rPr>
              <w:b/>
            </w:rPr>
            <w:instrText xml:space="preserve"> PAGEREF _Toc1696369515 \h </w:instrText>
          </w:r>
          <w:r>
            <w:rPr>
              <w:b/>
            </w:rPr>
            <w:fldChar w:fldCharType="separate"/>
          </w:r>
          <w:r>
            <w:rPr>
              <w:b/>
            </w:rPr>
            <w:t>4</w:t>
          </w:r>
          <w:r>
            <w:rPr>
              <w:b/>
            </w:rPr>
            <w:fldChar w:fldCharType="end"/>
          </w:r>
          <w:r>
            <w:rPr>
              <w:rFonts w:hint="eastAsia"/>
              <w:b/>
            </w:rPr>
            <w:fldChar w:fldCharType="end"/>
          </w:r>
        </w:p>
        <w:p>
          <w:pPr>
            <w:pStyle w:val="21"/>
            <w:tabs>
              <w:tab w:val="right" w:leader="dot" w:pos="8845"/>
            </w:tabs>
          </w:pPr>
          <w:r>
            <w:rPr>
              <w:rFonts w:hint="eastAsia"/>
            </w:rPr>
            <w:fldChar w:fldCharType="begin"/>
          </w:r>
          <w:r>
            <w:rPr>
              <w:rFonts w:hint="eastAsia"/>
            </w:rPr>
            <w:instrText xml:space="preserve"> HYPERLINK \l _Toc1059937720 </w:instrText>
          </w:r>
          <w:r>
            <w:rPr>
              <w:rFonts w:hint="eastAsia"/>
            </w:rPr>
            <w:fldChar w:fldCharType="separate"/>
          </w:r>
          <w:r>
            <w:rPr>
              <w:rFonts w:hint="eastAsia" w:ascii="宋体" w:hAnsi="宋体" w:cs="宋体"/>
              <w:kern w:val="0"/>
              <w:szCs w:val="28"/>
              <w:shd w:val="clear" w:color="auto" w:fill="FFFFFF"/>
            </w:rPr>
            <w:t>（一）收入预算情况</w:t>
          </w:r>
          <w:r>
            <w:tab/>
          </w:r>
          <w:r>
            <w:fldChar w:fldCharType="begin"/>
          </w:r>
          <w:r>
            <w:instrText xml:space="preserve"> PAGEREF _Toc1059937720 \h </w:instrText>
          </w:r>
          <w:r>
            <w:fldChar w:fldCharType="separate"/>
          </w:r>
          <w:r>
            <w:t>4</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_Toc680049482 </w:instrText>
          </w:r>
          <w:r>
            <w:rPr>
              <w:rFonts w:hint="eastAsia"/>
            </w:rPr>
            <w:fldChar w:fldCharType="separate"/>
          </w:r>
          <w:r>
            <w:rPr>
              <w:rFonts w:hint="eastAsia" w:ascii="宋体" w:hAnsi="宋体" w:cs="宋体"/>
              <w:kern w:val="0"/>
              <w:szCs w:val="28"/>
              <w:shd w:val="clear" w:fill="FFFFFF"/>
            </w:rPr>
            <w:t xml:space="preserve">（二） </w:t>
          </w:r>
          <w:r>
            <w:rPr>
              <w:rFonts w:hint="eastAsia" w:ascii="宋体" w:hAnsi="宋体" w:cs="宋体"/>
              <w:kern w:val="0"/>
              <w:szCs w:val="28"/>
              <w:shd w:val="clear" w:color="auto" w:fill="FFFFFF"/>
            </w:rPr>
            <w:t>支出预算情况</w:t>
          </w:r>
          <w:r>
            <w:tab/>
          </w:r>
          <w:r>
            <w:fldChar w:fldCharType="begin"/>
          </w:r>
          <w:r>
            <w:instrText xml:space="preserve"> PAGEREF _Toc680049482 \h </w:instrText>
          </w:r>
          <w:r>
            <w:fldChar w:fldCharType="separate"/>
          </w:r>
          <w:r>
            <w:t>4</w:t>
          </w:r>
          <w:r>
            <w:fldChar w:fldCharType="end"/>
          </w:r>
          <w:r>
            <w:rPr>
              <w:rFonts w:hint="eastAsia"/>
            </w:rPr>
            <w:fldChar w:fldCharType="end"/>
          </w:r>
        </w:p>
        <w:p>
          <w:pPr>
            <w:pStyle w:val="20"/>
            <w:tabs>
              <w:tab w:val="right" w:leader="dot" w:pos="8845"/>
            </w:tabs>
            <w:rPr>
              <w:b/>
            </w:rPr>
          </w:pPr>
          <w:r>
            <w:rPr>
              <w:rFonts w:hint="eastAsia"/>
              <w:b/>
            </w:rPr>
            <w:fldChar w:fldCharType="begin"/>
          </w:r>
          <w:r>
            <w:rPr>
              <w:rFonts w:hint="eastAsia"/>
              <w:b/>
            </w:rPr>
            <w:instrText xml:space="preserve"> HYPERLINK \l _Toc1907499575 </w:instrText>
          </w:r>
          <w:r>
            <w:rPr>
              <w:rFonts w:hint="eastAsia"/>
              <w:b/>
            </w:rPr>
            <w:fldChar w:fldCharType="separate"/>
          </w:r>
          <w:r>
            <w:rPr>
              <w:rFonts w:hint="eastAsia" w:ascii="黑体" w:hAnsi="黑体" w:eastAsia="黑体" w:cs="黑体"/>
              <w:b/>
              <w:szCs w:val="32"/>
            </w:rPr>
            <w:t>四、财政拨款收支预算情况说明</w:t>
          </w:r>
          <w:r>
            <w:rPr>
              <w:b/>
            </w:rPr>
            <w:tab/>
          </w:r>
          <w:r>
            <w:rPr>
              <w:b/>
            </w:rPr>
            <w:fldChar w:fldCharType="begin"/>
          </w:r>
          <w:r>
            <w:rPr>
              <w:b/>
            </w:rPr>
            <w:instrText xml:space="preserve"> PAGEREF _Toc1907499575 \h </w:instrText>
          </w:r>
          <w:r>
            <w:rPr>
              <w:b/>
            </w:rPr>
            <w:fldChar w:fldCharType="separate"/>
          </w:r>
          <w:r>
            <w:rPr>
              <w:b/>
            </w:rPr>
            <w:t>5</w:t>
          </w:r>
          <w:r>
            <w:rPr>
              <w:b/>
            </w:rPr>
            <w:fldChar w:fldCharType="end"/>
          </w:r>
          <w:r>
            <w:rPr>
              <w:rFonts w:hint="eastAsia"/>
              <w:b/>
            </w:rPr>
            <w:fldChar w:fldCharType="end"/>
          </w:r>
        </w:p>
        <w:p>
          <w:pPr>
            <w:pStyle w:val="20"/>
            <w:tabs>
              <w:tab w:val="right" w:leader="dot" w:pos="8845"/>
            </w:tabs>
            <w:rPr>
              <w:b/>
            </w:rPr>
          </w:pPr>
          <w:r>
            <w:rPr>
              <w:rFonts w:hint="eastAsia"/>
              <w:b/>
            </w:rPr>
            <w:fldChar w:fldCharType="begin"/>
          </w:r>
          <w:r>
            <w:rPr>
              <w:rFonts w:hint="eastAsia"/>
              <w:b/>
            </w:rPr>
            <w:instrText xml:space="preserve"> HYPERLINK \l _Toc1250805427 </w:instrText>
          </w:r>
          <w:r>
            <w:rPr>
              <w:rFonts w:hint="eastAsia"/>
              <w:b/>
            </w:rPr>
            <w:fldChar w:fldCharType="separate"/>
          </w:r>
          <w:r>
            <w:rPr>
              <w:rFonts w:hint="eastAsia" w:ascii="黑体" w:hAnsi="黑体" w:eastAsia="黑体" w:cs="黑体"/>
              <w:b/>
              <w:szCs w:val="32"/>
            </w:rPr>
            <w:t>五、 一般公共预算当年拨款情况说明</w:t>
          </w:r>
          <w:r>
            <w:rPr>
              <w:b/>
            </w:rPr>
            <w:tab/>
          </w:r>
          <w:r>
            <w:rPr>
              <w:b/>
            </w:rPr>
            <w:fldChar w:fldCharType="begin"/>
          </w:r>
          <w:r>
            <w:rPr>
              <w:b/>
            </w:rPr>
            <w:instrText xml:space="preserve"> PAGEREF _Toc1250805427 \h </w:instrText>
          </w:r>
          <w:r>
            <w:rPr>
              <w:b/>
            </w:rPr>
            <w:fldChar w:fldCharType="separate"/>
          </w:r>
          <w:r>
            <w:rPr>
              <w:b/>
            </w:rPr>
            <w:t>5</w:t>
          </w:r>
          <w:r>
            <w:rPr>
              <w:b/>
            </w:rPr>
            <w:fldChar w:fldCharType="end"/>
          </w:r>
          <w:r>
            <w:rPr>
              <w:rFonts w:hint="eastAsia"/>
              <w:b/>
            </w:rPr>
            <w:fldChar w:fldCharType="end"/>
          </w:r>
        </w:p>
        <w:p>
          <w:pPr>
            <w:pStyle w:val="21"/>
            <w:tabs>
              <w:tab w:val="right" w:leader="dot" w:pos="8845"/>
            </w:tabs>
          </w:pPr>
          <w:r>
            <w:rPr>
              <w:rFonts w:hint="eastAsia"/>
            </w:rPr>
            <w:fldChar w:fldCharType="begin"/>
          </w:r>
          <w:r>
            <w:rPr>
              <w:rFonts w:hint="eastAsia"/>
            </w:rPr>
            <w:instrText xml:space="preserve"> HYPERLINK \l _Toc2076084841 </w:instrText>
          </w:r>
          <w:r>
            <w:rPr>
              <w:rFonts w:hint="eastAsia"/>
            </w:rPr>
            <w:fldChar w:fldCharType="separate"/>
          </w:r>
          <w:r>
            <w:rPr>
              <w:rFonts w:hint="eastAsia" w:ascii="楷体_GB2312" w:hAnsi="楷体_GB2312" w:eastAsia="楷体_GB2312" w:cs="楷体_GB2312"/>
              <w:szCs w:val="32"/>
            </w:rPr>
            <w:t>（一） 一般公共预算当年拨款规模变化情况</w:t>
          </w:r>
          <w:r>
            <w:tab/>
          </w:r>
          <w:r>
            <w:fldChar w:fldCharType="begin"/>
          </w:r>
          <w:r>
            <w:instrText xml:space="preserve"> PAGEREF _Toc2076084841 \h </w:instrText>
          </w:r>
          <w:r>
            <w:fldChar w:fldCharType="separate"/>
          </w:r>
          <w:r>
            <w:t>5</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_Toc1521875546 </w:instrText>
          </w:r>
          <w:r>
            <w:rPr>
              <w:rFonts w:hint="eastAsia"/>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_Toc1521875546 \h </w:instrText>
          </w:r>
          <w:r>
            <w:fldChar w:fldCharType="separate"/>
          </w:r>
          <w:r>
            <w:t>5</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_Toc1615500030 </w:instrText>
          </w:r>
          <w:r>
            <w:rPr>
              <w:rFonts w:hint="eastAsia"/>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_Toc1615500030 \h </w:instrText>
          </w:r>
          <w:r>
            <w:fldChar w:fldCharType="separate"/>
          </w:r>
          <w:r>
            <w:t>5</w:t>
          </w:r>
          <w:r>
            <w:fldChar w:fldCharType="end"/>
          </w:r>
          <w:r>
            <w:rPr>
              <w:rFonts w:hint="eastAsia"/>
            </w:rPr>
            <w:fldChar w:fldCharType="end"/>
          </w:r>
        </w:p>
        <w:p>
          <w:pPr>
            <w:pStyle w:val="20"/>
            <w:tabs>
              <w:tab w:val="right" w:leader="dot" w:pos="8845"/>
            </w:tabs>
            <w:rPr>
              <w:b/>
            </w:rPr>
          </w:pPr>
          <w:r>
            <w:rPr>
              <w:rFonts w:hint="eastAsia"/>
              <w:b/>
            </w:rPr>
            <w:fldChar w:fldCharType="begin"/>
          </w:r>
          <w:r>
            <w:rPr>
              <w:rFonts w:hint="eastAsia"/>
              <w:b/>
            </w:rPr>
            <w:instrText xml:space="preserve"> HYPERLINK \l _Toc2101214164 </w:instrText>
          </w:r>
          <w:r>
            <w:rPr>
              <w:rFonts w:hint="eastAsia"/>
              <w:b/>
            </w:rPr>
            <w:fldChar w:fldCharType="separate"/>
          </w:r>
          <w:r>
            <w:rPr>
              <w:rFonts w:hint="eastAsia" w:ascii="黑体" w:hAnsi="黑体" w:eastAsia="黑体" w:cs="黑体"/>
              <w:b/>
              <w:szCs w:val="32"/>
            </w:rPr>
            <w:t>六、一般公共预算基本支出情况说明</w:t>
          </w:r>
          <w:r>
            <w:rPr>
              <w:b/>
            </w:rPr>
            <w:tab/>
          </w:r>
          <w:r>
            <w:rPr>
              <w:b/>
            </w:rPr>
            <w:fldChar w:fldCharType="begin"/>
          </w:r>
          <w:r>
            <w:rPr>
              <w:b/>
            </w:rPr>
            <w:instrText xml:space="preserve"> PAGEREF _Toc2101214164 \h </w:instrText>
          </w:r>
          <w:r>
            <w:rPr>
              <w:b/>
            </w:rPr>
            <w:fldChar w:fldCharType="separate"/>
          </w:r>
          <w:r>
            <w:rPr>
              <w:b/>
            </w:rPr>
            <w:t>6</w:t>
          </w:r>
          <w:r>
            <w:rPr>
              <w:b/>
            </w:rPr>
            <w:fldChar w:fldCharType="end"/>
          </w:r>
          <w:r>
            <w:rPr>
              <w:rFonts w:hint="eastAsia"/>
              <w:b/>
            </w:rPr>
            <w:fldChar w:fldCharType="end"/>
          </w:r>
        </w:p>
        <w:p>
          <w:pPr>
            <w:pStyle w:val="20"/>
            <w:tabs>
              <w:tab w:val="right" w:leader="dot" w:pos="8845"/>
            </w:tabs>
            <w:rPr>
              <w:b/>
            </w:rPr>
          </w:pPr>
          <w:r>
            <w:rPr>
              <w:rFonts w:hint="eastAsia"/>
              <w:b/>
            </w:rPr>
            <w:fldChar w:fldCharType="begin"/>
          </w:r>
          <w:r>
            <w:rPr>
              <w:rFonts w:hint="eastAsia"/>
              <w:b/>
            </w:rPr>
            <w:instrText xml:space="preserve"> HYPERLINK \l _Toc1022704987 </w:instrText>
          </w:r>
          <w:r>
            <w:rPr>
              <w:rFonts w:hint="eastAsia"/>
              <w:b/>
            </w:rPr>
            <w:fldChar w:fldCharType="separate"/>
          </w:r>
          <w:r>
            <w:rPr>
              <w:rFonts w:hint="eastAsia" w:ascii="黑体" w:hAnsi="黑体" w:eastAsia="黑体" w:cs="黑体"/>
              <w:b/>
              <w:szCs w:val="32"/>
            </w:rPr>
            <w:t>七、“三公”经费财政拨款预算安排情况说明</w:t>
          </w:r>
          <w:r>
            <w:rPr>
              <w:b/>
            </w:rPr>
            <w:tab/>
          </w:r>
          <w:r>
            <w:rPr>
              <w:b/>
            </w:rPr>
            <w:fldChar w:fldCharType="begin"/>
          </w:r>
          <w:r>
            <w:rPr>
              <w:b/>
            </w:rPr>
            <w:instrText xml:space="preserve"> PAGEREF _Toc1022704987 \h </w:instrText>
          </w:r>
          <w:r>
            <w:rPr>
              <w:b/>
            </w:rPr>
            <w:fldChar w:fldCharType="separate"/>
          </w:r>
          <w:r>
            <w:rPr>
              <w:b/>
            </w:rPr>
            <w:t>7</w:t>
          </w:r>
          <w:r>
            <w:rPr>
              <w:b/>
            </w:rPr>
            <w:fldChar w:fldCharType="end"/>
          </w:r>
          <w:r>
            <w:rPr>
              <w:rFonts w:hint="eastAsia"/>
              <w:b/>
            </w:rPr>
            <w:fldChar w:fldCharType="end"/>
          </w:r>
        </w:p>
        <w:p>
          <w:pPr>
            <w:pStyle w:val="20"/>
            <w:tabs>
              <w:tab w:val="right" w:leader="dot" w:pos="8845"/>
            </w:tabs>
            <w:rPr>
              <w:b/>
            </w:rPr>
          </w:pPr>
          <w:r>
            <w:rPr>
              <w:rFonts w:hint="eastAsia"/>
              <w:b/>
            </w:rPr>
            <w:fldChar w:fldCharType="begin"/>
          </w:r>
          <w:r>
            <w:rPr>
              <w:rFonts w:hint="eastAsia"/>
              <w:b/>
            </w:rPr>
            <w:instrText xml:space="preserve"> HYPERLINK \l _Toc1499377521 </w:instrText>
          </w:r>
          <w:r>
            <w:rPr>
              <w:rFonts w:hint="eastAsia"/>
              <w:b/>
            </w:rPr>
            <w:fldChar w:fldCharType="separate"/>
          </w:r>
          <w:r>
            <w:rPr>
              <w:rFonts w:hint="eastAsia" w:ascii="黑体" w:hAnsi="黑体" w:eastAsia="黑体" w:cs="黑体"/>
              <w:b/>
              <w:szCs w:val="32"/>
            </w:rPr>
            <w:t>八</w:t>
          </w:r>
          <w:r>
            <w:rPr>
              <w:rFonts w:hint="eastAsia" w:ascii="宋体" w:hAnsi="宋体" w:cs="宋体"/>
              <w:b/>
              <w:kern w:val="0"/>
              <w:szCs w:val="28"/>
              <w:shd w:val="clear" w:color="auto" w:fill="FFFFFF"/>
            </w:rPr>
            <w:t>、</w:t>
          </w:r>
          <w:r>
            <w:rPr>
              <w:rFonts w:hint="eastAsia" w:ascii="黑体" w:hAnsi="黑体" w:eastAsia="黑体" w:cs="黑体"/>
              <w:b/>
              <w:szCs w:val="32"/>
            </w:rPr>
            <w:t>政府性基金预算支出情况说明</w:t>
          </w:r>
          <w:r>
            <w:rPr>
              <w:b/>
            </w:rPr>
            <w:tab/>
          </w:r>
          <w:r>
            <w:rPr>
              <w:b/>
            </w:rPr>
            <w:fldChar w:fldCharType="begin"/>
          </w:r>
          <w:r>
            <w:rPr>
              <w:b/>
            </w:rPr>
            <w:instrText xml:space="preserve"> PAGEREF _Toc1499377521 \h </w:instrText>
          </w:r>
          <w:r>
            <w:rPr>
              <w:b/>
            </w:rPr>
            <w:fldChar w:fldCharType="separate"/>
          </w:r>
          <w:r>
            <w:rPr>
              <w:b/>
            </w:rPr>
            <w:t>7</w:t>
          </w:r>
          <w:r>
            <w:rPr>
              <w:b/>
            </w:rPr>
            <w:fldChar w:fldCharType="end"/>
          </w:r>
          <w:r>
            <w:rPr>
              <w:rFonts w:hint="eastAsia"/>
              <w:b/>
            </w:rPr>
            <w:fldChar w:fldCharType="end"/>
          </w:r>
        </w:p>
        <w:p>
          <w:pPr>
            <w:pStyle w:val="20"/>
            <w:tabs>
              <w:tab w:val="right" w:leader="dot" w:pos="8845"/>
            </w:tabs>
            <w:rPr>
              <w:b/>
            </w:rPr>
          </w:pPr>
          <w:r>
            <w:rPr>
              <w:rFonts w:hint="eastAsia"/>
              <w:b/>
            </w:rPr>
            <w:fldChar w:fldCharType="begin"/>
          </w:r>
          <w:r>
            <w:rPr>
              <w:rFonts w:hint="eastAsia"/>
              <w:b/>
            </w:rPr>
            <w:instrText xml:space="preserve"> HYPERLINK \l _Toc1543654978 </w:instrText>
          </w:r>
          <w:r>
            <w:rPr>
              <w:rFonts w:hint="eastAsia"/>
              <w:b/>
            </w:rPr>
            <w:fldChar w:fldCharType="separate"/>
          </w:r>
          <w:r>
            <w:rPr>
              <w:rFonts w:hint="eastAsia" w:ascii="黑体" w:hAnsi="黑体" w:eastAsia="黑体" w:cs="黑体"/>
              <w:b/>
              <w:szCs w:val="32"/>
            </w:rPr>
            <w:t>九、国有资本经营预算支出情况说明</w:t>
          </w:r>
          <w:r>
            <w:rPr>
              <w:b/>
            </w:rPr>
            <w:tab/>
          </w:r>
          <w:r>
            <w:rPr>
              <w:b/>
            </w:rPr>
            <w:fldChar w:fldCharType="begin"/>
          </w:r>
          <w:r>
            <w:rPr>
              <w:b/>
            </w:rPr>
            <w:instrText xml:space="preserve"> PAGEREF _Toc1543654978 \h </w:instrText>
          </w:r>
          <w:r>
            <w:rPr>
              <w:b/>
            </w:rPr>
            <w:fldChar w:fldCharType="separate"/>
          </w:r>
          <w:r>
            <w:rPr>
              <w:b/>
            </w:rPr>
            <w:t>7</w:t>
          </w:r>
          <w:r>
            <w:rPr>
              <w:b/>
            </w:rPr>
            <w:fldChar w:fldCharType="end"/>
          </w:r>
          <w:r>
            <w:rPr>
              <w:rFonts w:hint="eastAsia"/>
              <w:b/>
            </w:rPr>
            <w:fldChar w:fldCharType="end"/>
          </w:r>
        </w:p>
        <w:p>
          <w:pPr>
            <w:pStyle w:val="20"/>
            <w:tabs>
              <w:tab w:val="right" w:leader="dot" w:pos="8845"/>
            </w:tabs>
            <w:rPr>
              <w:b/>
            </w:rPr>
          </w:pPr>
          <w:r>
            <w:rPr>
              <w:rFonts w:hint="eastAsia"/>
              <w:b/>
            </w:rPr>
            <w:fldChar w:fldCharType="begin"/>
          </w:r>
          <w:r>
            <w:rPr>
              <w:rFonts w:hint="eastAsia"/>
              <w:b/>
            </w:rPr>
            <w:instrText xml:space="preserve"> HYPERLINK \l _Toc2024411890 </w:instrText>
          </w:r>
          <w:r>
            <w:rPr>
              <w:rFonts w:hint="eastAsia"/>
              <w:b/>
            </w:rPr>
            <w:fldChar w:fldCharType="separate"/>
          </w:r>
          <w:r>
            <w:rPr>
              <w:rFonts w:hint="eastAsia" w:ascii="黑体" w:hAnsi="黑体" w:eastAsia="黑体" w:cs="黑体"/>
              <w:b/>
              <w:szCs w:val="32"/>
            </w:rPr>
            <w:t>十、其他重要事项的情况说明</w:t>
          </w:r>
          <w:r>
            <w:rPr>
              <w:b/>
            </w:rPr>
            <w:tab/>
          </w:r>
          <w:r>
            <w:rPr>
              <w:b/>
            </w:rPr>
            <w:fldChar w:fldCharType="begin"/>
          </w:r>
          <w:r>
            <w:rPr>
              <w:b/>
            </w:rPr>
            <w:instrText xml:space="preserve"> PAGEREF _Toc2024411890 \h </w:instrText>
          </w:r>
          <w:r>
            <w:rPr>
              <w:b/>
            </w:rPr>
            <w:fldChar w:fldCharType="separate"/>
          </w:r>
          <w:r>
            <w:rPr>
              <w:b/>
            </w:rPr>
            <w:t>7</w:t>
          </w:r>
          <w:r>
            <w:rPr>
              <w:b/>
            </w:rPr>
            <w:fldChar w:fldCharType="end"/>
          </w:r>
          <w:r>
            <w:rPr>
              <w:rFonts w:hint="eastAsia"/>
              <w:b/>
            </w:rPr>
            <w:fldChar w:fldCharType="end"/>
          </w:r>
        </w:p>
        <w:p>
          <w:pPr>
            <w:pStyle w:val="21"/>
            <w:tabs>
              <w:tab w:val="right" w:leader="dot" w:pos="8845"/>
            </w:tabs>
          </w:pPr>
          <w:r>
            <w:rPr>
              <w:rFonts w:hint="eastAsia"/>
            </w:rPr>
            <w:fldChar w:fldCharType="begin"/>
          </w:r>
          <w:r>
            <w:rPr>
              <w:rFonts w:hint="eastAsia"/>
            </w:rPr>
            <w:instrText xml:space="preserve"> HYPERLINK \l _Toc328654880 </w:instrText>
          </w:r>
          <w:r>
            <w:rPr>
              <w:rFonts w:hint="eastAsia"/>
            </w:rPr>
            <w:fldChar w:fldCharType="separate"/>
          </w:r>
          <w:r>
            <w:rPr>
              <w:rFonts w:hint="eastAsia" w:ascii="楷体_GB2312" w:hAnsi="楷体_GB2312" w:eastAsia="楷体_GB2312" w:cs="楷体_GB2312"/>
              <w:szCs w:val="32"/>
            </w:rPr>
            <w:t>（一）机关运行经费</w:t>
          </w:r>
          <w:r>
            <w:tab/>
          </w:r>
          <w:r>
            <w:fldChar w:fldCharType="begin"/>
          </w:r>
          <w:r>
            <w:instrText xml:space="preserve"> PAGEREF _Toc328654880 \h </w:instrText>
          </w:r>
          <w:r>
            <w:fldChar w:fldCharType="separate"/>
          </w:r>
          <w:r>
            <w:t>7</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_Toc235009073 </w:instrText>
          </w:r>
          <w:r>
            <w:rPr>
              <w:rFonts w:hint="eastAsia"/>
            </w:rPr>
            <w:fldChar w:fldCharType="separate"/>
          </w:r>
          <w:r>
            <w:rPr>
              <w:rFonts w:hint="eastAsia" w:ascii="楷体_GB2312" w:hAnsi="楷体_GB2312" w:eastAsia="楷体_GB2312" w:cs="楷体_GB2312"/>
              <w:szCs w:val="32"/>
            </w:rPr>
            <w:t>（二）政府采购情况</w:t>
          </w:r>
          <w:r>
            <w:tab/>
          </w:r>
          <w:r>
            <w:fldChar w:fldCharType="begin"/>
          </w:r>
          <w:r>
            <w:instrText xml:space="preserve"> PAGEREF _Toc235009073 \h </w:instrText>
          </w:r>
          <w:r>
            <w:fldChar w:fldCharType="separate"/>
          </w:r>
          <w:r>
            <w:t>8</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_Toc209150902 </w:instrText>
          </w:r>
          <w:r>
            <w:rPr>
              <w:rFonts w:hint="eastAsia"/>
            </w:rP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_Toc209150902 \h </w:instrText>
          </w:r>
          <w:r>
            <w:fldChar w:fldCharType="separate"/>
          </w:r>
          <w:r>
            <w:t>8</w:t>
          </w:r>
          <w:r>
            <w:fldChar w:fldCharType="end"/>
          </w:r>
          <w:r>
            <w:rPr>
              <w:rFonts w:hint="eastAsia"/>
            </w:rPr>
            <w:fldChar w:fldCharType="end"/>
          </w:r>
        </w:p>
        <w:p>
          <w:pPr>
            <w:pStyle w:val="21"/>
            <w:tabs>
              <w:tab w:val="right" w:leader="dot" w:pos="8845"/>
            </w:tabs>
          </w:pPr>
          <w:r>
            <w:rPr>
              <w:rFonts w:hint="eastAsia"/>
            </w:rPr>
            <w:fldChar w:fldCharType="begin"/>
          </w:r>
          <w:r>
            <w:rPr>
              <w:rFonts w:hint="eastAsia"/>
            </w:rPr>
            <w:instrText xml:space="preserve"> HYPERLINK \l _Toc1164744669 </w:instrText>
          </w:r>
          <w:r>
            <w:rPr>
              <w:rFonts w:hint="eastAsia"/>
            </w:rP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_Toc1164744669 \h </w:instrText>
          </w:r>
          <w:r>
            <w:fldChar w:fldCharType="separate"/>
          </w:r>
          <w:r>
            <w:t>8</w:t>
          </w:r>
          <w:r>
            <w:fldChar w:fldCharType="end"/>
          </w:r>
          <w:r>
            <w:rPr>
              <w:rFonts w:hint="eastAsia"/>
            </w:rPr>
            <w:fldChar w:fldCharType="end"/>
          </w:r>
        </w:p>
        <w:p>
          <w:pPr>
            <w:pStyle w:val="20"/>
            <w:tabs>
              <w:tab w:val="right" w:leader="dot" w:pos="8845"/>
            </w:tabs>
            <w:rPr>
              <w:b/>
            </w:rPr>
          </w:pPr>
          <w:r>
            <w:rPr>
              <w:rFonts w:hint="eastAsia"/>
              <w:b/>
            </w:rPr>
            <w:fldChar w:fldCharType="begin"/>
          </w:r>
          <w:r>
            <w:rPr>
              <w:rFonts w:hint="eastAsia"/>
              <w:b/>
            </w:rPr>
            <w:instrText xml:space="preserve"> HYPERLINK \l _Toc185212671 </w:instrText>
          </w:r>
          <w:r>
            <w:rPr>
              <w:rFonts w:hint="eastAsia"/>
              <w:b/>
            </w:rPr>
            <w:fldChar w:fldCharType="separate"/>
          </w:r>
          <w:r>
            <w:rPr>
              <w:rFonts w:hint="eastAsia" w:ascii="黑体" w:hAnsi="黑体" w:eastAsia="黑体" w:cs="黑体"/>
              <w:b/>
              <w:szCs w:val="32"/>
            </w:rPr>
            <w:t>十一、名词解释</w:t>
          </w:r>
          <w:r>
            <w:rPr>
              <w:b/>
            </w:rPr>
            <w:tab/>
          </w:r>
          <w:r>
            <w:rPr>
              <w:b/>
            </w:rPr>
            <w:fldChar w:fldCharType="begin"/>
          </w:r>
          <w:r>
            <w:rPr>
              <w:b/>
            </w:rPr>
            <w:instrText xml:space="preserve"> PAGEREF _Toc185212671 \h </w:instrText>
          </w:r>
          <w:r>
            <w:rPr>
              <w:b/>
            </w:rPr>
            <w:fldChar w:fldCharType="separate"/>
          </w:r>
          <w:r>
            <w:rPr>
              <w:b/>
            </w:rPr>
            <w:t>8</w:t>
          </w:r>
          <w:r>
            <w:rPr>
              <w:b/>
            </w:rPr>
            <w:fldChar w:fldCharType="end"/>
          </w:r>
          <w:r>
            <w:rPr>
              <w:rFonts w:hint="eastAsia"/>
              <w:b/>
            </w:rPr>
            <w:fldChar w:fldCharType="end"/>
          </w:r>
        </w:p>
        <w:p>
          <w:pPr>
            <w:pStyle w:val="2"/>
            <w:ind w:left="0" w:leftChars="0" w:firstLine="0" w:firstLineChars="0"/>
            <w:rPr>
              <w:rFonts w:hint="eastAsia"/>
            </w:rPr>
          </w:pPr>
          <w:r>
            <w:rPr>
              <w:rFonts w:hint="eastAsia"/>
              <w:b/>
            </w:rPr>
            <w:fldChar w:fldCharType="end"/>
          </w:r>
        </w:p>
      </w:sdtContent>
    </w:sdt>
    <w:p>
      <w:pPr>
        <w:spacing w:line="576" w:lineRule="exact"/>
        <w:outlineLvl w:val="0"/>
        <w:rPr>
          <w:rFonts w:hint="eastAsia" w:ascii="黑体" w:hAnsi="黑体" w:eastAsia="黑体" w:cs="黑体"/>
          <w:sz w:val="32"/>
          <w:szCs w:val="32"/>
        </w:rPr>
      </w:pPr>
      <w:bookmarkStart w:id="0" w:name="_Toc407626274"/>
      <w:bookmarkStart w:id="1" w:name="_Toc1477449593"/>
    </w:p>
    <w:p>
      <w:pPr>
        <w:spacing w:line="576" w:lineRule="exact"/>
        <w:outlineLvl w:val="0"/>
        <w:rPr>
          <w:rFonts w:hint="eastAsia" w:ascii="黑体" w:hAnsi="黑体" w:eastAsia="黑体" w:cs="黑体"/>
          <w:sz w:val="32"/>
          <w:szCs w:val="32"/>
        </w:rPr>
      </w:pPr>
    </w:p>
    <w:p>
      <w:pPr>
        <w:spacing w:line="576" w:lineRule="exact"/>
        <w:outlineLvl w:val="0"/>
        <w:rPr>
          <w:rFonts w:hint="eastAsia" w:ascii="黑体" w:hAnsi="黑体" w:eastAsia="黑体" w:cs="黑体"/>
          <w:sz w:val="32"/>
          <w:szCs w:val="32"/>
        </w:rPr>
      </w:pPr>
    </w:p>
    <w:p>
      <w:pPr>
        <w:pStyle w:val="2"/>
        <w:rPr>
          <w:rFonts w:hint="eastAsia"/>
        </w:rPr>
      </w:pPr>
    </w:p>
    <w:p>
      <w:pPr>
        <w:spacing w:line="576" w:lineRule="exact"/>
        <w:outlineLvl w:val="0"/>
        <w:rPr>
          <w:rFonts w:hint="eastAsia" w:ascii="黑体" w:hAnsi="黑体" w:eastAsia="黑体" w:cs="黑体"/>
          <w:sz w:val="32"/>
          <w:szCs w:val="32"/>
        </w:rPr>
      </w:pPr>
    </w:p>
    <w:p>
      <w:pPr>
        <w:spacing w:line="576" w:lineRule="exact"/>
        <w:outlineLvl w:val="0"/>
        <w:rPr>
          <w:rFonts w:hint="eastAsia" w:ascii="黑体" w:hAnsi="黑体" w:eastAsia="黑体" w:cs="黑体"/>
          <w:sz w:val="32"/>
          <w:szCs w:val="32"/>
        </w:rPr>
      </w:pPr>
      <w:r>
        <w:rPr>
          <w:rFonts w:hint="eastAsia" w:ascii="黑体" w:hAnsi="黑体" w:eastAsia="黑体" w:cs="黑体"/>
          <w:sz w:val="32"/>
          <w:szCs w:val="32"/>
        </w:rPr>
        <w:t>一、基本职能及主要工作</w:t>
      </w:r>
      <w:bookmarkEnd w:id="0"/>
      <w:bookmarkEnd w:id="1"/>
    </w:p>
    <w:p>
      <w:pPr>
        <w:spacing w:line="576" w:lineRule="exact"/>
        <w:ind w:firstLine="640" w:firstLineChars="200"/>
        <w:outlineLvl w:val="1"/>
        <w:rPr>
          <w:rFonts w:hint="eastAsia" w:ascii="仿宋_GB2312" w:hAnsi="仿宋_GB2312" w:eastAsia="仿宋_GB2312" w:cs="仿宋_GB2312"/>
          <w:sz w:val="32"/>
          <w:szCs w:val="32"/>
        </w:rPr>
      </w:pPr>
      <w:bookmarkStart w:id="2" w:name="_Toc1402204794"/>
      <w:bookmarkStart w:id="3" w:name="_Toc1382743880"/>
      <w:r>
        <w:rPr>
          <w:rFonts w:hint="eastAsia" w:ascii="仿宋_GB2312" w:hAnsi="仿宋_GB2312" w:eastAsia="仿宋_GB2312" w:cs="仿宋_GB2312"/>
          <w:sz w:val="32"/>
          <w:szCs w:val="32"/>
        </w:rPr>
        <w:t>（一）单位职能简介</w:t>
      </w:r>
      <w:bookmarkEnd w:id="2"/>
      <w:bookmarkEnd w:id="3"/>
    </w:p>
    <w:p>
      <w:pPr>
        <w:spacing w:line="6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机构组成。</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中共广元市委目标绩效管理办公室归口广元市委办公室管理，属于二级预算单位，下设综合科、督查一科、督查二科、目标一科、目标二科。</w:t>
      </w:r>
    </w:p>
    <w:p>
      <w:pPr>
        <w:spacing w:line="6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机构职能。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广元市委目标绩效管理办公室负责市委、市政府重大决策、重要工作部署落实情况督促检查，承担市委、市政府领导批交办事项专项督查或督查调研，统筹规范管理市本级督查检查考核事项；负责省委、省政府下达的绩效目标任务的运行管理；负责县区和市级部门目标绩效管理，开展运行监控，牵头组织考评；负责年度民生实事任务统筹管理，拟订全市民生实事实施方案，开展日常推进督促检查；负责督办市委市政府主要领导批示件办理工作；负责承办省委督查室、省政府督查室交办事项的督办落实和情况反馈工作；承担市督促检查和目标绩效管理领导小组、市整治形式主义为基层减负专项机制办公室日常工作。</w:t>
      </w:r>
    </w:p>
    <w:p>
      <w:pPr>
        <w:spacing w:line="576" w:lineRule="exact"/>
        <w:ind w:firstLine="640" w:firstLineChars="200"/>
        <w:outlineLvl w:val="1"/>
        <w:rPr>
          <w:rFonts w:hint="eastAsia" w:ascii="仿宋_GB2312" w:hAnsi="仿宋_GB2312" w:eastAsia="仿宋_GB2312" w:cs="仿宋_GB2312"/>
          <w:sz w:val="32"/>
          <w:szCs w:val="32"/>
        </w:rPr>
      </w:pPr>
      <w:bookmarkStart w:id="4" w:name="_Toc998414787"/>
      <w:bookmarkStart w:id="5" w:name="_Toc1992006143"/>
      <w:r>
        <w:rPr>
          <w:rFonts w:hint="eastAsia" w:ascii="仿宋_GB2312" w:hAnsi="仿宋_GB2312" w:eastAsia="仿宋_GB2312" w:cs="仿宋_GB2312"/>
          <w:sz w:val="32"/>
          <w:szCs w:val="32"/>
        </w:rPr>
        <w:t>（二）单位2024年重点工作</w:t>
      </w:r>
      <w:bookmarkEnd w:id="4"/>
      <w:bookmarkEnd w:id="5"/>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2024年，市委目标绩效办将坚定围绕实施“1345”发展战略，按照“两个聚焦、三个发力、三项机制”工作思路，认真履行好督查抓落实职责，为加快建设川陕甘结合部现代化中心城市贡献力量。</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突出“两个聚焦”，推动决策部署落地。坚定落实政治督查定位，坚持围绕中心、服务大局，扎实推动习近平总书记来川来广视察重要指示精神贯彻落实和省市决策部署落实。牵头抓好市委、市政府主要领导批交办事项和市委常委会会议、市政府常务会议研究事项的督办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（二）坚持“三个发力”，推动目标管理提质增效。认真做好省下目标分解和市定目标下达，修订完善《广元市目标绩效管理办法》，严实抓好目标运行过程管控，力争省下目标考评取得“好”等次。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完善“三项机制”，推动真督实查见效。聚焦民生实事、巡视整改、整治形式主义为基层减负、“互联网+督查”问题线索办理、建议提案督办等职能工作，坚持问题导向，不断完善统筹联动督查、督查结果运用、督查问题协调解决机制，切实提升督查工作实效。</w:t>
      </w:r>
    </w:p>
    <w:p>
      <w:pPr>
        <w:spacing w:line="600" w:lineRule="exact"/>
        <w:ind w:firstLine="640" w:firstLineChars="200"/>
        <w:outlineLvl w:val="0"/>
        <w:rPr>
          <w:rFonts w:hint="eastAsia" w:ascii="黑体" w:hAnsi="黑体" w:eastAsia="黑体" w:cs="黑体"/>
          <w:sz w:val="32"/>
          <w:szCs w:val="32"/>
        </w:rPr>
      </w:pPr>
      <w:bookmarkStart w:id="6" w:name="_Toc286788132"/>
      <w:bookmarkStart w:id="7" w:name="_Toc1419491270"/>
      <w:r>
        <w:rPr>
          <w:rFonts w:hint="eastAsia" w:ascii="黑体" w:hAnsi="黑体" w:eastAsia="黑体" w:cs="黑体"/>
          <w:sz w:val="32"/>
          <w:szCs w:val="32"/>
        </w:rPr>
        <w:t>二、部门预算单位构成</w:t>
      </w:r>
      <w:bookmarkEnd w:id="6"/>
      <w:bookmarkEnd w:id="7"/>
    </w:p>
    <w:p>
      <w:pPr>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中共广元市委目标绩效管理办公室为二级预算单位，无下属预算单位</w:t>
      </w:r>
      <w:r>
        <w:rPr>
          <w:rFonts w:hint="eastAsia" w:ascii="仿宋_GB2312" w:hAnsi="仿宋_GB2312" w:eastAsia="仿宋_GB2312" w:cs="仿宋_GB2312"/>
          <w:color w:val="333333"/>
          <w:kern w:val="0"/>
          <w:sz w:val="32"/>
          <w:szCs w:val="32"/>
          <w:shd w:val="clear" w:color="auto" w:fill="FFFFFF"/>
          <w:lang w:eastAsia="zh-CN"/>
        </w:rPr>
        <w:t>，内设机构</w:t>
      </w:r>
      <w:r>
        <w:rPr>
          <w:rFonts w:hint="eastAsia" w:ascii="仿宋_GB2312" w:hAnsi="仿宋_GB2312" w:eastAsia="仿宋_GB2312" w:cs="仿宋_GB2312"/>
          <w:color w:val="333333"/>
          <w:kern w:val="0"/>
          <w:sz w:val="32"/>
          <w:szCs w:val="32"/>
          <w:shd w:val="clear" w:color="auto" w:fill="FFFFFF"/>
          <w:lang w:val="en-US" w:eastAsia="zh-CN"/>
        </w:rPr>
        <w:t>5个</w:t>
      </w:r>
      <w:r>
        <w:rPr>
          <w:rFonts w:hint="eastAsia" w:ascii="仿宋_GB2312" w:hAnsi="仿宋_GB2312" w:eastAsia="仿宋_GB2312" w:cs="仿宋_GB2312"/>
          <w:color w:val="333333"/>
          <w:kern w:val="0"/>
          <w:sz w:val="32"/>
          <w:szCs w:val="32"/>
          <w:shd w:val="clear" w:color="auto" w:fill="FFFFFF"/>
        </w:rPr>
        <w:t>。</w:t>
      </w:r>
    </w:p>
    <w:p>
      <w:pPr>
        <w:spacing w:line="600" w:lineRule="exact"/>
        <w:ind w:firstLine="640" w:firstLineChars="200"/>
        <w:outlineLvl w:val="0"/>
        <w:rPr>
          <w:rFonts w:hint="eastAsia" w:ascii="黑体" w:hAnsi="黑体" w:eastAsia="黑体" w:cs="黑体"/>
          <w:sz w:val="32"/>
          <w:szCs w:val="32"/>
        </w:rPr>
      </w:pPr>
      <w:bookmarkStart w:id="8" w:name="_Toc2117544878"/>
      <w:bookmarkStart w:id="9" w:name="_Toc1696369515"/>
      <w:r>
        <w:rPr>
          <w:rFonts w:hint="eastAsia" w:ascii="黑体" w:hAnsi="黑体" w:eastAsia="黑体" w:cs="黑体"/>
          <w:sz w:val="32"/>
          <w:szCs w:val="32"/>
        </w:rPr>
        <w:t>三、收支预算情况说明</w:t>
      </w:r>
      <w:bookmarkEnd w:id="8"/>
      <w:bookmarkEnd w:id="9"/>
    </w:p>
    <w:p>
      <w:pPr>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sz w:val="32"/>
          <w:szCs w:val="32"/>
        </w:rPr>
        <w:t>按照综合预算的原则，中共广元市委目标绩效管理办公室所有收入和支出均纳入部门预算管理。收入包括：一般公共预算拨款收入；支出包括：一般公共服务支出、社会保障和就业支出、卫生健康支出、住房保障支出。中共广元市委目标绩效管理办公室2024年收支总预算339.44万元,比2023年收支预算总数增加27.46万元，主要原因是基本支出增加、项目支出增加。</w:t>
      </w:r>
    </w:p>
    <w:p>
      <w:pPr>
        <w:widowControl/>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color w:val="333333"/>
          <w:kern w:val="0"/>
          <w:sz w:val="32"/>
          <w:szCs w:val="32"/>
          <w:shd w:val="clear" w:color="auto" w:fill="FFFFFF"/>
        </w:rPr>
      </w:pPr>
      <w:bookmarkStart w:id="10" w:name="_Toc181278395"/>
      <w:bookmarkStart w:id="11" w:name="_Toc1059937720"/>
      <w:r>
        <w:rPr>
          <w:rFonts w:hint="eastAsia" w:ascii="仿宋_GB2312" w:hAnsi="仿宋_GB2312" w:eastAsia="仿宋_GB2312" w:cs="仿宋_GB2312"/>
          <w:color w:val="333333"/>
          <w:kern w:val="0"/>
          <w:sz w:val="32"/>
          <w:szCs w:val="32"/>
          <w:shd w:val="clear" w:color="auto" w:fill="FFFFFF"/>
        </w:rPr>
        <w:t>（一）收入预算情况</w:t>
      </w:r>
      <w:bookmarkEnd w:id="10"/>
      <w:bookmarkEnd w:id="11"/>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中共广元市委目标绩效管理办公室2024年收入预算339.44万元，其中：一般公共预算拨款收入339.44万元，占100%。</w:t>
      </w:r>
    </w:p>
    <w:p>
      <w:pPr>
        <w:numPr>
          <w:ilvl w:val="0"/>
          <w:numId w:val="1"/>
        </w:numPr>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color w:val="333333"/>
          <w:kern w:val="0"/>
          <w:sz w:val="32"/>
          <w:szCs w:val="32"/>
          <w:shd w:val="clear" w:color="auto" w:fill="FFFFFF"/>
        </w:rPr>
      </w:pPr>
      <w:bookmarkStart w:id="12" w:name="_Toc454566109"/>
      <w:bookmarkStart w:id="13" w:name="_Toc680049482"/>
      <w:r>
        <w:rPr>
          <w:rFonts w:hint="eastAsia" w:ascii="仿宋_GB2312" w:hAnsi="仿宋_GB2312" w:eastAsia="仿宋_GB2312" w:cs="仿宋_GB2312"/>
          <w:color w:val="333333"/>
          <w:kern w:val="0"/>
          <w:sz w:val="32"/>
          <w:szCs w:val="32"/>
          <w:shd w:val="clear" w:color="auto" w:fill="FFFFFF"/>
        </w:rPr>
        <w:t>支出预算情况</w:t>
      </w:r>
      <w:bookmarkEnd w:id="12"/>
      <w:bookmarkEnd w:id="13"/>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中共广元市委目标绩效管理办公室2024年支出预算339.44万元，其中：基本支出265.67万元，占78.26%；项目支出73.77万元，占21.74%。</w:t>
      </w:r>
    </w:p>
    <w:p>
      <w:pPr>
        <w:pBdr>
          <w:bottom w:val="single" w:color="FFFFFF" w:sz="8" w:space="31"/>
        </w:pBdr>
        <w:shd w:val="clear" w:color="auto" w:fill="FFFFFF"/>
        <w:spacing w:line="600" w:lineRule="exact"/>
        <w:ind w:firstLine="640" w:firstLineChars="200"/>
        <w:outlineLvl w:val="0"/>
        <w:rPr>
          <w:rFonts w:hint="eastAsia" w:ascii="黑体" w:hAnsi="黑体" w:eastAsia="黑体" w:cs="黑体"/>
          <w:sz w:val="32"/>
          <w:szCs w:val="32"/>
        </w:rPr>
      </w:pPr>
      <w:bookmarkStart w:id="14" w:name="_Toc793052031"/>
      <w:bookmarkStart w:id="15" w:name="_Toc1907499575"/>
      <w:r>
        <w:rPr>
          <w:rFonts w:hint="eastAsia" w:ascii="黑体" w:hAnsi="黑体" w:eastAsia="黑体" w:cs="黑体"/>
          <w:sz w:val="32"/>
          <w:szCs w:val="32"/>
        </w:rPr>
        <w:t>四、财政拨款收支预算情况说明</w:t>
      </w:r>
      <w:bookmarkEnd w:id="14"/>
      <w:bookmarkEnd w:id="15"/>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中共广元市委目标绩效管理办公室2024年财政拨款收支总预算339.44万元,比2023年财政拨款收支总预算</w:t>
      </w:r>
      <w:r>
        <w:rPr>
          <w:rFonts w:hint="eastAsia" w:ascii="仿宋_GB2312" w:hAnsi="仿宋_GB2312" w:eastAsia="仿宋_GB2312" w:cs="仿宋_GB2312"/>
          <w:kern w:val="0"/>
          <w:sz w:val="32"/>
          <w:szCs w:val="32"/>
          <w:shd w:val="clear" w:color="auto" w:fill="FFFFFF"/>
        </w:rPr>
        <w:t>增加27.46万元</w:t>
      </w:r>
      <w:r>
        <w:rPr>
          <w:rFonts w:hint="eastAsia" w:ascii="仿宋_GB2312" w:hAnsi="仿宋_GB2312" w:eastAsia="仿宋_GB2312" w:cs="仿宋_GB2312"/>
          <w:color w:val="333333"/>
          <w:kern w:val="0"/>
          <w:sz w:val="32"/>
          <w:szCs w:val="32"/>
          <w:shd w:val="clear" w:color="auto" w:fill="FFFFFF"/>
        </w:rPr>
        <w:t>，扣除上年结转资金、一次性安排等因素后，同口径</w:t>
      </w:r>
      <w:r>
        <w:rPr>
          <w:rFonts w:hint="eastAsia" w:ascii="仿宋_GB2312" w:hAnsi="仿宋_GB2312" w:eastAsia="仿宋_GB2312" w:cs="仿宋_GB2312"/>
          <w:kern w:val="0"/>
          <w:sz w:val="32"/>
          <w:szCs w:val="32"/>
          <w:shd w:val="clear" w:color="auto" w:fill="FFFFFF"/>
        </w:rPr>
        <w:t>增加27.46万元</w:t>
      </w:r>
      <w:r>
        <w:rPr>
          <w:rFonts w:hint="eastAsia" w:ascii="仿宋_GB2312" w:hAnsi="仿宋_GB2312" w:eastAsia="仿宋_GB2312" w:cs="仿宋_GB2312"/>
          <w:color w:val="333333"/>
          <w:kern w:val="0"/>
          <w:sz w:val="32"/>
          <w:szCs w:val="32"/>
          <w:shd w:val="clear" w:color="auto" w:fill="FFFFFF"/>
        </w:rPr>
        <w:t>，主要原因是基本支出增加，项目支出增加。</w:t>
      </w:r>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收入包括：本年一般公共预算拨款收入339.44万元；支出包括：一般公共服务支出287.44万元、社会保障和就业支出24.08万元、卫生健康支出7.67万元、住房保障支出20.25万元。</w:t>
      </w:r>
    </w:p>
    <w:p>
      <w:pPr>
        <w:widowControl/>
        <w:numPr>
          <w:ilvl w:val="0"/>
          <w:numId w:val="2"/>
        </w:numPr>
        <w:pBdr>
          <w:bottom w:val="single" w:color="FFFFFF" w:sz="8" w:space="31"/>
        </w:pBdr>
        <w:shd w:val="clear" w:color="auto" w:fill="FFFFFF"/>
        <w:spacing w:line="600" w:lineRule="exact"/>
        <w:ind w:firstLine="640" w:firstLineChars="200"/>
        <w:outlineLvl w:val="0"/>
        <w:rPr>
          <w:rFonts w:hint="eastAsia" w:ascii="黑体" w:hAnsi="黑体" w:eastAsia="黑体" w:cs="黑体"/>
          <w:sz w:val="32"/>
          <w:szCs w:val="32"/>
        </w:rPr>
      </w:pPr>
      <w:bookmarkStart w:id="16" w:name="_Toc800983916"/>
      <w:bookmarkStart w:id="17" w:name="_Toc1250805427"/>
      <w:r>
        <w:rPr>
          <w:rFonts w:hint="eastAsia" w:ascii="黑体" w:hAnsi="黑体" w:eastAsia="黑体" w:cs="黑体"/>
          <w:sz w:val="32"/>
          <w:szCs w:val="32"/>
        </w:rPr>
        <w:t>一般公共预算当年拨款情况说明</w:t>
      </w:r>
      <w:bookmarkEnd w:id="16"/>
      <w:bookmarkEnd w:id="17"/>
    </w:p>
    <w:p>
      <w:pPr>
        <w:widowControl/>
        <w:numPr>
          <w:ilvl w:val="0"/>
          <w:numId w:val="3"/>
        </w:numPr>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sz w:val="32"/>
          <w:szCs w:val="32"/>
        </w:rPr>
      </w:pPr>
      <w:bookmarkStart w:id="18" w:name="_Toc1652649458"/>
      <w:bookmarkStart w:id="19" w:name="_Toc2076084841"/>
      <w:r>
        <w:rPr>
          <w:rFonts w:hint="eastAsia" w:ascii="仿宋_GB2312" w:hAnsi="仿宋_GB2312" w:eastAsia="仿宋_GB2312" w:cs="仿宋_GB2312"/>
          <w:sz w:val="32"/>
          <w:szCs w:val="32"/>
        </w:rPr>
        <w:t>一般公共预算当年拨款规模变化情况</w:t>
      </w:r>
      <w:bookmarkEnd w:id="18"/>
      <w:bookmarkEnd w:id="19"/>
    </w:p>
    <w:p>
      <w:pPr>
        <w:widowControl/>
        <w:pBdr>
          <w:bottom w:val="single" w:color="FFFFFF" w:sz="8" w:space="31"/>
        </w:pBdr>
        <w:shd w:val="clear" w:color="auto" w:fill="FFFFFF"/>
        <w:spacing w:line="600" w:lineRule="exact"/>
        <w:ind w:firstLine="960" w:firstLineChars="3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中共广元市委目标绩效管理办公室2024年一般公共预算当年拨款339.44万元，比2023年预算数</w:t>
      </w:r>
      <w:r>
        <w:rPr>
          <w:rFonts w:hint="eastAsia" w:ascii="仿宋_GB2312" w:hAnsi="仿宋_GB2312" w:eastAsia="仿宋_GB2312" w:cs="仿宋_GB2312"/>
          <w:kern w:val="0"/>
          <w:sz w:val="32"/>
          <w:szCs w:val="32"/>
          <w:shd w:val="clear" w:color="auto" w:fill="FFFFFF"/>
        </w:rPr>
        <w:t>增加27.46万元</w:t>
      </w:r>
      <w:r>
        <w:rPr>
          <w:rFonts w:hint="eastAsia" w:ascii="仿宋_GB2312" w:hAnsi="仿宋_GB2312" w:eastAsia="仿宋_GB2312" w:cs="仿宋_GB2312"/>
          <w:color w:val="333333"/>
          <w:kern w:val="0"/>
          <w:sz w:val="32"/>
          <w:szCs w:val="32"/>
          <w:shd w:val="clear" w:color="auto" w:fill="FFFFFF"/>
        </w:rPr>
        <w:t>，主要原因是基本支出增加、项目支出增加。</w:t>
      </w:r>
    </w:p>
    <w:p>
      <w:pPr>
        <w:widowControl/>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sz w:val="32"/>
          <w:szCs w:val="32"/>
        </w:rPr>
      </w:pPr>
      <w:bookmarkStart w:id="20" w:name="_Toc399677971"/>
      <w:bookmarkStart w:id="21" w:name="_Toc1521875546"/>
      <w:r>
        <w:rPr>
          <w:rFonts w:hint="eastAsia" w:ascii="仿宋_GB2312" w:hAnsi="仿宋_GB2312" w:eastAsia="仿宋_GB2312" w:cs="仿宋_GB2312"/>
          <w:sz w:val="32"/>
          <w:szCs w:val="32"/>
        </w:rPr>
        <w:t>（二）一般公共预算当年拨款结构情况</w:t>
      </w:r>
      <w:bookmarkEnd w:id="20"/>
      <w:bookmarkEnd w:id="21"/>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一般公共服务支出287.44万元，</w:t>
      </w:r>
      <w:r>
        <w:rPr>
          <w:rFonts w:hint="eastAsia" w:ascii="仿宋_GB2312" w:hAnsi="仿宋_GB2312" w:eastAsia="仿宋_GB2312" w:cs="仿宋_GB2312"/>
          <w:kern w:val="0"/>
          <w:sz w:val="32"/>
          <w:szCs w:val="32"/>
          <w:shd w:val="clear" w:color="auto" w:fill="FFFFFF"/>
        </w:rPr>
        <w:t>占84.68%</w:t>
      </w:r>
      <w:r>
        <w:rPr>
          <w:rFonts w:hint="eastAsia" w:ascii="仿宋_GB2312" w:hAnsi="仿宋_GB2312" w:eastAsia="仿宋_GB2312" w:cs="仿宋_GB2312"/>
          <w:color w:val="333333"/>
          <w:kern w:val="0"/>
          <w:sz w:val="32"/>
          <w:szCs w:val="32"/>
          <w:shd w:val="clear" w:color="auto" w:fill="FFFFFF"/>
        </w:rPr>
        <w:t>,社会保障和就业支出24.08万元，</w:t>
      </w:r>
      <w:r>
        <w:rPr>
          <w:rFonts w:hint="eastAsia" w:ascii="仿宋_GB2312" w:hAnsi="仿宋_GB2312" w:eastAsia="仿宋_GB2312" w:cs="仿宋_GB2312"/>
          <w:kern w:val="0"/>
          <w:sz w:val="32"/>
          <w:szCs w:val="32"/>
          <w:shd w:val="clear" w:color="auto" w:fill="FFFFFF"/>
        </w:rPr>
        <w:t>占7.09%</w:t>
      </w:r>
      <w:r>
        <w:rPr>
          <w:rFonts w:hint="eastAsia" w:ascii="仿宋_GB2312" w:hAnsi="仿宋_GB2312" w:eastAsia="仿宋_GB2312" w:cs="仿宋_GB2312"/>
          <w:color w:val="333333"/>
          <w:kern w:val="0"/>
          <w:sz w:val="32"/>
          <w:szCs w:val="32"/>
          <w:shd w:val="clear" w:color="auto" w:fill="FFFFFF"/>
        </w:rPr>
        <w:t>、卫生健康支出7.67万元，</w:t>
      </w:r>
      <w:r>
        <w:rPr>
          <w:rFonts w:hint="eastAsia" w:ascii="仿宋_GB2312" w:hAnsi="仿宋_GB2312" w:eastAsia="仿宋_GB2312" w:cs="仿宋_GB2312"/>
          <w:kern w:val="0"/>
          <w:sz w:val="32"/>
          <w:szCs w:val="32"/>
          <w:shd w:val="clear" w:color="auto" w:fill="FFFFFF"/>
        </w:rPr>
        <w:t>占2.26%</w:t>
      </w:r>
      <w:r>
        <w:rPr>
          <w:rFonts w:hint="eastAsia" w:ascii="仿宋_GB2312" w:hAnsi="仿宋_GB2312" w:eastAsia="仿宋_GB2312" w:cs="仿宋_GB2312"/>
          <w:color w:val="333333"/>
          <w:kern w:val="0"/>
          <w:sz w:val="32"/>
          <w:szCs w:val="32"/>
          <w:shd w:val="clear" w:color="auto" w:fill="FFFFFF"/>
        </w:rPr>
        <w:t>、住房保障支出20.25万元，</w:t>
      </w:r>
      <w:r>
        <w:rPr>
          <w:rFonts w:hint="eastAsia" w:ascii="仿宋_GB2312" w:hAnsi="仿宋_GB2312" w:eastAsia="仿宋_GB2312" w:cs="仿宋_GB2312"/>
          <w:kern w:val="0"/>
          <w:sz w:val="32"/>
          <w:szCs w:val="32"/>
          <w:shd w:val="clear" w:color="auto" w:fill="FFFFFF"/>
        </w:rPr>
        <w:t>占5.97%</w:t>
      </w:r>
      <w:r>
        <w:rPr>
          <w:rFonts w:hint="eastAsia" w:ascii="仿宋_GB2312" w:hAnsi="仿宋_GB2312" w:eastAsia="仿宋_GB2312" w:cs="仿宋_GB2312"/>
          <w:color w:val="333333"/>
          <w:kern w:val="0"/>
          <w:sz w:val="32"/>
          <w:szCs w:val="32"/>
          <w:shd w:val="clear" w:color="auto" w:fill="FFFFFF"/>
        </w:rPr>
        <w:t>。</w:t>
      </w:r>
    </w:p>
    <w:p>
      <w:pPr>
        <w:widowControl/>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sz w:val="32"/>
          <w:szCs w:val="32"/>
        </w:rPr>
      </w:pPr>
      <w:bookmarkStart w:id="22" w:name="_Toc1639672339"/>
      <w:bookmarkStart w:id="23" w:name="_Toc1615500030"/>
      <w:r>
        <w:rPr>
          <w:rFonts w:hint="eastAsia" w:ascii="仿宋_GB2312" w:hAnsi="仿宋_GB2312" w:eastAsia="仿宋_GB2312" w:cs="仿宋_GB2312"/>
          <w:sz w:val="32"/>
          <w:szCs w:val="32"/>
        </w:rPr>
        <w:t>（三）一般公共预算当年拨款具体使用情况</w:t>
      </w:r>
      <w:bookmarkEnd w:id="22"/>
      <w:bookmarkEnd w:id="23"/>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1.一般公共服务（类）党委办公厅（室）及相关机构事务（款）行政运行（项）2024年预算数为</w:t>
      </w:r>
      <w:r>
        <w:rPr>
          <w:rFonts w:hint="eastAsia" w:ascii="仿宋_GB2312" w:hAnsi="仿宋_GB2312" w:eastAsia="仿宋_GB2312" w:cs="仿宋_GB2312"/>
          <w:kern w:val="0"/>
          <w:sz w:val="32"/>
          <w:szCs w:val="32"/>
          <w:shd w:val="clear" w:color="auto" w:fill="FFFFFF"/>
        </w:rPr>
        <w:t>213.67</w:t>
      </w:r>
      <w:r>
        <w:rPr>
          <w:rFonts w:hint="eastAsia" w:ascii="仿宋_GB2312" w:hAnsi="仿宋_GB2312" w:eastAsia="仿宋_GB2312" w:cs="仿宋_GB2312"/>
          <w:color w:val="333333"/>
          <w:kern w:val="0"/>
          <w:sz w:val="32"/>
          <w:szCs w:val="32"/>
          <w:shd w:val="clear" w:color="auto" w:fill="FFFFFF"/>
        </w:rPr>
        <w:t>万元，主要用于：人员工资奖金、福利支出和日常办公经费。</w:t>
      </w:r>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2.一般公共服务（类）党委办公厅（室）及</w:t>
      </w:r>
      <w:r>
        <w:rPr>
          <w:rFonts w:hint="eastAsia" w:ascii="仿宋_GB2312" w:hAnsi="仿宋_GB2312" w:eastAsia="仿宋_GB2312" w:cs="仿宋_GB2312"/>
          <w:kern w:val="0"/>
          <w:sz w:val="32"/>
          <w:szCs w:val="32"/>
          <w:shd w:val="clear" w:color="auto" w:fill="FFFFFF"/>
        </w:rPr>
        <w:t>相关机构事务</w:t>
      </w:r>
      <w:r>
        <w:rPr>
          <w:rFonts w:hint="eastAsia" w:ascii="仿宋_GB2312" w:hAnsi="仿宋_GB2312" w:eastAsia="仿宋_GB2312" w:cs="仿宋_GB2312"/>
          <w:color w:val="333333"/>
          <w:kern w:val="0"/>
          <w:sz w:val="32"/>
          <w:szCs w:val="32"/>
          <w:shd w:val="clear" w:color="auto" w:fill="FFFFFF"/>
        </w:rPr>
        <w:t>（款）一般行政管理事务（项）2024年预算数为</w:t>
      </w:r>
      <w:r>
        <w:rPr>
          <w:rFonts w:hint="eastAsia" w:ascii="仿宋_GB2312" w:hAnsi="仿宋_GB2312" w:eastAsia="仿宋_GB2312" w:cs="仿宋_GB2312"/>
          <w:kern w:val="0"/>
          <w:sz w:val="32"/>
          <w:szCs w:val="32"/>
          <w:shd w:val="clear" w:color="auto" w:fill="FFFFFF"/>
        </w:rPr>
        <w:t>73.77</w:t>
      </w:r>
      <w:r>
        <w:rPr>
          <w:rFonts w:hint="eastAsia" w:ascii="仿宋_GB2312" w:hAnsi="仿宋_GB2312" w:eastAsia="仿宋_GB2312" w:cs="仿宋_GB2312"/>
          <w:color w:val="333333"/>
          <w:kern w:val="0"/>
          <w:sz w:val="32"/>
          <w:szCs w:val="32"/>
          <w:shd w:val="clear" w:color="auto" w:fill="FFFFFF"/>
        </w:rPr>
        <w:t>万元，主要用于：巡视整改领导小组办公室工作、目标工作经费（含：督目领导小组办公室、综合评价工作）、督查工作、基层减负专项机制办公室工作、乡村振兴工作、“互联网＋督查”平台专办工作、民生实事工作等项目支出。</w:t>
      </w:r>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3.社会保障和就业（类）行政事业单位养老支出（款）机关事业单位基本养老保险缴费支出（项）2024年预算数为</w:t>
      </w:r>
      <w:r>
        <w:rPr>
          <w:rFonts w:hint="eastAsia" w:ascii="仿宋_GB2312" w:hAnsi="仿宋_GB2312" w:eastAsia="仿宋_GB2312" w:cs="仿宋_GB2312"/>
          <w:kern w:val="0"/>
          <w:sz w:val="32"/>
          <w:szCs w:val="32"/>
          <w:shd w:val="clear" w:color="auto" w:fill="FFFFFF"/>
        </w:rPr>
        <w:t>24.08</w:t>
      </w:r>
      <w:r>
        <w:rPr>
          <w:rFonts w:hint="eastAsia" w:ascii="仿宋_GB2312" w:hAnsi="仿宋_GB2312" w:eastAsia="仿宋_GB2312" w:cs="仿宋_GB2312"/>
          <w:color w:val="333333"/>
          <w:kern w:val="0"/>
          <w:sz w:val="32"/>
          <w:szCs w:val="32"/>
          <w:shd w:val="clear" w:color="auto" w:fill="FFFFFF"/>
        </w:rPr>
        <w:t>万元，主要用于：实施养老保险制度由单位缴纳的基本养老保险支出。</w:t>
      </w:r>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4.卫生健康（类）行政事业单位医疗（款）行政单位医疗（项）2024年预算数为</w:t>
      </w:r>
      <w:r>
        <w:rPr>
          <w:rFonts w:hint="eastAsia" w:ascii="仿宋_GB2312" w:hAnsi="仿宋_GB2312" w:eastAsia="仿宋_GB2312" w:cs="仿宋_GB2312"/>
          <w:kern w:val="0"/>
          <w:sz w:val="32"/>
          <w:szCs w:val="32"/>
          <w:shd w:val="clear" w:color="auto" w:fill="FFFFFF"/>
        </w:rPr>
        <w:t>7.67</w:t>
      </w:r>
      <w:r>
        <w:rPr>
          <w:rFonts w:hint="eastAsia" w:ascii="仿宋_GB2312" w:hAnsi="仿宋_GB2312" w:eastAsia="仿宋_GB2312" w:cs="仿宋_GB2312"/>
          <w:color w:val="333333"/>
          <w:kern w:val="0"/>
          <w:sz w:val="32"/>
          <w:szCs w:val="32"/>
          <w:shd w:val="clear" w:color="auto" w:fill="FFFFFF"/>
        </w:rPr>
        <w:t>万元，主要用于：机关及参公管理事业单位按规定由单位缴纳的基本医疗保险支出。</w:t>
      </w:r>
    </w:p>
    <w:p>
      <w:pPr>
        <w:widowControl/>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5.住房保障（类）住房改革支出（款）住房公积金（项）2024年预算数为</w:t>
      </w:r>
      <w:r>
        <w:rPr>
          <w:rFonts w:hint="eastAsia" w:ascii="仿宋_GB2312" w:hAnsi="仿宋_GB2312" w:eastAsia="仿宋_GB2312" w:cs="仿宋_GB2312"/>
          <w:kern w:val="0"/>
          <w:sz w:val="32"/>
          <w:szCs w:val="32"/>
          <w:shd w:val="clear" w:color="auto" w:fill="FFFFFF"/>
        </w:rPr>
        <w:t>20.25</w:t>
      </w:r>
      <w:r>
        <w:rPr>
          <w:rFonts w:hint="eastAsia" w:ascii="仿宋_GB2312" w:hAnsi="仿宋_GB2312" w:eastAsia="仿宋_GB2312" w:cs="仿宋_GB2312"/>
          <w:color w:val="333333"/>
          <w:kern w:val="0"/>
          <w:sz w:val="32"/>
          <w:szCs w:val="32"/>
          <w:shd w:val="clear" w:color="auto" w:fill="FFFFFF"/>
        </w:rPr>
        <w:t xml:space="preserve">万元，主要用于：部门按规定为职工缴纳的住房公积金支出。  </w:t>
      </w:r>
    </w:p>
    <w:p>
      <w:pPr>
        <w:widowControl/>
        <w:pBdr>
          <w:bottom w:val="single" w:color="FFFFFF" w:sz="8" w:space="31"/>
        </w:pBdr>
        <w:shd w:val="clear" w:color="auto" w:fill="FFFFFF"/>
        <w:spacing w:line="600" w:lineRule="exact"/>
        <w:ind w:firstLine="640" w:firstLineChars="200"/>
        <w:outlineLvl w:val="0"/>
        <w:rPr>
          <w:rFonts w:hint="eastAsia" w:ascii="黑体" w:hAnsi="黑体" w:eastAsia="黑体" w:cs="黑体"/>
          <w:sz w:val="32"/>
          <w:szCs w:val="32"/>
        </w:rPr>
      </w:pPr>
      <w:bookmarkStart w:id="24" w:name="_Toc348915864"/>
      <w:bookmarkStart w:id="25" w:name="_Toc2101214164"/>
      <w:r>
        <w:rPr>
          <w:rFonts w:hint="eastAsia" w:ascii="黑体" w:hAnsi="黑体" w:eastAsia="黑体" w:cs="黑体"/>
          <w:sz w:val="32"/>
          <w:szCs w:val="32"/>
        </w:rPr>
        <w:t>六、一般公共预算基本支出情况说明</w:t>
      </w:r>
      <w:bookmarkEnd w:id="24"/>
      <w:bookmarkEnd w:id="25"/>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中共广元市委目标绩效管理办公室2024年一般公共预算基本支出265.67万元，其中：</w:t>
      </w:r>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人员经费224.27万元，主要包括：基本工资、津贴补贴、奖金、社会保险缴费、住房公积金、生活补助等支出。</w:t>
      </w:r>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公用经费41.40万元，主要包括：办公费、印刷费、邮电费、物业管理费、差旅费、公务接待费、工会经费、福利费、其他交通费用、其他商品和服务支出等支出。</w:t>
      </w:r>
    </w:p>
    <w:p>
      <w:pPr>
        <w:pBdr>
          <w:bottom w:val="single" w:color="FFFFFF" w:sz="8" w:space="31"/>
        </w:pBdr>
        <w:shd w:val="clear" w:color="auto" w:fill="FFFFFF"/>
        <w:spacing w:line="600" w:lineRule="exact"/>
        <w:ind w:firstLine="640" w:firstLineChars="200"/>
        <w:outlineLvl w:val="0"/>
        <w:rPr>
          <w:rFonts w:hint="eastAsia" w:ascii="黑体" w:hAnsi="黑体" w:eastAsia="黑体" w:cs="黑体"/>
          <w:sz w:val="32"/>
          <w:szCs w:val="32"/>
        </w:rPr>
      </w:pPr>
      <w:bookmarkStart w:id="26" w:name="_Toc1716892562"/>
      <w:bookmarkStart w:id="27" w:name="_Toc1022704987"/>
      <w:r>
        <w:rPr>
          <w:rFonts w:hint="eastAsia" w:ascii="黑体" w:hAnsi="黑体" w:eastAsia="黑体" w:cs="黑体"/>
          <w:sz w:val="32"/>
          <w:szCs w:val="32"/>
        </w:rPr>
        <w:t>七、“三公”经费财政拨款预算安排情况说明</w:t>
      </w:r>
      <w:bookmarkEnd w:id="26"/>
      <w:bookmarkEnd w:id="27"/>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中共广元市委目标绩效管理办公室2024年“三公”经费财政拨款预算数0.40万元，其中：公务接待费0.40万元，公务用车购置及运行维护费0万元，因公出国（境）经费0万元。</w:t>
      </w:r>
    </w:p>
    <w:p>
      <w:pPr>
        <w:numPr>
          <w:ilvl w:val="0"/>
          <w:numId w:val="4"/>
        </w:numPr>
        <w:pBdr>
          <w:bottom w:val="single" w:color="FFFFFF" w:sz="8" w:space="31"/>
        </w:pBdr>
        <w:shd w:val="clear" w:color="auto" w:fill="FFFFFF"/>
        <w:spacing w:line="600" w:lineRule="exact"/>
        <w:ind w:firstLine="640" w:firstLineChars="200"/>
        <w:rPr>
          <w:rFonts w:hint="eastAsia" w:ascii="仿宋_GB2312" w:hAnsi="仿宋_GB2312" w:eastAsia="仿宋_GB2312" w:cs="仿宋_GB2312"/>
          <w:bCs/>
          <w:color w:val="333333"/>
          <w:sz w:val="32"/>
          <w:szCs w:val="32"/>
        </w:rPr>
      </w:pPr>
      <w:r>
        <w:rPr>
          <w:rFonts w:hint="eastAsia" w:ascii="仿宋_GB2312" w:hAnsi="仿宋_GB2312" w:eastAsia="仿宋_GB2312" w:cs="仿宋_GB2312"/>
          <w:bCs/>
          <w:color w:val="333333"/>
          <w:kern w:val="0"/>
          <w:sz w:val="32"/>
          <w:szCs w:val="32"/>
          <w:shd w:val="clear" w:color="auto" w:fill="FFFFFF"/>
        </w:rPr>
        <w:t>公务接待费公务接待费与2023年预算持平。2024年公务接待费计划用于执行接待考察调研、检查指导等公务活动开支的交通费、用餐费等。</w:t>
      </w:r>
    </w:p>
    <w:p>
      <w:pPr>
        <w:numPr>
          <w:ilvl w:val="0"/>
          <w:numId w:val="4"/>
        </w:numPr>
        <w:pBdr>
          <w:bottom w:val="single" w:color="FFFFFF" w:sz="8" w:space="31"/>
        </w:pBdr>
        <w:shd w:val="clear" w:color="auto" w:fill="FFFFFF"/>
        <w:spacing w:line="600" w:lineRule="exact"/>
        <w:ind w:firstLine="640" w:firstLineChars="200"/>
        <w:rPr>
          <w:rFonts w:hint="eastAsia" w:ascii="仿宋_GB2312" w:hAnsi="仿宋_GB2312" w:eastAsia="仿宋_GB2312" w:cs="仿宋_GB2312"/>
          <w:bCs/>
          <w:color w:val="333333"/>
          <w:kern w:val="0"/>
          <w:sz w:val="32"/>
          <w:szCs w:val="32"/>
          <w:shd w:val="clear" w:color="auto" w:fill="FFFFFF"/>
        </w:rPr>
      </w:pPr>
      <w:r>
        <w:rPr>
          <w:rFonts w:hint="eastAsia" w:ascii="仿宋_GB2312" w:hAnsi="仿宋_GB2312" w:eastAsia="仿宋_GB2312" w:cs="仿宋_GB2312"/>
          <w:bCs/>
          <w:color w:val="333333"/>
          <w:kern w:val="0"/>
          <w:sz w:val="32"/>
          <w:szCs w:val="32"/>
          <w:shd w:val="clear" w:color="auto" w:fill="FFFFFF"/>
        </w:rPr>
        <w:t>公务用车购置及运行维护费与2023年预算相比持平。单位没有公务用车，2024年未安排公务用车运行维护费</w:t>
      </w:r>
      <w:r>
        <w:rPr>
          <w:rFonts w:hint="eastAsia" w:ascii="仿宋_GB2312" w:hAnsi="仿宋_GB2312" w:eastAsia="仿宋_GB2312" w:cs="仿宋_GB2312"/>
          <w:bCs/>
          <w:color w:val="333333"/>
          <w:kern w:val="0"/>
          <w:sz w:val="32"/>
          <w:szCs w:val="32"/>
          <w:shd w:val="clear" w:color="auto" w:fill="FFFFFF"/>
          <w:lang w:eastAsia="zh-CN"/>
        </w:rPr>
        <w:t>和公务用车购置费。</w:t>
      </w:r>
    </w:p>
    <w:p>
      <w:pPr>
        <w:numPr>
          <w:ilvl w:val="0"/>
          <w:numId w:val="4"/>
        </w:numPr>
        <w:pBdr>
          <w:bottom w:val="single" w:color="FFFFFF" w:sz="8" w:space="31"/>
        </w:pBdr>
        <w:shd w:val="clear" w:color="auto" w:fill="FFFFFF"/>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color w:val="333333"/>
          <w:kern w:val="0"/>
          <w:sz w:val="32"/>
          <w:szCs w:val="32"/>
          <w:shd w:val="clear" w:color="auto" w:fill="FFFFFF"/>
        </w:rPr>
        <w:t>因公出国（境）经费与2023年预算相比持平。单位均未安排因公出国（境）经费。</w:t>
      </w:r>
    </w:p>
    <w:p>
      <w:pPr>
        <w:pBdr>
          <w:bottom w:val="single" w:color="FFFFFF" w:sz="8" w:space="31"/>
        </w:pBdr>
        <w:shd w:val="clear" w:color="auto" w:fill="FFFFFF"/>
        <w:spacing w:line="600" w:lineRule="exact"/>
        <w:ind w:firstLine="640" w:firstLineChars="200"/>
        <w:outlineLvl w:val="0"/>
        <w:rPr>
          <w:rFonts w:hint="eastAsia" w:ascii="黑体" w:hAnsi="黑体" w:eastAsia="黑体" w:cs="黑体"/>
          <w:color w:val="333333"/>
          <w:kern w:val="0"/>
          <w:sz w:val="32"/>
          <w:szCs w:val="32"/>
          <w:shd w:val="clear" w:color="auto" w:fill="FFFFFF"/>
        </w:rPr>
      </w:pPr>
      <w:bookmarkStart w:id="28" w:name="_Toc908987956"/>
      <w:bookmarkStart w:id="29" w:name="_Toc1499377521"/>
      <w:r>
        <w:rPr>
          <w:rFonts w:hint="eastAsia" w:ascii="黑体" w:hAnsi="黑体" w:eastAsia="黑体" w:cs="黑体"/>
          <w:sz w:val="32"/>
          <w:szCs w:val="32"/>
        </w:rPr>
        <w:t>八</w:t>
      </w:r>
      <w:r>
        <w:rPr>
          <w:rFonts w:hint="eastAsia" w:ascii="黑体" w:hAnsi="黑体" w:eastAsia="黑体" w:cs="黑体"/>
          <w:color w:val="333333"/>
          <w:kern w:val="0"/>
          <w:sz w:val="32"/>
          <w:szCs w:val="32"/>
          <w:shd w:val="clear" w:color="auto" w:fill="FFFFFF"/>
        </w:rPr>
        <w:t>、</w:t>
      </w:r>
      <w:r>
        <w:rPr>
          <w:rFonts w:hint="eastAsia" w:ascii="黑体" w:hAnsi="黑体" w:eastAsia="黑体" w:cs="黑体"/>
          <w:sz w:val="32"/>
          <w:szCs w:val="32"/>
        </w:rPr>
        <w:t>政府性基金预算支出情况说明</w:t>
      </w:r>
      <w:bookmarkEnd w:id="28"/>
      <w:bookmarkEnd w:id="29"/>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中共广元市委目标绩效管理办公室2024年无政府性基金预算拨款安排的支出。</w:t>
      </w:r>
    </w:p>
    <w:p>
      <w:pPr>
        <w:pBdr>
          <w:bottom w:val="single" w:color="FFFFFF" w:sz="8" w:space="31"/>
        </w:pBdr>
        <w:shd w:val="clear" w:color="auto" w:fill="FFFFFF"/>
        <w:spacing w:line="600" w:lineRule="exact"/>
        <w:ind w:firstLine="640" w:firstLineChars="200"/>
        <w:outlineLvl w:val="0"/>
        <w:rPr>
          <w:rFonts w:hint="eastAsia" w:ascii="黑体" w:hAnsi="黑体" w:eastAsia="黑体" w:cs="黑体"/>
          <w:color w:val="333333"/>
          <w:kern w:val="0"/>
          <w:sz w:val="32"/>
          <w:szCs w:val="32"/>
          <w:shd w:val="clear" w:color="auto" w:fill="FFFFFF"/>
        </w:rPr>
      </w:pPr>
      <w:bookmarkStart w:id="30" w:name="_Toc33887384"/>
      <w:bookmarkStart w:id="31" w:name="_Toc1543654978"/>
      <w:r>
        <w:rPr>
          <w:rFonts w:hint="eastAsia" w:ascii="黑体" w:hAnsi="黑体" w:eastAsia="黑体" w:cs="黑体"/>
          <w:sz w:val="32"/>
          <w:szCs w:val="32"/>
        </w:rPr>
        <w:t>九、国有资本经营预算支出情况说明</w:t>
      </w:r>
      <w:bookmarkEnd w:id="30"/>
      <w:bookmarkEnd w:id="31"/>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中共广元市委目标绩效管理办公室2024年无国有资本经营预算拨款安排的支出。</w:t>
      </w:r>
    </w:p>
    <w:p>
      <w:pPr>
        <w:pBdr>
          <w:bottom w:val="single" w:color="FFFFFF" w:sz="8" w:space="31"/>
        </w:pBdr>
        <w:shd w:val="clear" w:color="auto" w:fill="FFFFFF"/>
        <w:spacing w:line="600" w:lineRule="exact"/>
        <w:ind w:firstLine="640" w:firstLineChars="200"/>
        <w:outlineLvl w:val="0"/>
        <w:rPr>
          <w:rFonts w:hint="eastAsia" w:ascii="黑体" w:hAnsi="黑体" w:eastAsia="黑体" w:cs="黑体"/>
          <w:color w:val="333333"/>
          <w:kern w:val="0"/>
          <w:sz w:val="32"/>
          <w:szCs w:val="32"/>
          <w:shd w:val="clear" w:color="auto" w:fill="FFFFFF"/>
        </w:rPr>
      </w:pPr>
      <w:bookmarkStart w:id="32" w:name="_Toc2134180480"/>
      <w:bookmarkStart w:id="33" w:name="_Toc2024411890"/>
      <w:r>
        <w:rPr>
          <w:rFonts w:hint="eastAsia" w:ascii="黑体" w:hAnsi="黑体" w:eastAsia="黑体" w:cs="黑体"/>
          <w:sz w:val="32"/>
          <w:szCs w:val="32"/>
        </w:rPr>
        <w:t>十、其他重要事项的情况说明</w:t>
      </w:r>
      <w:bookmarkEnd w:id="32"/>
      <w:bookmarkEnd w:id="33"/>
    </w:p>
    <w:p>
      <w:pPr>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color w:val="333333"/>
          <w:kern w:val="0"/>
          <w:sz w:val="32"/>
          <w:szCs w:val="32"/>
          <w:shd w:val="clear" w:color="auto" w:fill="FFFFFF"/>
        </w:rPr>
      </w:pPr>
      <w:bookmarkStart w:id="34" w:name="_Toc2138263624"/>
      <w:bookmarkStart w:id="35" w:name="_Toc328654880"/>
      <w:r>
        <w:rPr>
          <w:rFonts w:hint="eastAsia" w:ascii="仿宋_GB2312" w:hAnsi="仿宋_GB2312" w:eastAsia="仿宋_GB2312" w:cs="仿宋_GB2312"/>
          <w:sz w:val="32"/>
          <w:szCs w:val="32"/>
        </w:rPr>
        <w:t>（一）机关运行经费</w:t>
      </w:r>
      <w:bookmarkEnd w:id="34"/>
      <w:bookmarkEnd w:id="35"/>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2024年，中共广元市委目标绩效管理办公室</w:t>
      </w:r>
      <w:r>
        <w:rPr>
          <w:rFonts w:hint="eastAsia" w:ascii="仿宋_GB2312" w:hAnsi="仿宋_GB2312" w:eastAsia="仿宋_GB2312" w:cs="仿宋_GB2312"/>
          <w:kern w:val="0"/>
          <w:sz w:val="32"/>
          <w:szCs w:val="32"/>
          <w:shd w:val="clear" w:color="auto" w:fill="FFFFFF"/>
        </w:rPr>
        <w:t>机关运行经费财政拨款预算为41.40万元，比2023年预算增加0.62万元，增加1.52%。主要原因是党建经费等增加。</w:t>
      </w:r>
    </w:p>
    <w:p>
      <w:pPr>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color w:val="333333"/>
          <w:kern w:val="0"/>
          <w:sz w:val="32"/>
          <w:szCs w:val="32"/>
          <w:shd w:val="clear" w:color="auto" w:fill="FFFFFF"/>
        </w:rPr>
      </w:pPr>
      <w:bookmarkStart w:id="36" w:name="_Toc32770936"/>
      <w:bookmarkStart w:id="37" w:name="_Toc235009073"/>
      <w:r>
        <w:rPr>
          <w:rFonts w:hint="eastAsia" w:ascii="仿宋_GB2312" w:hAnsi="仿宋_GB2312" w:eastAsia="仿宋_GB2312" w:cs="仿宋_GB2312"/>
          <w:sz w:val="32"/>
          <w:szCs w:val="32"/>
        </w:rPr>
        <w:t>（二）政府采购情况</w:t>
      </w:r>
      <w:bookmarkEnd w:id="36"/>
      <w:bookmarkEnd w:id="37"/>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2024年，中共广元市委目标绩效管理办公室安排政府采购预算</w:t>
      </w:r>
      <w:r>
        <w:rPr>
          <w:rFonts w:hint="eastAsia" w:ascii="仿宋_GB2312" w:hAnsi="仿宋_GB2312" w:eastAsia="仿宋_GB2312" w:cs="仿宋_GB2312"/>
          <w:kern w:val="0"/>
          <w:sz w:val="32"/>
          <w:szCs w:val="32"/>
          <w:shd w:val="clear" w:color="auto" w:fill="FFFFFF"/>
        </w:rPr>
        <w:t>0万元。</w:t>
      </w:r>
    </w:p>
    <w:p>
      <w:pPr>
        <w:pBdr>
          <w:bottom w:val="single" w:color="FFFFFF" w:sz="8" w:space="31"/>
        </w:pBdr>
        <w:shd w:val="clear" w:color="auto" w:fill="FFFFFF"/>
        <w:spacing w:line="600" w:lineRule="exact"/>
        <w:ind w:firstLine="640" w:firstLineChars="200"/>
        <w:outlineLvl w:val="1"/>
        <w:rPr>
          <w:rFonts w:hint="eastAsia" w:ascii="仿宋_GB2312" w:hAnsi="仿宋_GB2312" w:eastAsia="仿宋_GB2312" w:cs="仿宋_GB2312"/>
          <w:color w:val="333333"/>
          <w:kern w:val="0"/>
          <w:sz w:val="32"/>
          <w:szCs w:val="32"/>
          <w:shd w:val="clear" w:color="auto" w:fill="FFFFFF"/>
        </w:rPr>
      </w:pPr>
      <w:bookmarkStart w:id="38" w:name="_Toc1436005401"/>
      <w:bookmarkStart w:id="39" w:name="_Toc209150902"/>
      <w:r>
        <w:rPr>
          <w:rFonts w:hint="eastAsia" w:ascii="仿宋_GB2312" w:hAnsi="仿宋_GB2312" w:eastAsia="仿宋_GB2312" w:cs="仿宋_GB2312"/>
          <w:sz w:val="32"/>
          <w:szCs w:val="32"/>
        </w:rPr>
        <w:t>（三）国有资产占有使用情况</w:t>
      </w:r>
      <w:bookmarkEnd w:id="38"/>
      <w:bookmarkEnd w:id="39"/>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lang w:eastAsia="zh-CN"/>
        </w:rPr>
      </w:pPr>
      <w:r>
        <w:rPr>
          <w:rFonts w:hint="eastAsia" w:ascii="仿宋_GB2312" w:hAnsi="仿宋_GB2312" w:eastAsia="仿宋_GB2312" w:cs="仿宋_GB2312"/>
          <w:color w:val="333333"/>
          <w:kern w:val="0"/>
          <w:sz w:val="32"/>
          <w:szCs w:val="32"/>
          <w:shd w:val="clear" w:color="auto" w:fill="FFFFFF"/>
        </w:rPr>
        <w:t>截至2024年底，中共广元市委目标绩效管理办公室没有车辆。</w:t>
      </w:r>
      <w:r>
        <w:rPr>
          <w:rFonts w:hint="eastAsia" w:ascii="仿宋_GB2312" w:hAnsi="仿宋_GB2312" w:eastAsia="仿宋_GB2312" w:cs="仿宋_GB2312"/>
          <w:color w:val="333333"/>
          <w:kern w:val="0"/>
          <w:sz w:val="32"/>
          <w:szCs w:val="32"/>
          <w:shd w:val="clear" w:color="auto" w:fill="FFFFFF"/>
          <w:lang w:val="en-US" w:eastAsia="zh-CN"/>
        </w:rPr>
        <w:t>单位无价值200万元以上的大型设备</w:t>
      </w:r>
      <w:r>
        <w:rPr>
          <w:rFonts w:hint="eastAsia" w:ascii="仿宋_GB2312" w:hAnsi="仿宋_GB2312" w:eastAsia="仿宋_GB2312" w:cs="仿宋_GB2312"/>
          <w:color w:val="333333"/>
          <w:kern w:val="0"/>
          <w:sz w:val="32"/>
          <w:szCs w:val="32"/>
          <w:shd w:val="clear" w:color="auto" w:fill="FFFFFF"/>
          <w:lang w:eastAsia="zh-CN"/>
        </w:rPr>
        <w:t>。</w:t>
      </w:r>
      <w:r>
        <w:rPr>
          <w:rFonts w:hint="eastAsia" w:ascii="仿宋_GB2312" w:hAnsi="仿宋_GB2312" w:eastAsia="仿宋_GB2312" w:cs="仿宋_GB2312"/>
          <w:color w:val="333333"/>
          <w:kern w:val="0"/>
          <w:sz w:val="32"/>
          <w:szCs w:val="32"/>
          <w:shd w:val="clear" w:color="auto" w:fill="FFFFFF"/>
          <w:lang w:val="en-US" w:eastAsia="zh-CN"/>
        </w:rPr>
        <w:t>2024年部门预算未安排购置车辆及单位价值200万元以上大型设备</w:t>
      </w:r>
      <w:r>
        <w:rPr>
          <w:rFonts w:hint="eastAsia" w:ascii="仿宋_GB2312" w:hAnsi="仿宋_GB2312" w:eastAsia="仿宋_GB2312" w:cs="仿宋_GB2312"/>
          <w:color w:val="333333"/>
          <w:kern w:val="0"/>
          <w:sz w:val="32"/>
          <w:szCs w:val="32"/>
          <w:shd w:val="clear" w:color="auto" w:fill="FFFFFF"/>
          <w:lang w:eastAsia="zh-CN"/>
        </w:rPr>
        <w:t>。</w:t>
      </w:r>
      <w:bookmarkStart w:id="40" w:name="_Toc804486686"/>
      <w:bookmarkStart w:id="41" w:name="_Toc1164744669"/>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绩效目标设置情况</w:t>
      </w:r>
      <w:bookmarkEnd w:id="40"/>
      <w:bookmarkEnd w:id="41"/>
      <w:bookmarkStart w:id="42" w:name="_Toc1854124689"/>
      <w:bookmarkStart w:id="43" w:name="_Toc1127051549"/>
    </w:p>
    <w:p>
      <w:p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2024年中共广元市委目标绩效管理办公室开展绩效目标管理的项目16个，涉及预算339.44万元。其中：人员类项目6个，涉及预算 224.26万元；运转类项目3个，涉及预算41.40万元；特定目标类项目7个，涉及预算73.77万元。</w:t>
      </w:r>
      <w:bookmarkEnd w:id="42"/>
      <w:bookmarkEnd w:id="43"/>
      <w:bookmarkStart w:id="44" w:name="_Toc1223801556"/>
      <w:bookmarkStart w:id="45" w:name="_Toc185212671"/>
    </w:p>
    <w:p>
      <w:pPr>
        <w:numPr>
          <w:ilvl w:val="0"/>
          <w:numId w:val="5"/>
        </w:numPr>
        <w:pBdr>
          <w:bottom w:val="single" w:color="FFFFFF" w:sz="8" w:space="31"/>
        </w:pBdr>
        <w:shd w:val="clear" w:color="auto" w:fill="FFFFFF"/>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名词解释</w:t>
      </w:r>
      <w:bookmarkEnd w:id="44"/>
      <w:bookmarkEnd w:id="45"/>
    </w:p>
    <w:p>
      <w:pPr>
        <w:numPr>
          <w:ilvl w:val="0"/>
          <w:numId w:val="6"/>
        </w:num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财政拨款收入:指市财政当年安排的财政预算收入。按现行管理制度,部门预算中反映的财政拨款包括一般公共预算拨款和政府性基金预算拨款。</w:t>
      </w:r>
    </w:p>
    <w:p>
      <w:pPr>
        <w:numPr>
          <w:ilvl w:val="0"/>
          <w:numId w:val="6"/>
        </w:numPr>
        <w:pBdr>
          <w:bottom w:val="single" w:color="FFFFFF" w:sz="8" w:space="31"/>
        </w:pBdr>
        <w:shd w:val="clear" w:color="auto" w:fill="FFFFFF"/>
        <w:spacing w:line="600" w:lineRule="exact"/>
        <w:ind w:left="0" w:leftChars="0"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一般公共服务（类）党委办公厅（室）及相关机构事务（款）行政运行（项）：指机关单位用于保障机构正常运行、开展日常工作的基本支出。</w:t>
      </w:r>
    </w:p>
    <w:p>
      <w:pPr>
        <w:numPr>
          <w:ilvl w:val="0"/>
          <w:numId w:val="6"/>
        </w:numPr>
        <w:pBdr>
          <w:bottom w:val="single" w:color="FFFFFF" w:sz="8" w:space="31"/>
        </w:pBdr>
        <w:shd w:val="clear" w:color="auto" w:fill="FFFFFF"/>
        <w:spacing w:line="600" w:lineRule="exact"/>
        <w:ind w:left="0" w:leftChars="0"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一般公共服务（类）党委办公厅（室）及相关机构事务（款）一般行政管理事务（项）：指机关单位开展绩效管理工作的项目支出。</w:t>
      </w:r>
      <w:r>
        <w:rPr>
          <w:rFonts w:hint="eastAsia" w:ascii="仿宋_GB2312" w:hAnsi="仿宋_GB2312" w:eastAsia="仿宋_GB2312" w:cs="仿宋_GB2312"/>
          <w:color w:val="333333"/>
          <w:kern w:val="0"/>
          <w:sz w:val="32"/>
          <w:szCs w:val="32"/>
          <w:shd w:val="clear" w:color="auto" w:fill="FFFFFF"/>
        </w:rPr>
        <w:br w:type="textWrapping"/>
      </w:r>
      <w:r>
        <w:rPr>
          <w:rFonts w:hint="eastAsia" w:ascii="仿宋_GB2312" w:hAnsi="仿宋_GB2312" w:eastAsia="仿宋_GB2312" w:cs="仿宋_GB2312"/>
          <w:color w:val="333333"/>
          <w:kern w:val="0"/>
          <w:sz w:val="32"/>
          <w:szCs w:val="32"/>
          <w:shd w:val="clear" w:color="auto" w:fill="FFFFFF"/>
        </w:rPr>
        <w:t>　　（四）社会保障和就业（类）行政事业单位养老支出（款）机关事业单位基本养老保险缴费支出（项）：指部门实施养老保险制度由单位缴纳的养老保险的支出。</w:t>
      </w:r>
      <w:r>
        <w:rPr>
          <w:rFonts w:hint="eastAsia" w:ascii="仿宋_GB2312" w:hAnsi="仿宋_GB2312" w:eastAsia="仿宋_GB2312" w:cs="仿宋_GB2312"/>
          <w:color w:val="333333"/>
          <w:kern w:val="0"/>
          <w:sz w:val="32"/>
          <w:szCs w:val="32"/>
          <w:shd w:val="clear" w:color="auto" w:fill="FFFFFF"/>
        </w:rPr>
        <w:br w:type="textWrapping"/>
      </w:r>
      <w:r>
        <w:rPr>
          <w:rFonts w:hint="eastAsia" w:ascii="仿宋_GB2312" w:hAnsi="仿宋_GB2312" w:eastAsia="仿宋_GB2312" w:cs="仿宋_GB2312"/>
          <w:color w:val="333333"/>
          <w:kern w:val="0"/>
          <w:sz w:val="32"/>
          <w:szCs w:val="32"/>
          <w:shd w:val="clear" w:color="auto" w:fill="FFFFFF"/>
          <w:lang w:val="en-US" w:eastAsia="zh-CN"/>
        </w:rPr>
        <w:t xml:space="preserve">   </w:t>
      </w:r>
      <w:r>
        <w:rPr>
          <w:rFonts w:hint="eastAsia" w:ascii="仿宋_GB2312" w:hAnsi="仿宋_GB2312" w:eastAsia="仿宋_GB2312" w:cs="仿宋_GB2312"/>
          <w:color w:val="333333"/>
          <w:kern w:val="0"/>
          <w:sz w:val="32"/>
          <w:szCs w:val="32"/>
          <w:shd w:val="clear" w:color="auto" w:fill="FFFFFF"/>
        </w:rPr>
        <w:t>（五）卫生健康（类）行政事业单位医疗（款）行政单位医疗（项）：指机关及参公管理事业单位用于单位应缴纳基本医疗保险支出。</w:t>
      </w:r>
      <w:r>
        <w:rPr>
          <w:rFonts w:hint="eastAsia" w:ascii="仿宋_GB2312" w:hAnsi="仿宋_GB2312" w:eastAsia="仿宋_GB2312" w:cs="仿宋_GB2312"/>
          <w:color w:val="333333"/>
          <w:kern w:val="0"/>
          <w:sz w:val="32"/>
          <w:szCs w:val="32"/>
          <w:shd w:val="clear" w:color="auto" w:fill="FFFFFF"/>
        </w:rPr>
        <w:br w:type="textWrapping"/>
      </w:r>
      <w:r>
        <w:rPr>
          <w:rFonts w:hint="eastAsia" w:ascii="仿宋_GB2312" w:hAnsi="仿宋_GB2312" w:eastAsia="仿宋_GB2312" w:cs="仿宋_GB2312"/>
          <w:color w:val="333333"/>
          <w:kern w:val="0"/>
          <w:sz w:val="32"/>
          <w:szCs w:val="32"/>
          <w:shd w:val="clear" w:color="auto" w:fill="FFFFFF"/>
        </w:rPr>
        <w:t>　 （六）住房保障（类）住房改革支出（款）住房公积金（项）：指按照《住房公积金管理条例》的规定，由单位及其在职职工缴存的长期住房储金。</w:t>
      </w:r>
      <w:r>
        <w:rPr>
          <w:rFonts w:hint="eastAsia" w:ascii="仿宋_GB2312" w:hAnsi="仿宋_GB2312" w:eastAsia="仿宋_GB2312" w:cs="仿宋_GB2312"/>
          <w:color w:val="333333"/>
          <w:kern w:val="0"/>
          <w:sz w:val="32"/>
          <w:szCs w:val="32"/>
          <w:shd w:val="clear" w:color="auto" w:fill="FFFFFF"/>
        </w:rPr>
        <w:br w:type="textWrapping"/>
      </w:r>
      <w:r>
        <w:rPr>
          <w:rFonts w:hint="eastAsia" w:ascii="仿宋_GB2312" w:hAnsi="仿宋_GB2312" w:eastAsia="仿宋_GB2312" w:cs="仿宋_GB2312"/>
          <w:color w:val="333333"/>
          <w:kern w:val="0"/>
          <w:sz w:val="32"/>
          <w:szCs w:val="32"/>
          <w:shd w:val="clear" w:color="auto" w:fill="FFFFFF"/>
        </w:rPr>
        <w:t>　　（七）基本支出：指为保证机构正常运转，完成日常工作任务而发生的人员支出和公用支出。</w:t>
      </w:r>
      <w:r>
        <w:rPr>
          <w:rFonts w:hint="eastAsia" w:ascii="仿宋_GB2312" w:hAnsi="仿宋_GB2312" w:eastAsia="仿宋_GB2312" w:cs="仿宋_GB2312"/>
          <w:color w:val="333333"/>
          <w:kern w:val="0"/>
          <w:sz w:val="32"/>
          <w:szCs w:val="32"/>
          <w:shd w:val="clear" w:color="auto" w:fill="FFFFFF"/>
        </w:rPr>
        <w:br w:type="textWrapping"/>
      </w:r>
      <w:r>
        <w:rPr>
          <w:rFonts w:hint="eastAsia" w:ascii="仿宋_GB2312" w:hAnsi="仿宋_GB2312" w:eastAsia="仿宋_GB2312" w:cs="仿宋_GB2312"/>
          <w:color w:val="333333"/>
          <w:kern w:val="0"/>
          <w:sz w:val="32"/>
          <w:szCs w:val="32"/>
          <w:shd w:val="clear" w:color="auto" w:fill="FFFFFF"/>
        </w:rPr>
        <w:t>　　（八）项目支出：指在基本支出之外为完成特定行政任务和事业发展目标所发生的支出。</w:t>
      </w:r>
    </w:p>
    <w:p>
      <w:pPr>
        <w:numPr>
          <w:numId w:val="0"/>
        </w:numPr>
        <w:pBdr>
          <w:bottom w:val="single" w:color="FFFFFF" w:sz="8" w:space="31"/>
        </w:pBdr>
        <w:shd w:val="clear" w:color="auto" w:fill="FFFFFF"/>
        <w:spacing w:line="600" w:lineRule="exact"/>
        <w:ind w:firstLine="640" w:firstLineChars="200"/>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（九）“三公”经费：纳入财政</w:t>
      </w:r>
      <w:r>
        <w:rPr>
          <w:rFonts w:hint="eastAsia" w:ascii="仿宋_GB2312" w:hAnsi="仿宋_GB2312" w:eastAsia="仿宋_GB2312" w:cs="仿宋_GB2312"/>
          <w:color w:val="333333"/>
          <w:kern w:val="0"/>
          <w:sz w:val="32"/>
          <w:szCs w:val="32"/>
          <w:shd w:val="clear" w:color="auto" w:fill="FFFFFF"/>
          <w:lang w:eastAsia="zh-CN"/>
        </w:rPr>
        <w:t>局</w:t>
      </w:r>
      <w:r>
        <w:rPr>
          <w:rFonts w:hint="eastAsia" w:ascii="仿宋_GB2312" w:hAnsi="仿宋_GB2312" w:eastAsia="仿宋_GB2312" w:cs="仿宋_GB2312"/>
          <w:color w:val="333333"/>
          <w:kern w:val="0"/>
          <w:sz w:val="32"/>
          <w:szCs w:val="32"/>
          <w:shd w:val="clear" w:color="auto" w:fill="FFFFFF"/>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333333"/>
          <w:kern w:val="0"/>
          <w:sz w:val="32"/>
          <w:szCs w:val="32"/>
          <w:shd w:val="clear" w:color="auto" w:fill="FFFFFF"/>
        </w:rPr>
        <w:br w:type="textWrapping"/>
      </w:r>
      <w:r>
        <w:rPr>
          <w:rFonts w:hint="eastAsia" w:ascii="仿宋_GB2312" w:hAnsi="仿宋_GB2312" w:eastAsia="仿宋_GB2312" w:cs="仿宋_GB2312"/>
          <w:color w:val="333333"/>
          <w:kern w:val="0"/>
          <w:sz w:val="32"/>
          <w:szCs w:val="32"/>
          <w:shd w:val="clear" w:color="auto" w:fill="FFFFFF"/>
        </w:rPr>
        <w:t>　</w:t>
      </w:r>
      <w:bookmarkStart w:id="48" w:name="_GoBack"/>
      <w:bookmarkEnd w:id="48"/>
      <w:r>
        <w:rPr>
          <w:rFonts w:hint="eastAsia" w:ascii="仿宋_GB2312" w:hAnsi="仿宋_GB2312" w:eastAsia="仿宋_GB2312" w:cs="仿宋_GB2312"/>
          <w:color w:val="333333"/>
          <w:kern w:val="0"/>
          <w:sz w:val="32"/>
          <w:szCs w:val="32"/>
          <w:shd w:val="clear" w:color="auto" w:fill="FFFFFF"/>
        </w:rPr>
        <w:t>　（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outlineLvl w:val="0"/>
        <w:rPr>
          <w:rFonts w:ascii="仿宋_GB2312" w:hAnsi="仿宋_GB2312" w:eastAsia="仿宋_GB2312" w:cs="仿宋_GB2312"/>
          <w:sz w:val="32"/>
          <w:szCs w:val="32"/>
        </w:rPr>
      </w:pPr>
      <w:bookmarkStart w:id="46" w:name="_Toc1766381462"/>
      <w:bookmarkStart w:id="47" w:name="_Toc1638875125"/>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rPr>
        <w:t>单位</w:t>
      </w:r>
      <w:r>
        <w:rPr>
          <w:rFonts w:hint="eastAsia" w:ascii="仿宋_GB2312" w:hAnsi="仿宋_GB2312" w:eastAsia="仿宋_GB2312" w:cs="仿宋_GB2312"/>
          <w:sz w:val="32"/>
          <w:szCs w:val="32"/>
        </w:rPr>
        <w:t>预算公开表</w:t>
      </w:r>
      <w:bookmarkEnd w:id="46"/>
      <w:bookmarkEnd w:id="47"/>
    </w:p>
    <w:p>
      <w:pPr>
        <w:spacing w:line="576" w:lineRule="exact"/>
        <w:rPr>
          <w:rFonts w:ascii="仿宋_GB2312" w:hAnsi="仿宋_GB2312" w:eastAsia="仿宋_GB2312" w:cs="仿宋_GB2312"/>
          <w:sz w:val="32"/>
          <w:szCs w:val="32"/>
        </w:rPr>
      </w:pPr>
    </w:p>
    <w:p>
      <w:pPr>
        <w:spacing w:line="576" w:lineRule="exact"/>
        <w:ind w:firstLine="642"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modern"/>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微软雅黑">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4" name="文本框 2"/>
              <wp:cNvGraphicFramePr/>
              <a:graphic xmlns:a="http://schemas.openxmlformats.org/drawingml/2006/main">
                <a:graphicData uri="http://schemas.microsoft.com/office/word/2010/wordprocessingShape">
                  <wps:wsp>
                    <wps:cNvSpPr/>
                    <wps:spPr>
                      <a:xfrm>
                        <a:off x="0" y="0"/>
                        <a:ext cx="622299" cy="230250"/>
                      </a:xfrm>
                      <a:prstGeom prst="rect">
                        <a:avLst/>
                      </a:prstGeom>
                      <a:noFill/>
                      <a:ln w="9525" cap="flat" cmpd="sng">
                        <a:noFill/>
                        <a:prstDash val="solid"/>
                        <a:round/>
                      </a:ln>
                    </wps:spPr>
                    <wps:txbx>
                      <w:txbxContent>
                        <w:p>
                          <w:pPr>
                            <w:pStyle w:val="9"/>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6</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rect id="文本框 2" o:spid="_x0000_s1026" o:spt="1" style="position:absolute;left:0pt;margin-top:0pt;height:18.15pt;width:49pt;mso-position-horizontal:outside;mso-position-horizontal-relative:margin;mso-wrap-style:none;z-index:251659264;mso-width-relative:page;mso-height-relative:page;" filled="f" stroked="f" coordsize="21600,21600" o:gfxdata="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B+chPw0QAAAAMBAAAPAAAAAAAAAAEAIAAA&#10;ADgAAABkcnMvZG93bnJldi54bWxQSwECFAAUAAAACACHTuJAPm0j1v0BAADoAwAADgAAAAAAAAAB&#10;ACAAAAA2AQAAZHJzL2Uyb0RvYy54bWxQSwUGAAAAAAYABgBZAQAApQUAAAAA&#10;">
              <v:fill on="f" focussize="0,0"/>
              <v:stroke on="f" joinstyle="round"/>
              <v:imagedata o:title=""/>
              <o:lock v:ext="edit" aspectratio="f"/>
              <v:textbox inset="0mm,0mm,0mm,0mm" style="mso-fit-shape-to-text:t;">
                <w:txbxContent>
                  <w:p>
                    <w:pPr>
                      <w:pStyle w:val="9"/>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6</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9CD21"/>
    <w:multiLevelType w:val="singleLevel"/>
    <w:tmpl w:val="88E9CD21"/>
    <w:lvl w:ilvl="0" w:tentative="0">
      <w:start w:val="1"/>
      <w:numFmt w:val="chineseCounting"/>
      <w:suff w:val="nothing"/>
      <w:lvlText w:val="（%1）"/>
      <w:lvlJc w:val="left"/>
      <w:rPr>
        <w:rFonts w:hint="eastAsia"/>
      </w:rPr>
    </w:lvl>
  </w:abstractNum>
  <w:abstractNum w:abstractNumId="1">
    <w:nsid w:val="8A5EA564"/>
    <w:multiLevelType w:val="singleLevel"/>
    <w:tmpl w:val="8A5EA564"/>
    <w:lvl w:ilvl="0" w:tentative="0">
      <w:start w:val="1"/>
      <w:numFmt w:val="chineseCounting"/>
      <w:suff w:val="nothing"/>
      <w:lvlText w:val="（%1）"/>
      <w:lvlJc w:val="left"/>
      <w:rPr>
        <w:rFonts w:hint="eastAsia"/>
      </w:rPr>
    </w:lvl>
  </w:abstractNum>
  <w:abstractNum w:abstractNumId="2">
    <w:nsid w:val="D6CDE7BB"/>
    <w:multiLevelType w:val="singleLevel"/>
    <w:tmpl w:val="D6CDE7BB"/>
    <w:lvl w:ilvl="0" w:tentative="0">
      <w:start w:val="1"/>
      <w:numFmt w:val="chineseCounting"/>
      <w:suff w:val="nothing"/>
      <w:lvlText w:val="（%1）"/>
      <w:lvlJc w:val="left"/>
      <w:rPr>
        <w:rFonts w:hint="eastAsia"/>
      </w:rPr>
    </w:lvl>
  </w:abstractNum>
  <w:abstractNum w:abstractNumId="3">
    <w:nsid w:val="DF8C18D4"/>
    <w:multiLevelType w:val="singleLevel"/>
    <w:tmpl w:val="DF8C18D4"/>
    <w:lvl w:ilvl="0" w:tentative="0">
      <w:start w:val="2"/>
      <w:numFmt w:val="chineseCounting"/>
      <w:suff w:val="nothing"/>
      <w:lvlText w:val="（%1）"/>
      <w:lvlJc w:val="left"/>
      <w:rPr>
        <w:rFonts w:hint="eastAsia"/>
      </w:rPr>
    </w:lvl>
  </w:abstractNum>
  <w:abstractNum w:abstractNumId="4">
    <w:nsid w:val="E7C5BDAE"/>
    <w:multiLevelType w:val="singleLevel"/>
    <w:tmpl w:val="E7C5BDAE"/>
    <w:lvl w:ilvl="0" w:tentative="0">
      <w:start w:val="5"/>
      <w:numFmt w:val="chineseCounting"/>
      <w:suff w:val="nothing"/>
      <w:lvlText w:val="%1、"/>
      <w:lvlJc w:val="left"/>
      <w:rPr>
        <w:rFonts w:hint="eastAsia"/>
      </w:rPr>
    </w:lvl>
  </w:abstractNum>
  <w:abstractNum w:abstractNumId="5">
    <w:nsid w:val="FFFE2705"/>
    <w:multiLevelType w:val="singleLevel"/>
    <w:tmpl w:val="FFFE2705"/>
    <w:lvl w:ilvl="0" w:tentative="0">
      <w:start w:val="11"/>
      <w:numFmt w:val="chineseCounting"/>
      <w:suff w:val="nothing"/>
      <w:lvlText w:val="%1、"/>
      <w:lvlJc w:val="left"/>
      <w:rPr>
        <w:rFonts w:hint="eastAsia"/>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NGIyYTU5MGI4YWRjZmNlY2UyN2M0MTA1MzE2NmUwYTEifQ=="/>
  </w:docVars>
  <w:rsids>
    <w:rsidRoot w:val="00BC67C0"/>
    <w:rsid w:val="000725EE"/>
    <w:rsid w:val="00100214"/>
    <w:rsid w:val="001E62CC"/>
    <w:rsid w:val="002446F0"/>
    <w:rsid w:val="00265D7C"/>
    <w:rsid w:val="003B7C1C"/>
    <w:rsid w:val="00415104"/>
    <w:rsid w:val="004D1C84"/>
    <w:rsid w:val="005655FF"/>
    <w:rsid w:val="00586216"/>
    <w:rsid w:val="006D7FA3"/>
    <w:rsid w:val="00AD47F0"/>
    <w:rsid w:val="00B31B5B"/>
    <w:rsid w:val="00BC67C0"/>
    <w:rsid w:val="00C73E93"/>
    <w:rsid w:val="00E96875"/>
    <w:rsid w:val="00F7295E"/>
    <w:rsid w:val="00FA2676"/>
    <w:rsid w:val="00FA282E"/>
    <w:rsid w:val="00FA5208"/>
    <w:rsid w:val="3FFDA9B3"/>
    <w:rsid w:val="679FCE32"/>
    <w:rsid w:val="6EF5122E"/>
    <w:rsid w:val="6F9FB809"/>
    <w:rsid w:val="73EDABB3"/>
    <w:rsid w:val="77D45DFF"/>
    <w:rsid w:val="81F62357"/>
    <w:rsid w:val="BFCF3A41"/>
    <w:rsid w:val="FF071B22"/>
    <w:rsid w:val="FF7B48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0" w:line="576" w:lineRule="exact"/>
      <w:ind w:firstLine="200" w:firstLineChars="200"/>
    </w:pPr>
    <w:rPr>
      <w:rFonts w:ascii="Times New Roman" w:hAnsi="Times New Roman" w:eastAsia="仿宋_GB2312"/>
      <w:sz w:val="32"/>
      <w:szCs w:val="32"/>
    </w:rPr>
  </w:style>
  <w:style w:type="paragraph" w:styleId="3">
    <w:name w:val="Body Text Indent"/>
    <w:basedOn w:val="1"/>
    <w:qFormat/>
    <w:uiPriority w:val="0"/>
    <w:pPr>
      <w:spacing w:after="120"/>
      <w:ind w:left="200" w:leftChars="200"/>
    </w:pPr>
  </w:style>
  <w:style w:type="paragraph" w:styleId="7">
    <w:name w:val="caption"/>
    <w:basedOn w:val="1"/>
    <w:next w:val="1"/>
    <w:qFormat/>
    <w:uiPriority w:val="0"/>
    <w:pPr>
      <w:suppressLineNumbers/>
      <w:spacing w:before="120" w:after="120"/>
    </w:pPr>
    <w:rPr>
      <w:i/>
      <w:iCs/>
      <w:sz w:val="24"/>
    </w:rPr>
  </w:style>
  <w:style w:type="paragraph" w:styleId="8">
    <w:name w:val="Body Text"/>
    <w:basedOn w:val="1"/>
    <w:qFormat/>
    <w:uiPriority w:val="0"/>
    <w:pPr>
      <w:spacing w:after="140" w:line="276" w:lineRule="auto"/>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tabs>
        <w:tab w:val="center" w:pos="4153"/>
        <w:tab w:val="right" w:pos="8306"/>
      </w:tabs>
      <w:snapToGrid w:val="0"/>
    </w:pPr>
    <w:rPr>
      <w:sz w:val="18"/>
    </w:rPr>
  </w:style>
  <w:style w:type="paragraph" w:styleId="11">
    <w:name w:val="toc 1"/>
    <w:basedOn w:val="1"/>
    <w:next w:val="1"/>
    <w:qFormat/>
    <w:uiPriority w:val="0"/>
  </w:style>
  <w:style w:type="paragraph" w:styleId="12">
    <w:name w:val="List"/>
    <w:basedOn w:val="8"/>
    <w:qFormat/>
    <w:uiPriority w:val="0"/>
  </w:style>
  <w:style w:type="paragraph" w:styleId="13">
    <w:name w:val="toc 2"/>
    <w:basedOn w:val="1"/>
    <w:next w:val="1"/>
    <w:qFormat/>
    <w:uiPriority w:val="0"/>
    <w:pPr>
      <w:ind w:left="200" w:leftChars="200"/>
    </w:pPr>
  </w:style>
  <w:style w:type="paragraph" w:styleId="14">
    <w:name w:val="Normal (Web)"/>
    <w:basedOn w:val="1"/>
    <w:qFormat/>
    <w:uiPriority w:val="0"/>
    <w:rPr>
      <w:sz w:val="24"/>
    </w:rPr>
  </w:style>
  <w:style w:type="character" w:customStyle="1" w:styleId="17">
    <w:name w:val="默认段落字体1"/>
    <w:qFormat/>
    <w:uiPriority w:val="0"/>
  </w:style>
  <w:style w:type="paragraph" w:customStyle="1" w:styleId="18">
    <w:name w:val="Heading"/>
    <w:basedOn w:val="1"/>
    <w:next w:val="8"/>
    <w:qFormat/>
    <w:uiPriority w:val="0"/>
    <w:pPr>
      <w:keepNext/>
      <w:spacing w:before="240" w:after="120"/>
    </w:pPr>
    <w:rPr>
      <w:rFonts w:ascii="Liberation Sans" w:hAnsi="Liberation Sans" w:eastAsia="Noto Sans CJK SC Regular" w:cs="Noto Sans CJK SC Regular"/>
      <w:sz w:val="28"/>
      <w:szCs w:val="28"/>
    </w:rPr>
  </w:style>
  <w:style w:type="paragraph" w:customStyle="1" w:styleId="19">
    <w:name w:val="Index"/>
    <w:basedOn w:val="1"/>
    <w:qFormat/>
    <w:uiPriority w:val="0"/>
    <w:pPr>
      <w:suppressLineNumbers/>
    </w:p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748</Words>
  <Characters>4265</Characters>
  <Lines>1</Lines>
  <Paragraphs>1</Paragraphs>
  <TotalTime>5</TotalTime>
  <ScaleCrop>false</ScaleCrop>
  <LinksUpToDate>false</LinksUpToDate>
  <CharactersWithSpaces>5003</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2018-12-01T17:47:00Z</dcterms:created>
  <dc:creator>admin</dc:creator>
  <cp:lastModifiedBy> </cp:lastModifiedBy>
  <dcterms:modified xsi:type="dcterms:W3CDTF">2024-02-27T17:39:26Z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