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广元市人民政府驻北京联络处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hint="eastAsia" w:ascii="黑体" w:hAnsi="黑体" w:eastAsia="黑体" w:cs="黑体"/>
          <w:color w:val="auto"/>
          <w:kern w:val="2"/>
          <w:sz w:val="32"/>
          <w:szCs w:val="32"/>
          <w:highlight w:val="none"/>
          <w:lang w:val="en-US" w:eastAsia="zh-CN" w:bidi="ar-SA"/>
        </w:rPr>
        <w:id w:val="147459016"/>
        <w15:color w:val="DBDBDB"/>
        <w:docPartObj>
          <w:docPartGallery w:val="Table of Contents"/>
          <w:docPartUnique/>
        </w:docPartObj>
      </w:sdtPr>
      <w:sdtEndPr>
        <w:rPr>
          <w:rFonts w:hint="eastAsia" w:ascii="黑体" w:hAnsi="黑体" w:eastAsia="黑体" w:cs="黑体"/>
          <w:b/>
          <w:color w:val="auto"/>
          <w:kern w:val="2"/>
          <w:sz w:val="32"/>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目</w:t>
          </w:r>
          <w:r>
            <w:rPr>
              <w:rFonts w:hint="eastAsia" w:ascii="黑体" w:hAnsi="黑体" w:eastAsia="黑体" w:cs="黑体"/>
              <w:sz w:val="32"/>
              <w:szCs w:val="32"/>
              <w:highlight w:val="none"/>
              <w:lang w:val="en-US" w:eastAsia="zh-CN"/>
            </w:rPr>
            <w:t xml:space="preserve">   </w:t>
          </w:r>
          <w:r>
            <w:rPr>
              <w:rFonts w:hint="eastAsia" w:ascii="黑体" w:hAnsi="黑体" w:eastAsia="黑体" w:cs="黑体"/>
              <w:sz w:val="32"/>
              <w:szCs w:val="32"/>
              <w:highlight w:val="none"/>
            </w:rPr>
            <w:t>录</w:t>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highlight w:val="none"/>
            </w:rPr>
            <w:fldChar w:fldCharType="begin"/>
          </w:r>
          <w:r>
            <w:rPr>
              <w:highlight w:val="none"/>
            </w:rPr>
            <w:instrText xml:space="preserve">TOC \o "1-2" \h \u </w:instrText>
          </w:r>
          <w:r>
            <w:rPr>
              <w:highlight w:val="none"/>
            </w:rPr>
            <w:fldChar w:fldCharType="separate"/>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_Toc885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一、基本职能及主要工作</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_Toc885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1</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_Toc21519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（一）</w:t>
          </w:r>
          <w:r>
            <w:rPr>
              <w:rFonts w:hint="eastAsia" w:ascii="仿宋" w:hAnsi="仿宋" w:eastAsia="仿宋" w:cs="仿宋"/>
              <w:sz w:val="32"/>
              <w:szCs w:val="32"/>
              <w:highlight w:val="none"/>
              <w:lang w:val="en-US" w:eastAsia="zh-CN"/>
            </w:rPr>
            <w:t>广元市人民政府驻北京联络处</w:t>
          </w:r>
          <w:r>
            <w:rPr>
              <w:rFonts w:hint="eastAsia" w:ascii="仿宋" w:hAnsi="仿宋" w:eastAsia="仿宋" w:cs="仿宋"/>
              <w:sz w:val="32"/>
              <w:szCs w:val="32"/>
              <w:highlight w:val="none"/>
            </w:rPr>
            <w:t>职能简介</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_Toc21519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1</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_Toc24892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（二）</w:t>
          </w:r>
          <w:r>
            <w:rPr>
              <w:rFonts w:hint="eastAsia" w:ascii="仿宋" w:hAnsi="仿宋" w:eastAsia="仿宋" w:cs="仿宋"/>
              <w:sz w:val="32"/>
              <w:szCs w:val="32"/>
              <w:highlight w:val="none"/>
              <w:lang w:val="en-US" w:eastAsia="zh-CN"/>
            </w:rPr>
            <w:t>广元市人民政府驻北京联络处</w:t>
          </w:r>
          <w:r>
            <w:rPr>
              <w:rFonts w:hint="eastAsia" w:ascii="仿宋" w:hAnsi="仿宋" w:eastAsia="仿宋" w:cs="仿宋"/>
              <w:sz w:val="32"/>
              <w:szCs w:val="32"/>
              <w:highlight w:val="none"/>
              <w:lang w:val="en-US"/>
            </w:rPr>
            <w:t>2024</w:t>
          </w:r>
          <w:r>
            <w:rPr>
              <w:rFonts w:hint="eastAsia" w:ascii="仿宋" w:hAnsi="仿宋" w:eastAsia="仿宋" w:cs="仿宋"/>
              <w:sz w:val="32"/>
              <w:szCs w:val="32"/>
              <w:highlight w:val="none"/>
            </w:rPr>
            <w:t>年重点工作</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_Toc24892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1</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_Toc56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二、部门预算单位构成</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_Toc56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_Toc17774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三、收支预算情况说明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_Toc17774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2</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_Toc28218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（一）收入预算情况</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_Toc28218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3</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_Toc11705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（二）支出预算情况</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_Toc11705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3</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_Toc6148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四、财政拨款收支预算情况说明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_Toc6148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3</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_Toc7037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五、一般公共预算当年拨款情况说明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_Toc7037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3</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_Toc21493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（一）一般公共预算当年拨款规模变化情况</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_Toc21493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3</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_Toc1044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（二）一般公共预算当年拨款结构情况</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_Toc1044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4</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3"/>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_Toc16528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（三）一般公共预算当年拨款具体使用情况</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_Toc16528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4</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_Toc22593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六、一般公共预算基本支出情况说明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_Toc22593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5</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_Toc20143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七、“三公”经费财政拨款预算安排情况说明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_Toc20143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5</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_Toc1038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八、政府性基金预算支出情况说明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_Toc1038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_Toc26217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九、国有资本经营预算支出情况说明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_Toc26217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_Toc4770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十、其他重要事项的情况说明</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_Toc4770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pStyle w:val="11"/>
            <w:keepNext w:val="0"/>
            <w:keepLines w:val="0"/>
            <w:pageBreakBefore w:val="0"/>
            <w:widowControl w:val="0"/>
            <w:tabs>
              <w:tab w:val="right" w:leader="dot" w:pos="8845"/>
            </w:tabs>
            <w:kinsoku/>
            <w:wordWrap/>
            <w:overflowPunct/>
            <w:topLinePunct w:val="0"/>
            <w:autoSpaceDE/>
            <w:autoSpaceDN/>
            <w:bidi w:val="0"/>
            <w:adjustRightInd/>
            <w:snapToGrid/>
            <w:spacing w:line="520" w:lineRule="exact"/>
            <w:ind w:left="0" w:leftChars="0"/>
            <w:textAlignment w:val="auto"/>
            <w:rPr>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_Toc17414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lang w:val="en-US" w:eastAsia="zh-CN"/>
            </w:rPr>
            <w:t>十一、名词解释</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_Toc17414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7</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pP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highlight w:val="none"/>
            </w:rP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Style w:val="20"/>
          <w:rFonts w:hint="eastAsia"/>
          <w:highlight w:val="none"/>
        </w:rPr>
      </w:pPr>
      <w:bookmarkStart w:id="0" w:name="_Toc885"/>
      <w:r>
        <w:rPr>
          <w:rFonts w:hint="eastAsia" w:ascii="黑体" w:hAnsi="黑体" w:eastAsia="黑体" w:cs="黑体"/>
          <w:sz w:val="32"/>
          <w:szCs w:val="32"/>
          <w:highlight w:val="none"/>
          <w:lang w:val="en-US" w:eastAsia="zh-CN"/>
        </w:rPr>
        <w:t>一、</w:t>
      </w:r>
      <w:r>
        <w:rPr>
          <w:rStyle w:val="20"/>
          <w:rFonts w:hint="eastAsia"/>
          <w:highlight w:val="none"/>
          <w:lang w:val="en-US" w:eastAsia="zh-CN"/>
        </w:rPr>
        <w:t>基本职能及主要工作</w:t>
      </w:r>
      <w:bookmarkEnd w:id="0"/>
    </w:p>
    <w:p>
      <w:pPr>
        <w:pStyle w:val="6"/>
        <w:bidi w:val="0"/>
        <w:rPr>
          <w:rFonts w:hint="eastAsia"/>
          <w:highlight w:val="none"/>
        </w:rPr>
      </w:pPr>
      <w:bookmarkStart w:id="1" w:name="_Toc21519"/>
      <w:r>
        <w:rPr>
          <w:rFonts w:hint="eastAsia"/>
          <w:highlight w:val="none"/>
        </w:rPr>
        <w:t>（一）</w:t>
      </w:r>
      <w:r>
        <w:rPr>
          <w:rFonts w:hint="eastAsia"/>
          <w:highlight w:val="none"/>
          <w:lang w:val="en-US" w:eastAsia="zh-CN"/>
        </w:rPr>
        <w:t>广元市人民政府驻北京联络处</w:t>
      </w:r>
      <w:r>
        <w:rPr>
          <w:rFonts w:hint="eastAsia"/>
          <w:highlight w:val="none"/>
        </w:rPr>
        <w:t>职能简介</w:t>
      </w:r>
      <w:bookmarkEnd w:id="1"/>
    </w:p>
    <w:p>
      <w:pPr>
        <w:keepNext w:val="0"/>
        <w:keepLines w:val="0"/>
        <w:pageBreakBefore w:val="0"/>
        <w:kinsoku/>
        <w:wordWrap/>
        <w:overflowPunct/>
        <w:topLinePunct w:val="0"/>
        <w:autoSpaceDE/>
        <w:autoSpaceDN/>
        <w:bidi w:val="0"/>
        <w:adjustRightInd/>
        <w:snapToGrid/>
        <w:spacing w:line="576" w:lineRule="exact"/>
        <w:ind w:firstLine="560" w:firstLineChars="200"/>
        <w:textAlignment w:val="auto"/>
        <w:rPr>
          <w:rFonts w:hint="eastAsia" w:ascii="楷体_GB2312" w:hAnsi="楷体_GB2312" w:eastAsia="楷体_GB2312" w:cs="楷体_GB2312"/>
          <w:sz w:val="32"/>
          <w:szCs w:val="32"/>
          <w:highlight w:val="none"/>
        </w:rPr>
      </w:pPr>
      <w:r>
        <w:rPr>
          <w:rFonts w:hint="eastAsia" w:ascii="宋体" w:hAnsi="宋体" w:cs="宋体"/>
          <w:b w:val="0"/>
          <w:bCs/>
          <w:i w:val="0"/>
          <w:caps w:val="0"/>
          <w:color w:val="333333"/>
          <w:spacing w:val="0"/>
          <w:sz w:val="28"/>
          <w:szCs w:val="28"/>
          <w:highlight w:val="none"/>
          <w:shd w:val="clear" w:color="auto" w:fill="FFFFFF"/>
          <w:lang w:val="en-US" w:eastAsia="zh-CN"/>
        </w:rPr>
        <w:t>一是</w:t>
      </w:r>
      <w:r>
        <w:rPr>
          <w:rFonts w:hint="eastAsia" w:ascii="仿宋" w:hAnsi="仿宋" w:eastAsia="仿宋"/>
          <w:sz w:val="32"/>
          <w:szCs w:val="32"/>
          <w:highlight w:val="none"/>
        </w:rPr>
        <w:t>代表市委、市政府联系中央和国家机关，完成市级领导交办的各项任务。</w:t>
      </w:r>
      <w:r>
        <w:rPr>
          <w:rFonts w:hint="eastAsia" w:ascii="仿宋" w:hAnsi="仿宋" w:eastAsia="仿宋"/>
          <w:sz w:val="32"/>
          <w:szCs w:val="32"/>
          <w:highlight w:val="none"/>
          <w:lang w:val="en-US" w:eastAsia="zh-CN"/>
        </w:rPr>
        <w:t>二是</w:t>
      </w:r>
      <w:r>
        <w:rPr>
          <w:rFonts w:hint="eastAsia" w:ascii="仿宋" w:hAnsi="仿宋" w:eastAsia="仿宋"/>
          <w:sz w:val="32"/>
          <w:szCs w:val="32"/>
          <w:highlight w:val="none"/>
        </w:rPr>
        <w:t>收集、整理各类重要信息，为市委、市政府决策提供参考依据。</w:t>
      </w:r>
      <w:r>
        <w:rPr>
          <w:rFonts w:hint="eastAsia" w:ascii="仿宋" w:hAnsi="仿宋" w:eastAsia="仿宋"/>
          <w:sz w:val="32"/>
          <w:szCs w:val="32"/>
          <w:highlight w:val="none"/>
          <w:lang w:val="en-US" w:eastAsia="zh-CN"/>
        </w:rPr>
        <w:t>三是</w:t>
      </w:r>
      <w:r>
        <w:rPr>
          <w:rFonts w:hint="eastAsia" w:ascii="仿宋" w:hAnsi="仿宋" w:eastAsia="仿宋"/>
          <w:sz w:val="32"/>
          <w:szCs w:val="32"/>
          <w:highlight w:val="none"/>
        </w:rPr>
        <w:t>负责市委、市人大、市政府、市政协领导在京的接待工作。</w:t>
      </w:r>
      <w:r>
        <w:rPr>
          <w:rFonts w:hint="eastAsia" w:ascii="仿宋" w:hAnsi="仿宋" w:eastAsia="仿宋"/>
          <w:sz w:val="32"/>
          <w:szCs w:val="32"/>
          <w:highlight w:val="none"/>
          <w:lang w:val="en-US" w:eastAsia="zh-CN"/>
        </w:rPr>
        <w:t>四是</w:t>
      </w:r>
      <w:r>
        <w:rPr>
          <w:rFonts w:hint="eastAsia" w:ascii="仿宋" w:hAnsi="仿宋" w:eastAsia="仿宋"/>
          <w:sz w:val="32"/>
          <w:szCs w:val="32"/>
          <w:highlight w:val="none"/>
        </w:rPr>
        <w:t>协助市级各部门做好招商引资工作。</w:t>
      </w:r>
      <w:r>
        <w:rPr>
          <w:rFonts w:hint="eastAsia" w:ascii="仿宋" w:hAnsi="仿宋" w:eastAsia="仿宋"/>
          <w:sz w:val="32"/>
          <w:szCs w:val="32"/>
          <w:highlight w:val="none"/>
          <w:lang w:val="en-US" w:eastAsia="zh-CN"/>
        </w:rPr>
        <w:t>五是</w:t>
      </w:r>
      <w:r>
        <w:rPr>
          <w:rFonts w:hint="eastAsia" w:ascii="仿宋" w:hAnsi="仿宋" w:eastAsia="仿宋"/>
          <w:sz w:val="32"/>
          <w:szCs w:val="32"/>
          <w:highlight w:val="none"/>
        </w:rPr>
        <w:t>承办</w:t>
      </w:r>
      <w:r>
        <w:rPr>
          <w:rFonts w:hint="eastAsia" w:ascii="仿宋" w:hAnsi="仿宋" w:eastAsia="仿宋"/>
          <w:sz w:val="32"/>
          <w:szCs w:val="32"/>
          <w:highlight w:val="none"/>
          <w:lang w:val="en-US" w:eastAsia="zh-CN"/>
        </w:rPr>
        <w:t>广元</w:t>
      </w:r>
      <w:r>
        <w:rPr>
          <w:rFonts w:hint="eastAsia" w:ascii="仿宋" w:hAnsi="仿宋" w:eastAsia="仿宋"/>
          <w:sz w:val="32"/>
          <w:szCs w:val="32"/>
          <w:highlight w:val="none"/>
        </w:rPr>
        <w:t>市</w:t>
      </w:r>
      <w:r>
        <w:rPr>
          <w:rFonts w:hint="eastAsia" w:ascii="仿宋" w:hAnsi="仿宋" w:eastAsia="仿宋"/>
          <w:sz w:val="32"/>
          <w:szCs w:val="32"/>
          <w:highlight w:val="none"/>
          <w:lang w:val="en-US" w:eastAsia="zh-CN"/>
        </w:rPr>
        <w:t>人民</w:t>
      </w:r>
      <w:r>
        <w:rPr>
          <w:rFonts w:hint="eastAsia" w:ascii="仿宋" w:hAnsi="仿宋" w:eastAsia="仿宋"/>
          <w:sz w:val="32"/>
          <w:szCs w:val="32"/>
          <w:highlight w:val="none"/>
        </w:rPr>
        <w:t>政府交办的其它事项。</w:t>
      </w:r>
    </w:p>
    <w:p>
      <w:pPr>
        <w:pStyle w:val="6"/>
        <w:numPr>
          <w:ilvl w:val="0"/>
          <w:numId w:val="1"/>
        </w:numPr>
        <w:bidi w:val="0"/>
        <w:rPr>
          <w:rFonts w:hint="eastAsia"/>
          <w:highlight w:val="none"/>
        </w:rPr>
      </w:pPr>
      <w:bookmarkStart w:id="2" w:name="_Toc24892"/>
      <w:r>
        <w:rPr>
          <w:rFonts w:hint="eastAsia"/>
          <w:highlight w:val="none"/>
          <w:lang w:val="en-US" w:eastAsia="zh-CN"/>
        </w:rPr>
        <w:t>广元市人民政府驻北京联络处</w:t>
      </w:r>
      <w:r>
        <w:rPr>
          <w:rFonts w:hint="eastAsia"/>
          <w:highlight w:val="none"/>
          <w:lang w:val="en-US"/>
        </w:rPr>
        <w:t>2024</w:t>
      </w:r>
      <w:r>
        <w:rPr>
          <w:rFonts w:hint="eastAsia"/>
          <w:highlight w:val="none"/>
        </w:rPr>
        <w:t>年重点工作</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年，市政府驻京联络处将继续做好在京信访维稳、对外联络、</w:t>
      </w:r>
      <w:r>
        <w:rPr>
          <w:rFonts w:hint="eastAsia" w:ascii="仿宋_GB2312" w:hAnsi="仿宋_GB2312" w:eastAsia="仿宋_GB2312" w:cs="仿宋_GB2312"/>
          <w:sz w:val="32"/>
          <w:szCs w:val="32"/>
          <w:highlight w:val="none"/>
          <w:lang w:eastAsia="zh-CN"/>
        </w:rPr>
        <w:t>招商引资</w:t>
      </w:r>
      <w:r>
        <w:rPr>
          <w:rFonts w:hint="eastAsia" w:ascii="仿宋_GB2312" w:hAnsi="仿宋_GB2312" w:eastAsia="仿宋_GB2312" w:cs="仿宋_GB2312"/>
          <w:sz w:val="32"/>
          <w:szCs w:val="32"/>
          <w:highlight w:val="none"/>
        </w:rPr>
        <w:t>、政务服务、乡友沟通、农民工服务等工作，为广元加快建设川陕甘结合部现代化中心城市贡献驻京力量。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_GB2312" w:hAnsi="楷体_GB2312" w:eastAsia="楷体_GB2312" w:cs="楷体_GB2312"/>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lang w:val="en-US" w:eastAsia="zh-CN"/>
        </w:rPr>
        <w:t>是</w:t>
      </w:r>
      <w:r>
        <w:rPr>
          <w:rFonts w:hint="eastAsia" w:ascii="楷体" w:hAnsi="楷体" w:eastAsia="楷体" w:cs="楷体"/>
          <w:sz w:val="32"/>
          <w:szCs w:val="32"/>
          <w:highlight w:val="none"/>
          <w:lang w:eastAsia="zh-CN"/>
        </w:rPr>
        <w:t>以更高站位强化党建引领。</w:t>
      </w:r>
      <w:r>
        <w:rPr>
          <w:rFonts w:hint="eastAsia" w:ascii="仿宋_GB2312" w:hAnsi="仿宋_GB2312" w:eastAsia="仿宋_GB2312" w:cs="仿宋_GB2312"/>
          <w:sz w:val="32"/>
          <w:szCs w:val="32"/>
          <w:highlight w:val="none"/>
          <w:lang w:eastAsia="zh-CN"/>
        </w:rPr>
        <w:t>深刻认识领会新时代党建工作新要求，学深悟透党的二十大精神，持续巩固拓展主题教育成果，铭记关怀、不负重托、感恩奋进，强化行动自觉，做习近平总书记来川来广视察重要指示精神的坚定践行者。</w:t>
      </w:r>
      <w:r>
        <w:rPr>
          <w:rFonts w:hint="eastAsia" w:ascii="楷体" w:hAnsi="楷体" w:eastAsia="楷体" w:cs="楷体"/>
          <w:sz w:val="32"/>
          <w:szCs w:val="32"/>
          <w:highlight w:val="none"/>
          <w:lang w:eastAsia="zh-CN"/>
        </w:rPr>
        <w:t>二</w:t>
      </w:r>
      <w:r>
        <w:rPr>
          <w:rFonts w:hint="eastAsia" w:ascii="楷体" w:hAnsi="楷体" w:eastAsia="楷体" w:cs="楷体"/>
          <w:sz w:val="32"/>
          <w:szCs w:val="32"/>
          <w:highlight w:val="none"/>
          <w:lang w:val="en-US" w:eastAsia="zh-CN"/>
        </w:rPr>
        <w:t>是</w:t>
      </w:r>
      <w:r>
        <w:rPr>
          <w:rFonts w:hint="eastAsia" w:ascii="楷体" w:hAnsi="楷体" w:eastAsia="楷体" w:cs="楷体"/>
          <w:sz w:val="32"/>
          <w:szCs w:val="32"/>
          <w:highlight w:val="none"/>
          <w:lang w:eastAsia="zh-CN"/>
        </w:rPr>
        <w:t>全力做好信访维稳工作。</w:t>
      </w:r>
      <w:r>
        <w:rPr>
          <w:rFonts w:hint="eastAsia" w:ascii="仿宋_GB2312" w:hAnsi="仿宋_GB2312" w:eastAsia="仿宋_GB2312" w:cs="仿宋_GB2312"/>
          <w:sz w:val="32"/>
          <w:szCs w:val="32"/>
          <w:highlight w:val="none"/>
          <w:lang w:eastAsia="zh-CN"/>
        </w:rPr>
        <w:t>把主题教育调查研究课题结果及时转化，下足啃硬骨头的决心，调动一切可以调动的力量和有效资源，进一步化解积案难案，减少信访存量，做好对相关人员的稳控化解，做好对调处情况的协查反馈，将群体性风险隐患消除在萌芽状态。</w:t>
      </w:r>
      <w:r>
        <w:rPr>
          <w:rFonts w:hint="eastAsia" w:ascii="楷体" w:hAnsi="楷体" w:eastAsia="楷体" w:cs="楷体"/>
          <w:sz w:val="32"/>
          <w:szCs w:val="32"/>
          <w:highlight w:val="none"/>
          <w:lang w:eastAsia="zh-CN"/>
        </w:rPr>
        <w:t>三</w:t>
      </w:r>
      <w:r>
        <w:rPr>
          <w:rFonts w:hint="eastAsia" w:ascii="楷体" w:hAnsi="楷体" w:eastAsia="楷体" w:cs="楷体"/>
          <w:sz w:val="32"/>
          <w:szCs w:val="32"/>
          <w:highlight w:val="none"/>
          <w:lang w:val="en-US" w:eastAsia="zh-CN"/>
        </w:rPr>
        <w:t>是</w:t>
      </w:r>
      <w:r>
        <w:rPr>
          <w:rFonts w:hint="eastAsia" w:ascii="楷体" w:hAnsi="楷体" w:eastAsia="楷体" w:cs="楷体"/>
          <w:sz w:val="32"/>
          <w:szCs w:val="32"/>
          <w:highlight w:val="none"/>
          <w:lang w:eastAsia="zh-CN"/>
        </w:rPr>
        <w:t>扎实开展招商引资工作。</w:t>
      </w:r>
      <w:r>
        <w:rPr>
          <w:rFonts w:hint="eastAsia" w:ascii="仿宋_GB2312" w:hAnsi="仿宋_GB2312" w:eastAsia="仿宋_GB2312" w:cs="仿宋_GB2312"/>
          <w:sz w:val="32"/>
          <w:szCs w:val="32"/>
          <w:highlight w:val="none"/>
          <w:lang w:val="en-US" w:eastAsia="zh-CN"/>
        </w:rPr>
        <w:t>2024年联络处将新增招商引资职责，我处将以“1345”发展战略为指引，紧紧</w:t>
      </w:r>
      <w:r>
        <w:rPr>
          <w:rFonts w:hint="eastAsia" w:ascii="仿宋_GB2312" w:hAnsi="仿宋_GB2312" w:eastAsia="仿宋_GB2312" w:cs="仿宋_GB2312"/>
          <w:sz w:val="32"/>
          <w:szCs w:val="32"/>
          <w:highlight w:val="none"/>
          <w:lang w:eastAsia="zh-CN"/>
        </w:rPr>
        <w:t>围绕产业布局，聚焦补链延链强链，积极谋划招商工作，不断创新招商方式，精心组织招商活动，确保招商引资任务圆满完成。</w:t>
      </w:r>
      <w:r>
        <w:rPr>
          <w:rFonts w:hint="eastAsia" w:ascii="楷体" w:hAnsi="楷体" w:eastAsia="楷体" w:cs="楷体"/>
          <w:sz w:val="32"/>
          <w:szCs w:val="32"/>
          <w:highlight w:val="none"/>
          <w:lang w:eastAsia="zh-CN"/>
        </w:rPr>
        <w:t>四</w:t>
      </w:r>
      <w:r>
        <w:rPr>
          <w:rFonts w:hint="eastAsia" w:ascii="楷体" w:hAnsi="楷体" w:eastAsia="楷体" w:cs="楷体"/>
          <w:sz w:val="32"/>
          <w:szCs w:val="32"/>
          <w:highlight w:val="none"/>
          <w:lang w:val="en-US" w:eastAsia="zh-CN"/>
        </w:rPr>
        <w:t>是</w:t>
      </w:r>
      <w:r>
        <w:rPr>
          <w:rFonts w:hint="eastAsia" w:ascii="楷体" w:hAnsi="楷体" w:eastAsia="楷体" w:cs="楷体"/>
          <w:sz w:val="32"/>
          <w:szCs w:val="32"/>
          <w:highlight w:val="none"/>
          <w:lang w:eastAsia="zh-CN"/>
        </w:rPr>
        <w:t>做实做细联络保障服务。</w:t>
      </w:r>
      <w:r>
        <w:rPr>
          <w:rFonts w:hint="eastAsia" w:ascii="仿宋_GB2312" w:hAnsi="仿宋_GB2312" w:eastAsia="仿宋_GB2312" w:cs="仿宋_GB2312"/>
          <w:sz w:val="32"/>
          <w:szCs w:val="32"/>
          <w:highlight w:val="none"/>
        </w:rPr>
        <w:t>着眼广元发展中心大局，充分发挥在京职能作用，</w:t>
      </w:r>
      <w:r>
        <w:rPr>
          <w:rFonts w:hint="eastAsia" w:ascii="仿宋_GB2312" w:hAnsi="仿宋_GB2312" w:eastAsia="仿宋_GB2312" w:cs="仿宋_GB2312"/>
          <w:sz w:val="32"/>
          <w:szCs w:val="32"/>
          <w:highlight w:val="none"/>
          <w:lang w:eastAsia="zh-CN"/>
        </w:rPr>
        <w:t>全力做好公务活动服务保障，</w:t>
      </w:r>
      <w:r>
        <w:rPr>
          <w:rFonts w:hint="eastAsia" w:ascii="仿宋_GB2312" w:hAnsi="仿宋_GB2312" w:eastAsia="仿宋_GB2312" w:cs="仿宋_GB2312"/>
          <w:sz w:val="32"/>
          <w:szCs w:val="32"/>
          <w:highlight w:val="none"/>
        </w:rPr>
        <w:t>积极拓展与国家有关部委、央企、高校、科研机构的沟通渠道，抓住“十四五”规划实施的重大机遇，紧盯国家发展方向和投资重点，持续做好“借智借势借力”大文章，拓展经济协作渠道、人脉、信息、项目资源</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，抓好重要项目线索推介和协调服务，协助重大项目落地落实。</w:t>
      </w:r>
      <w:r>
        <w:rPr>
          <w:rFonts w:hint="eastAsia" w:ascii="楷体" w:hAnsi="楷体" w:eastAsia="楷体" w:cs="楷体"/>
          <w:sz w:val="32"/>
          <w:szCs w:val="32"/>
          <w:highlight w:val="none"/>
          <w:lang w:eastAsia="zh-CN"/>
        </w:rPr>
        <w:t>五</w:t>
      </w:r>
      <w:r>
        <w:rPr>
          <w:rFonts w:hint="eastAsia" w:ascii="楷体" w:hAnsi="楷体" w:eastAsia="楷体" w:cs="楷体"/>
          <w:sz w:val="32"/>
          <w:szCs w:val="32"/>
          <w:highlight w:val="none"/>
          <w:lang w:val="en-US" w:eastAsia="zh-CN"/>
        </w:rPr>
        <w:t>是进一步搭建好为民服务的平台</w:t>
      </w:r>
      <w:r>
        <w:rPr>
          <w:rFonts w:hint="eastAsia" w:ascii="楷体" w:hAnsi="楷体" w:eastAsia="楷体" w:cs="楷体"/>
          <w:sz w:val="32"/>
          <w:szCs w:val="32"/>
          <w:highlight w:val="none"/>
          <w:lang w:eastAsia="zh-CN"/>
        </w:rPr>
        <w:t>。</w:t>
      </w:r>
      <w:r>
        <w:rPr>
          <w:rFonts w:hint="eastAsia" w:ascii="仿宋_GB2312" w:hAnsi="仿宋_GB2312" w:eastAsia="仿宋_GB2312" w:cs="仿宋_GB2312"/>
          <w:sz w:val="32"/>
          <w:szCs w:val="32"/>
          <w:highlight w:val="none"/>
        </w:rPr>
        <w:t>牢固树立以人民为中心的发展思想，以“我为群众办实事”为抓手，深入做实做细在京流动党员、农民工和上访群众的服务保障工作，持续深化走访慰问、维权救助、就业帮扶等服务工作。</w:t>
      </w:r>
      <w:r>
        <w:rPr>
          <w:rFonts w:hint="eastAsia" w:ascii="楷体" w:hAnsi="楷体" w:eastAsia="楷体" w:cs="楷体"/>
          <w:sz w:val="32"/>
          <w:szCs w:val="32"/>
          <w:highlight w:val="none"/>
          <w:lang w:val="en-US" w:eastAsia="zh-CN"/>
        </w:rPr>
        <w:t>六是</w:t>
      </w:r>
      <w:r>
        <w:rPr>
          <w:rFonts w:hint="eastAsia" w:ascii="仿宋_GB2312" w:hAnsi="仿宋_GB2312" w:eastAsia="仿宋_GB2312" w:cs="仿宋_GB2312"/>
          <w:sz w:val="32"/>
          <w:szCs w:val="32"/>
          <w:highlight w:val="none"/>
        </w:rPr>
        <w:t>配合省驻京办事处深化拓展“川货进京”，进一步创新对接方式，扩大对接规模，畅通广元优质农产品进京渠道，打响“广元”品牌在京影响力。</w:t>
      </w:r>
      <w:r>
        <w:rPr>
          <w:rFonts w:hint="eastAsia" w:ascii="楷体" w:hAnsi="楷体" w:eastAsia="楷体" w:cs="楷体"/>
          <w:sz w:val="32"/>
          <w:szCs w:val="32"/>
          <w:highlight w:val="none"/>
          <w:lang w:val="en-US" w:eastAsia="zh-CN"/>
        </w:rPr>
        <w:t>七是</w:t>
      </w:r>
      <w:r>
        <w:rPr>
          <w:rFonts w:hint="eastAsia" w:ascii="仿宋_GB2312" w:hAnsi="仿宋_GB2312" w:eastAsia="仿宋_GB2312" w:cs="仿宋_GB2312"/>
          <w:sz w:val="32"/>
          <w:szCs w:val="32"/>
          <w:highlight w:val="none"/>
        </w:rPr>
        <w:t>完成好市委、市政府以及省政府驻京办交办的各项工作任务。</w:t>
      </w:r>
    </w:p>
    <w:p>
      <w:pPr>
        <w:pStyle w:val="5"/>
        <w:bidi w:val="0"/>
        <w:rPr>
          <w:rFonts w:hint="eastAsia"/>
          <w:highlight w:val="none"/>
          <w:lang w:val="en-US" w:eastAsia="zh-CN"/>
        </w:rPr>
      </w:pPr>
      <w:bookmarkStart w:id="3" w:name="_Toc56"/>
      <w:r>
        <w:rPr>
          <w:rFonts w:hint="eastAsia"/>
          <w:highlight w:val="none"/>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我单位为广元市人民政府办公室的下属二级预算单位，本单位无下属机构，设有内设机构2个。</w:t>
      </w:r>
    </w:p>
    <w:p>
      <w:pPr>
        <w:pStyle w:val="5"/>
        <w:bidi w:val="0"/>
        <w:rPr>
          <w:rFonts w:hint="eastAsia"/>
          <w:highlight w:val="none"/>
        </w:rPr>
      </w:pPr>
      <w:bookmarkStart w:id="4" w:name="_Toc17774"/>
      <w:r>
        <w:rPr>
          <w:rFonts w:hint="eastAsia"/>
          <w:highlight w:val="none"/>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按照综合预算的原则，广元市人民政府驻北京联络处所有收入和支出均纳入部门预算管理。收入包括：一般公共预算拨款收入；支出包括：一般公共服务支出、社会保障和就业支出、卫生健康支出、住房保障支出。广元市人民政府驻北京联络处2024年收支预算总数316.18万元,比2023年收支预算总数增加57.27万元，主要原因是北京招商分局工作职责划给了联络处，增加了4个编制和人员，房屋租赁、人员经费等相应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5" w:name="_Toc28218"/>
      <w:r>
        <w:rPr>
          <w:rStyle w:val="21"/>
          <w:rFonts w:hint="eastAsia"/>
          <w:highlight w:val="none"/>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广元市人民政府驻北京联络处2024年收入预算316.18万元，其中：一般公共预算拨款收入316.18万元，占100%。</w:t>
      </w:r>
    </w:p>
    <w:p>
      <w:pPr>
        <w:pStyle w:val="6"/>
        <w:bidi w:val="0"/>
        <w:rPr>
          <w:rFonts w:hint="eastAsia"/>
          <w:highlight w:val="none"/>
          <w:lang w:val="en-US" w:eastAsia="zh-CN"/>
        </w:rPr>
      </w:pPr>
      <w:bookmarkStart w:id="6" w:name="_Toc11705"/>
      <w:r>
        <w:rPr>
          <w:rFonts w:hint="eastAsia"/>
          <w:highlight w:val="none"/>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广元市人民政府驻北京联络处2024年支出预算316.18万元，其中：基本支出67.98万元，占21.50%；项目支出248.2万元，占78.50%。</w:t>
      </w:r>
    </w:p>
    <w:p>
      <w:pPr>
        <w:pStyle w:val="5"/>
        <w:bidi w:val="0"/>
        <w:rPr>
          <w:rFonts w:hint="eastAsia"/>
          <w:highlight w:val="none"/>
        </w:rPr>
      </w:pPr>
      <w:bookmarkStart w:id="7" w:name="_Toc6148"/>
      <w:r>
        <w:rPr>
          <w:rFonts w:hint="eastAsia"/>
          <w:highlight w:val="none"/>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财政拨款收支预算总数316.18万元,比2023年财政拨款收支预算总数增加57.27万元，主要原因是北京招商分局工作职责划给了联络处，增加了4个编制和人员，房屋租赁、人员经费等相应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收入包括：本年一般公共预算拨款收入316.18万元；支出包括：一般公共服务支出302.48万元、社会保障和就业支出6.38万元、卫生健康支出2.02万元、住房保障支出5.29万元。</w:t>
      </w:r>
    </w:p>
    <w:p>
      <w:pPr>
        <w:pStyle w:val="5"/>
        <w:bidi w:val="0"/>
        <w:rPr>
          <w:rFonts w:hint="eastAsia"/>
          <w:highlight w:val="none"/>
          <w:lang w:val="en-US" w:eastAsia="zh-CN"/>
        </w:rPr>
      </w:pPr>
      <w:bookmarkStart w:id="8" w:name="_Toc7037"/>
      <w:r>
        <w:rPr>
          <w:rFonts w:hint="eastAsia"/>
          <w:highlight w:val="none"/>
          <w:lang w:val="en-US" w:eastAsia="zh-CN"/>
        </w:rPr>
        <w:t>五、一般公共预算当年拨款情况说明</w:t>
      </w:r>
      <w:bookmarkEnd w:id="8"/>
    </w:p>
    <w:p>
      <w:pPr>
        <w:pStyle w:val="6"/>
        <w:bidi w:val="0"/>
        <w:rPr>
          <w:rFonts w:hint="eastAsia"/>
          <w:highlight w:val="none"/>
          <w:lang w:val="en-US" w:eastAsia="zh-CN"/>
        </w:rPr>
      </w:pPr>
      <w:bookmarkStart w:id="9" w:name="_Toc21493"/>
      <w:r>
        <w:rPr>
          <w:rFonts w:hint="eastAsia"/>
          <w:highlight w:val="none"/>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广元市人民政府驻北京联络处2024年一般公共预算当年拨款316.18万元，比2023年预算数增加57.27万元，主要原因是北京招商分局工作职责划给了联络处，增加了4个编制和人员，房屋租赁、人员经费等相应增加。</w:t>
      </w:r>
    </w:p>
    <w:p>
      <w:pPr>
        <w:pStyle w:val="6"/>
        <w:bidi w:val="0"/>
        <w:rPr>
          <w:rFonts w:hint="eastAsia"/>
          <w:highlight w:val="none"/>
          <w:lang w:val="en-US" w:eastAsia="zh-CN"/>
        </w:rPr>
      </w:pPr>
      <w:bookmarkStart w:id="10" w:name="_Toc1044"/>
      <w:r>
        <w:rPr>
          <w:rFonts w:hint="eastAsia"/>
          <w:highlight w:val="none"/>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一般公共服务支出302.48万元，占95.67%；社会保障和就业支出6.38万元，占2.02%；卫生健康支出2.02万元，占0.64%；住房保障支出5.29万元，占1.67%。</w:t>
      </w:r>
    </w:p>
    <w:p>
      <w:pPr>
        <w:pStyle w:val="6"/>
        <w:bidi w:val="0"/>
        <w:rPr>
          <w:rFonts w:hint="eastAsia"/>
          <w:highlight w:val="none"/>
          <w:lang w:val="en-US" w:eastAsia="zh-CN"/>
        </w:rPr>
      </w:pPr>
      <w:bookmarkStart w:id="11" w:name="_Toc16528"/>
      <w:r>
        <w:rPr>
          <w:rFonts w:hint="eastAsia"/>
          <w:highlight w:val="none"/>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一般公共服务（类）政府办公厅（室）及相关机构事务（款）行政运行（项）2024年预算数为54.28万元，主要用于：行政单位工资奖金津补贴、基础绩效奖、年度考核奖、其他社会保障费用、办公费、公务接待费、电费、水费、差旅费、其他交通费用、党建经费、福利费和工会经费、福利费、其他商品服务支出、退休人员活动经费、退休人员绩效补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一般公共服务（类）党委办公厅（室）及相关机构事务（款）一般行政管理事务（项）2024年预算数为248.2万元，主要用于：办公费、其他商品服务支出、租赁费、会议费、其他交通费用、差旅费。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3.社会保障和就业（类）行政事业单位养老支出（款）机关事业单位基本养老保险缴费支出（项）2024年预算数为6.38万元，主要用于：实施养老保险制度由单位缴纳的基本养老保险支出。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4.卫生健康（类）行政事业单位医疗（款）行政单位医疗（项）2024年预算数为2.02万元，主要用于：机关及参公管理事业单位按规定由单位缴纳的基本医疗保险支出。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5.住房保障（类）住房改革支出（款）住房公积金（项）2024年预算数为5.29万元，主要用于：部门按规定为职工缴纳的住房公积金支出。</w:t>
      </w:r>
    </w:p>
    <w:p>
      <w:pPr>
        <w:pStyle w:val="5"/>
        <w:bidi w:val="0"/>
        <w:rPr>
          <w:rFonts w:hint="eastAsia"/>
          <w:highlight w:val="none"/>
        </w:rPr>
      </w:pPr>
      <w:bookmarkStart w:id="12" w:name="_Toc22593"/>
      <w:r>
        <w:rPr>
          <w:rFonts w:hint="eastAsia"/>
          <w:highlight w:val="none"/>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广元市人民政府驻北京联络处2024年一般公共预算基本支出67.98万元，其中：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人员经费58.79万元，主要包括：基本工资、津贴补贴、奖金、社会保险缴费、住房公积金</w:t>
      </w:r>
      <w:r>
        <w:rPr>
          <w:rFonts w:hint="default" w:ascii="仿宋_GB2312" w:hAnsi="仿宋_GB2312" w:eastAsia="仿宋_GB2312" w:cs="仿宋_GB2312"/>
          <w:sz w:val="32"/>
          <w:szCs w:val="32"/>
          <w:highlight w:val="none"/>
          <w:lang w:eastAsia="zh-CN"/>
        </w:rPr>
        <w:t>、生活补助</w:t>
      </w:r>
      <w:r>
        <w:rPr>
          <w:rFonts w:hint="eastAsia" w:ascii="仿宋_GB2312" w:hAnsi="仿宋_GB2312" w:eastAsia="仿宋_GB2312" w:cs="仿宋_GB2312"/>
          <w:sz w:val="32"/>
          <w:szCs w:val="32"/>
          <w:highlight w:val="none"/>
          <w:lang w:val="en-US" w:eastAsia="zh-CN"/>
        </w:rPr>
        <w:t>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公用经费9.18万元，主要包括：办公费、水费、电费、差旅费、公务接待费、工会经费、福利费、其他交通费用</w:t>
      </w:r>
      <w:r>
        <w:rPr>
          <w:rFonts w:hint="default" w:ascii="仿宋_GB2312" w:hAnsi="仿宋_GB2312" w:eastAsia="仿宋_GB2312" w:cs="仿宋_GB2312"/>
          <w:sz w:val="32"/>
          <w:szCs w:val="32"/>
          <w:highlight w:val="none"/>
          <w:lang w:eastAsia="zh-CN"/>
        </w:rPr>
        <w:t>、其他商品和服务支出</w:t>
      </w:r>
      <w:r>
        <w:rPr>
          <w:rFonts w:hint="eastAsia" w:ascii="仿宋_GB2312" w:hAnsi="仿宋_GB2312" w:eastAsia="仿宋_GB2312" w:cs="仿宋_GB2312"/>
          <w:sz w:val="32"/>
          <w:szCs w:val="32"/>
          <w:highlight w:val="none"/>
          <w:lang w:val="en-US" w:eastAsia="zh-CN"/>
        </w:rPr>
        <w:t>等支出。</w:t>
      </w:r>
    </w:p>
    <w:p>
      <w:pPr>
        <w:pStyle w:val="5"/>
        <w:bidi w:val="0"/>
        <w:rPr>
          <w:rFonts w:hint="eastAsia"/>
          <w:highlight w:val="none"/>
        </w:rPr>
      </w:pPr>
      <w:bookmarkStart w:id="13" w:name="_Toc20143"/>
      <w:r>
        <w:rPr>
          <w:rFonts w:hint="eastAsia"/>
          <w:highlight w:val="none"/>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广元市人民政府驻北京联络处2024年“三公”经费财政拨款预算数0.08万元，其中：公务接待费0.08万元，公务用车购置及运行维护费0万元，因公出国（境）经费0万元。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（二）公务用车购置及运行维护费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rPr>
      </w:pPr>
      <w:r>
        <w:rPr>
          <w:rFonts w:hint="eastAsia" w:ascii="仿宋_GB2312" w:hAnsi="仿宋_GB2312" w:eastAsia="仿宋_GB2312" w:cs="仿宋_GB2312"/>
          <w:sz w:val="32"/>
          <w:szCs w:val="32"/>
          <w:highlight w:val="none"/>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FF0000"/>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单位现有公务用车2辆，其中：轿车1辆，旅行车（含商务车）1辆。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14" w:name="_Toc18064"/>
      <w:bookmarkStart w:id="15" w:name="_Toc1482505774"/>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4"/>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lang w:val="en-US" w:eastAsia="zh-CN"/>
        </w:rPr>
      </w:pPr>
      <w:r>
        <w:rPr>
          <w:rFonts w:hint="eastAsia" w:ascii="仿宋_GB2312" w:hAnsi="仿宋_GB2312" w:eastAsia="仿宋_GB2312" w:cs="仿宋_GB2312"/>
          <w:sz w:val="32"/>
          <w:szCs w:val="32"/>
        </w:rPr>
        <w:t>因公出国（境）经费与2023年预算相比持平</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2024年单位预算未编列因公出国（境）经费，未安排出国（境）任务和计划。</w:t>
      </w:r>
    </w:p>
    <w:p>
      <w:pPr>
        <w:pStyle w:val="5"/>
        <w:bidi w:val="0"/>
        <w:rPr>
          <w:rFonts w:hint="eastAsia"/>
          <w:highlight w:val="none"/>
          <w:lang w:val="en-US" w:eastAsia="zh-CN"/>
        </w:rPr>
      </w:pPr>
      <w:bookmarkStart w:id="16" w:name="_Toc1038"/>
      <w:r>
        <w:rPr>
          <w:rFonts w:hint="eastAsia"/>
          <w:highlight w:val="none"/>
          <w:lang w:val="en-US" w:eastAsia="zh-CN"/>
        </w:rPr>
        <w:t>八、政府性基金预算支出情况说明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广元市人民政府驻北京联络处2024年无政府性基金预算拨款安排的支出。</w:t>
      </w:r>
    </w:p>
    <w:p>
      <w:pPr>
        <w:pStyle w:val="5"/>
        <w:bidi w:val="0"/>
        <w:rPr>
          <w:rFonts w:hint="eastAsia"/>
          <w:highlight w:val="none"/>
          <w:lang w:val="en-US" w:eastAsia="zh-CN"/>
        </w:rPr>
      </w:pPr>
      <w:bookmarkStart w:id="17" w:name="_Toc26217"/>
      <w:r>
        <w:rPr>
          <w:rFonts w:hint="eastAsia"/>
          <w:highlight w:val="none"/>
          <w:lang w:val="en-US" w:eastAsia="zh-CN"/>
        </w:rPr>
        <w:t>九、国有资本经营预算支出情况说明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广元市人民政府驻北京联络处2024年无国有资本经营预算拨款安排的支出。</w:t>
      </w:r>
    </w:p>
    <w:p>
      <w:pPr>
        <w:pStyle w:val="5"/>
        <w:bidi w:val="0"/>
        <w:rPr>
          <w:rFonts w:hint="eastAsia"/>
          <w:highlight w:val="none"/>
        </w:rPr>
      </w:pPr>
      <w:bookmarkStart w:id="18" w:name="_Toc4770"/>
      <w:r>
        <w:rPr>
          <w:rFonts w:hint="eastAsia"/>
          <w:highlight w:val="none"/>
          <w:lang w:val="en-US" w:eastAsia="zh-CN"/>
        </w:rPr>
        <w:t>十、其他重要事项的情况说明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2024年，广元市人民政府驻北京联络处</w:t>
      </w:r>
      <w:r>
        <w:rPr>
          <w:rFonts w:hint="eastAsia" w:ascii="仿宋_GB2312" w:hAnsi="仿宋_GB2312" w:eastAsia="仿宋_GB2312" w:cs="仿宋_GB2312"/>
          <w:sz w:val="32"/>
          <w:szCs w:val="32"/>
          <w:highlight w:val="none"/>
          <w:lang w:val="en-US" w:eastAsia="zh-CN"/>
        </w:rPr>
        <w:t>的机关运行经费财政拨款预算为9.18万元，比2023年预算增加3.18万元，增长53%。主要原因增加了4个人员编制和相应人员。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FF0000"/>
          <w:sz w:val="32"/>
          <w:szCs w:val="32"/>
          <w:highlight w:val="none"/>
        </w:rPr>
      </w:pPr>
      <w:r>
        <w:rPr>
          <w:rFonts w:hint="eastAsia" w:ascii="仿宋_GB2312" w:hAnsi="仿宋_GB2312" w:eastAsia="仿宋_GB2312" w:cs="仿宋_GB2312"/>
          <w:sz w:val="32"/>
          <w:szCs w:val="32"/>
          <w:highlight w:val="none"/>
          <w:lang w:val="en-US" w:eastAsia="zh-CN"/>
        </w:rPr>
        <w:t>2024年，</w:t>
      </w:r>
      <w:r>
        <w:rPr>
          <w:rFonts w:hint="eastAsia" w:ascii="楷体_GB2312" w:hAnsi="楷体_GB2312" w:eastAsia="楷体_GB2312" w:cs="楷体_GB2312"/>
          <w:sz w:val="32"/>
          <w:szCs w:val="32"/>
          <w:highlight w:val="none"/>
          <w:lang w:val="en-US" w:eastAsia="zh-CN"/>
        </w:rPr>
        <w:t>广元市人民政府驻北京联络处</w:t>
      </w:r>
      <w:r>
        <w:rPr>
          <w:rFonts w:hint="eastAsia" w:ascii="仿宋_GB2312" w:hAnsi="仿宋_GB2312" w:eastAsia="仿宋_GB2312" w:cs="仿宋_GB2312"/>
          <w:sz w:val="32"/>
          <w:szCs w:val="32"/>
          <w:highlight w:val="none"/>
          <w:lang w:val="en-US" w:eastAsia="zh-CN"/>
        </w:rPr>
        <w:t>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（三）国有资产占有使用情况</w:t>
      </w:r>
      <w:bookmarkStart w:id="20" w:name="_GoBack"/>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截至2023年底，广元市人民政府驻北京联络处共有车辆2辆，其中，定向保障用车2辆。单位无价值200万元以上的大型设备。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2024年广元市人民政府驻北京联络处开展绩效目标管理的项目</w:t>
      </w:r>
      <w:r>
        <w:rPr>
          <w:rFonts w:hint="default" w:ascii="仿宋_GB2312" w:hAnsi="仿宋_GB2312" w:eastAsia="仿宋_GB2312" w:cs="仿宋_GB2312"/>
          <w:sz w:val="32"/>
          <w:szCs w:val="32"/>
          <w:highlight w:val="none"/>
          <w:lang w:eastAsia="zh-CN"/>
        </w:rPr>
        <w:t>10</w:t>
      </w:r>
      <w:r>
        <w:rPr>
          <w:rFonts w:hint="eastAsia" w:ascii="仿宋_GB2312" w:hAnsi="仿宋_GB2312" w:eastAsia="仿宋_GB2312" w:cs="仿宋_GB2312"/>
          <w:sz w:val="32"/>
          <w:szCs w:val="32"/>
          <w:highlight w:val="none"/>
          <w:lang w:val="en-US" w:eastAsia="zh-CN"/>
        </w:rPr>
        <w:t>个，涉及预算</w:t>
      </w:r>
      <w:r>
        <w:rPr>
          <w:rFonts w:hint="default" w:ascii="仿宋_GB2312" w:hAnsi="仿宋_GB2312" w:eastAsia="仿宋_GB2312" w:cs="仿宋_GB2312"/>
          <w:sz w:val="32"/>
          <w:szCs w:val="32"/>
          <w:highlight w:val="none"/>
          <w:lang w:eastAsia="zh-CN"/>
        </w:rPr>
        <w:t>316.18</w:t>
      </w:r>
      <w:r>
        <w:rPr>
          <w:rFonts w:hint="eastAsia" w:ascii="仿宋_GB2312" w:hAnsi="仿宋_GB2312" w:eastAsia="仿宋_GB2312" w:cs="仿宋_GB2312"/>
          <w:sz w:val="32"/>
          <w:szCs w:val="32"/>
          <w:highlight w:val="none"/>
          <w:lang w:val="en-US" w:eastAsia="zh-CN"/>
        </w:rPr>
        <w:t>万元。其中：人员类项目</w:t>
      </w:r>
      <w:r>
        <w:rPr>
          <w:rFonts w:hint="default" w:ascii="仿宋_GB2312" w:hAnsi="仿宋_GB2312" w:eastAsia="仿宋_GB2312" w:cs="仿宋_GB2312"/>
          <w:sz w:val="32"/>
          <w:szCs w:val="32"/>
          <w:highlight w:val="none"/>
          <w:lang w:eastAsia="zh-CN"/>
        </w:rPr>
        <w:t>6</w:t>
      </w:r>
      <w:r>
        <w:rPr>
          <w:rFonts w:hint="eastAsia" w:ascii="仿宋_GB2312" w:hAnsi="仿宋_GB2312" w:eastAsia="仿宋_GB2312" w:cs="仿宋_GB2312"/>
          <w:sz w:val="32"/>
          <w:szCs w:val="32"/>
          <w:highlight w:val="none"/>
          <w:lang w:val="en-US" w:eastAsia="zh-CN"/>
        </w:rPr>
        <w:t xml:space="preserve">个，涉及预算 </w:t>
      </w:r>
      <w:r>
        <w:rPr>
          <w:rFonts w:hint="default" w:ascii="仿宋_GB2312" w:hAnsi="仿宋_GB2312" w:eastAsia="仿宋_GB2312" w:cs="仿宋_GB2312"/>
          <w:sz w:val="32"/>
          <w:szCs w:val="32"/>
          <w:highlight w:val="none"/>
          <w:lang w:eastAsia="zh-CN"/>
        </w:rPr>
        <w:t>58.79</w:t>
      </w:r>
      <w:r>
        <w:rPr>
          <w:rFonts w:hint="eastAsia" w:ascii="仿宋_GB2312" w:hAnsi="仿宋_GB2312" w:eastAsia="仿宋_GB2312" w:cs="仿宋_GB2312"/>
          <w:sz w:val="32"/>
          <w:szCs w:val="32"/>
          <w:highlight w:val="none"/>
          <w:lang w:val="en-US" w:eastAsia="zh-CN"/>
        </w:rPr>
        <w:t>万元；运转类项</w:t>
      </w:r>
      <w:r>
        <w:rPr>
          <w:rFonts w:hint="default" w:ascii="仿宋_GB2312" w:hAnsi="仿宋_GB2312" w:eastAsia="仿宋_GB2312" w:cs="仿宋_GB2312"/>
          <w:sz w:val="32"/>
          <w:szCs w:val="32"/>
          <w:highlight w:val="none"/>
          <w:lang w:eastAsia="zh-CN"/>
        </w:rPr>
        <w:t>3</w:t>
      </w:r>
      <w:r>
        <w:rPr>
          <w:rFonts w:hint="eastAsia" w:ascii="仿宋_GB2312" w:hAnsi="仿宋_GB2312" w:eastAsia="仿宋_GB2312" w:cs="仿宋_GB2312"/>
          <w:sz w:val="32"/>
          <w:szCs w:val="32"/>
          <w:highlight w:val="none"/>
          <w:lang w:val="en-US" w:eastAsia="zh-CN"/>
        </w:rPr>
        <w:t>个，涉及预算</w:t>
      </w:r>
      <w:r>
        <w:rPr>
          <w:rFonts w:hint="default" w:ascii="仿宋_GB2312" w:hAnsi="仿宋_GB2312" w:eastAsia="仿宋_GB2312" w:cs="仿宋_GB2312"/>
          <w:sz w:val="32"/>
          <w:szCs w:val="32"/>
          <w:highlight w:val="none"/>
          <w:lang w:eastAsia="zh-CN"/>
        </w:rPr>
        <w:t>9.18</w:t>
      </w:r>
      <w:r>
        <w:rPr>
          <w:rFonts w:hint="eastAsia" w:ascii="仿宋_GB2312" w:hAnsi="仿宋_GB2312" w:eastAsia="仿宋_GB2312" w:cs="仿宋_GB2312"/>
          <w:sz w:val="32"/>
          <w:szCs w:val="32"/>
          <w:highlight w:val="none"/>
          <w:lang w:val="en-US" w:eastAsia="zh-CN"/>
        </w:rPr>
        <w:t>万元；特定目标类项目1个，涉及预算248.2万元。</w:t>
      </w:r>
    </w:p>
    <w:p>
      <w:pPr>
        <w:pStyle w:val="5"/>
        <w:bidi w:val="0"/>
        <w:rPr>
          <w:rFonts w:hint="eastAsia"/>
          <w:highlight w:val="none"/>
        </w:rPr>
      </w:pPr>
      <w:bookmarkStart w:id="19" w:name="_Toc17414"/>
      <w:r>
        <w:rPr>
          <w:rFonts w:hint="eastAsia"/>
          <w:highlight w:val="none"/>
          <w:lang w:val="en-US" w:eastAsia="zh-CN"/>
        </w:rPr>
        <w:t>十一、名词解释</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（一）财政拨款收入</w:t>
      </w:r>
      <w:r>
        <w:rPr>
          <w:rFonts w:hint="default" w:ascii="楷体_GB2312" w:hAnsi="楷体_GB2312" w:eastAsia="楷体_GB2312" w:cs="楷体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指市财政当年安排的财政预算收入。按现行管理制度</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（二）一般公共服务政府办公厅（室）及相关机构事务（款）行政运行（项）：</w:t>
      </w:r>
      <w:r>
        <w:rPr>
          <w:rFonts w:hint="eastAsia" w:ascii="仿宋_GB2312" w:hAnsi="仿宋_GB2312" w:eastAsia="仿宋_GB2312" w:cs="仿宋_GB2312"/>
          <w:sz w:val="32"/>
          <w:szCs w:val="32"/>
          <w:highlight w:val="none"/>
          <w:lang w:val="en-US" w:eastAsia="zh-CN"/>
        </w:rPr>
        <w:t>指机关单位用于保障机构正常运行、开展日常工作的基本支出。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（三）一般公共服务（类）党委办公厅（室）及相关机构事务（款）一般行政管理事务（项）：</w:t>
      </w:r>
      <w:r>
        <w:rPr>
          <w:rFonts w:hint="eastAsia" w:ascii="仿宋_GB2312" w:hAnsi="仿宋_GB2312" w:eastAsia="仿宋_GB2312" w:cs="仿宋_GB2312"/>
          <w:sz w:val="32"/>
          <w:szCs w:val="32"/>
          <w:highlight w:val="none"/>
          <w:lang w:val="en-US" w:eastAsia="zh-CN"/>
        </w:rPr>
        <w:t>指机关单位开展 招商引资、流动党员活动、维稳、房屋租赁、驻外人员生活补助、职工房租补助管理工作的项目支出。</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w:t>
      </w:r>
      <w:r>
        <w:rPr>
          <w:rFonts w:hint="eastAsia" w:ascii="楷体_GB2312" w:hAnsi="楷体_GB2312" w:eastAsia="楷体_GB2312" w:cs="楷体_GB2312"/>
          <w:sz w:val="32"/>
          <w:szCs w:val="32"/>
          <w:highlight w:val="none"/>
          <w:lang w:val="en-US" w:eastAsia="zh-CN"/>
        </w:rPr>
        <w:t>（四）社会保障和就业（类）行政事业单位养老支出（款）机关事业单位基本养老保险缴费支出（项）：</w:t>
      </w:r>
      <w:r>
        <w:rPr>
          <w:rFonts w:hint="eastAsia" w:ascii="仿宋_GB2312" w:hAnsi="仿宋_GB2312" w:eastAsia="仿宋_GB2312" w:cs="仿宋_GB2312"/>
          <w:sz w:val="32"/>
          <w:szCs w:val="32"/>
          <w:highlight w:val="none"/>
          <w:lang w:val="en-US" w:eastAsia="zh-CN"/>
        </w:rPr>
        <w:t>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（五）卫生健康（类）行政事业单位医疗（款）行政单位医疗（项）：</w:t>
      </w:r>
      <w:r>
        <w:rPr>
          <w:rFonts w:hint="eastAsia" w:ascii="仿宋_GB2312" w:hAnsi="仿宋_GB2312" w:eastAsia="仿宋_GB2312" w:cs="仿宋_GB2312"/>
          <w:sz w:val="32"/>
          <w:szCs w:val="32"/>
          <w:highlight w:val="none"/>
          <w:lang w:val="en-US" w:eastAsia="zh-CN"/>
        </w:rPr>
        <w:t>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（六）住房保障（类）住房改革支出（款）住房公积金（项）：</w:t>
      </w:r>
      <w:r>
        <w:rPr>
          <w:rFonts w:hint="eastAsia" w:ascii="仿宋_GB2312" w:hAnsi="仿宋_GB2312" w:eastAsia="仿宋_GB2312" w:cs="仿宋_GB2312"/>
          <w:sz w:val="32"/>
          <w:szCs w:val="32"/>
          <w:highlight w:val="none"/>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w:t>
      </w:r>
      <w:r>
        <w:rPr>
          <w:rFonts w:hint="default" w:ascii="楷体_GB2312" w:hAnsi="楷体_GB2312" w:eastAsia="楷体_GB2312" w:cs="楷体_GB2312"/>
          <w:sz w:val="32"/>
          <w:szCs w:val="32"/>
          <w:highlight w:val="none"/>
          <w:lang w:eastAsia="zh-CN"/>
        </w:rPr>
        <w:t>七</w:t>
      </w:r>
      <w:r>
        <w:rPr>
          <w:rFonts w:hint="eastAsia" w:ascii="楷体_GB2312" w:hAnsi="楷体_GB2312" w:eastAsia="楷体_GB2312" w:cs="楷体_GB2312"/>
          <w:sz w:val="32"/>
          <w:szCs w:val="32"/>
          <w:highlight w:val="none"/>
          <w:lang w:val="en-US" w:eastAsia="zh-CN"/>
        </w:rPr>
        <w:t>）基本支出：</w:t>
      </w:r>
      <w:r>
        <w:rPr>
          <w:rFonts w:hint="eastAsia" w:ascii="仿宋_GB2312" w:hAnsi="仿宋_GB2312" w:eastAsia="仿宋_GB2312" w:cs="仿宋_GB2312"/>
          <w:sz w:val="32"/>
          <w:szCs w:val="32"/>
          <w:highlight w:val="none"/>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sz w:val="32"/>
          <w:szCs w:val="32"/>
          <w:highlight w:val="none"/>
          <w:lang w:val="en-US" w:eastAsia="zh-CN"/>
        </w:rPr>
        <w:t>（</w:t>
      </w:r>
      <w:r>
        <w:rPr>
          <w:rFonts w:hint="default" w:ascii="楷体_GB2312" w:hAnsi="楷体_GB2312" w:eastAsia="楷体_GB2312" w:cs="楷体_GB2312"/>
          <w:sz w:val="32"/>
          <w:szCs w:val="32"/>
          <w:highlight w:val="none"/>
          <w:lang w:eastAsia="zh-CN"/>
        </w:rPr>
        <w:t>八</w:t>
      </w:r>
      <w:r>
        <w:rPr>
          <w:rFonts w:hint="eastAsia" w:ascii="楷体_GB2312" w:hAnsi="楷体_GB2312" w:eastAsia="楷体_GB2312" w:cs="楷体_GB2312"/>
          <w:sz w:val="32"/>
          <w:szCs w:val="32"/>
          <w:highlight w:val="none"/>
          <w:lang w:val="en-US" w:eastAsia="zh-CN"/>
        </w:rPr>
        <w:t>）项目支出：</w:t>
      </w:r>
      <w:r>
        <w:rPr>
          <w:rFonts w:hint="eastAsia" w:ascii="仿宋_GB2312" w:hAnsi="仿宋_GB2312" w:eastAsia="仿宋_GB2312" w:cs="仿宋_GB2312"/>
          <w:sz w:val="32"/>
          <w:szCs w:val="32"/>
          <w:highlight w:val="none"/>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w:t>
      </w:r>
      <w:r>
        <w:rPr>
          <w:rFonts w:hint="default" w:ascii="楷体_GB2312" w:hAnsi="楷体_GB2312" w:eastAsia="楷体_GB2312" w:cs="楷体_GB2312"/>
          <w:sz w:val="32"/>
          <w:szCs w:val="32"/>
          <w:highlight w:val="none"/>
          <w:lang w:eastAsia="zh-CN"/>
        </w:rPr>
        <w:t>九</w:t>
      </w:r>
      <w:r>
        <w:rPr>
          <w:rFonts w:hint="eastAsia" w:ascii="楷体_GB2312" w:hAnsi="楷体_GB2312" w:eastAsia="楷体_GB2312" w:cs="楷体_GB2312"/>
          <w:sz w:val="32"/>
          <w:szCs w:val="32"/>
          <w:highlight w:val="none"/>
          <w:lang w:val="en-US" w:eastAsia="zh-CN"/>
        </w:rPr>
        <w:t>）“三公”经费：</w:t>
      </w:r>
      <w:r>
        <w:rPr>
          <w:rFonts w:hint="eastAsia" w:ascii="仿宋_GB2312" w:hAnsi="仿宋_GB2312" w:eastAsia="仿宋_GB2312" w:cs="仿宋_GB2312"/>
          <w:sz w:val="32"/>
          <w:szCs w:val="32"/>
          <w:highlight w:val="none"/>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w:t>
      </w:r>
      <w:r>
        <w:rPr>
          <w:rFonts w:hint="default" w:ascii="楷体_GB2312" w:hAnsi="楷体_GB2312" w:eastAsia="楷体_GB2312" w:cs="楷体_GB2312"/>
          <w:sz w:val="32"/>
          <w:szCs w:val="32"/>
          <w:highlight w:val="none"/>
          <w:lang w:eastAsia="zh-CN"/>
        </w:rPr>
        <w:t>十</w:t>
      </w:r>
      <w:r>
        <w:rPr>
          <w:rFonts w:hint="eastAsia" w:ascii="楷体_GB2312" w:hAnsi="楷体_GB2312" w:eastAsia="楷体_GB2312" w:cs="楷体_GB2312"/>
          <w:sz w:val="32"/>
          <w:szCs w:val="32"/>
          <w:highlight w:val="none"/>
          <w:lang w:val="en-US" w:eastAsia="zh-CN"/>
        </w:rPr>
        <w:t>）机关运行经费：</w:t>
      </w:r>
      <w:r>
        <w:rPr>
          <w:rFonts w:hint="eastAsia" w:ascii="仿宋_GB2312" w:hAnsi="仿宋_GB2312" w:eastAsia="仿宋_GB2312" w:cs="仿宋_GB2312"/>
          <w:sz w:val="32"/>
          <w:szCs w:val="32"/>
          <w:highlight w:val="none"/>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附件：</w:t>
      </w:r>
      <w:r>
        <w:rPr>
          <w:rFonts w:hint="default"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color w:val="FF0000"/>
          <w:sz w:val="32"/>
          <w:szCs w:val="32"/>
          <w:highlight w:val="none"/>
          <w:lang w:eastAsia="zh-CN"/>
        </w:rPr>
      </w:pP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CzG+uQ3QEAAL4DAAAOAAAAAAAAAAEAIAAAADQBAABkcnMvZTJvRG9jLnhtbFBLBQYAAAAABgAG&#10;AFkBAACDBQAAAAA=&#10;">
              <v:fill on="f" focussize="0,0"/>
              <v:stroke on="f"/>
              <v:imagedata o:title=""/>
              <o:lock v:ext="edit" aspectratio="f"/>
              <v:textbox inset="0mm,0mm,0mm,0mm" style="mso-fit-shape-to-text:t;">
                <w:txbxContent>
                  <w:p>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39E80"/>
    <w:multiLevelType w:val="singleLevel"/>
    <w:tmpl w:val="34239E8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2OWM3NjEyNjk2NTUwMWZiMWFmZGE4NzkzODUwZGEifQ=="/>
  </w:docVars>
  <w:rsids>
    <w:rsidRoot w:val="00000000"/>
    <w:rsid w:val="012352D1"/>
    <w:rsid w:val="10F51194"/>
    <w:rsid w:val="1F7BF06F"/>
    <w:rsid w:val="1FEE4B73"/>
    <w:rsid w:val="200F101E"/>
    <w:rsid w:val="23CE9849"/>
    <w:rsid w:val="36F53EE3"/>
    <w:rsid w:val="377E6124"/>
    <w:rsid w:val="39F304DD"/>
    <w:rsid w:val="4C244FDC"/>
    <w:rsid w:val="4EDDC789"/>
    <w:rsid w:val="54244390"/>
    <w:rsid w:val="54662A63"/>
    <w:rsid w:val="5677EF9A"/>
    <w:rsid w:val="58064E12"/>
    <w:rsid w:val="59EC5950"/>
    <w:rsid w:val="5BFEE015"/>
    <w:rsid w:val="63EDCF55"/>
    <w:rsid w:val="63FBFBCF"/>
    <w:rsid w:val="669360FD"/>
    <w:rsid w:val="683A3D2B"/>
    <w:rsid w:val="68FF6A83"/>
    <w:rsid w:val="6EDFA482"/>
    <w:rsid w:val="6FBBC9CF"/>
    <w:rsid w:val="72BDE561"/>
    <w:rsid w:val="74F30B7B"/>
    <w:rsid w:val="78462278"/>
    <w:rsid w:val="7997EA6C"/>
    <w:rsid w:val="7AEAE675"/>
    <w:rsid w:val="7BAFCE5D"/>
    <w:rsid w:val="7D46598C"/>
    <w:rsid w:val="7DFB240B"/>
    <w:rsid w:val="7E0935ED"/>
    <w:rsid w:val="7F3F87F6"/>
    <w:rsid w:val="7FCF2AF7"/>
    <w:rsid w:val="7FF3F120"/>
    <w:rsid w:val="9FEF033D"/>
    <w:rsid w:val="A27FF1E5"/>
    <w:rsid w:val="AFDEB5A7"/>
    <w:rsid w:val="AFEA7FBF"/>
    <w:rsid w:val="B83F4767"/>
    <w:rsid w:val="BF930F07"/>
    <w:rsid w:val="BFCE8436"/>
    <w:rsid w:val="C3F7EB7A"/>
    <w:rsid w:val="CFF5FEEC"/>
    <w:rsid w:val="D3DD9064"/>
    <w:rsid w:val="D6F76A0C"/>
    <w:rsid w:val="D7ECE8D2"/>
    <w:rsid w:val="DFDD4FB5"/>
    <w:rsid w:val="E7F748B5"/>
    <w:rsid w:val="ED6AD6BA"/>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5">
    <w:name w:val="heading 1"/>
    <w:basedOn w:val="1"/>
    <w:next w:val="1"/>
    <w:link w:val="20"/>
    <w:qFormat/>
    <w:uiPriority w:val="0"/>
    <w:pPr>
      <w:keepNext/>
      <w:keepLines/>
      <w:spacing w:beforeLines="0" w:beforeAutospacing="0" w:afterLines="0" w:afterAutospacing="0" w:line="576" w:lineRule="exact"/>
      <w:ind w:left="0" w:firstLine="880" w:firstLineChars="200"/>
      <w:outlineLvl w:val="0"/>
    </w:pPr>
    <w:rPr>
      <w:rFonts w:eastAsia="黑体"/>
      <w:kern w:val="44"/>
      <w:sz w:val="32"/>
    </w:rPr>
  </w:style>
  <w:style w:type="paragraph" w:styleId="6">
    <w:name w:val="heading 2"/>
    <w:basedOn w:val="1"/>
    <w:next w:val="1"/>
    <w:link w:val="21"/>
    <w:unhideWhenUsed/>
    <w:qFormat/>
    <w:uiPriority w:val="0"/>
    <w:pPr>
      <w:keepNext/>
      <w:keepLines/>
      <w:spacing w:beforeLines="0" w:beforeAutospacing="0" w:afterLines="0" w:afterAutospacing="0" w:line="576" w:lineRule="exact"/>
      <w:ind w:firstLine="880" w:firstLineChars="200"/>
      <w:outlineLvl w:val="1"/>
    </w:pPr>
    <w:rPr>
      <w:rFonts w:ascii="Arial" w:hAnsi="Arial" w:eastAsia="楷体"/>
      <w:sz w:val="32"/>
    </w:rPr>
  </w:style>
  <w:style w:type="character" w:default="1" w:styleId="16">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ind w:firstLine="420" w:firstLineChars="200"/>
    </w:pPr>
  </w:style>
  <w:style w:type="paragraph" w:styleId="3">
    <w:name w:val="Body Text Indent"/>
    <w:basedOn w:val="1"/>
    <w:next w:val="2"/>
    <w:semiHidden/>
    <w:unhideWhenUsed/>
    <w:qFormat/>
    <w:uiPriority w:val="99"/>
    <w:pPr>
      <w:spacing w:after="120"/>
      <w:ind w:left="420" w:leftChars="200"/>
    </w:pPr>
  </w:style>
  <w:style w:type="paragraph" w:styleId="4">
    <w:name w:val="index 6"/>
    <w:basedOn w:val="1"/>
    <w:next w:val="1"/>
    <w:qFormat/>
    <w:uiPriority w:val="0"/>
    <w:pPr>
      <w:ind w:left="2100"/>
      <w:jc w:val="center"/>
    </w:pPr>
  </w:style>
  <w:style w:type="paragraph" w:styleId="7">
    <w:name w:val="caption"/>
    <w:basedOn w:val="1"/>
    <w:next w:val="1"/>
    <w:qFormat/>
    <w:uiPriority w:val="0"/>
    <w:pPr>
      <w:widowControl w:val="0"/>
      <w:suppressLineNumbers/>
      <w:suppressAutoHyphens/>
      <w:spacing w:before="120" w:after="120"/>
    </w:pPr>
    <w:rPr>
      <w:i/>
      <w:iCs/>
      <w:sz w:val="24"/>
      <w:szCs w:val="24"/>
    </w:rPr>
  </w:style>
  <w:style w:type="paragraph" w:styleId="8">
    <w:name w:val="Body Text"/>
    <w:basedOn w:val="1"/>
    <w:qFormat/>
    <w:uiPriority w:val="0"/>
    <w:pPr>
      <w:spacing w:before="0" w:after="140" w:line="276" w:lineRule="auto"/>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List"/>
    <w:basedOn w:val="8"/>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rPr>
      <w:sz w:val="24"/>
    </w:rPr>
  </w:style>
  <w:style w:type="character" w:customStyle="1" w:styleId="17">
    <w:name w:val="默认段落字体1"/>
    <w:qFormat/>
    <w:uiPriority w:val="0"/>
  </w:style>
  <w:style w:type="paragraph" w:customStyle="1" w:styleId="18">
    <w:name w:val="Heading"/>
    <w:basedOn w:val="1"/>
    <w:next w:val="8"/>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9">
    <w:name w:val="Index"/>
    <w:basedOn w:val="1"/>
    <w:qFormat/>
    <w:uiPriority w:val="0"/>
    <w:pPr>
      <w:widowControl w:val="0"/>
      <w:suppressLineNumbers/>
      <w:suppressAutoHyphens/>
    </w:pPr>
  </w:style>
  <w:style w:type="character" w:customStyle="1" w:styleId="20">
    <w:name w:val="标题 1 Char"/>
    <w:link w:val="5"/>
    <w:qFormat/>
    <w:uiPriority w:val="0"/>
    <w:rPr>
      <w:rFonts w:eastAsia="黑体"/>
      <w:kern w:val="44"/>
      <w:sz w:val="32"/>
    </w:rPr>
  </w:style>
  <w:style w:type="character" w:customStyle="1" w:styleId="21">
    <w:name w:val="标题 2 Char"/>
    <w:link w:val="6"/>
    <w:qFormat/>
    <w:uiPriority w:val="0"/>
    <w:rPr>
      <w:rFonts w:ascii="Arial" w:hAnsi="Arial" w:eastAsia="楷体"/>
      <w:sz w:val="32"/>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2024-02-29T15:48:34Z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BB58386A19E44A3CAAA8A8C35D442B5E_13</vt:lpwstr>
  </property>
</Properties>
</file>