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广元市口岸和物流发展中心</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left="0" w:right="0" w:firstLine="0"/>
        <w:jc w:val="center"/>
        <w:textAlignment w:val="auto"/>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p>
    <w:p>
      <w:pPr>
        <w:pStyle w:val="2"/>
        <w:rPr>
          <w:rFonts w:hint="eastAsia"/>
          <w:lang w:val="en-US" w:eastAsia="zh-CN"/>
        </w:rPr>
      </w:pPr>
    </w:p>
    <w:sdt>
      <w:sdtPr>
        <w:rPr>
          <w:rFonts w:ascii="宋体" w:hAnsi="宋体" w:eastAsia="宋体" w:cs="Times New Roman"/>
          <w:color w:val="auto"/>
          <w:kern w:val="2"/>
          <w:sz w:val="28"/>
          <w:szCs w:val="28"/>
          <w:lang w:val="en-US" w:eastAsia="zh-CN" w:bidi="ar-SA"/>
        </w:rPr>
        <w:id w:val="732004903"/>
        <w15:color w:val="DBDBDB"/>
        <w:docPartObj>
          <w:docPartGallery w:val="Table of Contents"/>
          <w:docPartUnique/>
        </w:docPartObj>
      </w:sdtPr>
      <w:sdtEndPr>
        <w:rPr>
          <w:rFonts w:ascii="Calibri" w:hAnsi="Calibri" w:eastAsia="宋体" w:cs="Times New Roman"/>
          <w:b/>
          <w:color w:val="auto"/>
          <w:kern w:val="2"/>
          <w:sz w:val="21"/>
          <w:szCs w:val="24"/>
          <w:lang w:val="en-US" w:eastAsia="zh-CN" w:bidi="ar-SA"/>
        </w:rPr>
      </w:sdtEndPr>
      <w:sdtContent>
        <w:p>
          <w:pPr>
            <w:keepNext w:val="0"/>
            <w:keepLines w:val="0"/>
            <w:pageBreakBefore w:val="0"/>
            <w:kinsoku/>
            <w:wordWrap/>
            <w:overflowPunct/>
            <w:topLinePunct w:val="0"/>
            <w:autoSpaceDE/>
            <w:autoSpaceDN/>
            <w:bidi w:val="0"/>
            <w:adjustRightInd/>
            <w:snapToGrid/>
            <w:spacing w:before="0" w:beforeLines="0" w:after="0" w:afterLines="0" w:line="500" w:lineRule="exact"/>
            <w:ind w:left="0" w:leftChars="0" w:right="0" w:rightChars="0" w:firstLine="0" w:firstLineChars="0"/>
            <w:jc w:val="center"/>
            <w:textAlignment w:val="auto"/>
            <w:rPr>
              <w:sz w:val="28"/>
              <w:szCs w:val="28"/>
            </w:rPr>
          </w:pPr>
          <w:r>
            <w:rPr>
              <w:rFonts w:ascii="宋体" w:hAnsi="宋体" w:eastAsia="宋体"/>
              <w:sz w:val="28"/>
              <w:szCs w:val="28"/>
            </w:rPr>
            <w:t>目录</w:t>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b/>
              <w:sz w:val="28"/>
              <w:szCs w:val="28"/>
            </w:rPr>
          </w:pPr>
          <w:r>
            <w:rPr>
              <w:sz w:val="28"/>
              <w:szCs w:val="28"/>
            </w:rPr>
            <w:fldChar w:fldCharType="begin"/>
          </w:r>
          <w:r>
            <w:rPr>
              <w:sz w:val="28"/>
              <w:szCs w:val="28"/>
            </w:rPr>
            <w:instrText xml:space="preserve">TOC \o "1-2" \h \u </w:instrText>
          </w:r>
          <w:r>
            <w:rPr>
              <w:sz w:val="28"/>
              <w:szCs w:val="28"/>
            </w:rPr>
            <w:fldChar w:fldCharType="separate"/>
          </w:r>
          <w:r>
            <w:rPr>
              <w:b/>
              <w:sz w:val="28"/>
              <w:szCs w:val="28"/>
            </w:rPr>
            <w:fldChar w:fldCharType="begin"/>
          </w:r>
          <w:r>
            <w:rPr>
              <w:b/>
              <w:sz w:val="28"/>
              <w:szCs w:val="28"/>
            </w:rPr>
            <w:instrText xml:space="preserve"> HYPERLINK \l _Toc1167598173 </w:instrText>
          </w:r>
          <w:r>
            <w:rPr>
              <w:b/>
              <w:sz w:val="28"/>
              <w:szCs w:val="28"/>
            </w:rPr>
            <w:fldChar w:fldCharType="separate"/>
          </w:r>
          <w:r>
            <w:rPr>
              <w:rFonts w:hint="eastAsia" w:ascii="黑体" w:hAnsi="黑体" w:eastAsia="黑体" w:cs="黑体"/>
              <w:b/>
              <w:sz w:val="28"/>
              <w:szCs w:val="28"/>
              <w:lang w:val="en-US" w:eastAsia="zh-CN"/>
            </w:rPr>
            <w:t>一、基本职能及主要工作</w:t>
          </w:r>
          <w:r>
            <w:rPr>
              <w:b/>
              <w:sz w:val="28"/>
              <w:szCs w:val="28"/>
            </w:rPr>
            <w:tab/>
          </w:r>
          <w:r>
            <w:rPr>
              <w:b/>
              <w:sz w:val="28"/>
              <w:szCs w:val="28"/>
            </w:rPr>
            <w:fldChar w:fldCharType="begin"/>
          </w:r>
          <w:r>
            <w:rPr>
              <w:b/>
              <w:sz w:val="28"/>
              <w:szCs w:val="28"/>
            </w:rPr>
            <w:instrText xml:space="preserve"> PAGEREF _Toc1167598173 \h </w:instrText>
          </w:r>
          <w:r>
            <w:rPr>
              <w:b/>
              <w:sz w:val="28"/>
              <w:szCs w:val="28"/>
            </w:rPr>
            <w:fldChar w:fldCharType="separate"/>
          </w:r>
          <w:r>
            <w:rPr>
              <w:b/>
              <w:sz w:val="28"/>
              <w:szCs w:val="28"/>
            </w:rPr>
            <w:t>3</w:t>
          </w:r>
          <w:r>
            <w:rPr>
              <w:b/>
              <w:sz w:val="28"/>
              <w:szCs w:val="28"/>
            </w:rPr>
            <w:fldChar w:fldCharType="end"/>
          </w:r>
          <w:r>
            <w:rPr>
              <w:b/>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b/>
              <w:sz w:val="28"/>
              <w:szCs w:val="28"/>
            </w:rPr>
          </w:pPr>
          <w:r>
            <w:rPr>
              <w:b/>
              <w:sz w:val="28"/>
              <w:szCs w:val="28"/>
            </w:rPr>
            <w:fldChar w:fldCharType="begin"/>
          </w:r>
          <w:r>
            <w:rPr>
              <w:b/>
              <w:sz w:val="28"/>
              <w:szCs w:val="28"/>
            </w:rPr>
            <w:instrText xml:space="preserve"> HYPERLINK \l _Toc1078425333 </w:instrText>
          </w:r>
          <w:r>
            <w:rPr>
              <w:b/>
              <w:sz w:val="28"/>
              <w:szCs w:val="28"/>
            </w:rPr>
            <w:fldChar w:fldCharType="separate"/>
          </w:r>
          <w:r>
            <w:rPr>
              <w:rFonts w:hint="eastAsia" w:ascii="黑体" w:hAnsi="黑体" w:eastAsia="黑体" w:cs="黑体"/>
              <w:b/>
              <w:sz w:val="28"/>
              <w:szCs w:val="28"/>
              <w:lang w:val="en-US" w:eastAsia="zh-CN"/>
            </w:rPr>
            <w:t>二、部门预算单位构成</w:t>
          </w:r>
          <w:r>
            <w:rPr>
              <w:b/>
              <w:sz w:val="28"/>
              <w:szCs w:val="28"/>
            </w:rPr>
            <w:tab/>
          </w:r>
          <w:r>
            <w:rPr>
              <w:b/>
              <w:sz w:val="28"/>
              <w:szCs w:val="28"/>
            </w:rPr>
            <w:fldChar w:fldCharType="begin"/>
          </w:r>
          <w:r>
            <w:rPr>
              <w:b/>
              <w:sz w:val="28"/>
              <w:szCs w:val="28"/>
            </w:rPr>
            <w:instrText xml:space="preserve"> PAGEREF _Toc1078425333 \h </w:instrText>
          </w:r>
          <w:r>
            <w:rPr>
              <w:b/>
              <w:sz w:val="28"/>
              <w:szCs w:val="28"/>
            </w:rPr>
            <w:fldChar w:fldCharType="separate"/>
          </w:r>
          <w:r>
            <w:rPr>
              <w:b/>
              <w:sz w:val="28"/>
              <w:szCs w:val="28"/>
            </w:rPr>
            <w:t>5</w:t>
          </w:r>
          <w:r>
            <w:rPr>
              <w:b/>
              <w:sz w:val="28"/>
              <w:szCs w:val="28"/>
            </w:rPr>
            <w:fldChar w:fldCharType="end"/>
          </w:r>
          <w:r>
            <w:rPr>
              <w:b/>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b/>
              <w:sz w:val="28"/>
              <w:szCs w:val="28"/>
            </w:rPr>
          </w:pPr>
          <w:r>
            <w:rPr>
              <w:b/>
              <w:sz w:val="28"/>
              <w:szCs w:val="28"/>
            </w:rPr>
            <w:fldChar w:fldCharType="begin"/>
          </w:r>
          <w:r>
            <w:rPr>
              <w:b/>
              <w:sz w:val="28"/>
              <w:szCs w:val="28"/>
            </w:rPr>
            <w:instrText xml:space="preserve"> HYPERLINK \l _Toc1248609053 </w:instrText>
          </w:r>
          <w:r>
            <w:rPr>
              <w:b/>
              <w:sz w:val="28"/>
              <w:szCs w:val="28"/>
            </w:rPr>
            <w:fldChar w:fldCharType="separate"/>
          </w:r>
          <w:r>
            <w:rPr>
              <w:rFonts w:hint="eastAsia" w:ascii="黑体" w:hAnsi="黑体" w:eastAsia="黑体" w:cs="黑体"/>
              <w:b/>
              <w:sz w:val="28"/>
              <w:szCs w:val="28"/>
              <w:lang w:val="en-US" w:eastAsia="zh-CN"/>
            </w:rPr>
            <w:t>三、收支预算情况说明</w:t>
          </w:r>
          <w:r>
            <w:rPr>
              <w:b/>
              <w:sz w:val="28"/>
              <w:szCs w:val="28"/>
            </w:rPr>
            <w:tab/>
          </w:r>
          <w:r>
            <w:rPr>
              <w:b/>
              <w:sz w:val="28"/>
              <w:szCs w:val="28"/>
            </w:rPr>
            <w:fldChar w:fldCharType="begin"/>
          </w:r>
          <w:r>
            <w:rPr>
              <w:b/>
              <w:sz w:val="28"/>
              <w:szCs w:val="28"/>
            </w:rPr>
            <w:instrText xml:space="preserve"> PAGEREF _Toc1248609053 \h </w:instrText>
          </w:r>
          <w:r>
            <w:rPr>
              <w:b/>
              <w:sz w:val="28"/>
              <w:szCs w:val="28"/>
            </w:rPr>
            <w:fldChar w:fldCharType="separate"/>
          </w:r>
          <w:r>
            <w:rPr>
              <w:b/>
              <w:sz w:val="28"/>
              <w:szCs w:val="28"/>
            </w:rPr>
            <w:t>5</w:t>
          </w:r>
          <w:r>
            <w:rPr>
              <w:b/>
              <w:sz w:val="28"/>
              <w:szCs w:val="28"/>
            </w:rPr>
            <w:fldChar w:fldCharType="end"/>
          </w:r>
          <w:r>
            <w:rPr>
              <w:b/>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sz w:val="28"/>
              <w:szCs w:val="28"/>
            </w:rPr>
          </w:pPr>
          <w:r>
            <w:rPr>
              <w:sz w:val="28"/>
              <w:szCs w:val="28"/>
            </w:rPr>
            <w:fldChar w:fldCharType="begin"/>
          </w:r>
          <w:r>
            <w:rPr>
              <w:sz w:val="28"/>
              <w:szCs w:val="28"/>
            </w:rPr>
            <w:instrText xml:space="preserve"> HYPERLINK \l _Toc2052318453 </w:instrText>
          </w:r>
          <w:r>
            <w:rPr>
              <w:sz w:val="28"/>
              <w:szCs w:val="28"/>
            </w:rPr>
            <w:fldChar w:fldCharType="separate"/>
          </w:r>
          <w:r>
            <w:rPr>
              <w:rFonts w:hint="eastAsia" w:ascii="楷体_GB2312" w:hAnsi="楷体_GB2312" w:eastAsia="楷体_GB2312" w:cs="楷体_GB2312"/>
              <w:sz w:val="28"/>
              <w:szCs w:val="28"/>
              <w:lang w:val="en-US" w:eastAsia="zh-CN"/>
            </w:rPr>
            <w:t>（一）收入预算情况</w:t>
          </w:r>
          <w:r>
            <w:rPr>
              <w:sz w:val="28"/>
              <w:szCs w:val="28"/>
            </w:rPr>
            <w:tab/>
          </w:r>
          <w:r>
            <w:rPr>
              <w:sz w:val="28"/>
              <w:szCs w:val="28"/>
            </w:rPr>
            <w:fldChar w:fldCharType="begin"/>
          </w:r>
          <w:r>
            <w:rPr>
              <w:sz w:val="28"/>
              <w:szCs w:val="28"/>
            </w:rPr>
            <w:instrText xml:space="preserve"> PAGEREF _Toc2052318453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sz w:val="28"/>
              <w:szCs w:val="28"/>
            </w:rPr>
          </w:pPr>
          <w:r>
            <w:rPr>
              <w:sz w:val="28"/>
              <w:szCs w:val="28"/>
            </w:rPr>
            <w:fldChar w:fldCharType="begin"/>
          </w:r>
          <w:r>
            <w:rPr>
              <w:sz w:val="28"/>
              <w:szCs w:val="28"/>
            </w:rPr>
            <w:instrText xml:space="preserve"> HYPERLINK \l _Toc288691314 </w:instrText>
          </w:r>
          <w:r>
            <w:rPr>
              <w:sz w:val="28"/>
              <w:szCs w:val="28"/>
            </w:rPr>
            <w:fldChar w:fldCharType="separate"/>
          </w:r>
          <w:r>
            <w:rPr>
              <w:rFonts w:hint="eastAsia" w:ascii="楷体_GB2312" w:hAnsi="楷体_GB2312" w:eastAsia="楷体_GB2312" w:cs="楷体_GB2312"/>
              <w:sz w:val="28"/>
              <w:szCs w:val="28"/>
              <w:lang w:val="en-US" w:eastAsia="zh-CN"/>
            </w:rPr>
            <w:t>（二）支出预算情况</w:t>
          </w:r>
          <w:r>
            <w:rPr>
              <w:sz w:val="28"/>
              <w:szCs w:val="28"/>
            </w:rPr>
            <w:tab/>
          </w:r>
          <w:r>
            <w:rPr>
              <w:sz w:val="28"/>
              <w:szCs w:val="28"/>
            </w:rPr>
            <w:fldChar w:fldCharType="begin"/>
          </w:r>
          <w:r>
            <w:rPr>
              <w:sz w:val="28"/>
              <w:szCs w:val="28"/>
            </w:rPr>
            <w:instrText xml:space="preserve"> PAGEREF _Toc288691314 \h </w:instrText>
          </w:r>
          <w:r>
            <w:rPr>
              <w:sz w:val="28"/>
              <w:szCs w:val="28"/>
            </w:rPr>
            <w:fldChar w:fldCharType="separate"/>
          </w:r>
          <w:r>
            <w:rPr>
              <w:sz w:val="28"/>
              <w:szCs w:val="28"/>
            </w:rPr>
            <w:t>5</w:t>
          </w:r>
          <w:r>
            <w:rPr>
              <w:sz w:val="28"/>
              <w:szCs w:val="28"/>
            </w:rPr>
            <w:fldChar w:fldCharType="end"/>
          </w:r>
          <w:r>
            <w:rPr>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b/>
              <w:sz w:val="28"/>
              <w:szCs w:val="28"/>
            </w:rPr>
          </w:pPr>
          <w:r>
            <w:rPr>
              <w:b/>
              <w:sz w:val="28"/>
              <w:szCs w:val="28"/>
            </w:rPr>
            <w:fldChar w:fldCharType="begin"/>
          </w:r>
          <w:r>
            <w:rPr>
              <w:b/>
              <w:sz w:val="28"/>
              <w:szCs w:val="28"/>
            </w:rPr>
            <w:instrText xml:space="preserve"> HYPERLINK \l _Toc1046919242 </w:instrText>
          </w:r>
          <w:r>
            <w:rPr>
              <w:b/>
              <w:sz w:val="28"/>
              <w:szCs w:val="28"/>
            </w:rPr>
            <w:fldChar w:fldCharType="separate"/>
          </w:r>
          <w:r>
            <w:rPr>
              <w:rFonts w:hint="eastAsia" w:ascii="黑体" w:hAnsi="黑体" w:eastAsia="黑体" w:cs="黑体"/>
              <w:b/>
              <w:sz w:val="28"/>
              <w:szCs w:val="28"/>
              <w:lang w:val="en-US" w:eastAsia="zh-CN"/>
            </w:rPr>
            <w:t>四、财政拨款收支预算情况说明</w:t>
          </w:r>
          <w:r>
            <w:rPr>
              <w:b/>
              <w:sz w:val="28"/>
              <w:szCs w:val="28"/>
            </w:rPr>
            <w:tab/>
          </w:r>
          <w:r>
            <w:rPr>
              <w:b/>
              <w:sz w:val="28"/>
              <w:szCs w:val="28"/>
            </w:rPr>
            <w:fldChar w:fldCharType="begin"/>
          </w:r>
          <w:r>
            <w:rPr>
              <w:b/>
              <w:sz w:val="28"/>
              <w:szCs w:val="28"/>
            </w:rPr>
            <w:instrText xml:space="preserve"> PAGEREF _Toc1046919242 \h </w:instrText>
          </w:r>
          <w:r>
            <w:rPr>
              <w:b/>
              <w:sz w:val="28"/>
              <w:szCs w:val="28"/>
            </w:rPr>
            <w:fldChar w:fldCharType="separate"/>
          </w:r>
          <w:r>
            <w:rPr>
              <w:b/>
              <w:sz w:val="28"/>
              <w:szCs w:val="28"/>
            </w:rPr>
            <w:t>6</w:t>
          </w:r>
          <w:r>
            <w:rPr>
              <w:b/>
              <w:sz w:val="28"/>
              <w:szCs w:val="28"/>
            </w:rPr>
            <w:fldChar w:fldCharType="end"/>
          </w:r>
          <w:r>
            <w:rPr>
              <w:b/>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b/>
              <w:sz w:val="28"/>
              <w:szCs w:val="28"/>
            </w:rPr>
          </w:pPr>
          <w:r>
            <w:rPr>
              <w:b/>
              <w:sz w:val="28"/>
              <w:szCs w:val="28"/>
            </w:rPr>
            <w:fldChar w:fldCharType="begin"/>
          </w:r>
          <w:r>
            <w:rPr>
              <w:b/>
              <w:sz w:val="28"/>
              <w:szCs w:val="28"/>
            </w:rPr>
            <w:instrText xml:space="preserve"> HYPERLINK \l _Toc2063607308 </w:instrText>
          </w:r>
          <w:r>
            <w:rPr>
              <w:b/>
              <w:sz w:val="28"/>
              <w:szCs w:val="28"/>
            </w:rPr>
            <w:fldChar w:fldCharType="separate"/>
          </w:r>
          <w:r>
            <w:rPr>
              <w:rFonts w:hint="eastAsia" w:ascii="黑体" w:hAnsi="黑体" w:eastAsia="黑体" w:cs="黑体"/>
              <w:b/>
              <w:sz w:val="28"/>
              <w:szCs w:val="28"/>
              <w:lang w:val="en-US" w:eastAsia="zh-CN"/>
            </w:rPr>
            <w:t>五、一般公共预算当年拨款情况说明</w:t>
          </w:r>
          <w:r>
            <w:rPr>
              <w:b/>
              <w:sz w:val="28"/>
              <w:szCs w:val="28"/>
            </w:rPr>
            <w:tab/>
          </w:r>
          <w:r>
            <w:rPr>
              <w:b/>
              <w:sz w:val="28"/>
              <w:szCs w:val="28"/>
            </w:rPr>
            <w:fldChar w:fldCharType="begin"/>
          </w:r>
          <w:r>
            <w:rPr>
              <w:b/>
              <w:sz w:val="28"/>
              <w:szCs w:val="28"/>
            </w:rPr>
            <w:instrText xml:space="preserve"> PAGEREF _Toc2063607308 \h </w:instrText>
          </w:r>
          <w:r>
            <w:rPr>
              <w:b/>
              <w:sz w:val="28"/>
              <w:szCs w:val="28"/>
            </w:rPr>
            <w:fldChar w:fldCharType="separate"/>
          </w:r>
          <w:r>
            <w:rPr>
              <w:b/>
              <w:sz w:val="28"/>
              <w:szCs w:val="28"/>
            </w:rPr>
            <w:t>6</w:t>
          </w:r>
          <w:r>
            <w:rPr>
              <w:b/>
              <w:sz w:val="28"/>
              <w:szCs w:val="28"/>
            </w:rPr>
            <w:fldChar w:fldCharType="end"/>
          </w:r>
          <w:r>
            <w:rPr>
              <w:b/>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sz w:val="28"/>
              <w:szCs w:val="28"/>
            </w:rPr>
          </w:pPr>
          <w:r>
            <w:rPr>
              <w:sz w:val="28"/>
              <w:szCs w:val="28"/>
            </w:rPr>
            <w:fldChar w:fldCharType="begin"/>
          </w:r>
          <w:r>
            <w:rPr>
              <w:sz w:val="28"/>
              <w:szCs w:val="28"/>
            </w:rPr>
            <w:instrText xml:space="preserve"> HYPERLINK \l _Toc1267266019 </w:instrText>
          </w:r>
          <w:r>
            <w:rPr>
              <w:sz w:val="28"/>
              <w:szCs w:val="28"/>
            </w:rPr>
            <w:fldChar w:fldCharType="separate"/>
          </w:r>
          <w:r>
            <w:rPr>
              <w:rFonts w:hint="eastAsia" w:ascii="楷体_GB2312" w:hAnsi="楷体_GB2312" w:eastAsia="楷体_GB2312" w:cs="楷体_GB2312"/>
              <w:sz w:val="28"/>
              <w:szCs w:val="28"/>
              <w:lang w:val="en-US" w:eastAsia="zh-CN"/>
            </w:rPr>
            <w:t>（一）一般公共预算当年拨款规模变化情况</w:t>
          </w:r>
          <w:r>
            <w:rPr>
              <w:sz w:val="28"/>
              <w:szCs w:val="28"/>
            </w:rPr>
            <w:tab/>
          </w:r>
          <w:r>
            <w:rPr>
              <w:sz w:val="28"/>
              <w:szCs w:val="28"/>
            </w:rPr>
            <w:fldChar w:fldCharType="begin"/>
          </w:r>
          <w:r>
            <w:rPr>
              <w:sz w:val="28"/>
              <w:szCs w:val="28"/>
            </w:rPr>
            <w:instrText xml:space="preserve"> PAGEREF _Toc1267266019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sz w:val="28"/>
              <w:szCs w:val="28"/>
            </w:rPr>
          </w:pPr>
          <w:r>
            <w:rPr>
              <w:sz w:val="28"/>
              <w:szCs w:val="28"/>
            </w:rPr>
            <w:fldChar w:fldCharType="begin"/>
          </w:r>
          <w:r>
            <w:rPr>
              <w:sz w:val="28"/>
              <w:szCs w:val="28"/>
            </w:rPr>
            <w:instrText xml:space="preserve"> HYPERLINK \l _Toc1256243894 </w:instrText>
          </w:r>
          <w:r>
            <w:rPr>
              <w:sz w:val="28"/>
              <w:szCs w:val="28"/>
            </w:rPr>
            <w:fldChar w:fldCharType="separate"/>
          </w:r>
          <w:r>
            <w:rPr>
              <w:rFonts w:hint="eastAsia" w:ascii="楷体_GB2312" w:hAnsi="楷体_GB2312" w:eastAsia="楷体_GB2312" w:cs="楷体_GB2312"/>
              <w:sz w:val="28"/>
              <w:szCs w:val="28"/>
              <w:lang w:val="en-US" w:eastAsia="zh-CN"/>
            </w:rPr>
            <w:t>（二）一般公共预算当年拨款结构情况</w:t>
          </w:r>
          <w:r>
            <w:rPr>
              <w:sz w:val="28"/>
              <w:szCs w:val="28"/>
            </w:rPr>
            <w:tab/>
          </w:r>
          <w:r>
            <w:rPr>
              <w:sz w:val="28"/>
              <w:szCs w:val="28"/>
            </w:rPr>
            <w:fldChar w:fldCharType="begin"/>
          </w:r>
          <w:r>
            <w:rPr>
              <w:sz w:val="28"/>
              <w:szCs w:val="28"/>
            </w:rPr>
            <w:instrText xml:space="preserve"> PAGEREF _Toc1256243894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sz w:val="28"/>
              <w:szCs w:val="28"/>
            </w:rPr>
          </w:pPr>
          <w:r>
            <w:rPr>
              <w:sz w:val="28"/>
              <w:szCs w:val="28"/>
            </w:rPr>
            <w:fldChar w:fldCharType="begin"/>
          </w:r>
          <w:r>
            <w:rPr>
              <w:sz w:val="28"/>
              <w:szCs w:val="28"/>
            </w:rPr>
            <w:instrText xml:space="preserve"> HYPERLINK \l _Toc1765022682 </w:instrText>
          </w:r>
          <w:r>
            <w:rPr>
              <w:sz w:val="28"/>
              <w:szCs w:val="28"/>
            </w:rPr>
            <w:fldChar w:fldCharType="separate"/>
          </w:r>
          <w:r>
            <w:rPr>
              <w:rFonts w:hint="eastAsia" w:ascii="楷体_GB2312" w:hAnsi="楷体_GB2312" w:eastAsia="楷体_GB2312" w:cs="楷体_GB2312"/>
              <w:sz w:val="28"/>
              <w:szCs w:val="28"/>
              <w:lang w:val="en-US" w:eastAsia="zh-CN"/>
            </w:rPr>
            <w:t>（三）一般公共预算当年拨款具体使用情况</w:t>
          </w:r>
          <w:r>
            <w:rPr>
              <w:sz w:val="28"/>
              <w:szCs w:val="28"/>
            </w:rPr>
            <w:tab/>
          </w:r>
          <w:r>
            <w:rPr>
              <w:sz w:val="28"/>
              <w:szCs w:val="28"/>
            </w:rPr>
            <w:fldChar w:fldCharType="begin"/>
          </w:r>
          <w:r>
            <w:rPr>
              <w:sz w:val="28"/>
              <w:szCs w:val="28"/>
            </w:rPr>
            <w:instrText xml:space="preserve"> PAGEREF _Toc1765022682 \h </w:instrText>
          </w:r>
          <w:r>
            <w:rPr>
              <w:sz w:val="28"/>
              <w:szCs w:val="28"/>
            </w:rPr>
            <w:fldChar w:fldCharType="separate"/>
          </w:r>
          <w:r>
            <w:rPr>
              <w:sz w:val="28"/>
              <w:szCs w:val="28"/>
            </w:rPr>
            <w:t>6</w:t>
          </w:r>
          <w:r>
            <w:rPr>
              <w:sz w:val="28"/>
              <w:szCs w:val="28"/>
            </w:rPr>
            <w:fldChar w:fldCharType="end"/>
          </w:r>
          <w:r>
            <w:rPr>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b/>
              <w:sz w:val="28"/>
              <w:szCs w:val="28"/>
            </w:rPr>
          </w:pPr>
          <w:r>
            <w:rPr>
              <w:b/>
              <w:sz w:val="28"/>
              <w:szCs w:val="28"/>
            </w:rPr>
            <w:fldChar w:fldCharType="begin"/>
          </w:r>
          <w:r>
            <w:rPr>
              <w:b/>
              <w:sz w:val="28"/>
              <w:szCs w:val="28"/>
            </w:rPr>
            <w:instrText xml:space="preserve"> HYPERLINK \l _Toc2023044838 </w:instrText>
          </w:r>
          <w:r>
            <w:rPr>
              <w:b/>
              <w:sz w:val="28"/>
              <w:szCs w:val="28"/>
            </w:rPr>
            <w:fldChar w:fldCharType="separate"/>
          </w:r>
          <w:r>
            <w:rPr>
              <w:rFonts w:hint="eastAsia" w:ascii="黑体" w:hAnsi="黑体" w:eastAsia="黑体" w:cs="黑体"/>
              <w:b/>
              <w:sz w:val="28"/>
              <w:szCs w:val="28"/>
              <w:lang w:val="en-US" w:eastAsia="zh-CN"/>
            </w:rPr>
            <w:t>六、一般公共预算基本支出情况说明</w:t>
          </w:r>
          <w:r>
            <w:rPr>
              <w:b/>
              <w:sz w:val="28"/>
              <w:szCs w:val="28"/>
            </w:rPr>
            <w:tab/>
          </w:r>
          <w:r>
            <w:rPr>
              <w:b/>
              <w:sz w:val="28"/>
              <w:szCs w:val="28"/>
            </w:rPr>
            <w:fldChar w:fldCharType="begin"/>
          </w:r>
          <w:r>
            <w:rPr>
              <w:b/>
              <w:sz w:val="28"/>
              <w:szCs w:val="28"/>
            </w:rPr>
            <w:instrText xml:space="preserve"> PAGEREF _Toc2023044838 \h </w:instrText>
          </w:r>
          <w:r>
            <w:rPr>
              <w:b/>
              <w:sz w:val="28"/>
              <w:szCs w:val="28"/>
            </w:rPr>
            <w:fldChar w:fldCharType="separate"/>
          </w:r>
          <w:r>
            <w:rPr>
              <w:b/>
              <w:sz w:val="28"/>
              <w:szCs w:val="28"/>
            </w:rPr>
            <w:t>8</w:t>
          </w:r>
          <w:r>
            <w:rPr>
              <w:b/>
              <w:sz w:val="28"/>
              <w:szCs w:val="28"/>
            </w:rPr>
            <w:fldChar w:fldCharType="end"/>
          </w:r>
          <w:r>
            <w:rPr>
              <w:b/>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b/>
              <w:sz w:val="28"/>
              <w:szCs w:val="28"/>
            </w:rPr>
          </w:pPr>
          <w:r>
            <w:rPr>
              <w:b/>
              <w:sz w:val="28"/>
              <w:szCs w:val="28"/>
            </w:rPr>
            <w:fldChar w:fldCharType="begin"/>
          </w:r>
          <w:r>
            <w:rPr>
              <w:b/>
              <w:sz w:val="28"/>
              <w:szCs w:val="28"/>
            </w:rPr>
            <w:instrText xml:space="preserve"> HYPERLINK \l _Toc1421832092 </w:instrText>
          </w:r>
          <w:r>
            <w:rPr>
              <w:b/>
              <w:sz w:val="28"/>
              <w:szCs w:val="28"/>
            </w:rPr>
            <w:fldChar w:fldCharType="separate"/>
          </w:r>
          <w:r>
            <w:rPr>
              <w:rFonts w:hint="eastAsia" w:ascii="黑体" w:hAnsi="黑体" w:eastAsia="黑体" w:cs="黑体"/>
              <w:b/>
              <w:sz w:val="28"/>
              <w:szCs w:val="28"/>
              <w:lang w:val="en-US" w:eastAsia="zh-CN"/>
            </w:rPr>
            <w:t>七、“三公”经费财政拨款预算安排情况说明</w:t>
          </w:r>
          <w:r>
            <w:rPr>
              <w:b/>
              <w:sz w:val="28"/>
              <w:szCs w:val="28"/>
            </w:rPr>
            <w:tab/>
          </w:r>
          <w:r>
            <w:rPr>
              <w:b/>
              <w:sz w:val="28"/>
              <w:szCs w:val="28"/>
            </w:rPr>
            <w:fldChar w:fldCharType="begin"/>
          </w:r>
          <w:r>
            <w:rPr>
              <w:b/>
              <w:sz w:val="28"/>
              <w:szCs w:val="28"/>
            </w:rPr>
            <w:instrText xml:space="preserve"> PAGEREF _Toc1421832092 \h </w:instrText>
          </w:r>
          <w:r>
            <w:rPr>
              <w:b/>
              <w:sz w:val="28"/>
              <w:szCs w:val="28"/>
            </w:rPr>
            <w:fldChar w:fldCharType="separate"/>
          </w:r>
          <w:r>
            <w:rPr>
              <w:b/>
              <w:sz w:val="28"/>
              <w:szCs w:val="28"/>
            </w:rPr>
            <w:t>8</w:t>
          </w:r>
          <w:r>
            <w:rPr>
              <w:b/>
              <w:sz w:val="28"/>
              <w:szCs w:val="28"/>
            </w:rPr>
            <w:fldChar w:fldCharType="end"/>
          </w:r>
          <w:r>
            <w:rPr>
              <w:b/>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sz w:val="28"/>
              <w:szCs w:val="28"/>
            </w:rPr>
          </w:pPr>
          <w:r>
            <w:rPr>
              <w:sz w:val="28"/>
              <w:szCs w:val="28"/>
            </w:rPr>
            <w:fldChar w:fldCharType="begin"/>
          </w:r>
          <w:r>
            <w:rPr>
              <w:sz w:val="28"/>
              <w:szCs w:val="28"/>
            </w:rPr>
            <w:instrText xml:space="preserve"> HYPERLINK \l _Toc1518520691 </w:instrText>
          </w:r>
          <w:r>
            <w:rPr>
              <w:sz w:val="28"/>
              <w:szCs w:val="28"/>
            </w:rPr>
            <w:fldChar w:fldCharType="separate"/>
          </w:r>
          <w:r>
            <w:rPr>
              <w:rFonts w:hint="eastAsia" w:ascii="楷体_GB2312" w:hAnsi="楷体_GB2312" w:eastAsia="楷体_GB2312" w:cs="楷体_GB2312"/>
              <w:sz w:val="28"/>
              <w:szCs w:val="28"/>
              <w:lang w:val="en-US" w:eastAsia="zh-CN"/>
            </w:rPr>
            <w:t>（一）公务接待费</w:t>
          </w:r>
          <w:r>
            <w:rPr>
              <w:sz w:val="28"/>
              <w:szCs w:val="28"/>
            </w:rPr>
            <w:tab/>
          </w:r>
          <w:r>
            <w:rPr>
              <w:sz w:val="28"/>
              <w:szCs w:val="28"/>
            </w:rPr>
            <w:fldChar w:fldCharType="begin"/>
          </w:r>
          <w:r>
            <w:rPr>
              <w:sz w:val="28"/>
              <w:szCs w:val="28"/>
            </w:rPr>
            <w:instrText xml:space="preserve"> PAGEREF _Toc1518520691 \h </w:instrText>
          </w:r>
          <w:r>
            <w:rPr>
              <w:sz w:val="28"/>
              <w:szCs w:val="28"/>
            </w:rPr>
            <w:fldChar w:fldCharType="separate"/>
          </w:r>
          <w:r>
            <w:rPr>
              <w:sz w:val="28"/>
              <w:szCs w:val="28"/>
            </w:rPr>
            <w:t>8</w:t>
          </w:r>
          <w:r>
            <w:rPr>
              <w:sz w:val="28"/>
              <w:szCs w:val="28"/>
            </w:rPr>
            <w:fldChar w:fldCharType="end"/>
          </w:r>
          <w:r>
            <w:rPr>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_Toc1257072395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（二）公务用车购置及运行维护费</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_Toc1257072395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_Toc451085802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（三）因公出国（境）经费</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_Toc451085802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_Toc1453582297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lang w:val="en-US" w:eastAsia="zh-CN"/>
            </w:rPr>
            <w:t>八、政府性基金预算支出情况说明</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_Toc1453582297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9</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_Toc910872466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lang w:val="en-US" w:eastAsia="zh-CN"/>
            </w:rPr>
            <w:t>九、国有资本经营预算支出情况说明</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_Toc910872466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9</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_Toc150973975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lang w:val="en-US" w:eastAsia="zh-CN"/>
            </w:rPr>
            <w:t>十、其他重要事项的情况说明</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_Toc150973975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9</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_Toc113342188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（一）机关运行经费</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_Toc113342188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9</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_Toc335206970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（二）国有资产占有使用情况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_Toc335206970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5"/>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HYPERLINK \l _Toc522308790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lang w:val="en-US" w:eastAsia="zh-CN"/>
            </w:rPr>
            <w:t>（三）绩效目标设置情况</w:t>
          </w:r>
          <w:r>
            <w:rPr>
              <w:rFonts w:hint="eastAsia" w:ascii="仿宋_GB2312" w:hAnsi="仿宋_GB2312" w:eastAsia="仿宋_GB2312" w:cs="仿宋_GB2312"/>
              <w:sz w:val="28"/>
              <w:szCs w:val="28"/>
            </w:rPr>
            <w:tab/>
          </w: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PAGEREF _Toc522308790 \h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10</w:t>
          </w:r>
          <w:r>
            <w:rPr>
              <w:rFonts w:hint="eastAsia" w:ascii="仿宋_GB2312" w:hAnsi="仿宋_GB2312" w:eastAsia="仿宋_GB2312" w:cs="仿宋_GB2312"/>
              <w:sz w:val="28"/>
              <w:szCs w:val="28"/>
            </w:rPr>
            <w:fldChar w:fldCharType="end"/>
          </w:r>
          <w:r>
            <w:rPr>
              <w:rFonts w:hint="eastAsia" w:ascii="仿宋_GB2312" w:hAnsi="仿宋_GB2312" w:eastAsia="仿宋_GB2312" w:cs="仿宋_GB2312"/>
              <w:sz w:val="28"/>
              <w:szCs w:val="28"/>
            </w:rPr>
            <w:fldChar w:fldCharType="end"/>
          </w:r>
        </w:p>
        <w:p>
          <w:pPr>
            <w:pStyle w:val="14"/>
            <w:keepNext w:val="0"/>
            <w:keepLines w:val="0"/>
            <w:pageBreakBefore w:val="0"/>
            <w:tabs>
              <w:tab w:val="right" w:leader="dot" w:pos="8845"/>
            </w:tabs>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b/>
              <w:sz w:val="28"/>
              <w:szCs w:val="28"/>
            </w:rPr>
          </w:pP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HYPERLINK \l _Toc2124607891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lang w:val="en-US" w:eastAsia="zh-CN"/>
            </w:rPr>
            <w:t>十一、名词解释</w:t>
          </w:r>
          <w:r>
            <w:rPr>
              <w:rFonts w:hint="eastAsia" w:ascii="仿宋_GB2312" w:hAnsi="仿宋_GB2312" w:eastAsia="仿宋_GB2312" w:cs="仿宋_GB2312"/>
              <w:b/>
              <w:sz w:val="28"/>
              <w:szCs w:val="28"/>
            </w:rPr>
            <w:tab/>
          </w:r>
          <w:r>
            <w:rPr>
              <w:rFonts w:hint="eastAsia" w:ascii="仿宋_GB2312" w:hAnsi="仿宋_GB2312" w:eastAsia="仿宋_GB2312" w:cs="仿宋_GB2312"/>
              <w:b/>
              <w:sz w:val="28"/>
              <w:szCs w:val="28"/>
            </w:rPr>
            <w:fldChar w:fldCharType="begin"/>
          </w:r>
          <w:r>
            <w:rPr>
              <w:rFonts w:hint="eastAsia" w:ascii="仿宋_GB2312" w:hAnsi="仿宋_GB2312" w:eastAsia="仿宋_GB2312" w:cs="仿宋_GB2312"/>
              <w:b/>
              <w:sz w:val="28"/>
              <w:szCs w:val="28"/>
            </w:rPr>
            <w:instrText xml:space="preserve"> PAGEREF _Toc2124607891 \h </w:instrText>
          </w:r>
          <w:r>
            <w:rPr>
              <w:rFonts w:hint="eastAsia" w:ascii="仿宋_GB2312" w:hAnsi="仿宋_GB2312" w:eastAsia="仿宋_GB2312" w:cs="仿宋_GB2312"/>
              <w:b/>
              <w:sz w:val="28"/>
              <w:szCs w:val="28"/>
            </w:rPr>
            <w:fldChar w:fldCharType="separate"/>
          </w:r>
          <w:r>
            <w:rPr>
              <w:rFonts w:hint="eastAsia" w:ascii="仿宋_GB2312" w:hAnsi="仿宋_GB2312" w:eastAsia="仿宋_GB2312" w:cs="仿宋_GB2312"/>
              <w:b/>
              <w:sz w:val="28"/>
              <w:szCs w:val="28"/>
            </w:rPr>
            <w:t>10</w:t>
          </w:r>
          <w:r>
            <w:rPr>
              <w:rFonts w:hint="eastAsia" w:ascii="仿宋_GB2312" w:hAnsi="仿宋_GB2312" w:eastAsia="仿宋_GB2312" w:cs="仿宋_GB2312"/>
              <w:b/>
              <w:sz w:val="28"/>
              <w:szCs w:val="28"/>
            </w:rPr>
            <w:fldChar w:fldCharType="end"/>
          </w:r>
          <w:r>
            <w:rPr>
              <w:rFonts w:hint="eastAsia" w:ascii="仿宋_GB2312" w:hAnsi="仿宋_GB2312" w:eastAsia="仿宋_GB2312" w:cs="仿宋_GB2312"/>
              <w:b/>
              <w:sz w:val="28"/>
              <w:szCs w:val="28"/>
            </w:rPr>
            <w:fldChar w:fldCharType="end"/>
          </w:r>
        </w:p>
        <w:p>
          <w:pPr>
            <w:keepNext w:val="0"/>
            <w:keepLines w:val="0"/>
            <w:pageBreakBefore w:val="0"/>
            <w:kinsoku/>
            <w:wordWrap/>
            <w:overflowPunct/>
            <w:topLinePunct w:val="0"/>
            <w:autoSpaceDE/>
            <w:autoSpaceDN/>
            <w:bidi w:val="0"/>
            <w:adjustRightInd/>
            <w:snapToGrid/>
            <w:spacing w:line="500" w:lineRule="exact"/>
            <w:textAlignment w:val="auto"/>
          </w:pPr>
          <w:r>
            <w:rPr>
              <w:b/>
              <w:sz w:val="28"/>
              <w:szCs w:val="28"/>
            </w:rPr>
            <w:fldChar w:fldCharType="end"/>
          </w:r>
        </w:p>
      </w:sdtContent>
    </w:sdt>
    <w:p>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Autospacing="0" w:after="0" w:afterAutospacing="0" w:line="576" w:lineRule="exact"/>
        <w:ind w:right="0"/>
        <w:jc w:val="both"/>
        <w:textAlignment w:val="auto"/>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0" w:name="_Toc1167598173"/>
      <w:r>
        <w:rPr>
          <w:rFonts w:hint="eastAsia" w:ascii="黑体" w:hAnsi="黑体" w:eastAsia="黑体" w:cs="黑体"/>
          <w:sz w:val="32"/>
          <w:szCs w:val="32"/>
          <w:lang w:val="en-US" w:eastAsia="zh-CN"/>
        </w:rPr>
        <w:t>一、基本职能及主要工作</w:t>
      </w:r>
      <w:bookmarkEnd w:id="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广元市口岸和物流发展中心</w:t>
      </w:r>
      <w:r>
        <w:rPr>
          <w:rFonts w:hint="eastAsia" w:ascii="楷体_GB2312" w:hAnsi="楷体_GB2312" w:eastAsia="楷体_GB2312" w:cs="楷体_GB2312"/>
          <w:sz w:val="32"/>
          <w:szCs w:val="32"/>
        </w:rPr>
        <w:t>职能简介</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lang w:eastAsia="zh-CN"/>
        </w:rPr>
        <w:t>一是</w:t>
      </w:r>
      <w:r>
        <w:rPr>
          <w:rFonts w:hint="eastAsia" w:ascii="仿宋_GB2312" w:hAnsi="仿宋_GB2312" w:eastAsia="仿宋_GB2312" w:cs="仿宋_GB2312"/>
          <w:sz w:val="32"/>
          <w:szCs w:val="32"/>
        </w:rPr>
        <w:t>贯彻党的路线、方针、政策，执行国家、省有关口岸、物流工作的政策和法律、法规、规章以及市委、市政府的决策部署。参与拟订口岸建设、物流产业的发展战略、发展规划和政策措施并组织实施，统筹协调推进枢纽经济发展。</w:t>
      </w:r>
      <w:r>
        <w:rPr>
          <w:rFonts w:hint="eastAsia" w:ascii="仿宋_GB2312" w:hAnsi="仿宋_GB2312" w:eastAsia="仿宋_GB2312" w:cs="仿宋_GB2312"/>
          <w:sz w:val="32"/>
          <w:szCs w:val="32"/>
          <w:lang w:eastAsia="zh-CN"/>
        </w:rPr>
        <w:t>二是</w:t>
      </w:r>
      <w:r>
        <w:rPr>
          <w:rFonts w:hint="eastAsia" w:ascii="仿宋_GB2312" w:hAnsi="仿宋_GB2312" w:eastAsia="仿宋_GB2312" w:cs="仿宋_GB2312"/>
          <w:sz w:val="32"/>
          <w:szCs w:val="32"/>
        </w:rPr>
        <w:t>协调指导全市口岸建设和物流产业发展工作。负责全市口岸与物流运行分析、先进技术和设施设备的推广工作。研究全市口岸与物流发展的重大问题，提出促进口岸与物流发展的政策建议，营造统一开放、规范有序的市场环境。</w:t>
      </w:r>
      <w:r>
        <w:rPr>
          <w:rFonts w:hint="eastAsia" w:ascii="仿宋_GB2312" w:hAnsi="仿宋_GB2312" w:eastAsia="仿宋_GB2312" w:cs="仿宋_GB2312"/>
          <w:sz w:val="32"/>
          <w:szCs w:val="32"/>
          <w:lang w:eastAsia="zh-CN"/>
        </w:rPr>
        <w:t>三是</w:t>
      </w:r>
      <w:r>
        <w:rPr>
          <w:rFonts w:hint="eastAsia" w:ascii="仿宋_GB2312" w:hAnsi="仿宋_GB2312" w:eastAsia="仿宋_GB2312" w:cs="仿宋_GB2312"/>
          <w:sz w:val="32"/>
          <w:szCs w:val="32"/>
        </w:rPr>
        <w:t>协调推进公共口岸服务体系、海关特殊监管区、口岸政策功能区的建设与发展。组织协调口岸管理和过境物资的集疏运工作，推进便捷通关模式。</w:t>
      </w:r>
      <w:r>
        <w:rPr>
          <w:rFonts w:hint="eastAsia" w:ascii="仿宋_GB2312" w:hAnsi="仿宋_GB2312" w:eastAsia="仿宋_GB2312" w:cs="仿宋_GB2312"/>
          <w:sz w:val="32"/>
          <w:szCs w:val="32"/>
          <w:lang w:eastAsia="zh-CN"/>
        </w:rPr>
        <w:t>四是</w:t>
      </w:r>
      <w:r>
        <w:rPr>
          <w:rFonts w:hint="eastAsia" w:ascii="仿宋_GB2312" w:hAnsi="仿宋_GB2312" w:eastAsia="仿宋_GB2312" w:cs="仿宋_GB2312"/>
          <w:sz w:val="32"/>
          <w:szCs w:val="32"/>
        </w:rPr>
        <w:t>协调推动口岸与物流的对外交流和区域合作工作。推进口岸与物流电子信息化平台建设。</w:t>
      </w:r>
      <w:r>
        <w:rPr>
          <w:rFonts w:hint="eastAsia" w:ascii="仿宋_GB2312" w:hAnsi="仿宋_GB2312" w:eastAsia="仿宋_GB2312" w:cs="仿宋_GB2312"/>
          <w:sz w:val="32"/>
          <w:szCs w:val="32"/>
          <w:lang w:eastAsia="zh-CN"/>
        </w:rPr>
        <w:t>五是</w:t>
      </w:r>
      <w:r>
        <w:rPr>
          <w:rFonts w:hint="eastAsia" w:ascii="仿宋_GB2312" w:hAnsi="仿宋_GB2312" w:eastAsia="仿宋_GB2312" w:cs="仿宋_GB2312"/>
          <w:sz w:val="32"/>
          <w:szCs w:val="32"/>
        </w:rPr>
        <w:t>统筹建立和完善现代物流服务体系，协同推进供应链发展，参与拟订县乡村三级物流配送网络体系建设、电商物流发展的相关政策措施。负责先进运输方式和现代物流技术的推广。</w:t>
      </w:r>
      <w:r>
        <w:rPr>
          <w:rFonts w:hint="eastAsia" w:ascii="仿宋_GB2312" w:hAnsi="仿宋_GB2312" w:eastAsia="仿宋_GB2312" w:cs="仿宋_GB2312"/>
          <w:sz w:val="32"/>
          <w:szCs w:val="32"/>
          <w:lang w:eastAsia="zh-CN"/>
        </w:rPr>
        <w:t>六是</w:t>
      </w:r>
      <w:r>
        <w:rPr>
          <w:rFonts w:hint="eastAsia" w:ascii="仿宋_GB2312" w:hAnsi="仿宋_GB2312" w:eastAsia="仿宋_GB2312" w:cs="仿宋_GB2312"/>
          <w:sz w:val="32"/>
          <w:szCs w:val="32"/>
        </w:rPr>
        <w:t>统筹物流企业、物流市场的培育。协调推进重点物流项目、重点物流园区和现代物流集聚区建设工作。牵头协调重大物流项目招商引资工作，承担全市重点物流项目的登记备案。</w:t>
      </w:r>
      <w:r>
        <w:rPr>
          <w:rFonts w:hint="eastAsia" w:ascii="仿宋_GB2312" w:hAnsi="仿宋_GB2312" w:eastAsia="仿宋_GB2312" w:cs="仿宋_GB2312"/>
          <w:sz w:val="32"/>
          <w:szCs w:val="32"/>
          <w:lang w:eastAsia="zh-CN"/>
        </w:rPr>
        <w:t>七是</w:t>
      </w:r>
      <w:r>
        <w:rPr>
          <w:rFonts w:hint="eastAsia" w:ascii="仿宋_GB2312" w:hAnsi="仿宋_GB2312" w:eastAsia="仿宋_GB2312" w:cs="仿宋_GB2312"/>
          <w:sz w:val="32"/>
          <w:szCs w:val="32"/>
        </w:rPr>
        <w:t>统筹物流枢纽的建设和发展。协调货运站场的行业管理，推动开通公路、铁路、航空和水路等物流通道，协调建立以广元为枢纽的多式联运体系。</w:t>
      </w:r>
      <w:r>
        <w:rPr>
          <w:rFonts w:hint="eastAsia" w:ascii="仿宋_GB2312" w:hAnsi="仿宋_GB2312" w:eastAsia="仿宋_GB2312" w:cs="仿宋_GB2312"/>
          <w:sz w:val="32"/>
          <w:szCs w:val="32"/>
          <w:lang w:eastAsia="zh-CN"/>
        </w:rPr>
        <w:t>八是</w:t>
      </w:r>
      <w:r>
        <w:rPr>
          <w:rFonts w:hint="eastAsia" w:ascii="仿宋_GB2312" w:hAnsi="仿宋_GB2312" w:eastAsia="仿宋_GB2312" w:cs="仿宋_GB2312"/>
          <w:sz w:val="32"/>
          <w:szCs w:val="32"/>
        </w:rPr>
        <w:t>负责全市民用航空发展规划编制及组织实施相关事务服务工作。负责全市净空安全管理、监督、指导相关事务服务工作。配合指导监督机场安全生产工作。</w:t>
      </w:r>
      <w:r>
        <w:rPr>
          <w:rFonts w:hint="eastAsia" w:ascii="仿宋_GB2312" w:hAnsi="仿宋_GB2312" w:eastAsia="仿宋_GB2312" w:cs="仿宋_GB2312"/>
          <w:sz w:val="32"/>
          <w:szCs w:val="32"/>
          <w:lang w:eastAsia="zh-CN"/>
        </w:rPr>
        <w:t>九是</w:t>
      </w:r>
      <w:r>
        <w:rPr>
          <w:rFonts w:hint="eastAsia" w:ascii="仿宋_GB2312" w:hAnsi="仿宋_GB2312" w:eastAsia="仿宋_GB2312" w:cs="仿宋_GB2312"/>
          <w:sz w:val="32"/>
          <w:szCs w:val="32"/>
        </w:rPr>
        <w:t>开展航线市场营销，推进机场改造，指导通用航空产业园区建设。</w:t>
      </w:r>
      <w:r>
        <w:rPr>
          <w:rFonts w:hint="eastAsia" w:ascii="仿宋_GB2312" w:hAnsi="仿宋_GB2312" w:eastAsia="仿宋_GB2312" w:cs="仿宋_GB2312"/>
          <w:sz w:val="32"/>
          <w:szCs w:val="32"/>
          <w:lang w:eastAsia="zh-CN"/>
        </w:rPr>
        <w:t>十是</w:t>
      </w:r>
      <w:r>
        <w:rPr>
          <w:rFonts w:hint="eastAsia" w:ascii="仿宋_GB2312" w:hAnsi="仿宋_GB2312" w:eastAsia="仿宋_GB2312" w:cs="仿宋_GB2312"/>
          <w:sz w:val="32"/>
          <w:szCs w:val="32"/>
        </w:rPr>
        <w:t>完成市委、市政府和市口岸与物流发展领导小组交办的其他任务。</w:t>
      </w:r>
    </w:p>
    <w:p>
      <w:pPr>
        <w:spacing w:line="540" w:lineRule="exact"/>
        <w:ind w:firstLine="640" w:firstLineChars="200"/>
        <w:rPr>
          <w:rFonts w:ascii="仿宋_GB2312" w:eastAsia="仿宋_GB2312" w:cs="仿宋_GB2312"/>
          <w:color w:val="000000"/>
          <w:kern w:val="0"/>
          <w:sz w:val="32"/>
          <w:szCs w:val="32"/>
        </w:rPr>
      </w:pPr>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广元市口岸和物流发展中心</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r>
        <w:rPr>
          <w:rFonts w:hint="eastAsia" w:ascii="楷体_GB2312" w:hAnsi="楷体_GB2312" w:eastAsia="楷体_GB2312" w:cs="楷体_GB2312"/>
          <w:sz w:val="32"/>
          <w:szCs w:val="32"/>
          <w:lang w:eastAsia="zh-CN"/>
        </w:rPr>
        <w:t>。</w:t>
      </w:r>
      <w:r>
        <w:rPr>
          <w:rFonts w:ascii="仿宋_GB2312" w:eastAsia="仿宋_GB2312" w:cs="仿宋_GB2312"/>
          <w:sz w:val="32"/>
          <w:szCs w:val="32"/>
        </w:rPr>
        <w:t>2024</w:t>
      </w:r>
      <w:r>
        <w:rPr>
          <w:rFonts w:hint="eastAsia" w:ascii="仿宋_GB2312" w:eastAsia="仿宋_GB2312" w:cs="仿宋_GB2312"/>
          <w:sz w:val="32"/>
          <w:szCs w:val="32"/>
        </w:rPr>
        <w:t>年，</w:t>
      </w:r>
      <w:r>
        <w:rPr>
          <w:rFonts w:hint="eastAsia" w:ascii="仿宋_GB2312" w:eastAsia="仿宋_GB2312" w:cs="仿宋_GB2312"/>
          <w:sz w:val="32"/>
          <w:szCs w:val="32"/>
          <w:lang w:eastAsia="zh-CN"/>
        </w:rPr>
        <w:t>广元市口岸和物流发展中心</w:t>
      </w:r>
      <w:r>
        <w:rPr>
          <w:rFonts w:hint="eastAsia" w:ascii="仿宋_GB2312" w:eastAsia="仿宋_GB2312" w:cs="仿宋_GB2312"/>
          <w:sz w:val="32"/>
          <w:szCs w:val="32"/>
        </w:rPr>
        <w:t>将</w:t>
      </w:r>
      <w:bookmarkStart w:id="23" w:name="_GoBack"/>
      <w:bookmarkEnd w:id="23"/>
      <w:r>
        <w:rPr>
          <w:rFonts w:hint="eastAsia" w:ascii="仿宋_GB2312" w:eastAsia="仿宋_GB2312" w:cs="仿宋_GB2312"/>
          <w:sz w:val="32"/>
          <w:szCs w:val="32"/>
        </w:rPr>
        <w:t>坚持以习近平新时代中国特色社会主义思想为指导，深入贯彻习近平总书记来川来广视察重要指示精神，全面落实“</w:t>
      </w:r>
      <w:r>
        <w:rPr>
          <w:rFonts w:ascii="仿宋_GB2312" w:eastAsia="仿宋_GB2312" w:cs="仿宋_GB2312"/>
          <w:sz w:val="32"/>
          <w:szCs w:val="32"/>
        </w:rPr>
        <w:t>1345</w:t>
      </w:r>
      <w:r>
        <w:rPr>
          <w:rFonts w:hint="eastAsia" w:ascii="仿宋_GB2312" w:eastAsia="仿宋_GB2312" w:cs="仿宋_GB2312"/>
          <w:sz w:val="32"/>
          <w:szCs w:val="32"/>
        </w:rPr>
        <w:t>”发展战略，以打造“一区、两中心、两基地”为目标，</w:t>
      </w:r>
      <w:r>
        <w:rPr>
          <w:rFonts w:hint="eastAsia" w:ascii="仿宋_GB2312" w:eastAsia="仿宋_GB2312" w:cs="仿宋_GB2312"/>
          <w:kern w:val="0"/>
          <w:sz w:val="32"/>
          <w:szCs w:val="32"/>
        </w:rPr>
        <w:t>以“打基础、攻重点、抓运行、建枢纽、优环境”为思路，奋力推进通道经济向经济优势转变，着力补短板、强基础，</w:t>
      </w:r>
      <w:r>
        <w:rPr>
          <w:rFonts w:hint="eastAsia" w:ascii="仿宋_GB2312" w:eastAsia="仿宋_GB2312" w:cs="仿宋_GB2312"/>
          <w:sz w:val="32"/>
          <w:szCs w:val="32"/>
        </w:rPr>
        <w:t>卯足干劲、提档加速，统筹推进口岸物流、民用航空各项工作，为我市</w:t>
      </w:r>
      <w:r>
        <w:rPr>
          <w:rFonts w:hint="eastAsia" w:ascii="仿宋_GB2312" w:eastAsia="仿宋_GB2312"/>
          <w:sz w:val="32"/>
        </w:rPr>
        <w:t>创建国家物流枢纽承载城市和建设全国性综合交通枢纽贡献口岸物流力量。</w:t>
      </w:r>
      <w:r>
        <w:rPr>
          <w:rFonts w:hint="eastAsia" w:ascii="仿宋_GB2312" w:eastAsia="仿宋_GB2312" w:cs="仿宋_GB2312"/>
          <w:sz w:val="32"/>
          <w:szCs w:val="32"/>
        </w:rPr>
        <w:t>一是协调抓好口岸功能建设。</w:t>
      </w:r>
      <w:r>
        <w:rPr>
          <w:rFonts w:hint="eastAsia" w:ascii="仿宋_GB2312" w:eastAsia="仿宋_GB2312" w:cs="仿宋_GB2312"/>
          <w:color w:val="000000"/>
          <w:sz w:val="32"/>
          <w:szCs w:val="32"/>
        </w:rPr>
        <w:t>深入开展再生金属进口转关政策研究，大力申请再生金属转关试点，</w:t>
      </w:r>
      <w:r>
        <w:rPr>
          <w:rFonts w:hint="eastAsia" w:ascii="仿宋_GB2312" w:eastAsia="仿宋_GB2312" w:cs="仿宋_GB2312"/>
          <w:color w:val="000000"/>
          <w:kern w:val="0"/>
          <w:sz w:val="32"/>
          <w:szCs w:val="32"/>
        </w:rPr>
        <w:t>积极申建保税物流中心，协调推动公用型保税仓升级改造，尽早实现达标验收。加强与宁波、连云港、阿拉山口等地口岸协作联动，强化粮食、木材、再生铝进出口领域合作，着力提高通关效率，进一步促进企业降本增效。</w:t>
      </w:r>
      <w:r>
        <w:rPr>
          <w:rFonts w:hint="eastAsia" w:ascii="仿宋_GB2312" w:eastAsia="仿宋_GB2312" w:cs="仿宋_GB2312"/>
          <w:sz w:val="32"/>
          <w:szCs w:val="32"/>
        </w:rPr>
        <w:t>二是扎实抓好物流项目投资。</w:t>
      </w:r>
      <w:r>
        <w:rPr>
          <w:rFonts w:hint="eastAsia" w:ascii="仿宋_GB2312" w:eastAsia="仿宋_GB2312" w:cs="仿宋_GB2312"/>
          <w:color w:val="000000"/>
          <w:sz w:val="32"/>
          <w:szCs w:val="32"/>
        </w:rPr>
        <w:t>梳理在谈物流产业项目，积极协调</w:t>
      </w:r>
      <w:r>
        <w:rPr>
          <w:rFonts w:hint="eastAsia" w:ascii="仿宋_GB2312" w:eastAsia="仿宋_GB2312" w:cs="仿宋_GB2312"/>
          <w:color w:val="000000"/>
          <w:kern w:val="0"/>
          <w:sz w:val="32"/>
          <w:szCs w:val="32"/>
        </w:rPr>
        <w:t>推进川陕甘国际木材贸易中心、中国西部水果贸易中心、苍溪港铁路专用线等项目落地，尽快促进铁路智慧物流园、中国西部水产品贸易中心等项目开工建设，</w:t>
      </w:r>
      <w:r>
        <w:rPr>
          <w:rFonts w:hint="eastAsia" w:ascii="仿宋_GB2312" w:eastAsia="仿宋_GB2312" w:cs="仿宋_GB2312"/>
          <w:color w:val="000000"/>
          <w:sz w:val="32"/>
          <w:szCs w:val="32"/>
        </w:rPr>
        <w:t>力争</w:t>
      </w:r>
      <w:r>
        <w:rPr>
          <w:rFonts w:ascii="仿宋_GB2312" w:eastAsia="仿宋_GB2312" w:cs="仿宋_GB2312"/>
          <w:color w:val="000000"/>
          <w:sz w:val="32"/>
          <w:szCs w:val="32"/>
        </w:rPr>
        <w:t>9</w:t>
      </w:r>
      <w:r>
        <w:rPr>
          <w:rFonts w:hint="eastAsia" w:ascii="仿宋_GB2312" w:eastAsia="仿宋_GB2312" w:cs="仿宋_GB2312"/>
          <w:color w:val="000000"/>
          <w:sz w:val="32"/>
          <w:szCs w:val="32"/>
        </w:rPr>
        <w:t>月前完成省级促进物流业发展专项资金项目建设。</w:t>
      </w:r>
      <w:r>
        <w:rPr>
          <w:rFonts w:hint="eastAsia" w:ascii="仿宋_GB2312" w:eastAsia="仿宋_GB2312" w:cs="仿宋_GB2312"/>
          <w:sz w:val="32"/>
          <w:szCs w:val="32"/>
        </w:rPr>
        <w:t>三是统筹抓好航空枢纽建设。</w:t>
      </w:r>
      <w:r>
        <w:rPr>
          <w:rFonts w:hint="eastAsia" w:ascii="仿宋_GB2312" w:eastAsia="仿宋_GB2312" w:cs="仿宋_GB2312"/>
          <w:color w:val="000000"/>
          <w:kern w:val="0"/>
          <w:sz w:val="32"/>
          <w:szCs w:val="32"/>
        </w:rPr>
        <w:t>加快推进广元盘龙机场改扩建项目立项、可研初设及概算报批、土地报征组卷等前期工作，力争</w:t>
      </w:r>
      <w:r>
        <w:rPr>
          <w:rFonts w:ascii="仿宋_GB2312" w:eastAsia="仿宋_GB2312" w:cs="仿宋_GB2312"/>
          <w:color w:val="000000"/>
          <w:kern w:val="0"/>
          <w:sz w:val="32"/>
          <w:szCs w:val="32"/>
        </w:rPr>
        <w:t>2024</w:t>
      </w:r>
      <w:r>
        <w:rPr>
          <w:rFonts w:hint="eastAsia" w:ascii="仿宋_GB2312" w:eastAsia="仿宋_GB2312" w:cs="仿宋_GB2312"/>
          <w:color w:val="000000"/>
          <w:kern w:val="0"/>
          <w:sz w:val="32"/>
          <w:szCs w:val="32"/>
        </w:rPr>
        <w:t>年底实现开工建设；全力推进通用机场建设，力争剑阁、苍溪通用机场早日实现开工建设，其他县区通用机场前期工作取得实质性进展。</w:t>
      </w:r>
      <w:r>
        <w:rPr>
          <w:rFonts w:hint="eastAsia" w:ascii="仿宋_GB2312" w:eastAsia="仿宋_GB2312" w:cs="仿宋_GB2312"/>
          <w:sz w:val="32"/>
          <w:szCs w:val="32"/>
        </w:rPr>
        <w:t>四是全面抓好企业发展保障。</w:t>
      </w:r>
      <w:r>
        <w:rPr>
          <w:rFonts w:hint="eastAsia" w:ascii="仿宋_GB2312" w:eastAsia="仿宋_GB2312" w:cs="仿宋_GB2312"/>
          <w:color w:val="000000"/>
          <w:kern w:val="0"/>
          <w:sz w:val="32"/>
          <w:szCs w:val="32"/>
        </w:rPr>
        <w:t>推动出台支持物流业发展的政策措施。认真开展社会物流和物流业相关指标以及民用航空信息统计分析。加强物流企业培育指导，持续优化跨境贸易营商环境，实施营商环境“</w:t>
      </w:r>
      <w:r>
        <w:rPr>
          <w:rFonts w:ascii="仿宋_GB2312" w:eastAsia="仿宋_GB2312" w:cs="仿宋_GB2312"/>
          <w:color w:val="000000"/>
          <w:kern w:val="0"/>
          <w:sz w:val="32"/>
          <w:szCs w:val="32"/>
        </w:rPr>
        <w:t>1+5</w:t>
      </w:r>
      <w:r>
        <w:rPr>
          <w:rFonts w:hint="eastAsia" w:ascii="仿宋_GB2312" w:eastAsia="仿宋_GB2312" w:cs="仿宋_GB2312"/>
          <w:color w:val="000000"/>
          <w:kern w:val="0"/>
          <w:sz w:val="32"/>
          <w:szCs w:val="32"/>
        </w:rPr>
        <w:t>”推进机制，不断提升通关效率，力争社会物流总额、物流业总收入实现稳定增长。</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 w:name="_Toc1078425333"/>
      <w:r>
        <w:rPr>
          <w:rFonts w:hint="eastAsia" w:ascii="黑体" w:hAnsi="黑体" w:eastAsia="黑体" w:cs="黑体"/>
          <w:sz w:val="32"/>
          <w:szCs w:val="32"/>
          <w:lang w:val="en-US" w:eastAsia="zh-CN"/>
        </w:rPr>
        <w:t>二、部门预算单位构成</w:t>
      </w:r>
      <w:bookmarkEnd w:id="1"/>
    </w:p>
    <w:p>
      <w:pPr>
        <w:spacing w:line="540" w:lineRule="exact"/>
        <w:ind w:firstLine="640" w:firstLineChars="200"/>
        <w:rPr>
          <w:rFonts w:hint="eastAsia" w:ascii="仿宋_GB2312" w:eastAsia="仿宋_GB2312" w:cs="仿宋_GB2312"/>
          <w:color w:val="000000"/>
          <w:kern w:val="0"/>
          <w:sz w:val="32"/>
          <w:szCs w:val="32"/>
          <w:lang w:val="en-US" w:eastAsia="zh-CN"/>
        </w:rPr>
      </w:pPr>
      <w:r>
        <w:rPr>
          <w:rFonts w:hint="eastAsia" w:ascii="仿宋_GB2312" w:eastAsia="仿宋_GB2312" w:cs="仿宋_GB2312"/>
          <w:color w:val="000000"/>
          <w:kern w:val="0"/>
          <w:sz w:val="32"/>
          <w:szCs w:val="32"/>
          <w:lang w:val="en-US" w:eastAsia="zh-CN"/>
        </w:rPr>
        <w:t>广元市口岸和物流发展中心为一级预算单位，没有下属二级预算单位。</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1248609053"/>
      <w:r>
        <w:rPr>
          <w:rFonts w:hint="eastAsia" w:ascii="黑体" w:hAnsi="黑体" w:eastAsia="黑体" w:cs="黑体"/>
          <w:sz w:val="32"/>
          <w:szCs w:val="32"/>
          <w:lang w:val="en-US" w:eastAsia="zh-CN"/>
        </w:rPr>
        <w:t>三、收支预算情况说明</w:t>
      </w:r>
      <w:bookmarkEnd w:id="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按照综合预算的原则，广元市口岸和物流发展中心所有收入和支出均纳入部门预算管理，收入主要为一般公共预算拨款收入，支出包括一般公共服务支出、社会保障和就业支出、卫生健康支出、交通运输支出、住房保障支出。广元市口岸和物流发展中心2024年收支预算总数299.5万元,作为新成立单位，2024年为首个预算年度，没有与2023年收支预算总数比较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 w:name="_Toc2052318453"/>
      <w:r>
        <w:rPr>
          <w:rFonts w:hint="eastAsia" w:ascii="楷体_GB2312" w:hAnsi="楷体_GB2312" w:eastAsia="楷体_GB2312" w:cs="楷体_GB2312"/>
          <w:sz w:val="32"/>
          <w:szCs w:val="32"/>
          <w:lang w:val="en-US" w:eastAsia="zh-CN"/>
        </w:rPr>
        <w:t>（一）收入预算情况</w:t>
      </w:r>
      <w:bookmarkEnd w:id="3"/>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广元市口岸和物流发展中心2024年收入预算299.5万元，其中：一般公共预算拨款收入299.5万元，占100%。</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 w:name="_Toc288691314"/>
      <w:r>
        <w:rPr>
          <w:rFonts w:hint="eastAsia" w:ascii="楷体_GB2312" w:hAnsi="楷体_GB2312" w:eastAsia="楷体_GB2312" w:cs="楷体_GB2312"/>
          <w:sz w:val="32"/>
          <w:szCs w:val="32"/>
          <w:lang w:val="en-US" w:eastAsia="zh-CN"/>
        </w:rPr>
        <w:t>（二）支出预算情况</w:t>
      </w:r>
      <w:bookmarkEnd w:id="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sz w:val="32"/>
          <w:szCs w:val="32"/>
          <w:lang w:val="en-US" w:eastAsia="zh-CN"/>
        </w:rPr>
        <w:t>广元市口岸和物流发展中心2024年支出预算299.5万元，其中：基本支出218.5万元，占72.95%；项目支出81万元，占27.05%</w:t>
      </w:r>
      <w:r>
        <w:rPr>
          <w:rFonts w:hint="eastAsia" w:ascii="仿宋_GB2312" w:hAnsi="仿宋_GB2312" w:eastAsia="仿宋_GB2312" w:cs="仿宋_GB2312"/>
          <w:b w:val="0"/>
          <w:bCs w:val="0"/>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 w:name="_Toc1046919242"/>
      <w:r>
        <w:rPr>
          <w:rFonts w:hint="eastAsia" w:ascii="黑体" w:hAnsi="黑体" w:eastAsia="黑体" w:cs="黑体"/>
          <w:sz w:val="32"/>
          <w:szCs w:val="32"/>
          <w:lang w:val="en-US" w:eastAsia="zh-CN"/>
        </w:rPr>
        <w:t>四、财政拨款收支预算情况说明</w:t>
      </w:r>
      <w:bookmarkEnd w:id="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广元市口岸和物流发展中心2024年财政拨款收支预算总数299.5万元,作为新成立单位，2024年为首个预算年度，没有与2023年收支预算总数比较情况。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收入包括：本年一般公共预算拨款收入299.5万元；支出包括：一般公共服务支出205.34万元、社会保障和就业支出19.85万元、卫生健康支出6.18万元、交通运输支出45万元、住房保障支出23.13万元。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6" w:name="_Toc2063607308"/>
      <w:r>
        <w:rPr>
          <w:rFonts w:hint="eastAsia" w:ascii="黑体" w:hAnsi="黑体" w:eastAsia="黑体" w:cs="黑体"/>
          <w:sz w:val="32"/>
          <w:szCs w:val="32"/>
          <w:lang w:val="en-US" w:eastAsia="zh-CN"/>
        </w:rPr>
        <w:t>五、一般公共预算当年拨款情况说明</w:t>
      </w:r>
      <w:bookmarkEnd w:id="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7" w:name="_Toc1267266019"/>
      <w:r>
        <w:rPr>
          <w:rFonts w:hint="eastAsia" w:ascii="楷体_GB2312" w:hAnsi="楷体_GB2312" w:eastAsia="楷体_GB2312" w:cs="楷体_GB2312"/>
          <w:sz w:val="32"/>
          <w:szCs w:val="32"/>
          <w:lang w:val="en-US" w:eastAsia="zh-CN"/>
        </w:rPr>
        <w:t>（一）一般公共预算当年拨款规模变化情况</w:t>
      </w:r>
      <w:bookmarkEnd w:id="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广元市口岸和物流发展中心2024年一般公共预算当年拨款299.5万元，作为新成立单位，2024年为首个预算年度，没有与2023年收支预算总数比较情况。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8" w:name="_Toc1256243894"/>
      <w:r>
        <w:rPr>
          <w:rFonts w:hint="eastAsia" w:ascii="楷体_GB2312" w:hAnsi="楷体_GB2312" w:eastAsia="楷体_GB2312" w:cs="楷体_GB2312"/>
          <w:sz w:val="32"/>
          <w:szCs w:val="32"/>
          <w:lang w:val="en-US" w:eastAsia="zh-CN"/>
        </w:rPr>
        <w:t>（二）一般公共预算当年拨款结构情况</w:t>
      </w:r>
      <w:bookmarkEnd w:id="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一般公共服务支出205.34万元，占68.56%；社会保障和就业支出19.85万元，占6.63%；卫生健康支出6.18万元，占2.06%；交通运输支出45万元，占15.03%；住房保障支出23.13万元，占7.72%。</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9" w:name="_Toc1765022682"/>
      <w:r>
        <w:rPr>
          <w:rFonts w:hint="eastAsia" w:ascii="楷体_GB2312" w:hAnsi="楷体_GB2312" w:eastAsia="楷体_GB2312" w:cs="楷体_GB2312"/>
          <w:sz w:val="32"/>
          <w:szCs w:val="32"/>
          <w:lang w:val="en-US" w:eastAsia="zh-CN"/>
        </w:rPr>
        <w:t>（三）一般公共预算当年拨款具体使用情况</w:t>
      </w:r>
      <w:bookmarkEnd w:id="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val="en-US" w:eastAsia="zh-CN"/>
        </w:rPr>
        <w:t>口岸和物流发展（类）口岸和物流（款）行政运行（项）2024年预算数为169.34万元，主要用于：</w:t>
      </w:r>
      <w:r>
        <w:rPr>
          <w:rFonts w:hint="eastAsia" w:ascii="仿宋_GB2312" w:hAnsi="仿宋_GB2312" w:eastAsia="仿宋_GB2312" w:cs="仿宋_GB2312"/>
          <w:color w:val="auto"/>
          <w:sz w:val="32"/>
          <w:szCs w:val="32"/>
          <w:lang w:val="en-US" w:eastAsia="zh-CN"/>
        </w:rPr>
        <w:t>中心工资奖金津补贴、社会保障缴费、其他工资福利支出、办公经费、印刷费、水费、电费、邮电费、差旅费、维修费、租赁费、公务接待费、劳务费、工会经费、福利费、公务用车运行维护费、其他交通费、其他商品和服务支出、生活补助。</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default"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val="en-US" w:eastAsia="zh-CN"/>
        </w:rPr>
        <w:t>口岸和物流发展（类）口岸和物流（款）一般行政管理事务（项）2024年预算数为36万元，主要用于：中心</w:t>
      </w:r>
      <w:r>
        <w:rPr>
          <w:rFonts w:hint="eastAsia" w:ascii="仿宋_GB2312" w:hAnsi="仿宋_GB2312" w:eastAsia="仿宋_GB2312" w:cs="仿宋_GB2312"/>
          <w:color w:val="auto"/>
          <w:sz w:val="32"/>
          <w:szCs w:val="32"/>
          <w:lang w:val="en-US" w:eastAsia="zh-CN"/>
        </w:rPr>
        <w:t>办公经费、印刷费、邮电费、差旅费、其他交通费、其他商品和服务支出。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3"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default" w:ascii="仿宋_GB2312" w:hAnsi="仿宋_GB2312" w:eastAsia="仿宋_GB2312" w:cs="仿宋_GB2312"/>
          <w:sz w:val="32"/>
          <w:szCs w:val="32"/>
          <w:lang w:val="en-US" w:eastAsia="zh-CN"/>
        </w:rPr>
        <w:t>3.</w:t>
      </w:r>
      <w:r>
        <w:rPr>
          <w:rFonts w:hint="eastAsia" w:ascii="仿宋_GB2312" w:hAnsi="仿宋_GB2312" w:eastAsia="仿宋_GB2312" w:cs="仿宋_GB2312"/>
          <w:b w:val="0"/>
          <w:color w:val="auto"/>
          <w:kern w:val="2"/>
          <w:sz w:val="32"/>
          <w:szCs w:val="32"/>
          <w:lang w:val="en-US" w:eastAsia="zh-CN" w:bidi="ar-SA"/>
        </w:rPr>
        <w:t>社会保障和就业支出(类)行政事业单位养老支出(款)机关事业单位基本养老保险缴费支出(项)2024年预算数为</w:t>
      </w:r>
      <w:r>
        <w:rPr>
          <w:rFonts w:hint="eastAsia" w:hAnsi="仿宋_GB2312" w:cs="仿宋_GB2312"/>
          <w:b w:val="0"/>
          <w:color w:val="auto"/>
          <w:kern w:val="2"/>
          <w:sz w:val="32"/>
          <w:szCs w:val="32"/>
          <w:lang w:val="en-US" w:eastAsia="zh-CN" w:bidi="ar-SA"/>
        </w:rPr>
        <w:t>19.42</w:t>
      </w:r>
      <w:r>
        <w:rPr>
          <w:rFonts w:hint="eastAsia" w:ascii="仿宋_GB2312" w:hAnsi="仿宋_GB2312" w:eastAsia="仿宋_GB2312" w:cs="仿宋_GB2312"/>
          <w:b w:val="0"/>
          <w:color w:val="auto"/>
          <w:kern w:val="2"/>
          <w:sz w:val="32"/>
          <w:szCs w:val="32"/>
          <w:lang w:val="en-US" w:eastAsia="zh-CN" w:bidi="ar-SA"/>
        </w:rPr>
        <w:t>万元，主要用于缴纳职工机关事业单位基本养老保险。</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4.社会保障和就业支出（类）行政事业单位养老支出（款）其他行政事业单位养老支出（项）202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w:t>
      </w:r>
      <w:r>
        <w:rPr>
          <w:rFonts w:hint="eastAsia" w:hAnsi="仿宋_GB2312" w:cs="仿宋_GB2312"/>
          <w:b w:val="0"/>
          <w:color w:val="auto"/>
          <w:kern w:val="2"/>
          <w:sz w:val="32"/>
          <w:szCs w:val="32"/>
          <w:lang w:val="en-US" w:eastAsia="zh-CN" w:bidi="ar-SA"/>
        </w:rPr>
        <w:t>0.44</w:t>
      </w:r>
      <w:r>
        <w:rPr>
          <w:rFonts w:hint="eastAsia" w:ascii="仿宋_GB2312" w:hAnsi="仿宋_GB2312" w:eastAsia="仿宋_GB2312" w:cs="仿宋_GB2312"/>
          <w:b w:val="0"/>
          <w:color w:val="auto"/>
          <w:kern w:val="2"/>
          <w:sz w:val="32"/>
          <w:szCs w:val="32"/>
          <w:lang w:val="en-US" w:eastAsia="zh-CN" w:bidi="ar-SA"/>
        </w:rPr>
        <w:t>万元，主要用于</w:t>
      </w:r>
      <w:r>
        <w:rPr>
          <w:rFonts w:hint="eastAsia" w:hAnsi="仿宋_GB2312" w:cs="仿宋_GB2312"/>
          <w:b w:val="0"/>
          <w:color w:val="auto"/>
          <w:kern w:val="2"/>
          <w:sz w:val="32"/>
          <w:szCs w:val="32"/>
          <w:lang w:val="en-US" w:eastAsia="zh-CN" w:bidi="ar-SA"/>
        </w:rPr>
        <w:t>反映除上述项目以外</w:t>
      </w:r>
      <w:r>
        <w:rPr>
          <w:rFonts w:hint="eastAsia" w:ascii="仿宋_GB2312" w:hAnsi="仿宋_GB2312" w:eastAsia="仿宋_GB2312" w:cs="仿宋_GB2312"/>
          <w:b w:val="0"/>
          <w:color w:val="auto"/>
          <w:kern w:val="2"/>
          <w:sz w:val="32"/>
          <w:szCs w:val="32"/>
          <w:lang w:val="en-US" w:eastAsia="zh-CN" w:bidi="ar-SA"/>
        </w:rPr>
        <w:t>其他用于行政事业单位</w:t>
      </w:r>
      <w:r>
        <w:rPr>
          <w:rFonts w:hint="eastAsia" w:hAnsi="仿宋_GB2312" w:cs="仿宋_GB2312"/>
          <w:b w:val="0"/>
          <w:color w:val="auto"/>
          <w:kern w:val="2"/>
          <w:sz w:val="32"/>
          <w:szCs w:val="32"/>
          <w:lang w:val="en-US" w:eastAsia="zh-CN" w:bidi="ar-SA"/>
        </w:rPr>
        <w:t>养老</w:t>
      </w:r>
      <w:r>
        <w:rPr>
          <w:rFonts w:hint="eastAsia" w:ascii="仿宋_GB2312" w:hAnsi="仿宋_GB2312" w:eastAsia="仿宋_GB2312" w:cs="仿宋_GB2312"/>
          <w:b w:val="0"/>
          <w:color w:val="auto"/>
          <w:kern w:val="2"/>
          <w:sz w:val="32"/>
          <w:szCs w:val="32"/>
          <w:lang w:val="en-US" w:eastAsia="zh-CN" w:bidi="ar-SA"/>
        </w:rPr>
        <w:t>方面的支出</w:t>
      </w:r>
      <w:r>
        <w:rPr>
          <w:rFonts w:hint="eastAsia" w:hAnsi="仿宋_GB2312" w:cs="仿宋_GB2312"/>
          <w:b w:val="0"/>
          <w:color w:val="auto"/>
          <w:kern w:val="2"/>
          <w:sz w:val="32"/>
          <w:szCs w:val="32"/>
          <w:lang w:val="en-US" w:eastAsia="zh-CN" w:bidi="ar-SA"/>
        </w:rPr>
        <w:t>。</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hAnsi="仿宋_GB2312" w:cs="仿宋_GB2312"/>
          <w:b w:val="0"/>
          <w:color w:val="auto"/>
          <w:kern w:val="2"/>
          <w:sz w:val="32"/>
          <w:szCs w:val="32"/>
          <w:lang w:val="en-US" w:eastAsia="zh-CN" w:bidi="ar-SA"/>
        </w:rPr>
        <w:t>5</w:t>
      </w:r>
      <w:r>
        <w:rPr>
          <w:rFonts w:hint="eastAsia" w:ascii="仿宋_GB2312" w:hAnsi="仿宋_GB2312" w:eastAsia="仿宋_GB2312" w:cs="仿宋_GB2312"/>
          <w:b w:val="0"/>
          <w:color w:val="auto"/>
          <w:kern w:val="2"/>
          <w:sz w:val="32"/>
          <w:szCs w:val="32"/>
          <w:lang w:val="en-US" w:eastAsia="zh-CN" w:bidi="ar-SA"/>
        </w:rPr>
        <w:t>.卫生健康支出（类）行政事业单位医疗（款）财政对职工基本医疗保险基金的补助（项）202</w:t>
      </w:r>
      <w:r>
        <w:rPr>
          <w:rFonts w:hint="eastAsia" w:hAnsi="仿宋_GB2312" w:cs="仿宋_GB2312"/>
          <w:b w:val="0"/>
          <w:color w:val="auto"/>
          <w:kern w:val="2"/>
          <w:sz w:val="32"/>
          <w:szCs w:val="32"/>
          <w:lang w:val="en-US" w:eastAsia="zh-CN" w:bidi="ar-SA"/>
        </w:rPr>
        <w:t>4</w:t>
      </w:r>
      <w:r>
        <w:rPr>
          <w:rFonts w:hint="eastAsia" w:ascii="仿宋_GB2312" w:hAnsi="仿宋_GB2312" w:eastAsia="仿宋_GB2312" w:cs="仿宋_GB2312"/>
          <w:b w:val="0"/>
          <w:color w:val="auto"/>
          <w:kern w:val="2"/>
          <w:sz w:val="32"/>
          <w:szCs w:val="32"/>
          <w:lang w:val="en-US" w:eastAsia="zh-CN" w:bidi="ar-SA"/>
        </w:rPr>
        <w:t>年预算数为</w:t>
      </w:r>
      <w:r>
        <w:rPr>
          <w:rFonts w:hint="eastAsia" w:hAnsi="仿宋_GB2312" w:cs="仿宋_GB2312"/>
          <w:b w:val="0"/>
          <w:color w:val="auto"/>
          <w:kern w:val="2"/>
          <w:sz w:val="32"/>
          <w:szCs w:val="32"/>
          <w:lang w:val="en-US" w:eastAsia="zh-CN" w:bidi="ar-SA"/>
        </w:rPr>
        <w:t>6.18</w:t>
      </w:r>
      <w:r>
        <w:rPr>
          <w:rFonts w:hint="eastAsia" w:ascii="仿宋_GB2312" w:hAnsi="仿宋_GB2312" w:eastAsia="仿宋_GB2312" w:cs="仿宋_GB2312"/>
          <w:b w:val="0"/>
          <w:color w:val="auto"/>
          <w:kern w:val="2"/>
          <w:sz w:val="32"/>
          <w:szCs w:val="32"/>
          <w:lang w:val="en-US" w:eastAsia="zh-CN" w:bidi="ar-SA"/>
        </w:rPr>
        <w:t>万元，主要用于按规定由单位缴纳的基本医疗保险支出。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6.交通运输支出（类）交通运输支出（款）民用航空安全（项）2024年预算数为5万元，主要用于民用航空安全方面的支出。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color w:val="auto"/>
          <w:kern w:val="2"/>
          <w:sz w:val="32"/>
          <w:szCs w:val="32"/>
          <w:lang w:val="en-US" w:eastAsia="zh-CN" w:bidi="ar-SA"/>
        </w:rPr>
      </w:pPr>
      <w:r>
        <w:rPr>
          <w:rFonts w:hint="eastAsia" w:ascii="仿宋_GB2312" w:hAnsi="仿宋_GB2312" w:eastAsia="仿宋_GB2312" w:cs="仿宋_GB2312"/>
          <w:b w:val="0"/>
          <w:color w:val="auto"/>
          <w:kern w:val="2"/>
          <w:sz w:val="32"/>
          <w:szCs w:val="32"/>
          <w:lang w:val="en-US" w:eastAsia="zh-CN" w:bidi="ar-SA"/>
        </w:rPr>
        <w:t>7.交通运输支出（类）交通运输支出（款）其他民用航空运输支出（项）2024年预算数为40万元，主要用于其他用于民用航空运输方面的支出。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8.住房保障（类）住房改革支出（款）住房公积金（项）2024年预算数为23.13万元，主要用于：部门按规定为职工缴纳的住房公积金支出。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2023044838"/>
      <w:r>
        <w:rPr>
          <w:rFonts w:hint="eastAsia" w:ascii="黑体" w:hAnsi="黑体" w:eastAsia="黑体" w:cs="黑体"/>
          <w:sz w:val="32"/>
          <w:szCs w:val="32"/>
          <w:lang w:val="en-US" w:eastAsia="zh-CN"/>
        </w:rPr>
        <w:t>六、一般公共预算基本支出情况说明</w:t>
      </w:r>
      <w:bookmarkEnd w:id="1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广元市口岸和物流发展中心2024年一般公共预算基本支出218.5万元，其中：</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人员经费188.48万元，主要包括：基本工资、津贴补贴、奖金、社会保险缴费、离休费、住房公积金、抚恤金等支出。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公用经费30.02万元，主要包括：办公费、印刷费、水费、电费、邮电费、差旅费、会议费、培训费、公务接待费、劳务费、委托业务费、工会经费、福利费、公务用车运行维护费、其他交通费用等支出。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1" w:name="_Toc1421832092"/>
      <w:r>
        <w:rPr>
          <w:rFonts w:hint="eastAsia" w:ascii="黑体" w:hAnsi="黑体" w:eastAsia="黑体" w:cs="黑体"/>
          <w:sz w:val="32"/>
          <w:szCs w:val="32"/>
          <w:lang w:val="en-US" w:eastAsia="zh-CN"/>
        </w:rPr>
        <w:t>七、“三公”经费财政拨款预算安排情况说明</w:t>
      </w:r>
      <w:bookmarkEnd w:id="1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广元市口岸和物流发展中心2024年“三公”经费财政拨款预算数7万元，其中：公务接待费2万元，公务用车购置及运行维护费5万元，因公出国（境）经费0万元。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518520691"/>
      <w:r>
        <w:rPr>
          <w:rFonts w:hint="eastAsia" w:ascii="楷体_GB2312" w:hAnsi="楷体_GB2312" w:eastAsia="楷体_GB2312" w:cs="楷体_GB2312"/>
          <w:sz w:val="32"/>
          <w:szCs w:val="32"/>
          <w:lang w:val="en-US" w:eastAsia="zh-CN"/>
        </w:rPr>
        <w:t>（一）公务接待费</w:t>
      </w:r>
      <w:bookmarkEnd w:id="1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作为新成立单位，2024年为首个预算年度，公务接待费没有与2023年的比较情况。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color w:val="auto"/>
          <w:sz w:val="32"/>
          <w:szCs w:val="32"/>
          <w:lang w:val="en-US" w:eastAsia="zh-CN"/>
        </w:rPr>
      </w:pPr>
      <w:bookmarkStart w:id="13" w:name="_Toc11755"/>
      <w:bookmarkStart w:id="14" w:name="_Toc1257072395"/>
      <w:r>
        <w:rPr>
          <w:rFonts w:hint="eastAsia" w:ascii="楷体_GB2312" w:hAnsi="楷体_GB2312" w:eastAsia="楷体_GB2312" w:cs="楷体_GB2312"/>
          <w:color w:val="auto"/>
          <w:sz w:val="32"/>
          <w:szCs w:val="32"/>
          <w:lang w:val="en-US" w:eastAsia="zh-CN"/>
        </w:rPr>
        <w:t>（二）公务用车购置及运行维护费</w:t>
      </w:r>
      <w:bookmarkEnd w:id="13"/>
      <w:bookmarkEnd w:id="14"/>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作为新成立单位，2024年为首个预算年度，公务用车购置及运行维护费没有与2023年的比较情况。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单位现有公务用车（轿车）1辆。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2024年未安排公务用车购置费。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2024年安排公务用车运行维护费5万元，用于1辆公务用车燃油、过路（桥）、维修、保险等方面支出，主要保障口岸、物流产业发展、民用航空发展等工作</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default" w:ascii="仿宋_GB2312" w:hAnsi="仿宋_GB2312" w:eastAsia="仿宋_GB2312" w:cs="仿宋_GB2312"/>
          <w:sz w:val="32"/>
          <w:szCs w:val="32"/>
          <w:lang w:val="en-US" w:eastAsia="zh-CN"/>
        </w:rPr>
      </w:pPr>
      <w:bookmarkStart w:id="15" w:name="_Toc451085802"/>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5"/>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作为新成立单位，2024年为首个预算年度，因公出国（境）经费没有与2023年的比较情况。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6" w:name="_Toc1453582297"/>
      <w:r>
        <w:rPr>
          <w:rFonts w:hint="eastAsia" w:ascii="黑体" w:hAnsi="黑体" w:eastAsia="黑体" w:cs="黑体"/>
          <w:sz w:val="32"/>
          <w:szCs w:val="32"/>
          <w:lang w:val="en-US" w:eastAsia="zh-CN"/>
        </w:rPr>
        <w:t>八、政府性基金预算支出情况说明</w:t>
      </w:r>
      <w:bookmarkEnd w:id="16"/>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广元市口岸和物流发展中心2024年无政府性基金预算拨款安排的支出。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7" w:name="_Toc910872466"/>
      <w:r>
        <w:rPr>
          <w:rFonts w:hint="eastAsia" w:ascii="黑体" w:hAnsi="黑体" w:eastAsia="黑体" w:cs="黑体"/>
          <w:sz w:val="32"/>
          <w:szCs w:val="32"/>
          <w:lang w:val="en-US" w:eastAsia="zh-CN"/>
        </w:rPr>
        <w:t>九、国有资本经营预算支出情况说明</w:t>
      </w:r>
      <w:bookmarkEnd w:id="17"/>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广元市口岸和物流发展中心2024年无国有资本经营预算拨款安排的支出。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8" w:name="_Toc150973975"/>
      <w:r>
        <w:rPr>
          <w:rFonts w:hint="eastAsia" w:ascii="黑体" w:hAnsi="黑体" w:eastAsia="黑体" w:cs="黑体"/>
          <w:sz w:val="32"/>
          <w:szCs w:val="32"/>
          <w:lang w:val="en-US" w:eastAsia="zh-CN"/>
        </w:rPr>
        <w:t>十、其他重要事项的情况说明</w:t>
      </w:r>
      <w:bookmarkEnd w:id="18"/>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9" w:name="_Toc113342188"/>
      <w:r>
        <w:rPr>
          <w:rFonts w:hint="eastAsia" w:ascii="楷体_GB2312" w:hAnsi="楷体_GB2312" w:eastAsia="楷体_GB2312" w:cs="楷体_GB2312"/>
          <w:sz w:val="32"/>
          <w:szCs w:val="32"/>
          <w:lang w:val="en-US" w:eastAsia="zh-CN"/>
        </w:rPr>
        <w:t>（一）机关运行经费</w:t>
      </w:r>
      <w:bookmarkEnd w:id="1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2024年，广元市口岸和物流发展中心的机关运行经费财政拨款预算为30.02万元，作为新成立单位，2024年为首个预算年度，机关运行经费没有与2023年的比较情况。</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335206970"/>
      <w:r>
        <w:rPr>
          <w:rFonts w:hint="eastAsia" w:ascii="楷体_GB2312" w:hAnsi="楷体_GB2312" w:eastAsia="楷体_GB2312" w:cs="楷体_GB2312"/>
          <w:sz w:val="32"/>
          <w:szCs w:val="32"/>
          <w:lang w:val="en-US" w:eastAsia="zh-CN"/>
        </w:rPr>
        <w:t>（二）国有资产占有使用情况</w:t>
      </w:r>
      <w:bookmarkEnd w:id="20"/>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截至2023年底，广元市口岸和物流发展中心共有车辆1辆，其中，领导干部用车1辆。</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21" w:name="_Toc522308790"/>
      <w:r>
        <w:rPr>
          <w:rFonts w:hint="eastAsia" w:ascii="楷体_GB2312" w:hAnsi="楷体_GB2312" w:eastAsia="楷体_GB2312" w:cs="楷体_GB2312"/>
          <w:sz w:val="32"/>
          <w:szCs w:val="32"/>
          <w:lang w:val="en-US" w:eastAsia="zh-CN"/>
        </w:rPr>
        <w:t>（三）绩效目标设置情况</w:t>
      </w:r>
      <w:bookmarkEnd w:id="21"/>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2024年广元市口岸和物流发展中心开展绩效目标管理的项目17个，涉及预算299.5万元。其中：人员类项目8个，涉及预算188.48万元；运转类项目4个，涉及预算30.02万元；特定目标类项目5个，涉及预算81万元。</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2" w:name="_Toc2124607891"/>
      <w:r>
        <w:rPr>
          <w:rFonts w:hint="eastAsia" w:ascii="黑体" w:hAnsi="黑体" w:eastAsia="黑体" w:cs="黑体"/>
          <w:sz w:val="32"/>
          <w:szCs w:val="32"/>
          <w:lang w:val="en-US" w:eastAsia="zh-CN"/>
        </w:rPr>
        <w:t>十一、名词解释</w:t>
      </w:r>
      <w:bookmarkEnd w:id="22"/>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（一）财政拨款收入</w:t>
      </w:r>
      <w:r>
        <w:rPr>
          <w:rFonts w:hint="default" w:ascii="楷体_GB2312" w:hAnsi="楷体_GB2312" w:eastAsia="楷体_GB2312" w:cs="楷体_GB2312"/>
          <w:sz w:val="32"/>
          <w:szCs w:val="32"/>
          <w:lang w:val="en-US" w:eastAsia="zh-CN"/>
        </w:rPr>
        <w:t>:</w:t>
      </w:r>
      <w:r>
        <w:rPr>
          <w:rFonts w:hint="eastAsia" w:ascii="仿宋_GB2312" w:hAnsi="仿宋_GB2312" w:eastAsia="仿宋_GB2312" w:cs="仿宋_GB2312"/>
          <w:sz w:val="32"/>
          <w:szCs w:val="32"/>
          <w:lang w:val="en-US" w:eastAsia="zh-CN"/>
        </w:rPr>
        <w:t>指市财政当年安排的财政预算收入。按现行管理制度</w:t>
      </w:r>
      <w:r>
        <w:rPr>
          <w:rFonts w:hint="default"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val="en-US" w:eastAsia="zh-CN"/>
        </w:rPr>
        <w:t>部门预算中反映的财政拨款包括一般公共预算拨款和政府性基金预算拨款。</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（二）口岸和物流发展（类）口岸和物流（款）行政运行（项）：</w:t>
      </w:r>
      <w:r>
        <w:rPr>
          <w:rFonts w:hint="eastAsia" w:ascii="仿宋_GB2312" w:hAnsi="仿宋_GB2312" w:eastAsia="仿宋_GB2312" w:cs="仿宋_GB2312"/>
          <w:color w:val="auto"/>
          <w:sz w:val="32"/>
          <w:szCs w:val="32"/>
          <w:lang w:val="en-US" w:eastAsia="zh-CN"/>
        </w:rPr>
        <w:t>反映行政单位(包括实行公务员管理的事业单位)的基本支出。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楷体_GB2312" w:hAnsi="楷体_GB2312" w:eastAsia="楷体_GB2312" w:cs="楷体_GB2312"/>
          <w:sz w:val="32"/>
          <w:szCs w:val="32"/>
          <w:lang w:val="en-US" w:eastAsia="zh-CN"/>
        </w:rPr>
        <w:t>（三）口岸和物流发展（类）口岸和物流（款）一般行政管理事务（项）：</w:t>
      </w:r>
      <w:r>
        <w:rPr>
          <w:rFonts w:hint="eastAsia" w:ascii="仿宋_GB2312" w:hAnsi="仿宋_GB2312" w:eastAsia="仿宋_GB2312" w:cs="仿宋_GB2312"/>
          <w:color w:val="auto"/>
          <w:sz w:val="32"/>
          <w:szCs w:val="32"/>
          <w:lang w:val="en-US" w:eastAsia="zh-CN"/>
        </w:rPr>
        <w:t>反映行政单位(包括实行公务员管理的事业单位)未单独设置项级科目的其他项目支出。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楷体_GB2312" w:hAnsi="楷体_GB2312" w:eastAsia="楷体_GB2312" w:cs="楷体_GB2312"/>
          <w:sz w:val="32"/>
          <w:szCs w:val="32"/>
          <w:lang w:val="en-US" w:eastAsia="zh-CN"/>
        </w:rPr>
        <w:t>（四）社会保障和就业支出(类)行政事业单位养老支出(款)机关事业单位基本养老保险缴费支出(项)：</w:t>
      </w:r>
      <w:r>
        <w:rPr>
          <w:rFonts w:hint="eastAsia" w:ascii="仿宋_GB2312" w:hAnsi="仿宋_GB2312" w:eastAsia="仿宋_GB2312" w:cs="仿宋_GB2312"/>
          <w:color w:val="auto"/>
          <w:sz w:val="32"/>
          <w:szCs w:val="32"/>
          <w:lang w:val="en-US" w:eastAsia="zh-CN"/>
        </w:rPr>
        <w:t>反映机关事业单位实施养老保险制度由单位缴纳的基本养老保险费支出。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楷体_GB2312" w:hAnsi="楷体_GB2312" w:eastAsia="楷体_GB2312" w:cs="楷体_GB2312"/>
          <w:b w:val="0"/>
          <w:color w:val="auto"/>
          <w:kern w:val="2"/>
          <w:sz w:val="32"/>
          <w:szCs w:val="32"/>
          <w:lang w:val="en-US" w:eastAsia="zh-CN" w:bidi="ar-SA"/>
        </w:rPr>
        <w:t>（五）社会保障和就业支出（类）行政事业单位养老支出（款）其他行政事业单位养老支出（项）：</w:t>
      </w:r>
      <w:r>
        <w:rPr>
          <w:rFonts w:hint="eastAsia" w:ascii="仿宋_GB2312" w:hAnsi="仿宋_GB2312" w:eastAsia="仿宋_GB2312" w:cs="仿宋_GB2312"/>
          <w:b w:val="0"/>
          <w:color w:val="auto"/>
          <w:kern w:val="2"/>
          <w:sz w:val="32"/>
          <w:szCs w:val="32"/>
          <w:lang w:val="en-US" w:eastAsia="zh-CN" w:bidi="ar-SA"/>
        </w:rPr>
        <w:t>反映其他用于行政事业单位养老方面的支出。</w:t>
      </w:r>
    </w:p>
    <w:p>
      <w:pPr>
        <w:pStyle w:val="2"/>
        <w:keepNext w:val="0"/>
        <w:keepLines w:val="0"/>
        <w:pageBreakBefore w:val="0"/>
        <w:widowControl/>
        <w:kinsoku/>
        <w:wordWrap/>
        <w:overflowPunct/>
        <w:topLinePunct w:val="0"/>
        <w:autoSpaceDE/>
        <w:autoSpaceDN/>
        <w:bidi w:val="0"/>
        <w:adjustRightInd w:val="0"/>
        <w:snapToGrid w:val="0"/>
        <w:spacing w:line="576" w:lineRule="exact"/>
        <w:ind w:firstLine="640" w:firstLineChars="200"/>
        <w:textAlignment w:val="auto"/>
        <w:rPr>
          <w:rFonts w:hint="eastAsia" w:ascii="仿宋_GB2312" w:hAnsi="仿宋_GB2312" w:eastAsia="仿宋_GB2312" w:cs="仿宋_GB2312"/>
          <w:b w:val="0"/>
          <w:color w:val="auto"/>
          <w:kern w:val="2"/>
          <w:sz w:val="32"/>
          <w:szCs w:val="32"/>
          <w:lang w:val="en-US" w:eastAsia="zh-CN" w:bidi="ar-SA"/>
        </w:rPr>
      </w:pPr>
      <w:r>
        <w:rPr>
          <w:rFonts w:hint="eastAsia" w:ascii="楷体_GB2312" w:hAnsi="楷体_GB2312" w:eastAsia="楷体_GB2312" w:cs="楷体_GB2312"/>
          <w:b w:val="0"/>
          <w:color w:val="auto"/>
          <w:kern w:val="2"/>
          <w:sz w:val="32"/>
          <w:szCs w:val="32"/>
          <w:lang w:val="en-US" w:eastAsia="zh-CN" w:bidi="ar-SA"/>
        </w:rPr>
        <w:t>（六）卫生健康支出（类）行政事业单位医疗（款）财政对职工基本医疗保险基金的补助（项）：</w:t>
      </w:r>
      <w:r>
        <w:rPr>
          <w:rFonts w:hint="eastAsia" w:ascii="仿宋_GB2312" w:hAnsi="仿宋_GB2312" w:eastAsia="仿宋_GB2312" w:cs="仿宋_GB2312"/>
          <w:b w:val="0"/>
          <w:color w:val="auto"/>
          <w:kern w:val="2"/>
          <w:sz w:val="32"/>
          <w:szCs w:val="32"/>
          <w:lang w:val="en-US" w:eastAsia="zh-CN" w:bidi="ar-SA"/>
        </w:rPr>
        <w:t>反映财政部门安排的基本医疗保险缴费经费，未参加医疗保险的行政单位的公费医疗经费，按国家规定享受离休人员待遇的医疗经费。</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color w:val="auto"/>
          <w:kern w:val="2"/>
          <w:sz w:val="32"/>
          <w:szCs w:val="32"/>
          <w:lang w:val="en-US" w:eastAsia="zh-CN" w:bidi="ar-SA"/>
        </w:rPr>
      </w:pPr>
      <w:r>
        <w:rPr>
          <w:rFonts w:hint="eastAsia" w:ascii="楷体_GB2312" w:hAnsi="楷体_GB2312" w:eastAsia="楷体_GB2312" w:cs="楷体_GB2312"/>
          <w:sz w:val="32"/>
          <w:szCs w:val="32"/>
          <w:lang w:val="en-US" w:eastAsia="zh-CN"/>
        </w:rPr>
        <w:t>（七）交通运输支出（类）交通运输支出（款）民用航空安全（项）：</w:t>
      </w:r>
      <w:r>
        <w:rPr>
          <w:rFonts w:hint="eastAsia" w:ascii="仿宋_GB2312" w:hAnsi="仿宋_GB2312" w:eastAsia="仿宋_GB2312" w:cs="仿宋_GB2312"/>
          <w:b w:val="0"/>
          <w:color w:val="auto"/>
          <w:kern w:val="2"/>
          <w:sz w:val="32"/>
          <w:szCs w:val="32"/>
          <w:lang w:val="en-US" w:eastAsia="zh-CN" w:bidi="ar-SA"/>
        </w:rPr>
        <w:t>反映主要用于民用航空安全方面的支出。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b w:val="0"/>
          <w:color w:val="auto"/>
          <w:kern w:val="2"/>
          <w:sz w:val="32"/>
          <w:szCs w:val="32"/>
          <w:lang w:val="en-US" w:eastAsia="zh-CN" w:bidi="ar-SA"/>
        </w:rPr>
      </w:pPr>
      <w:r>
        <w:rPr>
          <w:rFonts w:hint="eastAsia" w:ascii="楷体_GB2312" w:hAnsi="楷体_GB2312" w:eastAsia="楷体_GB2312" w:cs="楷体_GB2312"/>
          <w:sz w:val="32"/>
          <w:szCs w:val="32"/>
          <w:lang w:val="en-US" w:eastAsia="zh-CN"/>
        </w:rPr>
        <w:t>（八）交通运输支出（类）交通运输支出（款）其他民用航空运输支出（项）：</w:t>
      </w:r>
      <w:r>
        <w:rPr>
          <w:rFonts w:hint="eastAsia" w:ascii="仿宋_GB2312" w:hAnsi="仿宋_GB2312" w:eastAsia="仿宋_GB2312" w:cs="仿宋_GB2312"/>
          <w:b w:val="0"/>
          <w:color w:val="auto"/>
          <w:kern w:val="2"/>
          <w:sz w:val="32"/>
          <w:szCs w:val="32"/>
          <w:lang w:val="en-US" w:eastAsia="zh-CN" w:bidi="ar-SA"/>
        </w:rPr>
        <w:t>反映用于其他用于民用航空运输方面的支出。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（九）住房保障（类）住房改革支出（款）住房公积金（项）：</w:t>
      </w:r>
      <w:r>
        <w:rPr>
          <w:rFonts w:hint="eastAsia" w:ascii="仿宋_GB2312" w:hAnsi="仿宋_GB2312" w:eastAsia="仿宋_GB2312" w:cs="仿宋_GB2312"/>
          <w:color w:val="auto"/>
          <w:sz w:val="32"/>
          <w:szCs w:val="32"/>
          <w:lang w:val="en-US" w:eastAsia="zh-CN"/>
        </w:rPr>
        <w:t>反映行政事业单位按人力资源和社会保障部、财政部规定的基本工资和津贴补贴以及规定比例为职工缴纳的住房公积金。</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（十）基本支出：</w:t>
      </w:r>
      <w:r>
        <w:rPr>
          <w:rFonts w:hint="eastAsia" w:ascii="仿宋_GB2312" w:hAnsi="仿宋_GB2312" w:eastAsia="仿宋_GB2312" w:cs="仿宋_GB2312"/>
          <w:sz w:val="32"/>
          <w:szCs w:val="32"/>
          <w:lang w:val="en-US" w:eastAsia="zh-CN"/>
        </w:rPr>
        <w:t>指为保证机构正常运转，完成日常工作任务而发生的人员支出和公用支出。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（十一）项目支出：</w:t>
      </w:r>
      <w:r>
        <w:rPr>
          <w:rFonts w:hint="eastAsia" w:ascii="仿宋_GB2312" w:hAnsi="仿宋_GB2312" w:eastAsia="仿宋_GB2312" w:cs="仿宋_GB2312"/>
          <w:sz w:val="32"/>
          <w:szCs w:val="32"/>
          <w:lang w:val="en-US" w:eastAsia="zh-CN"/>
        </w:rPr>
        <w:t>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（十二）“三公”经费：</w:t>
      </w:r>
      <w:r>
        <w:rPr>
          <w:rFonts w:hint="eastAsia" w:ascii="仿宋_GB2312" w:hAnsi="仿宋_GB2312" w:eastAsia="仿宋_GB2312" w:cs="仿宋_GB2312"/>
          <w:sz w:val="32"/>
          <w:szCs w:val="32"/>
          <w:lang w:val="en-US" w:eastAsia="zh-CN"/>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楷体_GB2312" w:hAnsi="楷体_GB2312" w:eastAsia="楷体_GB2312" w:cs="楷体_GB2312"/>
          <w:sz w:val="32"/>
          <w:szCs w:val="32"/>
          <w:lang w:val="en-US" w:eastAsia="zh-CN"/>
        </w:rPr>
        <w:t>（十三）机关运行经费：</w:t>
      </w:r>
      <w:r>
        <w:rPr>
          <w:rFonts w:hint="eastAsia" w:ascii="仿宋_GB2312" w:hAnsi="仿宋_GB2312" w:eastAsia="仿宋_GB2312" w:cs="仿宋_GB2312"/>
          <w:sz w:val="32"/>
          <w:szCs w:val="32"/>
          <w:lang w:val="en-US" w:eastAsia="zh-CN"/>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附件：部门预算公开表</w:t>
      </w:r>
    </w:p>
    <w:p>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5"/>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dkNmY3ZTgyOGFlMTUyNDE5ODMwYjMzMTE1ZjM0ODYifQ=="/>
  </w:docVars>
  <w:rsids>
    <w:rsidRoot w:val="00000000"/>
    <w:rsid w:val="012352D1"/>
    <w:rsid w:val="1F7BF06F"/>
    <w:rsid w:val="1FEE4B73"/>
    <w:rsid w:val="23CE9849"/>
    <w:rsid w:val="39F304DD"/>
    <w:rsid w:val="54244390"/>
    <w:rsid w:val="54662A63"/>
    <w:rsid w:val="58064E12"/>
    <w:rsid w:val="5BFEE015"/>
    <w:rsid w:val="5FFF2CFF"/>
    <w:rsid w:val="611C2B5F"/>
    <w:rsid w:val="63EDCF55"/>
    <w:rsid w:val="63FBFBCF"/>
    <w:rsid w:val="65FF8F3C"/>
    <w:rsid w:val="669360FD"/>
    <w:rsid w:val="68FF6A83"/>
    <w:rsid w:val="6FBBC9CF"/>
    <w:rsid w:val="72BDE561"/>
    <w:rsid w:val="75770FCF"/>
    <w:rsid w:val="78462278"/>
    <w:rsid w:val="7997EA6C"/>
    <w:rsid w:val="7AEAE675"/>
    <w:rsid w:val="7BAFCE5D"/>
    <w:rsid w:val="7BEF12FA"/>
    <w:rsid w:val="7D46598C"/>
    <w:rsid w:val="7DFB240B"/>
    <w:rsid w:val="7E0935ED"/>
    <w:rsid w:val="7FCF2AF7"/>
    <w:rsid w:val="9FEF033D"/>
    <w:rsid w:val="A27FF1E5"/>
    <w:rsid w:val="AFDEB5A7"/>
    <w:rsid w:val="AFEA7FBF"/>
    <w:rsid w:val="B7FF2E7B"/>
    <w:rsid w:val="B83F4767"/>
    <w:rsid w:val="BF930F07"/>
    <w:rsid w:val="BFB7486D"/>
    <w:rsid w:val="BFCE8436"/>
    <w:rsid w:val="C3F7EB7A"/>
    <w:rsid w:val="CFF5FEEC"/>
    <w:rsid w:val="D0F7E5D3"/>
    <w:rsid w:val="D3DD9064"/>
    <w:rsid w:val="D6F76A0C"/>
    <w:rsid w:val="D7ECE8D2"/>
    <w:rsid w:val="DACFB948"/>
    <w:rsid w:val="DFDD4FB5"/>
    <w:rsid w:val="E7F748B5"/>
    <w:rsid w:val="EB9678E9"/>
    <w:rsid w:val="EB9F3863"/>
    <w:rsid w:val="EE5F3713"/>
    <w:rsid w:val="EFC9D62C"/>
    <w:rsid w:val="F5EF3DDC"/>
    <w:rsid w:val="F6BE9755"/>
    <w:rsid w:val="F6FFA89B"/>
    <w:rsid w:val="FAE4EFE1"/>
    <w:rsid w:val="FB9B6F12"/>
    <w:rsid w:val="FBB66A4A"/>
    <w:rsid w:val="FDEE6989"/>
    <w:rsid w:val="FF5E7DB8"/>
    <w:rsid w:val="FF77E367"/>
    <w:rsid w:val="FF9A62D0"/>
    <w:rsid w:val="FFD576EB"/>
    <w:rsid w:val="FFFBE8B7"/>
    <w:rsid w:val="FFFF8015"/>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99"/>
    <w:pPr>
      <w:widowControl/>
      <w:tabs>
        <w:tab w:val="right" w:leader="dot" w:pos="8890"/>
      </w:tabs>
      <w:adjustRightInd w:val="0"/>
      <w:snapToGrid w:val="0"/>
      <w:spacing w:before="100" w:after="100"/>
      <w:jc w:val="left"/>
    </w:pPr>
    <w:rPr>
      <w:rFonts w:ascii="仿宋_GB2312" w:hAnsi="黑体" w:eastAsia="仿宋_GB2312"/>
      <w:b/>
      <w:kern w:val="0"/>
      <w:sz w:val="32"/>
      <w:szCs w:val="32"/>
    </w:rPr>
  </w:style>
  <w:style w:type="paragraph" w:styleId="3">
    <w:name w:val="caption"/>
    <w:basedOn w:val="1"/>
    <w:next w:val="1"/>
    <w:qFormat/>
    <w:uiPriority w:val="0"/>
    <w:pPr>
      <w:widowControl w:val="0"/>
      <w:suppressLineNumbers/>
      <w:suppressAutoHyphens/>
      <w:spacing w:before="120" w:after="120"/>
    </w:pPr>
    <w:rPr>
      <w:i/>
      <w:iCs/>
      <w:sz w:val="24"/>
      <w:szCs w:val="24"/>
    </w:rPr>
  </w:style>
  <w:style w:type="paragraph" w:styleId="4">
    <w:name w:val="Body Text"/>
    <w:basedOn w:val="1"/>
    <w:qFormat/>
    <w:uiPriority w:val="0"/>
    <w:pPr>
      <w:spacing w:before="0" w:after="140" w:line="276" w:lineRule="auto"/>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w:basedOn w:val="4"/>
    <w:qFormat/>
    <w:uiPriority w:val="0"/>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1">
    <w:name w:val="默认段落字体1"/>
    <w:qFormat/>
    <w:uiPriority w:val="0"/>
  </w:style>
  <w:style w:type="paragraph" w:customStyle="1" w:styleId="12">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3">
    <w:name w:val="Index"/>
    <w:basedOn w:val="1"/>
    <w:qFormat/>
    <w:uiPriority w:val="0"/>
    <w:pPr>
      <w:widowControl w:val="0"/>
      <w:suppressLineNumbers/>
      <w:suppressAutoHyphens/>
    </w:p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10</TotalTime>
  <ScaleCrop>false</ScaleCrop>
  <LinksUpToDate>false</LinksUpToDate>
  <Application>WPS Office_12.1.0.16388_F1E327BC-269C-435d-A152-05C5408002CA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2018-12-01T17:47:00Z</dcterms:created>
  <dc:creator>admin</dc:creator>
  <cp:lastModifiedBy> </cp:lastModifiedBy>
  <dcterms:modified xsi:type="dcterms:W3CDTF">2024-03-25T13:19:58Z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96081F72B7444D3C8C1C7DDAED24732C_13</vt:lpwstr>
  </property>
</Properties>
</file>