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 w:bidi="ar"/>
          <w14:textFill>
            <w14:solidFill>
              <w14:schemeClr w14:val="tx1"/>
            </w14:solidFill>
          </w14:textFill>
        </w:rPr>
      </w:pPr>
    </w:p>
    <w:p>
      <w:pPr>
        <w:shd w:val="clear"/>
        <w:suppressAutoHyphens/>
        <w:bidi w:val="0"/>
        <w:adjustRightInd w:val="0"/>
        <w:snapToGrid w:val="0"/>
        <w:spacing w:line="360" w:lineRule="auto"/>
        <w:jc w:val="center"/>
        <w:outlineLvl w:val="0"/>
        <w:rPr>
          <w:rFonts w:hint="eastAsia" w:ascii="方正小标宋简体" w:hAnsi="方正小标宋简体" w:eastAsia="方正小标宋简体" w:cs="方正小标宋简体"/>
          <w:b w:val="0"/>
          <w:bCs w:val="0"/>
          <w:color w:val="auto"/>
          <w:sz w:val="68"/>
          <w:szCs w:val="68"/>
          <w:highlight w:val="none"/>
          <w:lang w:val="en-US"/>
        </w:rPr>
      </w:pPr>
      <w:bookmarkStart w:id="0" w:name="_Toc23568"/>
      <w:r>
        <w:rPr>
          <w:rFonts w:hint="eastAsia" w:ascii="方正小标宋简体" w:hAnsi="方正小标宋简体" w:eastAsia="方正小标宋简体" w:cs="方正小标宋简体"/>
          <w:b w:val="0"/>
          <w:bCs w:val="0"/>
          <w:color w:val="auto"/>
          <w:sz w:val="68"/>
          <w:szCs w:val="68"/>
          <w:highlight w:val="none"/>
          <w:lang w:val="en-US" w:eastAsia="zh"/>
        </w:rPr>
        <w:t>中共广元市委政法委员会</w:t>
      </w:r>
      <w:bookmarkEnd w:id="0"/>
    </w:p>
    <w:p>
      <w:pPr>
        <w:shd w:val="clear"/>
        <w:suppressAutoHyphens/>
        <w:bidi w:val="0"/>
        <w:adjustRightInd w:val="0"/>
        <w:snapToGrid w:val="0"/>
        <w:spacing w:line="360" w:lineRule="auto"/>
        <w:jc w:val="center"/>
        <w:outlineLvl w:val="0"/>
        <w:rPr>
          <w:rFonts w:hint="eastAsia" w:ascii="方正小标宋简体" w:hAnsi="方正小标宋简体" w:eastAsia="方正小标宋简体" w:cs="方正小标宋简体"/>
          <w:b w:val="0"/>
          <w:bCs w:val="0"/>
          <w:color w:val="auto"/>
          <w:sz w:val="72"/>
          <w:szCs w:val="72"/>
          <w:highlight w:val="none"/>
          <w:lang w:val="en-US" w:eastAsia="zh-CN"/>
        </w:rPr>
      </w:pPr>
      <w:bookmarkStart w:id="1" w:name="_Toc23124"/>
      <w:r>
        <w:rPr>
          <w:rFonts w:hint="eastAsia" w:ascii="方正小标宋简体" w:hAnsi="方正小标宋简体" w:eastAsia="方正小标宋简体" w:cs="方正小标宋简体"/>
          <w:b w:val="0"/>
          <w:bCs w:val="0"/>
          <w:color w:val="auto"/>
          <w:sz w:val="72"/>
          <w:szCs w:val="72"/>
          <w:highlight w:val="none"/>
          <w:lang w:val="en-US" w:eastAsia="zh-CN"/>
        </w:rPr>
        <w:t>2024年部门预算编制说明</w:t>
      </w:r>
      <w:bookmarkEnd w:id="1"/>
    </w:p>
    <w:p>
      <w:pPr>
        <w:shd w:val="clear"/>
        <w:suppressAutoHyphens/>
        <w:bidi w:val="0"/>
        <w:adjustRightInd w:val="0"/>
        <w:snapToGrid w:val="0"/>
        <w:spacing w:line="360" w:lineRule="auto"/>
        <w:jc w:val="center"/>
        <w:outlineLvl w:val="9"/>
        <w:rPr>
          <w:rFonts w:hint="eastAsia" w:ascii="方正小标宋简体" w:hAnsi="方正小标宋简体" w:eastAsia="方正小标宋简体" w:cs="方正小标宋简体"/>
          <w:b w:val="0"/>
          <w:bCs w:val="0"/>
          <w:color w:val="auto"/>
          <w:sz w:val="72"/>
          <w:szCs w:val="72"/>
          <w:highlight w:val="none"/>
          <w:lang w:val="en-US" w:eastAsia="zh-CN"/>
        </w:rPr>
      </w:pPr>
      <w:r>
        <w:rPr>
          <w:rFonts w:hint="eastAsia" w:ascii="方正小标宋简体" w:hAnsi="方正小标宋简体" w:eastAsia="方正小标宋简体" w:cs="方正小标宋简体"/>
          <w:b w:val="0"/>
          <w:bCs w:val="0"/>
          <w:color w:val="auto"/>
          <w:sz w:val="72"/>
          <w:szCs w:val="72"/>
          <w:highlight w:val="none"/>
          <w:lang w:val="en-US" w:eastAsia="zh-CN"/>
        </w:rPr>
        <w:br w:type="page"/>
      </w:r>
    </w:p>
    <w:sdt>
      <w:sdtPr>
        <w:rPr>
          <w:rFonts w:ascii="宋体" w:hAnsi="宋体" w:eastAsia="宋体" w:cs="Times New Roman"/>
          <w:color w:val="auto"/>
          <w:kern w:val="2"/>
          <w:sz w:val="21"/>
          <w:szCs w:val="24"/>
          <w:lang w:val="en-US" w:eastAsia="zh-CN" w:bidi="ar-SA"/>
        </w:rPr>
        <w:id w:val="147452408"/>
        <w15:color w:val="DBDBDB"/>
        <w:docPartObj>
          <w:docPartGallery w:val="Table of Contents"/>
          <w:docPartUnique/>
        </w:docPartObj>
      </w:sdtPr>
      <w:sdtEndPr>
        <w:rPr>
          <w:rFonts w:hint="eastAsia" w:ascii="楷体_GB2312" w:hAnsi="楷体_GB2312" w:eastAsia="楷体_GB2312" w:cs="楷体_GB2312"/>
          <w:b/>
          <w:i w:val="0"/>
          <w:caps w:val="0"/>
          <w:color w:val="000000" w:themeColor="text1"/>
          <w:spacing w:val="0"/>
          <w:kern w:val="0"/>
          <w:sz w:val="21"/>
          <w:szCs w:val="30"/>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rPr>
              <w:sz w:val="24"/>
              <w:szCs w:val="24"/>
            </w:rPr>
          </w:pPr>
          <w:r>
            <w:rPr>
              <w:rFonts w:ascii="宋体" w:hAnsi="宋体" w:eastAsia="宋体"/>
              <w:sz w:val="24"/>
              <w:szCs w:val="24"/>
            </w:rPr>
            <w:t>目录</w:t>
          </w:r>
        </w:p>
        <w:p>
          <w:pPr>
            <w:pStyle w:val="13"/>
            <w:tabs>
              <w:tab w:val="right" w:leader="dot" w:pos="8845"/>
            </w:tabs>
            <w:spacing w:line="360" w:lineRule="auto"/>
            <w:rPr>
              <w:b/>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instrText xml:space="preserve">TOC \o "1-2" \h \u </w:instrText>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separate"/>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_Toc23471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一、基本职能及主要工作</w:t>
          </w:r>
          <w:r>
            <w:rPr>
              <w:b/>
              <w:sz w:val="24"/>
              <w:szCs w:val="24"/>
            </w:rPr>
            <w:tab/>
          </w:r>
          <w:r>
            <w:rPr>
              <w:b/>
              <w:sz w:val="24"/>
              <w:szCs w:val="24"/>
            </w:rPr>
            <w:fldChar w:fldCharType="begin"/>
          </w:r>
          <w:r>
            <w:rPr>
              <w:b/>
              <w:sz w:val="24"/>
              <w:szCs w:val="24"/>
            </w:rPr>
            <w:instrText xml:space="preserve"> PAGEREF _Toc23471 \h </w:instrText>
          </w:r>
          <w:r>
            <w:rPr>
              <w:b/>
              <w:sz w:val="24"/>
              <w:szCs w:val="24"/>
            </w:rPr>
            <w:fldChar w:fldCharType="separate"/>
          </w:r>
          <w:r>
            <w:rPr>
              <w:b/>
              <w:sz w:val="24"/>
              <w:szCs w:val="24"/>
            </w:rPr>
            <w:t>3</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_Toc31779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rPr>
            <w:t>（一）</w:t>
          </w:r>
          <w:r>
            <w:rPr>
              <w:rFonts w:hint="eastAsia" w:ascii="楷体_GB2312" w:hAnsi="楷体_GB2312" w:eastAsia="楷体_GB2312" w:cs="楷体_GB2312"/>
              <w:sz w:val="24"/>
              <w:szCs w:val="24"/>
              <w:lang w:eastAsia="zh"/>
            </w:rPr>
            <w:t>市委政法委</w:t>
          </w:r>
          <w:r>
            <w:rPr>
              <w:rFonts w:hint="eastAsia" w:ascii="楷体_GB2312" w:hAnsi="楷体_GB2312" w:eastAsia="楷体_GB2312" w:cs="楷体_GB2312"/>
              <w:sz w:val="24"/>
              <w:szCs w:val="24"/>
            </w:rPr>
            <w:t>职能简介</w:t>
          </w:r>
          <w:r>
            <w:rPr>
              <w:sz w:val="24"/>
              <w:szCs w:val="24"/>
            </w:rPr>
            <w:tab/>
          </w:r>
          <w:r>
            <w:rPr>
              <w:sz w:val="24"/>
              <w:szCs w:val="24"/>
            </w:rPr>
            <w:fldChar w:fldCharType="begin"/>
          </w:r>
          <w:r>
            <w:rPr>
              <w:sz w:val="24"/>
              <w:szCs w:val="24"/>
            </w:rPr>
            <w:instrText xml:space="preserve"> PAGEREF _Toc31779 \h </w:instrText>
          </w:r>
          <w:r>
            <w:rPr>
              <w:sz w:val="24"/>
              <w:szCs w:val="24"/>
            </w:rPr>
            <w:fldChar w:fldCharType="separate"/>
          </w:r>
          <w:r>
            <w:rPr>
              <w:sz w:val="24"/>
              <w:szCs w:val="24"/>
            </w:rPr>
            <w:t>3</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_Toc29566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rPr>
            <w:t>（二）</w:t>
          </w:r>
          <w:r>
            <w:rPr>
              <w:rFonts w:hint="eastAsia" w:ascii="楷体_GB2312" w:hAnsi="楷体_GB2312" w:eastAsia="楷体_GB2312" w:cs="楷体_GB2312"/>
              <w:sz w:val="24"/>
              <w:szCs w:val="24"/>
              <w:lang w:eastAsia="zh"/>
            </w:rPr>
            <w:t>市委政法委</w:t>
          </w:r>
          <w:r>
            <w:rPr>
              <w:rFonts w:hint="eastAsia" w:ascii="楷体_GB2312" w:hAnsi="楷体_GB2312" w:eastAsia="楷体_GB2312" w:cs="楷体_GB2312"/>
              <w:sz w:val="24"/>
              <w:szCs w:val="24"/>
              <w:lang w:val="en-US"/>
            </w:rPr>
            <w:t>2024</w:t>
          </w:r>
          <w:r>
            <w:rPr>
              <w:rFonts w:hint="eastAsia" w:ascii="楷体_GB2312" w:hAnsi="楷体_GB2312" w:eastAsia="楷体_GB2312" w:cs="楷体_GB2312"/>
              <w:sz w:val="24"/>
              <w:szCs w:val="24"/>
            </w:rPr>
            <w:t>年重点工作</w:t>
          </w:r>
          <w:r>
            <w:rPr>
              <w:sz w:val="24"/>
              <w:szCs w:val="24"/>
            </w:rPr>
            <w:tab/>
          </w:r>
          <w:r>
            <w:rPr>
              <w:sz w:val="24"/>
              <w:szCs w:val="24"/>
            </w:rPr>
            <w:fldChar w:fldCharType="begin"/>
          </w:r>
          <w:r>
            <w:rPr>
              <w:sz w:val="24"/>
              <w:szCs w:val="24"/>
            </w:rPr>
            <w:instrText xml:space="preserve"> PAGEREF _Toc29566 \h </w:instrText>
          </w:r>
          <w:r>
            <w:rPr>
              <w:sz w:val="24"/>
              <w:szCs w:val="24"/>
            </w:rPr>
            <w:fldChar w:fldCharType="separate"/>
          </w:r>
          <w:r>
            <w:rPr>
              <w:sz w:val="24"/>
              <w:szCs w:val="24"/>
            </w:rPr>
            <w:t>4</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_Toc21425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二、部门预算单位构成</w:t>
          </w:r>
          <w:r>
            <w:rPr>
              <w:b/>
              <w:sz w:val="24"/>
              <w:szCs w:val="24"/>
            </w:rPr>
            <w:tab/>
          </w:r>
          <w:r>
            <w:rPr>
              <w:b/>
              <w:sz w:val="24"/>
              <w:szCs w:val="24"/>
            </w:rPr>
            <w:fldChar w:fldCharType="begin"/>
          </w:r>
          <w:r>
            <w:rPr>
              <w:b/>
              <w:sz w:val="24"/>
              <w:szCs w:val="24"/>
            </w:rPr>
            <w:instrText xml:space="preserve"> PAGEREF _Toc21425 \h </w:instrText>
          </w:r>
          <w:r>
            <w:rPr>
              <w:b/>
              <w:sz w:val="24"/>
              <w:szCs w:val="24"/>
            </w:rPr>
            <w:fldChar w:fldCharType="separate"/>
          </w:r>
          <w:r>
            <w:rPr>
              <w:b/>
              <w:sz w:val="24"/>
              <w:szCs w:val="24"/>
            </w:rPr>
            <w:t>5</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_Toc12029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三、收支预算情况说明</w:t>
          </w:r>
          <w:r>
            <w:rPr>
              <w:b/>
              <w:sz w:val="24"/>
              <w:szCs w:val="24"/>
            </w:rPr>
            <w:tab/>
          </w:r>
          <w:r>
            <w:rPr>
              <w:b/>
              <w:sz w:val="24"/>
              <w:szCs w:val="24"/>
            </w:rPr>
            <w:fldChar w:fldCharType="begin"/>
          </w:r>
          <w:r>
            <w:rPr>
              <w:b/>
              <w:sz w:val="24"/>
              <w:szCs w:val="24"/>
            </w:rPr>
            <w:instrText xml:space="preserve"> PAGEREF _Toc12029 \h </w:instrText>
          </w:r>
          <w:r>
            <w:rPr>
              <w:b/>
              <w:sz w:val="24"/>
              <w:szCs w:val="24"/>
            </w:rPr>
            <w:fldChar w:fldCharType="separate"/>
          </w:r>
          <w:r>
            <w:rPr>
              <w:b/>
              <w:sz w:val="24"/>
              <w:szCs w:val="24"/>
            </w:rPr>
            <w:t>6</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_Toc32093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（一）收入预算情况</w:t>
          </w:r>
          <w:r>
            <w:rPr>
              <w:sz w:val="24"/>
              <w:szCs w:val="24"/>
            </w:rPr>
            <w:tab/>
          </w:r>
          <w:r>
            <w:rPr>
              <w:sz w:val="24"/>
              <w:szCs w:val="24"/>
            </w:rPr>
            <w:fldChar w:fldCharType="begin"/>
          </w:r>
          <w:r>
            <w:rPr>
              <w:sz w:val="24"/>
              <w:szCs w:val="24"/>
            </w:rPr>
            <w:instrText xml:space="preserve"> PAGEREF _Toc32093 \h </w:instrText>
          </w:r>
          <w:r>
            <w:rPr>
              <w:sz w:val="24"/>
              <w:szCs w:val="24"/>
            </w:rPr>
            <w:fldChar w:fldCharType="separate"/>
          </w:r>
          <w:r>
            <w:rPr>
              <w:sz w:val="24"/>
              <w:szCs w:val="24"/>
            </w:rPr>
            <w:t>6</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_Toc13731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（二）支出预算情况</w:t>
          </w:r>
          <w:r>
            <w:rPr>
              <w:sz w:val="24"/>
              <w:szCs w:val="24"/>
            </w:rPr>
            <w:tab/>
          </w:r>
          <w:r>
            <w:rPr>
              <w:sz w:val="24"/>
              <w:szCs w:val="24"/>
            </w:rPr>
            <w:fldChar w:fldCharType="begin"/>
          </w:r>
          <w:r>
            <w:rPr>
              <w:sz w:val="24"/>
              <w:szCs w:val="24"/>
            </w:rPr>
            <w:instrText xml:space="preserve"> PAGEREF _Toc13731 \h </w:instrText>
          </w:r>
          <w:r>
            <w:rPr>
              <w:sz w:val="24"/>
              <w:szCs w:val="24"/>
            </w:rPr>
            <w:fldChar w:fldCharType="separate"/>
          </w:r>
          <w:r>
            <w:rPr>
              <w:sz w:val="24"/>
              <w:szCs w:val="24"/>
            </w:rPr>
            <w:t>6</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_Toc5647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四、财政拨款收支预算情况说明</w:t>
          </w:r>
          <w:r>
            <w:rPr>
              <w:b/>
              <w:sz w:val="24"/>
              <w:szCs w:val="24"/>
            </w:rPr>
            <w:tab/>
          </w:r>
          <w:r>
            <w:rPr>
              <w:b/>
              <w:sz w:val="24"/>
              <w:szCs w:val="24"/>
            </w:rPr>
            <w:fldChar w:fldCharType="begin"/>
          </w:r>
          <w:r>
            <w:rPr>
              <w:b/>
              <w:sz w:val="24"/>
              <w:szCs w:val="24"/>
            </w:rPr>
            <w:instrText xml:space="preserve"> PAGEREF _Toc5647 \h </w:instrText>
          </w:r>
          <w:r>
            <w:rPr>
              <w:b/>
              <w:sz w:val="24"/>
              <w:szCs w:val="24"/>
            </w:rPr>
            <w:fldChar w:fldCharType="separate"/>
          </w:r>
          <w:r>
            <w:rPr>
              <w:b/>
              <w:sz w:val="24"/>
              <w:szCs w:val="24"/>
            </w:rPr>
            <w:t>6</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_Toc16067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五、一般公共预算当年拨款情况说明</w:t>
          </w:r>
          <w:r>
            <w:rPr>
              <w:b/>
              <w:sz w:val="24"/>
              <w:szCs w:val="24"/>
            </w:rPr>
            <w:tab/>
          </w:r>
          <w:r>
            <w:rPr>
              <w:b/>
              <w:sz w:val="24"/>
              <w:szCs w:val="24"/>
            </w:rPr>
            <w:fldChar w:fldCharType="begin"/>
          </w:r>
          <w:r>
            <w:rPr>
              <w:b/>
              <w:sz w:val="24"/>
              <w:szCs w:val="24"/>
            </w:rPr>
            <w:instrText xml:space="preserve"> PAGEREF _Toc16067 \h </w:instrText>
          </w:r>
          <w:r>
            <w:rPr>
              <w:b/>
              <w:sz w:val="24"/>
              <w:szCs w:val="24"/>
            </w:rPr>
            <w:fldChar w:fldCharType="separate"/>
          </w:r>
          <w:r>
            <w:rPr>
              <w:b/>
              <w:sz w:val="24"/>
              <w:szCs w:val="24"/>
            </w:rPr>
            <w:t>7</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_Toc30130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（一）一般公共预算当年拨款规模变化情况</w:t>
          </w:r>
          <w:r>
            <w:rPr>
              <w:sz w:val="24"/>
              <w:szCs w:val="24"/>
            </w:rPr>
            <w:tab/>
          </w:r>
          <w:r>
            <w:rPr>
              <w:sz w:val="24"/>
              <w:szCs w:val="24"/>
            </w:rPr>
            <w:fldChar w:fldCharType="begin"/>
          </w:r>
          <w:r>
            <w:rPr>
              <w:sz w:val="24"/>
              <w:szCs w:val="24"/>
            </w:rPr>
            <w:instrText xml:space="preserve"> PAGEREF _Toc30130 \h </w:instrText>
          </w:r>
          <w:r>
            <w:rPr>
              <w:sz w:val="24"/>
              <w:szCs w:val="24"/>
            </w:rPr>
            <w:fldChar w:fldCharType="separate"/>
          </w:r>
          <w:r>
            <w:rPr>
              <w:sz w:val="24"/>
              <w:szCs w:val="24"/>
            </w:rPr>
            <w:t>7</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_Toc20722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（二）一般公共预算当年拨款结构情况</w:t>
          </w:r>
          <w:r>
            <w:rPr>
              <w:sz w:val="24"/>
              <w:szCs w:val="24"/>
            </w:rPr>
            <w:tab/>
          </w:r>
          <w:r>
            <w:rPr>
              <w:sz w:val="24"/>
              <w:szCs w:val="24"/>
            </w:rPr>
            <w:fldChar w:fldCharType="begin"/>
          </w:r>
          <w:r>
            <w:rPr>
              <w:sz w:val="24"/>
              <w:szCs w:val="24"/>
            </w:rPr>
            <w:instrText xml:space="preserve"> PAGEREF _Toc20722 \h </w:instrText>
          </w:r>
          <w:r>
            <w:rPr>
              <w:sz w:val="24"/>
              <w:szCs w:val="24"/>
            </w:rPr>
            <w:fldChar w:fldCharType="separate"/>
          </w:r>
          <w:r>
            <w:rPr>
              <w:sz w:val="24"/>
              <w:szCs w:val="24"/>
            </w:rPr>
            <w:t>7</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_Toc17782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（三）一般公共预算当年拨款具体使用情况</w:t>
          </w:r>
          <w:r>
            <w:rPr>
              <w:sz w:val="24"/>
              <w:szCs w:val="24"/>
            </w:rPr>
            <w:tab/>
          </w:r>
          <w:r>
            <w:rPr>
              <w:sz w:val="24"/>
              <w:szCs w:val="24"/>
            </w:rPr>
            <w:fldChar w:fldCharType="begin"/>
          </w:r>
          <w:r>
            <w:rPr>
              <w:sz w:val="24"/>
              <w:szCs w:val="24"/>
            </w:rPr>
            <w:instrText xml:space="preserve"> PAGEREF _Toc17782 \h </w:instrText>
          </w:r>
          <w:r>
            <w:rPr>
              <w:sz w:val="24"/>
              <w:szCs w:val="24"/>
            </w:rPr>
            <w:fldChar w:fldCharType="separate"/>
          </w:r>
          <w:r>
            <w:rPr>
              <w:sz w:val="24"/>
              <w:szCs w:val="24"/>
            </w:rPr>
            <w:t>7</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_Toc465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六、一般公共预算基本支出情况说明</w:t>
          </w:r>
          <w:r>
            <w:rPr>
              <w:b/>
              <w:sz w:val="24"/>
              <w:szCs w:val="24"/>
            </w:rPr>
            <w:tab/>
          </w:r>
          <w:r>
            <w:rPr>
              <w:b/>
              <w:sz w:val="24"/>
              <w:szCs w:val="24"/>
            </w:rPr>
            <w:fldChar w:fldCharType="begin"/>
          </w:r>
          <w:r>
            <w:rPr>
              <w:b/>
              <w:sz w:val="24"/>
              <w:szCs w:val="24"/>
            </w:rPr>
            <w:instrText xml:space="preserve"> PAGEREF _Toc465 \h </w:instrText>
          </w:r>
          <w:r>
            <w:rPr>
              <w:b/>
              <w:sz w:val="24"/>
              <w:szCs w:val="24"/>
            </w:rPr>
            <w:fldChar w:fldCharType="separate"/>
          </w:r>
          <w:r>
            <w:rPr>
              <w:b/>
              <w:sz w:val="24"/>
              <w:szCs w:val="24"/>
            </w:rPr>
            <w:t>8</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_Toc14589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七、“三公”经费财政拨款预算安排情况说明</w:t>
          </w:r>
          <w:r>
            <w:rPr>
              <w:b/>
              <w:sz w:val="24"/>
              <w:szCs w:val="24"/>
            </w:rPr>
            <w:tab/>
          </w:r>
          <w:r>
            <w:rPr>
              <w:b/>
              <w:sz w:val="24"/>
              <w:szCs w:val="24"/>
            </w:rPr>
            <w:fldChar w:fldCharType="begin"/>
          </w:r>
          <w:r>
            <w:rPr>
              <w:b/>
              <w:sz w:val="24"/>
              <w:szCs w:val="24"/>
            </w:rPr>
            <w:instrText xml:space="preserve"> PAGEREF _Toc14589 \h </w:instrText>
          </w:r>
          <w:r>
            <w:rPr>
              <w:b/>
              <w:sz w:val="24"/>
              <w:szCs w:val="24"/>
            </w:rPr>
            <w:fldChar w:fldCharType="separate"/>
          </w:r>
          <w:r>
            <w:rPr>
              <w:b/>
              <w:sz w:val="24"/>
              <w:szCs w:val="24"/>
            </w:rPr>
            <w:t>9</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_Toc24812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（一）公务接待费</w:t>
          </w:r>
          <w:r>
            <w:rPr>
              <w:sz w:val="24"/>
              <w:szCs w:val="24"/>
            </w:rPr>
            <w:tab/>
          </w:r>
          <w:r>
            <w:rPr>
              <w:sz w:val="24"/>
              <w:szCs w:val="24"/>
            </w:rPr>
            <w:fldChar w:fldCharType="begin"/>
          </w:r>
          <w:r>
            <w:rPr>
              <w:sz w:val="24"/>
              <w:szCs w:val="24"/>
            </w:rPr>
            <w:instrText xml:space="preserve"> PAGEREF _Toc24812 \h </w:instrText>
          </w:r>
          <w:r>
            <w:rPr>
              <w:sz w:val="24"/>
              <w:szCs w:val="24"/>
            </w:rPr>
            <w:fldChar w:fldCharType="separate"/>
          </w:r>
          <w:r>
            <w:rPr>
              <w:sz w:val="24"/>
              <w:szCs w:val="24"/>
            </w:rPr>
            <w:t>9</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_Toc2612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（二） 公务用车购置及运行维护费</w:t>
          </w:r>
          <w:r>
            <w:rPr>
              <w:sz w:val="24"/>
              <w:szCs w:val="24"/>
            </w:rPr>
            <w:tab/>
          </w:r>
          <w:r>
            <w:rPr>
              <w:sz w:val="24"/>
              <w:szCs w:val="24"/>
            </w:rPr>
            <w:fldChar w:fldCharType="begin"/>
          </w:r>
          <w:r>
            <w:rPr>
              <w:sz w:val="24"/>
              <w:szCs w:val="24"/>
            </w:rPr>
            <w:instrText xml:space="preserve"> PAGEREF _Toc2612 \h </w:instrText>
          </w:r>
          <w:r>
            <w:rPr>
              <w:sz w:val="24"/>
              <w:szCs w:val="24"/>
            </w:rPr>
            <w:fldChar w:fldCharType="separate"/>
          </w:r>
          <w:r>
            <w:rPr>
              <w:sz w:val="24"/>
              <w:szCs w:val="24"/>
            </w:rPr>
            <w:t>9</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_Toc20173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仿宋_GB2312" w:hAnsi="仿宋_GB2312" w:eastAsia="仿宋_GB2312" w:cs="仿宋_GB2312"/>
              <w:sz w:val="24"/>
              <w:szCs w:val="24"/>
              <w:lang w:val="en-US" w:eastAsia="zh-CN"/>
            </w:rPr>
            <w:t>（</w:t>
          </w:r>
          <w:r>
            <w:rPr>
              <w:rFonts w:hint="eastAsia" w:ascii="楷体_GB2312" w:hAnsi="楷体_GB2312" w:eastAsia="楷体_GB2312" w:cs="楷体_GB2312"/>
              <w:sz w:val="24"/>
              <w:szCs w:val="24"/>
              <w:lang w:val="en-US" w:eastAsia="zh-CN"/>
            </w:rPr>
            <w:t>三）因公出国（境）经费</w:t>
          </w:r>
          <w:r>
            <w:rPr>
              <w:sz w:val="24"/>
              <w:szCs w:val="24"/>
            </w:rPr>
            <w:tab/>
          </w:r>
          <w:r>
            <w:rPr>
              <w:sz w:val="24"/>
              <w:szCs w:val="24"/>
            </w:rPr>
            <w:fldChar w:fldCharType="begin"/>
          </w:r>
          <w:r>
            <w:rPr>
              <w:sz w:val="24"/>
              <w:szCs w:val="24"/>
            </w:rPr>
            <w:instrText xml:space="preserve"> PAGEREF _Toc20173 \h </w:instrText>
          </w:r>
          <w:r>
            <w:rPr>
              <w:sz w:val="24"/>
              <w:szCs w:val="24"/>
            </w:rPr>
            <w:fldChar w:fldCharType="separate"/>
          </w:r>
          <w:r>
            <w:rPr>
              <w:sz w:val="24"/>
              <w:szCs w:val="24"/>
            </w:rPr>
            <w:t>10</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_Toc5282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八、政府性基金预算支出情况说明</w:t>
          </w:r>
          <w:r>
            <w:rPr>
              <w:b/>
              <w:sz w:val="24"/>
              <w:szCs w:val="24"/>
            </w:rPr>
            <w:tab/>
          </w:r>
          <w:r>
            <w:rPr>
              <w:b/>
              <w:sz w:val="24"/>
              <w:szCs w:val="24"/>
            </w:rPr>
            <w:fldChar w:fldCharType="begin"/>
          </w:r>
          <w:r>
            <w:rPr>
              <w:b/>
              <w:sz w:val="24"/>
              <w:szCs w:val="24"/>
            </w:rPr>
            <w:instrText xml:space="preserve"> PAGEREF _Toc5282 \h </w:instrText>
          </w:r>
          <w:r>
            <w:rPr>
              <w:b/>
              <w:sz w:val="24"/>
              <w:szCs w:val="24"/>
            </w:rPr>
            <w:fldChar w:fldCharType="separate"/>
          </w:r>
          <w:r>
            <w:rPr>
              <w:b/>
              <w:sz w:val="24"/>
              <w:szCs w:val="24"/>
            </w:rPr>
            <w:t>10</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_Toc18806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九、国有资本经营预算支出情况说明</w:t>
          </w:r>
          <w:r>
            <w:rPr>
              <w:b/>
              <w:sz w:val="24"/>
              <w:szCs w:val="24"/>
            </w:rPr>
            <w:tab/>
          </w:r>
          <w:r>
            <w:rPr>
              <w:b/>
              <w:sz w:val="24"/>
              <w:szCs w:val="24"/>
            </w:rPr>
            <w:fldChar w:fldCharType="begin"/>
          </w:r>
          <w:r>
            <w:rPr>
              <w:b/>
              <w:sz w:val="24"/>
              <w:szCs w:val="24"/>
            </w:rPr>
            <w:instrText xml:space="preserve"> PAGEREF _Toc18806 \h </w:instrText>
          </w:r>
          <w:r>
            <w:rPr>
              <w:b/>
              <w:sz w:val="24"/>
              <w:szCs w:val="24"/>
            </w:rPr>
            <w:fldChar w:fldCharType="separate"/>
          </w:r>
          <w:r>
            <w:rPr>
              <w:b/>
              <w:sz w:val="24"/>
              <w:szCs w:val="24"/>
            </w:rPr>
            <w:t>10</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_Toc5229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十、其他重要事项的情况说明</w:t>
          </w:r>
          <w:r>
            <w:rPr>
              <w:b/>
              <w:sz w:val="24"/>
              <w:szCs w:val="24"/>
            </w:rPr>
            <w:tab/>
          </w:r>
          <w:r>
            <w:rPr>
              <w:b/>
              <w:sz w:val="24"/>
              <w:szCs w:val="24"/>
            </w:rPr>
            <w:fldChar w:fldCharType="begin"/>
          </w:r>
          <w:r>
            <w:rPr>
              <w:b/>
              <w:sz w:val="24"/>
              <w:szCs w:val="24"/>
            </w:rPr>
            <w:instrText xml:space="preserve"> PAGEREF _Toc5229 \h </w:instrText>
          </w:r>
          <w:r>
            <w:rPr>
              <w:b/>
              <w:sz w:val="24"/>
              <w:szCs w:val="24"/>
            </w:rPr>
            <w:fldChar w:fldCharType="separate"/>
          </w:r>
          <w:r>
            <w:rPr>
              <w:b/>
              <w:sz w:val="24"/>
              <w:szCs w:val="24"/>
            </w:rPr>
            <w:t>10</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_Toc16864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（一）机关运行经费</w:t>
          </w:r>
          <w:r>
            <w:rPr>
              <w:sz w:val="24"/>
              <w:szCs w:val="24"/>
            </w:rPr>
            <w:tab/>
          </w:r>
          <w:r>
            <w:rPr>
              <w:sz w:val="24"/>
              <w:szCs w:val="24"/>
            </w:rPr>
            <w:fldChar w:fldCharType="begin"/>
          </w:r>
          <w:r>
            <w:rPr>
              <w:sz w:val="24"/>
              <w:szCs w:val="24"/>
            </w:rPr>
            <w:instrText xml:space="preserve"> PAGEREF _Toc16864 \h </w:instrText>
          </w:r>
          <w:r>
            <w:rPr>
              <w:sz w:val="24"/>
              <w:szCs w:val="24"/>
            </w:rPr>
            <w:fldChar w:fldCharType="separate"/>
          </w:r>
          <w:r>
            <w:rPr>
              <w:sz w:val="24"/>
              <w:szCs w:val="24"/>
            </w:rPr>
            <w:t>10</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_Toc28274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（二）政府采购情况</w:t>
          </w:r>
          <w:r>
            <w:rPr>
              <w:sz w:val="24"/>
              <w:szCs w:val="24"/>
            </w:rPr>
            <w:tab/>
          </w:r>
          <w:r>
            <w:rPr>
              <w:sz w:val="24"/>
              <w:szCs w:val="24"/>
            </w:rPr>
            <w:fldChar w:fldCharType="begin"/>
          </w:r>
          <w:r>
            <w:rPr>
              <w:sz w:val="24"/>
              <w:szCs w:val="24"/>
            </w:rPr>
            <w:instrText xml:space="preserve"> PAGEREF _Toc28274 \h </w:instrText>
          </w:r>
          <w:r>
            <w:rPr>
              <w:sz w:val="24"/>
              <w:szCs w:val="24"/>
            </w:rPr>
            <w:fldChar w:fldCharType="separate"/>
          </w:r>
          <w:r>
            <w:rPr>
              <w:sz w:val="24"/>
              <w:szCs w:val="24"/>
            </w:rPr>
            <w:t>10</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_Toc27181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（三）国有资产占有使用情况</w:t>
          </w:r>
          <w:r>
            <w:rPr>
              <w:sz w:val="24"/>
              <w:szCs w:val="24"/>
            </w:rPr>
            <w:tab/>
          </w:r>
          <w:r>
            <w:rPr>
              <w:sz w:val="24"/>
              <w:szCs w:val="24"/>
            </w:rPr>
            <w:fldChar w:fldCharType="begin"/>
          </w:r>
          <w:r>
            <w:rPr>
              <w:sz w:val="24"/>
              <w:szCs w:val="24"/>
            </w:rPr>
            <w:instrText xml:space="preserve"> PAGEREF _Toc27181 \h </w:instrText>
          </w:r>
          <w:r>
            <w:rPr>
              <w:sz w:val="24"/>
              <w:szCs w:val="24"/>
            </w:rPr>
            <w:fldChar w:fldCharType="separate"/>
          </w:r>
          <w:r>
            <w:rPr>
              <w:sz w:val="24"/>
              <w:szCs w:val="24"/>
            </w:rPr>
            <w:t>11</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sz w:val="24"/>
              <w:szCs w:val="24"/>
            </w:rPr>
          </w:pP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instrText xml:space="preserve"> HYPERLINK \l _Toc21017 </w:instrText>
          </w:r>
          <w:r>
            <w:rPr>
              <w:rFonts w:hint="eastAsia" w:ascii="楷体_GB2312" w:hAnsi="楷体_GB2312" w:eastAsia="楷体_GB2312" w:cs="楷体_GB2312"/>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（四）绩效目标设置情况</w:t>
          </w:r>
          <w:r>
            <w:rPr>
              <w:sz w:val="24"/>
              <w:szCs w:val="24"/>
            </w:rPr>
            <w:tab/>
          </w:r>
          <w:r>
            <w:rPr>
              <w:sz w:val="24"/>
              <w:szCs w:val="24"/>
            </w:rPr>
            <w:fldChar w:fldCharType="begin"/>
          </w:r>
          <w:r>
            <w:rPr>
              <w:sz w:val="24"/>
              <w:szCs w:val="24"/>
            </w:rPr>
            <w:instrText xml:space="preserve"> PAGEREF _Toc21017 \h </w:instrText>
          </w:r>
          <w:r>
            <w:rPr>
              <w:sz w:val="24"/>
              <w:szCs w:val="24"/>
            </w:rPr>
            <w:fldChar w:fldCharType="separate"/>
          </w:r>
          <w:r>
            <w:rPr>
              <w:sz w:val="24"/>
              <w:szCs w:val="24"/>
            </w:rPr>
            <w:t>11</w:t>
          </w:r>
          <w:r>
            <w:rPr>
              <w:sz w:val="24"/>
              <w:szCs w:val="24"/>
            </w:rPr>
            <w:fldChar w:fldCharType="end"/>
          </w:r>
          <w:r>
            <w:rPr>
              <w:rFonts w:hint="eastAsia" w:ascii="楷体_GB2312" w:hAnsi="楷体_GB2312" w:eastAsia="楷体_GB2312" w:cs="楷体_GB2312"/>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sz w:val="24"/>
              <w:szCs w:val="2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instrText xml:space="preserve"> HYPERLINK \l _Toc10927 </w:instrText>
          </w:r>
          <w:r>
            <w:rPr>
              <w:rFonts w:hint="eastAsia" w:ascii="楷体_GB2312" w:hAnsi="楷体_GB2312" w:eastAsia="楷体_GB2312" w:cs="楷体_GB2312"/>
              <w:b/>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十一、名词解释</w:t>
          </w:r>
          <w:r>
            <w:rPr>
              <w:b/>
              <w:sz w:val="24"/>
              <w:szCs w:val="24"/>
            </w:rPr>
            <w:tab/>
          </w:r>
          <w:r>
            <w:rPr>
              <w:b/>
              <w:sz w:val="24"/>
              <w:szCs w:val="24"/>
            </w:rPr>
            <w:fldChar w:fldCharType="begin"/>
          </w:r>
          <w:r>
            <w:rPr>
              <w:b/>
              <w:sz w:val="24"/>
              <w:szCs w:val="24"/>
            </w:rPr>
            <w:instrText xml:space="preserve"> PAGEREF _Toc10927 \h </w:instrText>
          </w:r>
          <w:r>
            <w:rPr>
              <w:b/>
              <w:sz w:val="24"/>
              <w:szCs w:val="24"/>
            </w:rPr>
            <w:fldChar w:fldCharType="separate"/>
          </w:r>
          <w:r>
            <w:rPr>
              <w:b/>
              <w:sz w:val="24"/>
              <w:szCs w:val="24"/>
            </w:rPr>
            <w:t>11</w:t>
          </w:r>
          <w:r>
            <w:rPr>
              <w:b/>
              <w:sz w:val="24"/>
              <w:szCs w:val="24"/>
            </w:rPr>
            <w:fldChar w:fldCharType="end"/>
          </w: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keepNext w:val="0"/>
            <w:keepLines w:val="0"/>
            <w:pageBreakBefore w:val="0"/>
            <w:widowControl w:val="0"/>
            <w:shd w:val="clear"/>
            <w:kinsoku/>
            <w:wordWrap/>
            <w:overflowPunct/>
            <w:topLinePunct w:val="0"/>
            <w:autoSpaceDE/>
            <w:autoSpaceDN/>
            <w:bidi w:val="0"/>
            <w:adjustRightInd/>
            <w:spacing w:line="360" w:lineRule="auto"/>
            <w:jc w:val="both"/>
            <w:textAlignment w:val="auto"/>
            <w:rPr>
              <w:rFonts w:hint="eastAsia" w:ascii="方正小标宋_GBK" w:hAnsi="方正小标宋_GBK" w:eastAsia="方正小标宋_GBK" w:cs="方正小标宋_GBK"/>
              <w:color w:val="auto"/>
              <w:sz w:val="44"/>
              <w:szCs w:val="44"/>
            </w:rPr>
          </w:pPr>
          <w:r>
            <w:rPr>
              <w:rFonts w:hint="eastAsia" w:ascii="楷体_GB2312" w:hAnsi="楷体_GB2312" w:eastAsia="楷体_GB2312" w:cs="楷体_GB2312"/>
              <w:b/>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bookmarkStart w:id="2" w:name="_Toc9502"/>
        </w:p>
      </w:sdtContent>
    </w:sdt>
    <w:p>
      <w:pPr>
        <w:keepNext w:val="0"/>
        <w:keepLines w:val="0"/>
        <w:pageBreakBefore w:val="0"/>
        <w:widowControl w:val="0"/>
        <w:shd w:val="clear"/>
        <w:kinsoku/>
        <w:wordWrap/>
        <w:overflowPunct/>
        <w:topLinePunct w:val="0"/>
        <w:autoSpaceDE/>
        <w:autoSpaceDN/>
        <w:bidi w:val="0"/>
        <w:adjustRightInd/>
        <w:snapToGrid w:val="0"/>
        <w:spacing w:line="300" w:lineRule="auto"/>
        <w:jc w:val="center"/>
        <w:textAlignment w:val="auto"/>
        <w:outlineLvl w:val="0"/>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中共广元市委政法委员会</w:t>
      </w:r>
      <w:bookmarkEnd w:id="2"/>
    </w:p>
    <w:p>
      <w:pPr>
        <w:keepNext w:val="0"/>
        <w:keepLines w:val="0"/>
        <w:pageBreakBefore w:val="0"/>
        <w:widowControl w:val="0"/>
        <w:shd w:val="clear"/>
        <w:kinsoku/>
        <w:wordWrap/>
        <w:overflowPunct/>
        <w:topLinePunct w:val="0"/>
        <w:autoSpaceDE/>
        <w:autoSpaceDN/>
        <w:bidi w:val="0"/>
        <w:adjustRightInd/>
        <w:snapToGrid w:val="0"/>
        <w:spacing w:line="300" w:lineRule="auto"/>
        <w:jc w:val="center"/>
        <w:textAlignment w:val="auto"/>
        <w:rPr>
          <w:rFonts w:hint="eastAsia" w:ascii="方正小标宋_GBK" w:hAnsi="方正小标宋_GBK" w:eastAsia="方正小标宋_GBK" w:cs="方正小标宋_GBK"/>
          <w:color w:val="auto"/>
          <w:spacing w:val="34"/>
          <w:sz w:val="44"/>
          <w:szCs w:val="44"/>
        </w:rPr>
      </w:pPr>
      <w:r>
        <w:rPr>
          <w:rFonts w:hint="eastAsia" w:ascii="方正小标宋_GBK" w:hAnsi="方正小标宋_GBK" w:eastAsia="方正小标宋_GBK" w:cs="方正小标宋_GBK"/>
          <w:color w:val="auto"/>
          <w:spacing w:val="34"/>
          <w:sz w:val="44"/>
          <w:szCs w:val="44"/>
        </w:rPr>
        <w:t>202</w:t>
      </w:r>
      <w:r>
        <w:rPr>
          <w:rFonts w:hint="eastAsia" w:ascii="方正小标宋_GBK" w:hAnsi="方正小标宋_GBK" w:eastAsia="方正小标宋_GBK" w:cs="方正小标宋_GBK"/>
          <w:color w:val="auto"/>
          <w:spacing w:val="34"/>
          <w:sz w:val="44"/>
          <w:szCs w:val="44"/>
          <w:lang w:val="en-US" w:eastAsia="zh"/>
        </w:rPr>
        <w:t>4</w:t>
      </w:r>
      <w:r>
        <w:rPr>
          <w:rFonts w:hint="eastAsia" w:ascii="方正小标宋_GBK" w:hAnsi="方正小标宋_GBK" w:eastAsia="方正小标宋_GBK" w:cs="方正小标宋_GBK"/>
          <w:color w:val="auto"/>
          <w:spacing w:val="34"/>
          <w:sz w:val="44"/>
          <w:szCs w:val="44"/>
        </w:rPr>
        <w:t>年部门预算编制说明</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val="0"/>
        <w:spacing w:before="130" w:beforeAutospacing="0" w:after="0" w:afterAutospacing="0" w:line="348" w:lineRule="auto"/>
        <w:ind w:left="0" w:right="0" w:firstLine="560" w:firstLineChars="200"/>
        <w:jc w:val="both"/>
        <w:textAlignment w:val="auto"/>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rPr>
      </w:pPr>
      <w:bookmarkStart w:id="3" w:name="_Toc23471"/>
      <w:r>
        <w:rPr>
          <w:rFonts w:hint="eastAsia" w:ascii="黑体" w:hAnsi="黑体" w:eastAsia="黑体" w:cs="黑体"/>
          <w:sz w:val="32"/>
          <w:szCs w:val="32"/>
          <w:lang w:val="en-US" w:eastAsia="zh-CN"/>
        </w:rPr>
        <w:t>一、基本职能及主要工作</w:t>
      </w:r>
      <w:bookmarkEnd w:id="3"/>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rPr>
      </w:pPr>
      <w:bookmarkStart w:id="4" w:name="_Toc3177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
        </w:rPr>
        <w:t>市委政法委</w:t>
      </w:r>
      <w:r>
        <w:rPr>
          <w:rFonts w:hint="eastAsia" w:ascii="楷体_GB2312" w:hAnsi="楷体_GB2312" w:eastAsia="楷体_GB2312" w:cs="楷体_GB2312"/>
          <w:sz w:val="32"/>
          <w:szCs w:val="32"/>
        </w:rPr>
        <w:t>职能简介</w:t>
      </w:r>
      <w:bookmarkEnd w:id="4"/>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1．深入贯彻党的路线方针政策和决策部署，统一政法单位思想和行动，坚持党对政法工作的绝对领导，坚决维护党中央权威和集中统一领导。</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深入贯彻落实党中央决定和省委、市委决策，对政法工作研究提出全局性部署，推进平安广元、法治广元建设，加强过硬队伍建设，深化智能化建设，坚决维护国家政治安全、确保社会大局稳定、促进社会公平正义、保障人民安居乐业、护航经济社会发展。完善和落实政治督察、执法监督、纪律作风督查等工作制度机制。</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了解掌握和分析研判政法工作情况动态和全市社会稳定形势。创新完善多部门参与的综治维稳工作机制，构建矛盾纠纷多元化解体系和机制，协调推动预防、化解影响稳定的社会矛盾和风险，协调应对和处置重大突发事件，统筹推动全市维护稳定工作。</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4．加强对政法工作的督查，统筹协调维护政治安全、社会治安综合治理、维护社会稳定、反邪教有关法律法规政策的实施工作；指导全市政法单位网络安全和智能化建设工作。</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5．组织开展政法领域的调查研究，研究拟订全市政法工作的政策措施，及时向市委提出建议；参与有关法规、规章的起草、修改工作，及时提出立法建议。</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6．掌握分析政法舆情动态，指导协调政法单位媒体网络宣传工作，指导政法单位做好涉及政法工作的重大宣传和舆论引导工作。</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7．支持和监督政法单位依法行使职权，指导和协调政法单位密切配合，研究和协调重大、疑难案件，推进严格执法、公正司法。</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8．组织研究政法改革中带有方向性、倾向性和普遍性的重大问题，深化政法改革。</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9．指导推进政法系统党的建设和政法队伍建设，协同市级有关职能单位管理监督政法领导干部，代管广元市法学会。</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color w:val="auto"/>
          <w:sz w:val="32"/>
          <w:szCs w:val="32"/>
        </w:rPr>
        <w:t>10．完成市委交办的其他任务。</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rPr>
      </w:pPr>
      <w:bookmarkStart w:id="5" w:name="_Toc29566"/>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eastAsia="zh"/>
        </w:rPr>
        <w:t>市委政法委</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5"/>
    </w:p>
    <w:p>
      <w:pPr>
        <w:keepNext w:val="0"/>
        <w:keepLines w:val="0"/>
        <w:pageBreakBefore w:val="0"/>
        <w:widowControl w:val="0"/>
        <w:shd w:val="clear"/>
        <w:kinsoku/>
        <w:wordWrap/>
        <w:overflowPunct/>
        <w:topLinePunct w:val="0"/>
        <w:autoSpaceDE/>
        <w:autoSpaceDN/>
        <w:bidi w:val="0"/>
        <w:adjustRightInd/>
        <w:snapToGrid w:val="0"/>
        <w:spacing w:line="348" w:lineRule="auto"/>
        <w:ind w:firstLine="642" w:firstLineChars="200"/>
        <w:textAlignment w:val="auto"/>
        <w:rPr>
          <w:rFonts w:hint="eastAsia" w:ascii="仿宋_GB2312" w:hAnsi="仿宋_GB2312" w:eastAsia="仿宋_GB2312" w:cs="仿宋_GB2312"/>
          <w:b w:val="0"/>
          <w:bCs w:val="0"/>
          <w:color w:val="000000"/>
          <w:w w:val="100"/>
          <w:sz w:val="32"/>
          <w:szCs w:val="32"/>
          <w:lang w:val="en-US" w:eastAsia="zh-CN"/>
        </w:rPr>
      </w:pPr>
      <w:r>
        <w:rPr>
          <w:rFonts w:hint="eastAsia" w:ascii="仿宋_GB2312" w:hAnsi="仿宋_GB2312" w:eastAsia="仿宋_GB2312" w:cs="仿宋_GB2312"/>
          <w:b/>
          <w:bCs/>
          <w:color w:val="000000"/>
          <w:w w:val="100"/>
          <w:kern w:val="2"/>
          <w:sz w:val="32"/>
          <w:szCs w:val="32"/>
          <w:lang w:val="en-US" w:eastAsia="zh-CN" w:bidi="ar-SA"/>
        </w:rPr>
        <w:t>一是在加强党的绝对领导上见新行动。</w:t>
      </w:r>
      <w:r>
        <w:rPr>
          <w:rFonts w:hint="eastAsia" w:ascii="仿宋_GB2312" w:hAnsi="仿宋_GB2312" w:eastAsia="仿宋_GB2312" w:cs="仿宋_GB2312"/>
          <w:b w:val="0"/>
          <w:bCs w:val="0"/>
          <w:color w:val="000000"/>
          <w:w w:val="100"/>
          <w:kern w:val="2"/>
          <w:sz w:val="32"/>
          <w:szCs w:val="32"/>
          <w:lang w:val="en-US" w:eastAsia="zh-CN" w:bidi="ar-SA"/>
        </w:rPr>
        <w:t>重点抓好党的二十大、习近平总书记来川来广视察重要指示、习近平总书记对政法工作的重要指示和中央、省委政法工作会议精神以及《政法工作条例》的贯彻落实。</w:t>
      </w:r>
      <w:r>
        <w:rPr>
          <w:rFonts w:hint="eastAsia" w:ascii="仿宋_GB2312" w:hAnsi="仿宋_GB2312" w:eastAsia="仿宋_GB2312" w:cs="仿宋_GB2312"/>
          <w:b w:val="0"/>
          <w:bCs w:val="0"/>
          <w:color w:val="000000"/>
          <w:w w:val="100"/>
          <w:sz w:val="32"/>
          <w:szCs w:val="32"/>
          <w:u w:val="none"/>
          <w:lang w:val="en-US" w:eastAsia="zh-CN"/>
        </w:rPr>
        <w:t>加强与市纪委联动，</w:t>
      </w:r>
      <w:r>
        <w:rPr>
          <w:rFonts w:hint="eastAsia" w:ascii="仿宋_GB2312" w:hAnsi="仿宋_GB2312" w:eastAsia="仿宋_GB2312" w:cs="仿宋_GB2312"/>
          <w:b w:val="0"/>
          <w:bCs w:val="0"/>
          <w:color w:val="000000"/>
          <w:w w:val="100"/>
          <w:sz w:val="32"/>
          <w:szCs w:val="32"/>
          <w:lang w:val="en-US" w:eastAsia="zh-CN"/>
        </w:rPr>
        <w:t>强化政治巡察，落实好党对政法工作的绝对领导。</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2" w:firstLineChars="200"/>
        <w:textAlignment w:val="auto"/>
        <w:rPr>
          <w:rFonts w:hint="eastAsia" w:ascii="仿宋_GB2312" w:hAnsi="仿宋_GB2312" w:eastAsia="仿宋_GB2312" w:cs="仿宋_GB2312"/>
          <w:b w:val="0"/>
          <w:bCs w:val="0"/>
          <w:color w:val="000000"/>
          <w:w w:val="100"/>
          <w:kern w:val="2"/>
          <w:sz w:val="32"/>
          <w:szCs w:val="32"/>
          <w:lang w:val="en-US" w:eastAsia="zh-CN" w:bidi="ar-SA"/>
        </w:rPr>
      </w:pPr>
      <w:r>
        <w:rPr>
          <w:rFonts w:hint="eastAsia" w:ascii="仿宋_GB2312" w:hAnsi="仿宋_GB2312" w:eastAsia="仿宋_GB2312" w:cs="仿宋_GB2312"/>
          <w:b/>
          <w:bCs/>
          <w:color w:val="000000"/>
          <w:w w:val="100"/>
          <w:kern w:val="2"/>
          <w:sz w:val="32"/>
          <w:szCs w:val="32"/>
          <w:lang w:val="en-US" w:eastAsia="zh-CN" w:bidi="ar-SA"/>
        </w:rPr>
        <w:t>二是在维护安全稳定上见新担当。</w:t>
      </w:r>
      <w:r>
        <w:rPr>
          <w:rFonts w:hint="eastAsia" w:ascii="仿宋_GB2312" w:hAnsi="仿宋_GB2312" w:eastAsia="仿宋_GB2312" w:cs="仿宋_GB2312"/>
          <w:b w:val="0"/>
          <w:bCs w:val="0"/>
          <w:color w:val="000000"/>
          <w:w w:val="100"/>
          <w:kern w:val="2"/>
          <w:sz w:val="32"/>
          <w:szCs w:val="32"/>
          <w:lang w:val="en-US" w:eastAsia="zh-CN" w:bidi="ar-SA"/>
        </w:rPr>
        <w:t>重点抓好维护国家政治安全、优化制度建稳工作机制、常态化扫黑除恶等工作，特别是聚力完善矛盾纠纷“一地办”，</w:t>
      </w:r>
      <w:r>
        <w:rPr>
          <w:rFonts w:hint="eastAsia" w:ascii="仿宋_GB2312" w:hAnsi="仿宋_GB2312" w:eastAsia="仿宋_GB2312" w:cs="仿宋_GB2312"/>
          <w:b w:val="0"/>
          <w:bCs w:val="0"/>
          <w:color w:val="000000"/>
          <w:w w:val="100"/>
          <w:sz w:val="32"/>
          <w:szCs w:val="32"/>
          <w:lang w:val="en-US" w:eastAsia="zh-CN"/>
        </w:rPr>
        <w:t>全面完成县乡两级矛盾纠纷多元化解中心规范化建设</w:t>
      </w:r>
      <w:r>
        <w:rPr>
          <w:rFonts w:hint="eastAsia" w:ascii="仿宋_GB2312" w:hAnsi="仿宋_GB2312" w:eastAsia="仿宋_GB2312" w:cs="仿宋_GB2312"/>
          <w:b w:val="0"/>
          <w:bCs w:val="0"/>
          <w:color w:val="000000"/>
          <w:w w:val="100"/>
          <w:kern w:val="2"/>
          <w:sz w:val="32"/>
          <w:szCs w:val="32"/>
          <w:lang w:val="en-US" w:eastAsia="zh-CN" w:bidi="ar-SA"/>
        </w:rPr>
        <w:t>。</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2" w:firstLineChars="200"/>
        <w:textAlignment w:val="auto"/>
        <w:rPr>
          <w:rFonts w:hint="eastAsia" w:ascii="仿宋_GB2312" w:hAnsi="仿宋_GB2312" w:eastAsia="仿宋_GB2312" w:cs="仿宋_GB2312"/>
          <w:b w:val="0"/>
          <w:bCs w:val="0"/>
          <w:color w:val="000000"/>
          <w:w w:val="100"/>
          <w:kern w:val="2"/>
          <w:sz w:val="32"/>
          <w:szCs w:val="32"/>
          <w:lang w:val="en-US" w:eastAsia="zh-CN" w:bidi="ar-SA"/>
        </w:rPr>
      </w:pPr>
      <w:r>
        <w:rPr>
          <w:rFonts w:hint="eastAsia" w:ascii="仿宋_GB2312" w:hAnsi="仿宋_GB2312" w:eastAsia="仿宋_GB2312" w:cs="仿宋_GB2312"/>
          <w:b/>
          <w:bCs/>
          <w:color w:val="000000"/>
          <w:w w:val="100"/>
          <w:kern w:val="2"/>
          <w:sz w:val="32"/>
          <w:szCs w:val="32"/>
          <w:lang w:val="en-US" w:eastAsia="zh-CN" w:bidi="ar-SA"/>
        </w:rPr>
        <w:t>三是在“拼经济、比发展”上见新作为。</w:t>
      </w:r>
      <w:r>
        <w:rPr>
          <w:rFonts w:hint="eastAsia" w:ascii="仿宋_GB2312" w:hAnsi="仿宋_GB2312" w:eastAsia="仿宋_GB2312" w:cs="仿宋_GB2312"/>
          <w:b w:val="0"/>
          <w:bCs w:val="0"/>
          <w:color w:val="000000"/>
          <w:w w:val="100"/>
          <w:kern w:val="2"/>
          <w:sz w:val="32"/>
          <w:szCs w:val="32"/>
          <w:lang w:val="en-US" w:eastAsia="zh-CN" w:bidi="ar-SA"/>
        </w:rPr>
        <w:t>重点抓好打击经济领域突出违法犯罪、优化法治化营商环境、提升群众法治获得感等工作，特别是加强对《广元市政法系统服务保障“拼经济、比发展”二十条措施》的督促落实。</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2" w:firstLineChars="200"/>
        <w:textAlignment w:val="auto"/>
        <w:rPr>
          <w:rFonts w:hint="eastAsia" w:ascii="仿宋_GB2312" w:hAnsi="仿宋_GB2312" w:eastAsia="仿宋_GB2312" w:cs="仿宋_GB2312"/>
          <w:b w:val="0"/>
          <w:bCs w:val="0"/>
          <w:color w:val="000000"/>
          <w:w w:val="100"/>
          <w:sz w:val="32"/>
          <w:szCs w:val="32"/>
          <w:lang w:val="en-US" w:eastAsia="zh-CN"/>
        </w:rPr>
      </w:pPr>
      <w:r>
        <w:rPr>
          <w:rFonts w:hint="eastAsia" w:ascii="仿宋_GB2312" w:hAnsi="仿宋_GB2312" w:eastAsia="仿宋_GB2312" w:cs="仿宋_GB2312"/>
          <w:b/>
          <w:bCs/>
          <w:color w:val="000000"/>
          <w:w w:val="100"/>
          <w:kern w:val="2"/>
          <w:sz w:val="32"/>
          <w:szCs w:val="32"/>
          <w:lang w:val="en-US" w:eastAsia="zh-CN" w:bidi="ar-SA"/>
        </w:rPr>
        <w:t>四是在深化政法改革上见新突破。</w:t>
      </w:r>
      <w:r>
        <w:rPr>
          <w:rFonts w:hint="eastAsia" w:ascii="仿宋_GB2312" w:hAnsi="仿宋_GB2312" w:eastAsia="仿宋_GB2312" w:cs="仿宋_GB2312"/>
          <w:b w:val="0"/>
          <w:bCs w:val="0"/>
          <w:color w:val="000000"/>
          <w:w w:val="100"/>
          <w:kern w:val="2"/>
          <w:sz w:val="32"/>
          <w:szCs w:val="32"/>
          <w:lang w:val="en-US" w:eastAsia="zh-CN" w:bidi="ar-SA"/>
        </w:rPr>
        <w:t>重点抓好全面准确落实司法责任制、全面优化政法机构职能体系、全面推进政法智能化建设等工作，特别是</w:t>
      </w:r>
      <w:r>
        <w:rPr>
          <w:rFonts w:hint="eastAsia" w:ascii="仿宋_GB2312" w:hAnsi="仿宋_GB2312" w:eastAsia="仿宋_GB2312" w:cs="仿宋_GB2312"/>
          <w:b w:val="0"/>
          <w:bCs w:val="0"/>
          <w:color w:val="000000"/>
          <w:w w:val="100"/>
          <w:sz w:val="32"/>
          <w:szCs w:val="32"/>
          <w:lang w:val="en-US" w:eastAsia="zh-CN"/>
        </w:rPr>
        <w:t>抓好中办国办《关于坚持和发展新时代“枫桥经验”提升社会矛盾纠纷预防化解能力的意见》贯彻落实，全面推进信访工作法治化，积极开展涉法涉诉全流程治理，从机制上减少涉法涉诉案件的发生。</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w w:val="100"/>
          <w:kern w:val="2"/>
          <w:sz w:val="32"/>
          <w:szCs w:val="32"/>
          <w:lang w:val="en-US" w:eastAsia="zh-CN" w:bidi="ar-SA"/>
        </w:rPr>
        <w:t>五是在政法队伍建设上见新形象。</w:t>
      </w:r>
      <w:r>
        <w:rPr>
          <w:rFonts w:hint="eastAsia" w:ascii="仿宋_GB2312" w:hAnsi="仿宋_GB2312" w:eastAsia="仿宋_GB2312" w:cs="仿宋_GB2312"/>
          <w:b w:val="0"/>
          <w:bCs w:val="0"/>
          <w:color w:val="000000"/>
          <w:w w:val="100"/>
          <w:sz w:val="32"/>
          <w:szCs w:val="32"/>
          <w:lang w:val="en-US" w:eastAsia="zh-CN"/>
        </w:rPr>
        <w:t>重点抓好干部争先提能、从严正风肃纪反腐、健全保障机制等工作，特别是进一步提升政法干部风险防控能力，强化防范重大风险的系统性、前瞻性思维，不断巩固拓展政法队伍教育整顿成果。</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lang w:val="en-US" w:eastAsia="zh-CN"/>
        </w:rPr>
      </w:pPr>
      <w:bookmarkStart w:id="6" w:name="_Toc21425"/>
      <w:r>
        <w:rPr>
          <w:rFonts w:hint="eastAsia" w:ascii="黑体" w:hAnsi="黑体" w:eastAsia="黑体" w:cs="黑体"/>
          <w:sz w:val="32"/>
          <w:szCs w:val="32"/>
          <w:lang w:val="en-US" w:eastAsia="zh-CN"/>
        </w:rPr>
        <w:t>二、部门预算单位构成</w:t>
      </w:r>
      <w:bookmarkEnd w:id="6"/>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rPr>
        <w:t>市委政法委有行政单位1个，其他事业单位2个，主要包括：广元市综治中心及广元市法学会机关。下属二级单位未单独编报预算。</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rPr>
      </w:pPr>
      <w:bookmarkStart w:id="7" w:name="_Toc12029"/>
      <w:r>
        <w:rPr>
          <w:rFonts w:hint="eastAsia" w:ascii="黑体" w:hAnsi="黑体" w:eastAsia="黑体" w:cs="黑体"/>
          <w:sz w:val="32"/>
          <w:szCs w:val="32"/>
          <w:lang w:val="en-US" w:eastAsia="zh-CN"/>
        </w:rPr>
        <w:t>三、收支预算情况说明</w:t>
      </w:r>
      <w:bookmarkEnd w:id="7"/>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所有收入和支出均纳入部门预算管理。收入包括：一般公共预算拨款收入；支出包括：一般公共服务支出、社会保障和就业支出、卫生健康支出、住房保障支出。</w:t>
      </w: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2024年收支预算总数</w:t>
      </w:r>
      <w:r>
        <w:rPr>
          <w:rFonts w:hint="eastAsia" w:ascii="仿宋_GB2312" w:hAnsi="仿宋_GB2312" w:eastAsia="仿宋_GB2312" w:cs="仿宋_GB2312"/>
          <w:sz w:val="32"/>
          <w:szCs w:val="32"/>
          <w:lang w:val="en-US" w:eastAsia="zh"/>
        </w:rPr>
        <w:t>1329.47</w:t>
      </w:r>
      <w:r>
        <w:rPr>
          <w:rFonts w:hint="eastAsia" w:ascii="仿宋_GB2312" w:hAnsi="仿宋_GB2312" w:eastAsia="仿宋_GB2312" w:cs="仿宋_GB2312"/>
          <w:sz w:val="32"/>
          <w:szCs w:val="32"/>
          <w:lang w:val="en-US" w:eastAsia="zh-CN"/>
        </w:rPr>
        <w:t>万元，比2023年收支预算总数增加</w:t>
      </w:r>
      <w:r>
        <w:rPr>
          <w:rFonts w:hint="eastAsia" w:ascii="仿宋_GB2312" w:hAnsi="仿宋_GB2312" w:eastAsia="仿宋_GB2312" w:cs="仿宋_GB2312"/>
          <w:sz w:val="32"/>
          <w:szCs w:val="32"/>
          <w:lang w:val="en-US" w:eastAsia="zh"/>
        </w:rPr>
        <w:t>53.53</w:t>
      </w:r>
      <w:r>
        <w:rPr>
          <w:rFonts w:hint="eastAsia" w:ascii="仿宋_GB2312" w:hAnsi="仿宋_GB2312" w:eastAsia="仿宋_GB2312" w:cs="仿宋_GB2312"/>
          <w:sz w:val="32"/>
          <w:szCs w:val="32"/>
          <w:lang w:val="en-US" w:eastAsia="zh-CN"/>
        </w:rPr>
        <w:t>万元，主要原因是</w:t>
      </w:r>
      <w:r>
        <w:rPr>
          <w:rFonts w:hint="eastAsia" w:ascii="仿宋_GB2312" w:hAnsi="仿宋_GB2312" w:eastAsia="仿宋_GB2312" w:cs="仿宋_GB2312"/>
          <w:sz w:val="32"/>
          <w:szCs w:val="32"/>
          <w:lang w:val="en-US" w:eastAsia="zh"/>
        </w:rPr>
        <w:t>2024年</w:t>
      </w:r>
      <w:r>
        <w:rPr>
          <w:rFonts w:hint="eastAsia" w:ascii="仿宋_GB2312" w:hAnsi="仿宋_GB2312" w:eastAsia="仿宋_GB2312" w:cs="仿宋_GB2312"/>
          <w:sz w:val="32"/>
          <w:szCs w:val="32"/>
          <w:lang w:val="en-US" w:eastAsia="zh-CN"/>
        </w:rPr>
        <w:t>维护社会稳定工作</w:t>
      </w:r>
      <w:r>
        <w:rPr>
          <w:rFonts w:hint="eastAsia" w:ascii="仿宋_GB2312" w:hAnsi="仿宋_GB2312" w:eastAsia="仿宋_GB2312" w:cs="仿宋_GB2312"/>
          <w:sz w:val="32"/>
          <w:szCs w:val="32"/>
          <w:lang w:val="en-US" w:eastAsia="zh"/>
        </w:rPr>
        <w:t>、矛盾纠纷多元化解及政法舆论宣传工作等待下预算</w:t>
      </w:r>
      <w:r>
        <w:rPr>
          <w:rFonts w:hint="eastAsia" w:ascii="仿宋_GB2312" w:hAnsi="仿宋_GB2312" w:eastAsia="仿宋_GB2312" w:cs="仿宋_GB2312"/>
          <w:sz w:val="32"/>
          <w:szCs w:val="32"/>
          <w:lang w:val="en-US" w:eastAsia="zh-CN"/>
        </w:rPr>
        <w:t>纳入</w:t>
      </w:r>
      <w:r>
        <w:rPr>
          <w:rFonts w:hint="eastAsia" w:ascii="仿宋_GB2312" w:hAnsi="仿宋_GB2312" w:eastAsia="仿宋_GB2312" w:cs="仿宋_GB2312"/>
          <w:sz w:val="32"/>
          <w:szCs w:val="32"/>
          <w:lang w:val="en-US" w:eastAsia="zh"/>
        </w:rPr>
        <w:t>年初预算下达，增加了项目经费</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32093"/>
      <w:r>
        <w:rPr>
          <w:rFonts w:hint="eastAsia" w:ascii="楷体_GB2312" w:hAnsi="楷体_GB2312" w:eastAsia="楷体_GB2312" w:cs="楷体_GB2312"/>
          <w:sz w:val="32"/>
          <w:szCs w:val="32"/>
          <w:lang w:val="en-US" w:eastAsia="zh-CN"/>
        </w:rPr>
        <w:t>（一）收入预算情况</w:t>
      </w:r>
      <w:bookmarkEnd w:id="8"/>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2024年收入预算</w:t>
      </w:r>
      <w:r>
        <w:rPr>
          <w:rFonts w:hint="eastAsia" w:ascii="仿宋_GB2312" w:hAnsi="仿宋_GB2312" w:eastAsia="仿宋_GB2312" w:cs="仿宋_GB2312"/>
          <w:sz w:val="32"/>
          <w:szCs w:val="32"/>
          <w:lang w:val="en-US" w:eastAsia="zh"/>
        </w:rPr>
        <w:t>1329.47</w:t>
      </w:r>
      <w:r>
        <w:rPr>
          <w:rFonts w:hint="eastAsia" w:ascii="仿宋_GB2312" w:hAnsi="仿宋_GB2312" w:eastAsia="仿宋_GB2312" w:cs="仿宋_GB2312"/>
          <w:sz w:val="32"/>
          <w:szCs w:val="32"/>
          <w:lang w:val="en-US" w:eastAsia="zh-CN"/>
        </w:rPr>
        <w:t>万元，其中：一般公共预算拨款收入</w:t>
      </w:r>
      <w:r>
        <w:rPr>
          <w:rFonts w:hint="eastAsia" w:ascii="仿宋_GB2312" w:hAnsi="仿宋_GB2312" w:eastAsia="仿宋_GB2312" w:cs="仿宋_GB2312"/>
          <w:sz w:val="32"/>
          <w:szCs w:val="32"/>
          <w:lang w:val="en-US" w:eastAsia="zh"/>
        </w:rPr>
        <w:t>1329.47</w:t>
      </w:r>
      <w:r>
        <w:rPr>
          <w:rFonts w:hint="eastAsia" w:ascii="仿宋_GB2312" w:hAnsi="仿宋_GB2312" w:eastAsia="仿宋_GB2312" w:cs="仿宋_GB2312"/>
          <w:sz w:val="32"/>
          <w:szCs w:val="32"/>
          <w:lang w:val="en-US" w:eastAsia="zh-CN"/>
        </w:rPr>
        <w:t>万元，占</w:t>
      </w:r>
      <w:r>
        <w:rPr>
          <w:rFonts w:hint="eastAsia" w:ascii="仿宋_GB2312" w:hAnsi="仿宋_GB2312" w:eastAsia="仿宋_GB2312" w:cs="仿宋_GB2312"/>
          <w:sz w:val="32"/>
          <w:szCs w:val="32"/>
          <w:lang w:val="en-US" w:eastAsia="zh"/>
        </w:rPr>
        <w:t>100</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3731"/>
      <w:r>
        <w:rPr>
          <w:rFonts w:hint="eastAsia" w:ascii="楷体_GB2312" w:hAnsi="楷体_GB2312" w:eastAsia="楷体_GB2312" w:cs="楷体_GB2312"/>
          <w:sz w:val="32"/>
          <w:szCs w:val="32"/>
          <w:lang w:val="en-US" w:eastAsia="zh-CN"/>
        </w:rPr>
        <w:t>（二）支出预算情况</w:t>
      </w:r>
      <w:bookmarkEnd w:id="9"/>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2024年支出预算</w:t>
      </w:r>
      <w:r>
        <w:rPr>
          <w:rFonts w:hint="eastAsia" w:ascii="仿宋_GB2312" w:hAnsi="仿宋_GB2312" w:eastAsia="仿宋_GB2312" w:cs="仿宋_GB2312"/>
          <w:sz w:val="32"/>
          <w:szCs w:val="32"/>
          <w:lang w:val="en-US" w:eastAsia="zh"/>
        </w:rPr>
        <w:t>1329.47</w:t>
      </w:r>
      <w:r>
        <w:rPr>
          <w:rFonts w:hint="eastAsia" w:ascii="仿宋_GB2312" w:hAnsi="仿宋_GB2312" w:eastAsia="仿宋_GB2312" w:cs="仿宋_GB2312"/>
          <w:sz w:val="32"/>
          <w:szCs w:val="32"/>
          <w:lang w:val="en-US" w:eastAsia="zh-CN"/>
        </w:rPr>
        <w:t>万元，其中：基本支出</w:t>
      </w:r>
      <w:r>
        <w:rPr>
          <w:rFonts w:hint="eastAsia" w:ascii="仿宋_GB2312" w:hAnsi="仿宋_GB2312" w:eastAsia="仿宋_GB2312" w:cs="仿宋_GB2312"/>
          <w:sz w:val="32"/>
          <w:szCs w:val="32"/>
          <w:lang w:val="en-US" w:eastAsia="zh"/>
        </w:rPr>
        <w:t>1085.96</w:t>
      </w:r>
      <w:r>
        <w:rPr>
          <w:rFonts w:hint="eastAsia" w:ascii="仿宋_GB2312" w:hAnsi="仿宋_GB2312" w:eastAsia="仿宋_GB2312" w:cs="仿宋_GB2312"/>
          <w:sz w:val="32"/>
          <w:szCs w:val="32"/>
          <w:lang w:val="en-US" w:eastAsia="zh-CN"/>
        </w:rPr>
        <w:t>万元，占</w:t>
      </w:r>
      <w:r>
        <w:rPr>
          <w:rFonts w:hint="eastAsia" w:ascii="仿宋_GB2312" w:hAnsi="仿宋_GB2312" w:eastAsia="仿宋_GB2312" w:cs="仿宋_GB2312"/>
          <w:sz w:val="32"/>
          <w:szCs w:val="32"/>
          <w:lang w:val="en-US" w:eastAsia="zh"/>
        </w:rPr>
        <w:t>81.68</w:t>
      </w:r>
      <w:r>
        <w:rPr>
          <w:rFonts w:hint="eastAsia" w:ascii="仿宋_GB2312" w:hAnsi="仿宋_GB2312" w:eastAsia="仿宋_GB2312" w:cs="仿宋_GB2312"/>
          <w:sz w:val="32"/>
          <w:szCs w:val="32"/>
          <w:lang w:val="en-US" w:eastAsia="zh-CN"/>
        </w:rPr>
        <w:t>%；项目支出</w:t>
      </w:r>
      <w:r>
        <w:rPr>
          <w:rFonts w:hint="eastAsia" w:ascii="仿宋_GB2312" w:hAnsi="仿宋_GB2312" w:eastAsia="仿宋_GB2312" w:cs="仿宋_GB2312"/>
          <w:sz w:val="32"/>
          <w:szCs w:val="32"/>
          <w:lang w:val="en-US" w:eastAsia="zh"/>
        </w:rPr>
        <w:t>243.51</w:t>
      </w:r>
      <w:r>
        <w:rPr>
          <w:rFonts w:hint="eastAsia" w:ascii="仿宋_GB2312" w:hAnsi="仿宋_GB2312" w:eastAsia="仿宋_GB2312" w:cs="仿宋_GB2312"/>
          <w:sz w:val="32"/>
          <w:szCs w:val="32"/>
          <w:lang w:val="en-US" w:eastAsia="zh-CN"/>
        </w:rPr>
        <w:t>万元，占</w:t>
      </w:r>
      <w:r>
        <w:rPr>
          <w:rFonts w:hint="eastAsia" w:ascii="仿宋_GB2312" w:hAnsi="仿宋_GB2312" w:eastAsia="仿宋_GB2312" w:cs="仿宋_GB2312"/>
          <w:sz w:val="32"/>
          <w:szCs w:val="32"/>
          <w:lang w:val="en-US" w:eastAsia="zh"/>
        </w:rPr>
        <w:t>18.32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rPr>
      </w:pPr>
      <w:bookmarkStart w:id="10" w:name="_Toc5647"/>
      <w:r>
        <w:rPr>
          <w:rFonts w:hint="eastAsia" w:ascii="黑体" w:hAnsi="黑体" w:eastAsia="黑体" w:cs="黑体"/>
          <w:sz w:val="32"/>
          <w:szCs w:val="32"/>
          <w:lang w:val="en-US" w:eastAsia="zh-CN"/>
        </w:rPr>
        <w:t>四、财政拨款收支预算情况说明</w:t>
      </w:r>
      <w:bookmarkEnd w:id="10"/>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2024年财政拨款收支预算总数</w:t>
      </w:r>
      <w:r>
        <w:rPr>
          <w:rFonts w:hint="eastAsia" w:ascii="仿宋_GB2312" w:hAnsi="仿宋_GB2312" w:eastAsia="仿宋_GB2312" w:cs="仿宋_GB2312"/>
          <w:sz w:val="32"/>
          <w:szCs w:val="32"/>
          <w:lang w:val="en-US" w:eastAsia="zh"/>
        </w:rPr>
        <w:t>1329.47</w:t>
      </w:r>
      <w:r>
        <w:rPr>
          <w:rFonts w:hint="eastAsia" w:ascii="仿宋_GB2312" w:hAnsi="仿宋_GB2312" w:eastAsia="仿宋_GB2312" w:cs="仿宋_GB2312"/>
          <w:sz w:val="32"/>
          <w:szCs w:val="32"/>
          <w:lang w:val="en-US" w:eastAsia="zh-CN"/>
        </w:rPr>
        <w:t>万元，比2023年财政拨款收支预算总数增加</w:t>
      </w:r>
      <w:r>
        <w:rPr>
          <w:rFonts w:hint="eastAsia" w:ascii="仿宋_GB2312" w:hAnsi="仿宋_GB2312" w:eastAsia="仿宋_GB2312" w:cs="仿宋_GB2312"/>
          <w:sz w:val="32"/>
          <w:szCs w:val="32"/>
          <w:lang w:val="en-US" w:eastAsia="zh"/>
        </w:rPr>
        <w:t>53.53</w:t>
      </w:r>
      <w:r>
        <w:rPr>
          <w:rFonts w:hint="eastAsia" w:ascii="仿宋_GB2312" w:hAnsi="仿宋_GB2312" w:eastAsia="仿宋_GB2312" w:cs="仿宋_GB2312"/>
          <w:sz w:val="32"/>
          <w:szCs w:val="32"/>
          <w:lang w:val="en-US" w:eastAsia="zh-CN"/>
        </w:rPr>
        <w:t>万元，主要原因是</w:t>
      </w:r>
      <w:r>
        <w:rPr>
          <w:rFonts w:hint="eastAsia" w:ascii="仿宋_GB2312" w:hAnsi="仿宋_GB2312" w:eastAsia="仿宋_GB2312" w:cs="仿宋_GB2312"/>
          <w:sz w:val="32"/>
          <w:szCs w:val="32"/>
          <w:lang w:val="en-US" w:eastAsia="zh"/>
        </w:rPr>
        <w:t>2024年</w:t>
      </w:r>
      <w:r>
        <w:rPr>
          <w:rFonts w:hint="eastAsia" w:ascii="仿宋_GB2312" w:hAnsi="仿宋_GB2312" w:eastAsia="仿宋_GB2312" w:cs="仿宋_GB2312"/>
          <w:sz w:val="32"/>
          <w:szCs w:val="32"/>
          <w:lang w:val="en-US" w:eastAsia="zh-CN"/>
        </w:rPr>
        <w:t>维护社会稳定工作</w:t>
      </w:r>
      <w:r>
        <w:rPr>
          <w:rFonts w:hint="eastAsia" w:ascii="仿宋_GB2312" w:hAnsi="仿宋_GB2312" w:eastAsia="仿宋_GB2312" w:cs="仿宋_GB2312"/>
          <w:sz w:val="32"/>
          <w:szCs w:val="32"/>
          <w:lang w:val="en-US" w:eastAsia="zh"/>
        </w:rPr>
        <w:t>、矛盾纠纷多元化解及政法舆论宣传工作等待下预算</w:t>
      </w:r>
      <w:r>
        <w:rPr>
          <w:rFonts w:hint="eastAsia" w:ascii="仿宋_GB2312" w:hAnsi="仿宋_GB2312" w:eastAsia="仿宋_GB2312" w:cs="仿宋_GB2312"/>
          <w:sz w:val="32"/>
          <w:szCs w:val="32"/>
          <w:lang w:val="en-US" w:eastAsia="zh-CN"/>
        </w:rPr>
        <w:t>纳入</w:t>
      </w:r>
      <w:r>
        <w:rPr>
          <w:rFonts w:hint="eastAsia" w:ascii="仿宋_GB2312" w:hAnsi="仿宋_GB2312" w:eastAsia="仿宋_GB2312" w:cs="仿宋_GB2312"/>
          <w:sz w:val="32"/>
          <w:szCs w:val="32"/>
          <w:lang w:val="en-US" w:eastAsia="zh"/>
        </w:rPr>
        <w:t>年初预算下达，增加了项目经费</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w:t>
      </w:r>
      <w:r>
        <w:rPr>
          <w:rFonts w:hint="eastAsia" w:ascii="仿宋_GB2312" w:hAnsi="仿宋_GB2312" w:eastAsia="仿宋_GB2312" w:cs="仿宋_GB2312"/>
          <w:sz w:val="32"/>
          <w:szCs w:val="32"/>
          <w:lang w:val="en-US" w:eastAsia="zh"/>
        </w:rPr>
        <w:t>1329.47</w:t>
      </w:r>
      <w:r>
        <w:rPr>
          <w:rFonts w:hint="eastAsia" w:ascii="仿宋_GB2312" w:hAnsi="仿宋_GB2312" w:eastAsia="仿宋_GB2312" w:cs="仿宋_GB2312"/>
          <w:sz w:val="32"/>
          <w:szCs w:val="32"/>
          <w:lang w:val="en-US" w:eastAsia="zh-CN"/>
        </w:rPr>
        <w:t>万元；支出包括：一般公共服务支出</w:t>
      </w:r>
      <w:r>
        <w:rPr>
          <w:rFonts w:hint="eastAsia" w:ascii="仿宋_GB2312" w:hAnsi="仿宋_GB2312" w:eastAsia="仿宋_GB2312" w:cs="仿宋_GB2312"/>
          <w:sz w:val="32"/>
          <w:szCs w:val="32"/>
          <w:lang w:val="en-US" w:eastAsia="zh"/>
        </w:rPr>
        <w:t>1116.06</w:t>
      </w:r>
      <w:r>
        <w:rPr>
          <w:rFonts w:hint="eastAsia" w:ascii="仿宋_GB2312" w:hAnsi="仿宋_GB2312" w:eastAsia="仿宋_GB2312" w:cs="仿宋_GB2312"/>
          <w:sz w:val="32"/>
          <w:szCs w:val="32"/>
          <w:lang w:val="en-US" w:eastAsia="zh-CN"/>
        </w:rPr>
        <w:t>万元、社会保障和就业支出</w:t>
      </w:r>
      <w:r>
        <w:rPr>
          <w:rFonts w:hint="eastAsia" w:ascii="仿宋_GB2312" w:hAnsi="仿宋_GB2312" w:eastAsia="仿宋_GB2312" w:cs="仿宋_GB2312"/>
          <w:sz w:val="32"/>
          <w:szCs w:val="32"/>
          <w:lang w:val="en-US" w:eastAsia="zh"/>
        </w:rPr>
        <w:t>97.03</w:t>
      </w:r>
      <w:r>
        <w:rPr>
          <w:rFonts w:hint="eastAsia" w:ascii="仿宋_GB2312" w:hAnsi="仿宋_GB2312" w:eastAsia="仿宋_GB2312" w:cs="仿宋_GB2312"/>
          <w:sz w:val="32"/>
          <w:szCs w:val="32"/>
          <w:lang w:val="en-US" w:eastAsia="zh-CN"/>
        </w:rPr>
        <w:t>万元、卫生健康支出</w:t>
      </w:r>
      <w:r>
        <w:rPr>
          <w:rFonts w:hint="eastAsia" w:ascii="仿宋_GB2312" w:hAnsi="仿宋_GB2312" w:eastAsia="仿宋_GB2312" w:cs="仿宋_GB2312"/>
          <w:sz w:val="32"/>
          <w:szCs w:val="32"/>
          <w:lang w:val="en-US" w:eastAsia="zh"/>
        </w:rPr>
        <w:t>31.11</w:t>
      </w:r>
      <w:r>
        <w:rPr>
          <w:rFonts w:hint="eastAsia" w:ascii="仿宋_GB2312" w:hAnsi="仿宋_GB2312" w:eastAsia="仿宋_GB2312" w:cs="仿宋_GB2312"/>
          <w:sz w:val="32"/>
          <w:szCs w:val="32"/>
          <w:lang w:val="en-US" w:eastAsia="zh-CN"/>
        </w:rPr>
        <w:t>万元、住房保障支出</w:t>
      </w:r>
      <w:r>
        <w:rPr>
          <w:rFonts w:hint="eastAsia" w:ascii="仿宋_GB2312" w:hAnsi="仿宋_GB2312" w:eastAsia="仿宋_GB2312" w:cs="仿宋_GB2312"/>
          <w:sz w:val="32"/>
          <w:szCs w:val="32"/>
          <w:lang w:val="en-US" w:eastAsia="zh"/>
        </w:rPr>
        <w:t>85.27</w:t>
      </w:r>
      <w:r>
        <w:rPr>
          <w:rFonts w:hint="eastAsia" w:ascii="仿宋_GB2312" w:hAnsi="仿宋_GB2312" w:eastAsia="仿宋_GB2312" w:cs="仿宋_GB2312"/>
          <w:sz w:val="32"/>
          <w:szCs w:val="32"/>
          <w:lang w:val="en-US" w:eastAsia="zh-CN"/>
        </w:rPr>
        <w:t>万元。</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lang w:val="en-US" w:eastAsia="zh-CN"/>
        </w:rPr>
      </w:pPr>
      <w:bookmarkStart w:id="11" w:name="_Toc16067"/>
      <w:r>
        <w:rPr>
          <w:rFonts w:hint="eastAsia" w:ascii="黑体" w:hAnsi="黑体" w:eastAsia="黑体" w:cs="黑体"/>
          <w:sz w:val="32"/>
          <w:szCs w:val="32"/>
          <w:lang w:val="en-US" w:eastAsia="zh-CN"/>
        </w:rPr>
        <w:t>五、一般公共预算当年拨款情况说明</w:t>
      </w:r>
      <w:bookmarkEnd w:id="11"/>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30130"/>
      <w:r>
        <w:rPr>
          <w:rFonts w:hint="eastAsia" w:ascii="楷体_GB2312" w:hAnsi="楷体_GB2312" w:eastAsia="楷体_GB2312" w:cs="楷体_GB2312"/>
          <w:sz w:val="32"/>
          <w:szCs w:val="32"/>
          <w:lang w:val="en-US" w:eastAsia="zh-CN"/>
        </w:rPr>
        <w:t>（一）一般公共预算当年拨款规模变化情况</w:t>
      </w:r>
      <w:bookmarkEnd w:id="12"/>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2024年一般公共预算当年拨款</w:t>
      </w:r>
      <w:r>
        <w:rPr>
          <w:rFonts w:hint="eastAsia" w:ascii="仿宋_GB2312" w:hAnsi="仿宋_GB2312" w:eastAsia="仿宋_GB2312" w:cs="仿宋_GB2312"/>
          <w:sz w:val="32"/>
          <w:szCs w:val="32"/>
          <w:lang w:val="en-US" w:eastAsia="zh"/>
        </w:rPr>
        <w:t>1329.47</w:t>
      </w:r>
      <w:r>
        <w:rPr>
          <w:rFonts w:hint="eastAsia" w:ascii="仿宋_GB2312" w:hAnsi="仿宋_GB2312" w:eastAsia="仿宋_GB2312" w:cs="仿宋_GB2312"/>
          <w:sz w:val="32"/>
          <w:szCs w:val="32"/>
          <w:lang w:val="en-US" w:eastAsia="zh-CN"/>
        </w:rPr>
        <w:t>万元，比2023年预算数增加</w:t>
      </w:r>
      <w:r>
        <w:rPr>
          <w:rFonts w:hint="eastAsia" w:ascii="仿宋_GB2312" w:hAnsi="仿宋_GB2312" w:eastAsia="仿宋_GB2312" w:cs="仿宋_GB2312"/>
          <w:sz w:val="32"/>
          <w:szCs w:val="32"/>
          <w:lang w:val="en-US" w:eastAsia="zh"/>
        </w:rPr>
        <w:t>53.53</w:t>
      </w:r>
      <w:r>
        <w:rPr>
          <w:rFonts w:hint="eastAsia" w:ascii="仿宋_GB2312" w:hAnsi="仿宋_GB2312" w:eastAsia="仿宋_GB2312" w:cs="仿宋_GB2312"/>
          <w:sz w:val="32"/>
          <w:szCs w:val="32"/>
          <w:lang w:val="en-US" w:eastAsia="zh-CN"/>
        </w:rPr>
        <w:t>万元，主要原因是</w:t>
      </w:r>
      <w:r>
        <w:rPr>
          <w:rFonts w:hint="eastAsia" w:ascii="仿宋_GB2312" w:hAnsi="仿宋_GB2312" w:eastAsia="仿宋_GB2312" w:cs="仿宋_GB2312"/>
          <w:sz w:val="32"/>
          <w:szCs w:val="32"/>
          <w:lang w:val="en-US" w:eastAsia="zh"/>
        </w:rPr>
        <w:t>2024年</w:t>
      </w:r>
      <w:r>
        <w:rPr>
          <w:rFonts w:hint="eastAsia" w:ascii="仿宋_GB2312" w:hAnsi="仿宋_GB2312" w:eastAsia="仿宋_GB2312" w:cs="仿宋_GB2312"/>
          <w:sz w:val="32"/>
          <w:szCs w:val="32"/>
          <w:lang w:val="en-US" w:eastAsia="zh-CN"/>
        </w:rPr>
        <w:t>维护社会稳定工作</w:t>
      </w:r>
      <w:r>
        <w:rPr>
          <w:rFonts w:hint="eastAsia" w:ascii="仿宋_GB2312" w:hAnsi="仿宋_GB2312" w:eastAsia="仿宋_GB2312" w:cs="仿宋_GB2312"/>
          <w:sz w:val="32"/>
          <w:szCs w:val="32"/>
          <w:lang w:val="en-US" w:eastAsia="zh"/>
        </w:rPr>
        <w:t>、矛盾纠纷多元化解及政法舆论宣传工作等待下预算</w:t>
      </w:r>
      <w:r>
        <w:rPr>
          <w:rFonts w:hint="eastAsia" w:ascii="仿宋_GB2312" w:hAnsi="仿宋_GB2312" w:eastAsia="仿宋_GB2312" w:cs="仿宋_GB2312"/>
          <w:sz w:val="32"/>
          <w:szCs w:val="32"/>
          <w:lang w:val="en-US" w:eastAsia="zh-CN"/>
        </w:rPr>
        <w:t>纳入</w:t>
      </w:r>
      <w:r>
        <w:rPr>
          <w:rFonts w:hint="eastAsia" w:ascii="仿宋_GB2312" w:hAnsi="仿宋_GB2312" w:eastAsia="仿宋_GB2312" w:cs="仿宋_GB2312"/>
          <w:sz w:val="32"/>
          <w:szCs w:val="32"/>
          <w:lang w:val="en-US" w:eastAsia="zh"/>
        </w:rPr>
        <w:t>年初预算下达，增加了项目经费</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20722"/>
      <w:r>
        <w:rPr>
          <w:rFonts w:hint="eastAsia" w:ascii="楷体_GB2312" w:hAnsi="楷体_GB2312" w:eastAsia="楷体_GB2312" w:cs="楷体_GB2312"/>
          <w:sz w:val="32"/>
          <w:szCs w:val="32"/>
          <w:lang w:val="en-US" w:eastAsia="zh-CN"/>
        </w:rPr>
        <w:t>（二）一般公共预算当年拨款结构情况</w:t>
      </w:r>
      <w:bookmarkEnd w:id="13"/>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w:t>
      </w:r>
      <w:r>
        <w:rPr>
          <w:rFonts w:hint="eastAsia" w:ascii="仿宋_GB2312" w:hAnsi="仿宋_GB2312" w:eastAsia="仿宋_GB2312" w:cs="仿宋_GB2312"/>
          <w:sz w:val="32"/>
          <w:szCs w:val="32"/>
          <w:lang w:val="en-US" w:eastAsia="zh"/>
        </w:rPr>
        <w:t>1116.06</w:t>
      </w:r>
      <w:r>
        <w:rPr>
          <w:rFonts w:hint="eastAsia" w:ascii="仿宋_GB2312" w:hAnsi="仿宋_GB2312" w:eastAsia="仿宋_GB2312" w:cs="仿宋_GB2312"/>
          <w:sz w:val="32"/>
          <w:szCs w:val="32"/>
          <w:lang w:val="en-US" w:eastAsia="zh-CN"/>
        </w:rPr>
        <w:t>万元，占</w:t>
      </w:r>
      <w:r>
        <w:rPr>
          <w:rFonts w:hint="eastAsia" w:ascii="仿宋_GB2312" w:hAnsi="仿宋_GB2312" w:eastAsia="仿宋_GB2312" w:cs="仿宋_GB2312"/>
          <w:sz w:val="32"/>
          <w:szCs w:val="32"/>
          <w:lang w:val="en-US" w:eastAsia="zh"/>
        </w:rPr>
        <w:t>83.95</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lang w:val="en-US" w:eastAsia="zh"/>
        </w:rPr>
        <w:t>97.03</w:t>
      </w:r>
      <w:r>
        <w:rPr>
          <w:rFonts w:hint="eastAsia" w:ascii="仿宋_GB2312" w:hAnsi="仿宋_GB2312" w:eastAsia="仿宋_GB2312" w:cs="仿宋_GB2312"/>
          <w:sz w:val="32"/>
          <w:szCs w:val="32"/>
          <w:lang w:val="en-US" w:eastAsia="zh-CN"/>
        </w:rPr>
        <w:t>万元，占</w:t>
      </w:r>
      <w:r>
        <w:rPr>
          <w:rFonts w:hint="eastAsia" w:ascii="仿宋_GB2312" w:hAnsi="仿宋_GB2312" w:eastAsia="仿宋_GB2312" w:cs="仿宋_GB2312"/>
          <w:sz w:val="32"/>
          <w:szCs w:val="32"/>
          <w:lang w:val="en-US" w:eastAsia="zh"/>
        </w:rPr>
        <w:t>7.3</w:t>
      </w:r>
      <w:r>
        <w:rPr>
          <w:rFonts w:hint="eastAsia" w:ascii="仿宋_GB2312" w:hAnsi="仿宋_GB2312" w:eastAsia="仿宋_GB2312" w:cs="仿宋_GB2312"/>
          <w:sz w:val="32"/>
          <w:szCs w:val="32"/>
          <w:lang w:val="en-US" w:eastAsia="zh-CN"/>
        </w:rPr>
        <w:t>%；卫生健康支出</w:t>
      </w:r>
      <w:r>
        <w:rPr>
          <w:rFonts w:hint="eastAsia" w:ascii="仿宋_GB2312" w:hAnsi="仿宋_GB2312" w:eastAsia="仿宋_GB2312" w:cs="仿宋_GB2312"/>
          <w:sz w:val="32"/>
          <w:szCs w:val="32"/>
          <w:lang w:val="en-US" w:eastAsia="zh"/>
        </w:rPr>
        <w:t>31.11</w:t>
      </w:r>
      <w:r>
        <w:rPr>
          <w:rFonts w:hint="eastAsia" w:ascii="仿宋_GB2312" w:hAnsi="仿宋_GB2312" w:eastAsia="仿宋_GB2312" w:cs="仿宋_GB2312"/>
          <w:sz w:val="32"/>
          <w:szCs w:val="32"/>
          <w:lang w:val="en-US" w:eastAsia="zh-CN"/>
        </w:rPr>
        <w:t>万元，占</w:t>
      </w:r>
      <w:r>
        <w:rPr>
          <w:rFonts w:hint="eastAsia" w:ascii="仿宋_GB2312" w:hAnsi="仿宋_GB2312" w:eastAsia="仿宋_GB2312" w:cs="仿宋_GB2312"/>
          <w:sz w:val="32"/>
          <w:szCs w:val="32"/>
          <w:lang w:val="en-US" w:eastAsia="zh"/>
        </w:rPr>
        <w:t>2.34</w:t>
      </w:r>
      <w:r>
        <w:rPr>
          <w:rFonts w:hint="eastAsia" w:ascii="仿宋_GB2312" w:hAnsi="仿宋_GB2312" w:eastAsia="仿宋_GB2312" w:cs="仿宋_GB2312"/>
          <w:sz w:val="32"/>
          <w:szCs w:val="32"/>
          <w:lang w:val="en-US" w:eastAsia="zh-CN"/>
        </w:rPr>
        <w:t>%；住房保障支出</w:t>
      </w:r>
      <w:r>
        <w:rPr>
          <w:rFonts w:hint="eastAsia" w:ascii="仿宋_GB2312" w:hAnsi="仿宋_GB2312" w:eastAsia="仿宋_GB2312" w:cs="仿宋_GB2312"/>
          <w:sz w:val="32"/>
          <w:szCs w:val="32"/>
          <w:lang w:val="en-US" w:eastAsia="zh"/>
        </w:rPr>
        <w:t>85.27</w:t>
      </w:r>
      <w:r>
        <w:rPr>
          <w:rFonts w:hint="eastAsia" w:ascii="仿宋_GB2312" w:hAnsi="仿宋_GB2312" w:eastAsia="仿宋_GB2312" w:cs="仿宋_GB2312"/>
          <w:sz w:val="32"/>
          <w:szCs w:val="32"/>
          <w:lang w:val="en-US" w:eastAsia="zh-CN"/>
        </w:rPr>
        <w:t>万元，占</w:t>
      </w:r>
      <w:r>
        <w:rPr>
          <w:rFonts w:hint="eastAsia" w:ascii="仿宋_GB2312" w:hAnsi="仿宋_GB2312" w:eastAsia="仿宋_GB2312" w:cs="仿宋_GB2312"/>
          <w:sz w:val="32"/>
          <w:szCs w:val="32"/>
          <w:lang w:val="en-US" w:eastAsia="zh"/>
        </w:rPr>
        <w:t>6.41</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7782"/>
      <w:r>
        <w:rPr>
          <w:rFonts w:hint="eastAsia" w:ascii="楷体_GB2312" w:hAnsi="楷体_GB2312" w:eastAsia="楷体_GB2312" w:cs="楷体_GB2312"/>
          <w:sz w:val="32"/>
          <w:szCs w:val="32"/>
          <w:lang w:val="en-US" w:eastAsia="zh-CN"/>
        </w:rPr>
        <w:t>（三）一般公共预算当年拨款具体使用情况</w:t>
      </w:r>
      <w:bookmarkEnd w:id="14"/>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1.一般公共服务支出（类）党委办公厅（室）及相关机构事务（款）行政运行（项）202</w:t>
      </w:r>
      <w:r>
        <w:rPr>
          <w:rFonts w:hint="eastAsia" w:ascii="仿宋_GB2312" w:hAnsi="仿宋_GB2312" w:eastAsia="仿宋_GB2312" w:cs="仿宋_GB2312"/>
          <w:color w:val="000000" w:themeColor="text1"/>
          <w:sz w:val="32"/>
          <w:szCs w:val="32"/>
          <w:lang w:val="en-US" w:eastAsia="zh"/>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年预算数为</w:t>
      </w:r>
      <w:r>
        <w:rPr>
          <w:rFonts w:hint="eastAsia" w:ascii="仿宋_GB2312" w:hAnsi="仿宋_GB2312" w:eastAsia="仿宋_GB2312" w:cs="仿宋_GB2312"/>
          <w:color w:val="000000" w:themeColor="text1"/>
          <w:sz w:val="32"/>
          <w:szCs w:val="32"/>
          <w:lang w:val="en-US" w:eastAsia="zh"/>
          <w14:textFill>
            <w14:solidFill>
              <w14:schemeClr w14:val="tx1"/>
            </w14:solidFill>
          </w14:textFill>
        </w:rPr>
        <w:t>706.78</w:t>
      </w:r>
      <w:r>
        <w:rPr>
          <w:rFonts w:hint="eastAsia" w:ascii="仿宋_GB2312" w:hAnsi="仿宋_GB2312" w:eastAsia="仿宋_GB2312" w:cs="仿宋_GB2312"/>
          <w:color w:val="000000" w:themeColor="text1"/>
          <w:sz w:val="32"/>
          <w:szCs w:val="32"/>
          <w14:textFill>
            <w14:solidFill>
              <w14:schemeClr w14:val="tx1"/>
            </w14:solidFill>
          </w14:textFill>
        </w:rPr>
        <w:t>万元，主要用于：公务员工资奖金津补贴、其他工资福利支出、公用经费等。</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.一般公共服务支出（类）党委办公厅（室）及相关机构事务（款）一般行政管理事务（项）202</w:t>
      </w:r>
      <w:r>
        <w:rPr>
          <w:rFonts w:hint="eastAsia" w:ascii="仿宋_GB2312" w:hAnsi="仿宋_GB2312" w:eastAsia="仿宋_GB2312" w:cs="仿宋_GB2312"/>
          <w:color w:val="000000" w:themeColor="text1"/>
          <w:sz w:val="32"/>
          <w:szCs w:val="32"/>
          <w:lang w:val="en-US" w:eastAsia="zh"/>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年预算数为</w:t>
      </w:r>
      <w:r>
        <w:rPr>
          <w:rFonts w:hint="eastAsia" w:ascii="仿宋_GB2312" w:hAnsi="仿宋_GB2312" w:eastAsia="仿宋_GB2312" w:cs="仿宋_GB2312"/>
          <w:color w:val="000000" w:themeColor="text1"/>
          <w:sz w:val="32"/>
          <w:szCs w:val="32"/>
          <w:lang w:val="en-US" w:eastAsia="zh"/>
          <w14:textFill>
            <w14:solidFill>
              <w14:schemeClr w14:val="tx1"/>
            </w14:solidFill>
          </w14:textFill>
        </w:rPr>
        <w:t>243.51</w:t>
      </w:r>
      <w:r>
        <w:rPr>
          <w:rFonts w:hint="eastAsia" w:ascii="仿宋_GB2312" w:hAnsi="仿宋_GB2312" w:eastAsia="仿宋_GB2312" w:cs="仿宋_GB2312"/>
          <w:color w:val="000000" w:themeColor="text1"/>
          <w:sz w:val="32"/>
          <w:szCs w:val="32"/>
          <w14:textFill>
            <w14:solidFill>
              <w14:schemeClr w14:val="tx1"/>
            </w14:solidFill>
          </w14:textFill>
        </w:rPr>
        <w:t>万元，主要用于：“平安广元”建设、涉法涉诉信访、政治安全和反邪教、乡村振兴、派驻纪检组等工作开支。</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.一般公共服务支出（类）党委办公厅（室）及相关机构事务（款）事业运行（项）202</w:t>
      </w:r>
      <w:r>
        <w:rPr>
          <w:rFonts w:hint="eastAsia" w:ascii="仿宋_GB2312" w:hAnsi="仿宋_GB2312" w:eastAsia="仿宋_GB2312" w:cs="仿宋_GB2312"/>
          <w:color w:val="000000" w:themeColor="text1"/>
          <w:sz w:val="32"/>
          <w:szCs w:val="32"/>
          <w:lang w:val="en-US" w:eastAsia="zh"/>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年预算数为</w:t>
      </w:r>
      <w:r>
        <w:rPr>
          <w:rFonts w:hint="eastAsia" w:ascii="仿宋_GB2312" w:hAnsi="仿宋_GB2312" w:eastAsia="仿宋_GB2312" w:cs="仿宋_GB2312"/>
          <w:color w:val="000000" w:themeColor="text1"/>
          <w:sz w:val="32"/>
          <w:szCs w:val="32"/>
          <w:lang w:val="en-US" w:eastAsia="zh"/>
          <w14:textFill>
            <w14:solidFill>
              <w14:schemeClr w14:val="tx1"/>
            </w14:solidFill>
          </w14:textFill>
        </w:rPr>
        <w:t>165.78</w:t>
      </w:r>
      <w:r>
        <w:rPr>
          <w:rFonts w:hint="eastAsia" w:ascii="仿宋_GB2312" w:hAnsi="仿宋_GB2312" w:eastAsia="仿宋_GB2312" w:cs="仿宋_GB2312"/>
          <w:color w:val="000000" w:themeColor="text1"/>
          <w:sz w:val="32"/>
          <w:szCs w:val="32"/>
          <w14:textFill>
            <w14:solidFill>
              <w14:schemeClr w14:val="tx1"/>
            </w14:solidFill>
          </w14:textFill>
        </w:rPr>
        <w:t>万元，主要用于事业人员工资、奖金、津补贴</w:t>
      </w:r>
      <w:r>
        <w:rPr>
          <w:rFonts w:hint="eastAsia" w:ascii="仿宋_GB2312" w:hAnsi="仿宋_GB2312" w:eastAsia="仿宋_GB2312" w:cs="仿宋_GB2312"/>
          <w:color w:val="000000" w:themeColor="text1"/>
          <w:sz w:val="32"/>
          <w:szCs w:val="32"/>
          <w:lang w:eastAsia="zh"/>
          <w14:textFill>
            <w14:solidFill>
              <w14:schemeClr w14:val="tx1"/>
            </w14:solidFill>
          </w14:textFill>
        </w:rPr>
        <w:t>、公用经费等</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
        </w:rPr>
        <w:t>4</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w:t>
      </w:r>
      <w:r>
        <w:rPr>
          <w:rFonts w:hint="eastAsia" w:ascii="仿宋_GB2312" w:hAnsi="仿宋_GB2312" w:eastAsia="仿宋_GB2312" w:cs="仿宋_GB2312"/>
          <w:sz w:val="32"/>
          <w:szCs w:val="32"/>
          <w:lang w:val="en-US" w:eastAsia="zh"/>
        </w:rPr>
        <w:t>95.79</w:t>
      </w:r>
      <w:r>
        <w:rPr>
          <w:rFonts w:hint="eastAsia" w:ascii="仿宋_GB2312" w:hAnsi="仿宋_GB2312" w:eastAsia="仿宋_GB2312" w:cs="仿宋_GB2312"/>
          <w:sz w:val="32"/>
          <w:szCs w:val="32"/>
          <w:lang w:val="en-US" w:eastAsia="zh-CN"/>
        </w:rPr>
        <w:t>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
        </w:rPr>
        <w:t>5.</w:t>
      </w:r>
      <w:r>
        <w:rPr>
          <w:rFonts w:hint="eastAsia" w:ascii="仿宋_GB2312" w:hAnsi="仿宋_GB2312" w:eastAsia="仿宋_GB2312" w:cs="仿宋_GB2312"/>
          <w:color w:val="auto"/>
          <w:sz w:val="32"/>
          <w:szCs w:val="32"/>
        </w:rPr>
        <w:t>社会保障和就业（类）</w:t>
      </w:r>
      <w:r>
        <w:rPr>
          <w:rFonts w:hint="eastAsia" w:ascii="仿宋_GB2312" w:hAnsi="仿宋_GB2312" w:eastAsia="仿宋_GB2312" w:cs="仿宋_GB2312"/>
          <w:color w:val="auto"/>
          <w:sz w:val="32"/>
          <w:szCs w:val="32"/>
          <w:lang w:eastAsia="zh"/>
        </w:rPr>
        <w:t>其他社会保障和就业支出</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eastAsia="zh"/>
        </w:rPr>
        <w:t>其他社会保障和就业支出</w:t>
      </w:r>
      <w:r>
        <w:rPr>
          <w:rFonts w:hint="eastAsia" w:ascii="仿宋_GB2312" w:hAnsi="仿宋_GB2312" w:eastAsia="仿宋_GB2312" w:cs="仿宋_GB2312"/>
          <w:color w:val="auto"/>
          <w:sz w:val="32"/>
          <w:szCs w:val="32"/>
        </w:rPr>
        <w:t>（项）202</w:t>
      </w:r>
      <w:r>
        <w:rPr>
          <w:rFonts w:hint="eastAsia" w:ascii="仿宋_GB2312" w:hAnsi="仿宋_GB2312" w:eastAsia="仿宋_GB2312" w:cs="仿宋_GB2312"/>
          <w:color w:val="auto"/>
          <w:sz w:val="32"/>
          <w:szCs w:val="32"/>
          <w:lang w:val="en-US" w:eastAsia="zh"/>
        </w:rPr>
        <w:t>4</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
        </w:rPr>
        <w:t>1.23</w:t>
      </w:r>
      <w:r>
        <w:rPr>
          <w:rFonts w:hint="eastAsia" w:ascii="仿宋_GB2312" w:hAnsi="仿宋_GB2312" w:eastAsia="仿宋_GB2312" w:cs="仿宋_GB2312"/>
          <w:color w:val="auto"/>
          <w:sz w:val="32"/>
          <w:szCs w:val="32"/>
        </w:rPr>
        <w:t>万元，主要用于：</w:t>
      </w:r>
      <w:r>
        <w:rPr>
          <w:rFonts w:hint="eastAsia" w:ascii="仿宋_GB2312" w:hAnsi="仿宋_GB2312" w:eastAsia="仿宋_GB2312" w:cs="仿宋_GB2312"/>
          <w:color w:val="auto"/>
          <w:sz w:val="32"/>
          <w:szCs w:val="32"/>
          <w:lang w:eastAsia="zh"/>
        </w:rPr>
        <w:t>部门按规定为职工缴纳的工伤、失业保险等</w:t>
      </w:r>
      <w:r>
        <w:rPr>
          <w:rFonts w:hint="eastAsia" w:ascii="仿宋_GB2312" w:hAnsi="仿宋_GB2312" w:eastAsia="仿宋_GB2312" w:cs="仿宋_GB2312"/>
          <w:color w:val="auto"/>
          <w:sz w:val="32"/>
          <w:szCs w:val="32"/>
        </w:rPr>
        <w:t>其他社会保障和就业支出。</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
        </w:rPr>
        <w:t>6</w:t>
      </w:r>
      <w:r>
        <w:rPr>
          <w:rFonts w:hint="eastAsia" w:ascii="仿宋_GB2312" w:hAnsi="仿宋_GB2312" w:eastAsia="仿宋_GB2312" w:cs="仿宋_GB2312"/>
          <w:sz w:val="32"/>
          <w:szCs w:val="32"/>
          <w:lang w:val="en-US" w:eastAsia="zh-CN"/>
        </w:rPr>
        <w:t>.卫生健康（类）行政事业单位医疗（款）行政单位医疗（项）2024年预算数为</w:t>
      </w:r>
      <w:r>
        <w:rPr>
          <w:rFonts w:hint="eastAsia" w:ascii="仿宋_GB2312" w:hAnsi="仿宋_GB2312" w:eastAsia="仿宋_GB2312" w:cs="仿宋_GB2312"/>
          <w:sz w:val="32"/>
          <w:szCs w:val="32"/>
          <w:lang w:val="en-US" w:eastAsia="zh"/>
        </w:rPr>
        <w:t>31.11</w:t>
      </w:r>
      <w:r>
        <w:rPr>
          <w:rFonts w:hint="eastAsia" w:ascii="仿宋_GB2312" w:hAnsi="仿宋_GB2312" w:eastAsia="仿宋_GB2312" w:cs="仿宋_GB2312"/>
          <w:sz w:val="32"/>
          <w:szCs w:val="32"/>
          <w:lang w:val="en-US" w:eastAsia="zh-CN"/>
        </w:rPr>
        <w:t>万元，主要用于：</w:t>
      </w:r>
      <w:r>
        <w:rPr>
          <w:rFonts w:hint="eastAsia" w:ascii="仿宋_GB2312" w:hAnsi="仿宋_GB2312" w:eastAsia="仿宋_GB2312" w:cs="仿宋_GB2312"/>
          <w:sz w:val="32"/>
          <w:szCs w:val="32"/>
          <w:lang w:val="en-US" w:eastAsia="zh"/>
        </w:rPr>
        <w:t>部门</w:t>
      </w:r>
      <w:r>
        <w:rPr>
          <w:rFonts w:hint="eastAsia" w:ascii="仿宋_GB2312" w:hAnsi="仿宋_GB2312" w:eastAsia="仿宋_GB2312" w:cs="仿宋_GB2312"/>
          <w:sz w:val="32"/>
          <w:szCs w:val="32"/>
          <w:lang w:val="en-US" w:eastAsia="zh-CN"/>
        </w:rPr>
        <w:t>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
        </w:rPr>
        <w:t>7</w:t>
      </w:r>
      <w:r>
        <w:rPr>
          <w:rFonts w:hint="eastAsia" w:ascii="仿宋_GB2312" w:hAnsi="仿宋_GB2312" w:eastAsia="仿宋_GB2312" w:cs="仿宋_GB2312"/>
          <w:sz w:val="32"/>
          <w:szCs w:val="32"/>
          <w:lang w:val="en-US" w:eastAsia="zh-CN"/>
        </w:rPr>
        <w:t>.住房保障（类）住房改革支出（款）住房公积金（项）2024年预算数为</w:t>
      </w:r>
      <w:r>
        <w:rPr>
          <w:rFonts w:hint="eastAsia" w:ascii="仿宋_GB2312" w:hAnsi="仿宋_GB2312" w:eastAsia="仿宋_GB2312" w:cs="仿宋_GB2312"/>
          <w:sz w:val="32"/>
          <w:szCs w:val="32"/>
          <w:lang w:val="en-US" w:eastAsia="zh"/>
        </w:rPr>
        <w:t>85.27</w:t>
      </w:r>
      <w:r>
        <w:rPr>
          <w:rFonts w:hint="eastAsia" w:ascii="仿宋_GB2312" w:hAnsi="仿宋_GB2312" w:eastAsia="仿宋_GB2312" w:cs="仿宋_GB2312"/>
          <w:sz w:val="32"/>
          <w:szCs w:val="32"/>
          <w:lang w:val="en-US" w:eastAsia="zh-CN"/>
        </w:rPr>
        <w:t>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rPr>
      </w:pPr>
      <w:bookmarkStart w:id="15" w:name="_Toc465"/>
      <w:r>
        <w:rPr>
          <w:rFonts w:hint="eastAsia" w:ascii="黑体" w:hAnsi="黑体" w:eastAsia="黑体" w:cs="黑体"/>
          <w:sz w:val="32"/>
          <w:szCs w:val="32"/>
          <w:lang w:val="en-US" w:eastAsia="zh-CN"/>
        </w:rPr>
        <w:t>六、一般公共预算基本支出情况说明</w:t>
      </w:r>
      <w:bookmarkEnd w:id="15"/>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2024年一般公共预算基本支出</w:t>
      </w:r>
      <w:r>
        <w:rPr>
          <w:rFonts w:hint="eastAsia" w:ascii="仿宋_GB2312" w:hAnsi="仿宋_GB2312" w:eastAsia="仿宋_GB2312" w:cs="仿宋_GB2312"/>
          <w:sz w:val="32"/>
          <w:szCs w:val="32"/>
          <w:lang w:val="en-US" w:eastAsia="zh"/>
        </w:rPr>
        <w:t>1085.96</w:t>
      </w:r>
      <w:r>
        <w:rPr>
          <w:rFonts w:hint="eastAsia" w:ascii="仿宋_GB2312" w:hAnsi="仿宋_GB2312" w:eastAsia="仿宋_GB2312" w:cs="仿宋_GB2312"/>
          <w:sz w:val="32"/>
          <w:szCs w:val="32"/>
          <w:lang w:val="en-US" w:eastAsia="zh-CN"/>
        </w:rPr>
        <w:t>万元，其中：</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人员经费</w:t>
      </w:r>
      <w:r>
        <w:rPr>
          <w:rFonts w:hint="eastAsia" w:ascii="仿宋_GB2312" w:hAnsi="仿宋_GB2312" w:eastAsia="仿宋_GB2312" w:cs="仿宋_GB2312"/>
          <w:color w:val="000000" w:themeColor="text1"/>
          <w:sz w:val="32"/>
          <w:szCs w:val="32"/>
          <w:lang w:val="en-US" w:eastAsia="zh"/>
          <w14:textFill>
            <w14:solidFill>
              <w14:schemeClr w14:val="tx1"/>
            </w14:solidFill>
          </w14:textFill>
        </w:rPr>
        <w:t>939.05</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万元，主要包括：</w:t>
      </w:r>
      <w:r>
        <w:rPr>
          <w:rFonts w:hint="eastAsia" w:ascii="仿宋_GB2312" w:hAnsi="仿宋_GB2312" w:eastAsia="仿宋_GB2312" w:cs="仿宋_GB2312"/>
          <w:color w:val="000000" w:themeColor="text1"/>
          <w:sz w:val="32"/>
          <w:szCs w:val="32"/>
          <w14:textFill>
            <w14:solidFill>
              <w14:schemeClr w14:val="tx1"/>
            </w14:solidFill>
          </w14:textFill>
        </w:rPr>
        <w:t>基本工资、津贴补贴、奖金、</w:t>
      </w:r>
      <w:r>
        <w:rPr>
          <w:rFonts w:hint="eastAsia" w:ascii="仿宋_GB2312" w:hAnsi="仿宋_GB2312" w:eastAsia="仿宋_GB2312" w:cs="仿宋_GB2312"/>
          <w:color w:val="000000" w:themeColor="text1"/>
          <w:sz w:val="32"/>
          <w:szCs w:val="32"/>
          <w:lang w:eastAsia="zh"/>
          <w14:textFill>
            <w14:solidFill>
              <w14:schemeClr w14:val="tx1"/>
            </w14:solidFill>
          </w14:textFill>
        </w:rPr>
        <w:t>绩效工资、机关事业单位养老保险缴费、职工基本医疗保险缴费、其他社会保障缴费、</w:t>
      </w:r>
      <w:r>
        <w:rPr>
          <w:rFonts w:hint="eastAsia" w:ascii="仿宋_GB2312" w:hAnsi="仿宋_GB2312" w:eastAsia="仿宋_GB2312" w:cs="仿宋_GB2312"/>
          <w:color w:val="000000" w:themeColor="text1"/>
          <w:sz w:val="32"/>
          <w:szCs w:val="32"/>
          <w14:textFill>
            <w14:solidFill>
              <w14:schemeClr w14:val="tx1"/>
            </w14:solidFill>
          </w14:textFill>
        </w:rPr>
        <w:t>住房公积金</w:t>
      </w:r>
      <w:r>
        <w:rPr>
          <w:rFonts w:hint="eastAsia" w:ascii="仿宋_GB2312" w:hAnsi="仿宋_GB2312" w:eastAsia="仿宋_GB2312" w:cs="仿宋_GB2312"/>
          <w:color w:val="000000" w:themeColor="text1"/>
          <w:sz w:val="32"/>
          <w:szCs w:val="32"/>
          <w:lang w:eastAsia="zh"/>
          <w14:textFill>
            <w14:solidFill>
              <w14:schemeClr w14:val="tx1"/>
            </w14:solidFill>
          </w14:textFill>
        </w:rPr>
        <w:t>、对个人和家庭的补助</w:t>
      </w:r>
      <w:r>
        <w:rPr>
          <w:rFonts w:hint="eastAsia" w:ascii="仿宋_GB2312" w:hAnsi="仿宋_GB2312" w:eastAsia="仿宋_GB2312" w:cs="仿宋_GB2312"/>
          <w:color w:val="000000" w:themeColor="text1"/>
          <w:sz w:val="32"/>
          <w:szCs w:val="32"/>
          <w14:textFill>
            <w14:solidFill>
              <w14:schemeClr w14:val="tx1"/>
            </w14:solidFill>
          </w14:textFill>
        </w:rPr>
        <w:t>等支出。</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公用经费</w:t>
      </w:r>
      <w:r>
        <w:rPr>
          <w:rFonts w:hint="eastAsia" w:ascii="仿宋_GB2312" w:hAnsi="仿宋_GB2312" w:eastAsia="仿宋_GB2312" w:cs="仿宋_GB2312"/>
          <w:color w:val="000000" w:themeColor="text1"/>
          <w:sz w:val="32"/>
          <w:szCs w:val="32"/>
          <w:lang w:val="en-US" w:eastAsia="zh"/>
          <w14:textFill>
            <w14:solidFill>
              <w14:schemeClr w14:val="tx1"/>
            </w14:solidFill>
          </w14:textFill>
        </w:rPr>
        <w:t>146.91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万元，主要包括：</w:t>
      </w:r>
      <w:r>
        <w:rPr>
          <w:rFonts w:hint="eastAsia" w:ascii="仿宋_GB2312" w:hAnsi="仿宋_GB2312" w:eastAsia="仿宋_GB2312" w:cs="仿宋_GB2312"/>
          <w:color w:val="000000" w:themeColor="text1"/>
          <w:sz w:val="32"/>
          <w:szCs w:val="32"/>
          <w14:textFill>
            <w14:solidFill>
              <w14:schemeClr w14:val="tx1"/>
            </w14:solidFill>
          </w14:textFill>
        </w:rPr>
        <w:t>办公费、印刷费、水费、电费、邮电费、物业管理费、差旅费、维修（护）费、</w:t>
      </w:r>
      <w:r>
        <w:rPr>
          <w:rFonts w:hint="eastAsia" w:ascii="仿宋_GB2312" w:hAnsi="仿宋_GB2312" w:eastAsia="仿宋_GB2312" w:cs="仿宋_GB2312"/>
          <w:color w:val="000000" w:themeColor="text1"/>
          <w:sz w:val="32"/>
          <w:szCs w:val="32"/>
          <w:lang w:eastAsia="zh"/>
          <w14:textFill>
            <w14:solidFill>
              <w14:schemeClr w14:val="tx1"/>
            </w14:solidFill>
          </w14:textFill>
        </w:rPr>
        <w:t>租赁费、</w:t>
      </w:r>
      <w:r>
        <w:rPr>
          <w:rFonts w:hint="eastAsia" w:ascii="仿宋_GB2312" w:hAnsi="仿宋_GB2312" w:eastAsia="仿宋_GB2312" w:cs="仿宋_GB2312"/>
          <w:color w:val="000000" w:themeColor="text1"/>
          <w:sz w:val="32"/>
          <w:szCs w:val="32"/>
          <w14:textFill>
            <w14:solidFill>
              <w14:schemeClr w14:val="tx1"/>
            </w14:solidFill>
          </w14:textFill>
        </w:rPr>
        <w:t>会议费、培训费、公务接待费、劳务费、</w:t>
      </w:r>
      <w:r>
        <w:rPr>
          <w:rFonts w:hint="eastAsia" w:ascii="仿宋_GB2312" w:hAnsi="仿宋_GB2312" w:eastAsia="仿宋_GB2312" w:cs="仿宋_GB2312"/>
          <w:color w:val="000000" w:themeColor="text1"/>
          <w:sz w:val="32"/>
          <w:szCs w:val="32"/>
          <w:lang w:eastAsia="zh"/>
          <w14:textFill>
            <w14:solidFill>
              <w14:schemeClr w14:val="tx1"/>
            </w14:solidFill>
          </w14:textFill>
        </w:rPr>
        <w:t>委托业务费、</w:t>
      </w:r>
      <w:r>
        <w:rPr>
          <w:rFonts w:hint="eastAsia" w:ascii="仿宋_GB2312" w:hAnsi="仿宋_GB2312" w:eastAsia="仿宋_GB2312" w:cs="仿宋_GB2312"/>
          <w:color w:val="000000" w:themeColor="text1"/>
          <w:sz w:val="32"/>
          <w:szCs w:val="32"/>
          <w14:textFill>
            <w14:solidFill>
              <w14:schemeClr w14:val="tx1"/>
            </w14:solidFill>
          </w14:textFill>
        </w:rPr>
        <w:t>工会经费、福利费、公务用车</w:t>
      </w:r>
      <w:r>
        <w:rPr>
          <w:rFonts w:hint="eastAsia" w:ascii="仿宋_GB2312" w:hAnsi="仿宋_GB2312" w:eastAsia="仿宋_GB2312" w:cs="仿宋_GB2312"/>
          <w:color w:val="auto"/>
          <w:sz w:val="32"/>
          <w:szCs w:val="32"/>
        </w:rPr>
        <w:t>运行维护费、其他交通费用</w:t>
      </w:r>
      <w:r>
        <w:rPr>
          <w:rFonts w:hint="eastAsia" w:ascii="仿宋_GB2312" w:hAnsi="仿宋_GB2312" w:eastAsia="仿宋_GB2312" w:cs="仿宋_GB2312"/>
          <w:color w:val="auto"/>
          <w:sz w:val="32"/>
          <w:szCs w:val="32"/>
          <w:lang w:eastAsia="zh-CN"/>
        </w:rPr>
        <w:t>、其他商品和服务支出</w:t>
      </w:r>
      <w:r>
        <w:rPr>
          <w:rFonts w:hint="eastAsia" w:ascii="仿宋_GB2312" w:hAnsi="仿宋_GB2312" w:eastAsia="仿宋_GB2312" w:cs="仿宋_GB2312"/>
          <w:color w:val="auto"/>
          <w:sz w:val="32"/>
          <w:szCs w:val="32"/>
        </w:rPr>
        <w:t>等支出。</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rPr>
      </w:pPr>
      <w:bookmarkStart w:id="16" w:name="_Toc14589"/>
      <w:r>
        <w:rPr>
          <w:rFonts w:hint="eastAsia" w:ascii="黑体" w:hAnsi="黑体" w:eastAsia="黑体" w:cs="黑体"/>
          <w:sz w:val="32"/>
          <w:szCs w:val="32"/>
          <w:lang w:val="en-US" w:eastAsia="zh-CN"/>
        </w:rPr>
        <w:t>七、“三公”经费财政拨款预算安排情况说明</w:t>
      </w:r>
      <w:bookmarkEnd w:id="16"/>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2024年“三公”经费财政拨款预算数</w:t>
      </w:r>
      <w:r>
        <w:rPr>
          <w:rFonts w:hint="eastAsia" w:ascii="仿宋_GB2312" w:hAnsi="仿宋_GB2312" w:eastAsia="仿宋_GB2312" w:cs="仿宋_GB2312"/>
          <w:sz w:val="32"/>
          <w:szCs w:val="32"/>
          <w:lang w:val="en-US" w:eastAsia="zh"/>
        </w:rPr>
        <w:t>8.7</w:t>
      </w:r>
      <w:r>
        <w:rPr>
          <w:rFonts w:hint="eastAsia" w:ascii="仿宋_GB2312" w:hAnsi="仿宋_GB2312" w:eastAsia="仿宋_GB2312" w:cs="仿宋_GB2312"/>
          <w:sz w:val="32"/>
          <w:szCs w:val="32"/>
          <w:lang w:val="en-US" w:eastAsia="zh-CN"/>
        </w:rPr>
        <w:t>万元，其中：公务接待费</w:t>
      </w:r>
      <w:r>
        <w:rPr>
          <w:rFonts w:hint="eastAsia" w:ascii="仿宋_GB2312" w:hAnsi="仿宋_GB2312" w:eastAsia="仿宋_GB2312" w:cs="仿宋_GB2312"/>
          <w:sz w:val="32"/>
          <w:szCs w:val="32"/>
          <w:lang w:val="en-US" w:eastAsia="zh"/>
        </w:rPr>
        <w:t>3.8</w:t>
      </w:r>
      <w:r>
        <w:rPr>
          <w:rFonts w:hint="eastAsia" w:ascii="仿宋_GB2312" w:hAnsi="仿宋_GB2312" w:eastAsia="仿宋_GB2312" w:cs="仿宋_GB2312"/>
          <w:sz w:val="32"/>
          <w:szCs w:val="32"/>
          <w:lang w:val="en-US" w:eastAsia="zh-CN"/>
        </w:rPr>
        <w:t>万元，公务用车购置及运行维护费</w:t>
      </w:r>
      <w:r>
        <w:rPr>
          <w:rFonts w:hint="eastAsia" w:ascii="仿宋_GB2312" w:hAnsi="仿宋_GB2312" w:eastAsia="仿宋_GB2312" w:cs="仿宋_GB2312"/>
          <w:sz w:val="32"/>
          <w:szCs w:val="32"/>
          <w:lang w:val="en-US" w:eastAsia="zh"/>
        </w:rPr>
        <w:t>4.9</w:t>
      </w:r>
      <w:r>
        <w:rPr>
          <w:rFonts w:hint="eastAsia" w:ascii="仿宋_GB2312" w:hAnsi="仿宋_GB2312" w:eastAsia="仿宋_GB2312" w:cs="仿宋_GB2312"/>
          <w:sz w:val="32"/>
          <w:szCs w:val="32"/>
          <w:lang w:val="en-US" w:eastAsia="zh-CN"/>
        </w:rPr>
        <w:t>万元，因公出国（境）经费</w:t>
      </w:r>
      <w:r>
        <w:rPr>
          <w:rFonts w:hint="eastAsia" w:ascii="仿宋_GB2312" w:hAnsi="仿宋_GB2312" w:eastAsia="仿宋_GB2312" w:cs="仿宋_GB2312"/>
          <w:sz w:val="32"/>
          <w:szCs w:val="32"/>
          <w:lang w:val="en-US" w:eastAsia="zh"/>
        </w:rPr>
        <w:t>0</w:t>
      </w:r>
      <w:r>
        <w:rPr>
          <w:rFonts w:hint="eastAsia" w:ascii="仿宋_GB2312" w:hAnsi="仿宋_GB2312" w:eastAsia="仿宋_GB2312" w:cs="仿宋_GB2312"/>
          <w:sz w:val="32"/>
          <w:szCs w:val="32"/>
          <w:lang w:val="en-US" w:eastAsia="zh-CN"/>
        </w:rPr>
        <w:t>万元。</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24812"/>
      <w:r>
        <w:rPr>
          <w:rFonts w:hint="eastAsia" w:ascii="楷体_GB2312" w:hAnsi="楷体_GB2312" w:eastAsia="楷体_GB2312" w:cs="楷体_GB2312"/>
          <w:sz w:val="32"/>
          <w:szCs w:val="32"/>
          <w:lang w:val="en-US" w:eastAsia="zh-CN"/>
        </w:rPr>
        <w:t>（一）公务接待费</w:t>
      </w:r>
      <w:bookmarkEnd w:id="17"/>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
        </w:rPr>
        <w:t>2024年公务接待费3.8万元，</w:t>
      </w:r>
      <w:r>
        <w:rPr>
          <w:rFonts w:hint="eastAsia" w:ascii="仿宋_GB2312" w:hAnsi="仿宋_GB2312" w:eastAsia="仿宋_GB2312" w:cs="仿宋_GB2312"/>
          <w:sz w:val="32"/>
          <w:szCs w:val="32"/>
          <w:lang w:val="en-US" w:eastAsia="zh-CN"/>
        </w:rPr>
        <w:t>与2023年预算相比持平。</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2612"/>
      <w:r>
        <w:rPr>
          <w:rFonts w:hint="eastAsia" w:ascii="楷体_GB2312" w:hAnsi="楷体_GB2312" w:eastAsia="楷体_GB2312" w:cs="楷体_GB2312"/>
          <w:sz w:val="32"/>
          <w:szCs w:val="32"/>
          <w:lang w:val="en-US" w:eastAsia="zh-CN"/>
        </w:rPr>
        <w:t>公务用车购置及运行维护费</w:t>
      </w:r>
      <w:bookmarkEnd w:id="18"/>
    </w:p>
    <w:p>
      <w:pPr>
        <w:keepNext w:val="0"/>
        <w:keepLines w:val="0"/>
        <w:pageBreakBefore w:val="0"/>
        <w:widowControl w:val="0"/>
        <w:numPr>
          <w:ilvl w:val="0"/>
          <w:numId w:val="0"/>
        </w:numPr>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b/>
          <w:bCs/>
          <w:sz w:val="32"/>
          <w:szCs w:val="32"/>
          <w:lang w:eastAsia="zh"/>
        </w:rPr>
      </w:pPr>
      <w:r>
        <w:rPr>
          <w:rFonts w:hint="eastAsia" w:ascii="仿宋_GB2312" w:hAnsi="仿宋_GB2312" w:eastAsia="仿宋_GB2312" w:cs="仿宋_GB2312"/>
          <w:sz w:val="32"/>
          <w:szCs w:val="32"/>
          <w:lang w:val="en-US" w:eastAsia="zh-CN"/>
        </w:rPr>
        <w:t>公务用车购置及运行维护费与2023年预算相比持平</w:t>
      </w:r>
      <w:r>
        <w:rPr>
          <w:rFonts w:hint="eastAsia" w:ascii="仿宋_GB2312" w:hAnsi="仿宋_GB2312" w:eastAsia="仿宋_GB2312" w:cs="仿宋_GB2312"/>
          <w:sz w:val="32"/>
          <w:szCs w:val="32"/>
          <w:lang w:val="en-US" w:eastAsia="zh"/>
        </w:rPr>
        <w:t>。</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w:t>
      </w:r>
      <w:r>
        <w:rPr>
          <w:rFonts w:hint="eastAsia" w:ascii="仿宋_GB2312" w:hAnsi="仿宋_GB2312" w:eastAsia="仿宋_GB2312" w:cs="仿宋_GB2312"/>
          <w:sz w:val="32"/>
          <w:szCs w:val="32"/>
          <w:lang w:val="en-US" w:eastAsia="zh"/>
        </w:rPr>
        <w:t>1</w:t>
      </w:r>
      <w:r>
        <w:rPr>
          <w:rFonts w:hint="eastAsia" w:ascii="仿宋_GB2312" w:hAnsi="仿宋_GB2312" w:eastAsia="仿宋_GB2312" w:cs="仿宋_GB2312"/>
          <w:sz w:val="32"/>
          <w:szCs w:val="32"/>
          <w:lang w:val="en-US" w:eastAsia="zh-CN"/>
        </w:rPr>
        <w:t>辆，其中：越野车</w:t>
      </w:r>
      <w:r>
        <w:rPr>
          <w:rFonts w:hint="eastAsia" w:ascii="仿宋_GB2312" w:hAnsi="仿宋_GB2312" w:eastAsia="仿宋_GB2312" w:cs="仿宋_GB2312"/>
          <w:sz w:val="32"/>
          <w:szCs w:val="32"/>
          <w:lang w:val="en-US" w:eastAsia="zh"/>
        </w:rPr>
        <w:t>1</w:t>
      </w:r>
      <w:r>
        <w:rPr>
          <w:rFonts w:hint="eastAsia" w:ascii="仿宋_GB2312" w:hAnsi="仿宋_GB2312" w:eastAsia="仿宋_GB2312" w:cs="仿宋_GB2312"/>
          <w:sz w:val="32"/>
          <w:szCs w:val="32"/>
          <w:lang w:val="en-US" w:eastAsia="zh-CN"/>
        </w:rPr>
        <w:t>辆。</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2024年安排公务用车购置费</w:t>
      </w:r>
      <w:r>
        <w:rPr>
          <w:rFonts w:hint="eastAsia" w:ascii="仿宋_GB2312" w:hAnsi="仿宋_GB2312" w:eastAsia="仿宋_GB2312" w:cs="仿宋_GB2312"/>
          <w:sz w:val="32"/>
          <w:szCs w:val="32"/>
          <w:lang w:val="en-US" w:eastAsia="zh"/>
        </w:rPr>
        <w:t>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val="en-US" w:eastAsia="zh"/>
        </w:rPr>
        <w:t>，</w:t>
      </w:r>
      <w:r>
        <w:rPr>
          <w:rFonts w:hint="eastAsia" w:ascii="仿宋_GB2312" w:hAnsi="仿宋_GB2312" w:eastAsia="仿宋_GB2312" w:cs="仿宋_GB2312"/>
          <w:color w:val="auto"/>
          <w:sz w:val="32"/>
          <w:szCs w:val="32"/>
        </w:rPr>
        <w:t>较202</w:t>
      </w:r>
      <w:r>
        <w:rPr>
          <w:rFonts w:hint="eastAsia" w:ascii="仿宋_GB2312" w:hAnsi="仿宋_GB2312" w:eastAsia="仿宋_GB2312" w:cs="仿宋_GB2312"/>
          <w:color w:val="auto"/>
          <w:sz w:val="32"/>
          <w:szCs w:val="32"/>
          <w:lang w:val="en-US" w:eastAsia="zh"/>
        </w:rPr>
        <w:t>3</w:t>
      </w:r>
      <w:r>
        <w:rPr>
          <w:rFonts w:hint="eastAsia" w:ascii="仿宋_GB2312" w:hAnsi="仿宋_GB2312" w:eastAsia="仿宋_GB2312" w:cs="仿宋_GB2312"/>
          <w:color w:val="auto"/>
          <w:sz w:val="32"/>
          <w:szCs w:val="32"/>
        </w:rPr>
        <w:t>年预算持平。202</w:t>
      </w:r>
      <w:r>
        <w:rPr>
          <w:rFonts w:hint="eastAsia" w:ascii="仿宋_GB2312" w:hAnsi="仿宋_GB2312" w:eastAsia="仿宋_GB2312" w:cs="仿宋_GB2312"/>
          <w:color w:val="auto"/>
          <w:sz w:val="32"/>
          <w:szCs w:val="32"/>
          <w:lang w:val="en-US" w:eastAsia="zh"/>
        </w:rPr>
        <w:t>4</w:t>
      </w:r>
      <w:r>
        <w:rPr>
          <w:rFonts w:hint="eastAsia" w:ascii="仿宋_GB2312" w:hAnsi="仿宋_GB2312" w:eastAsia="仿宋_GB2312" w:cs="仿宋_GB2312"/>
          <w:color w:val="auto"/>
          <w:sz w:val="32"/>
          <w:szCs w:val="32"/>
        </w:rPr>
        <w:t>年无公务用车购置计划。</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2024年安排公务用车运行维护费</w:t>
      </w:r>
      <w:r>
        <w:rPr>
          <w:rFonts w:hint="eastAsia" w:ascii="仿宋_GB2312" w:hAnsi="仿宋_GB2312" w:eastAsia="仿宋_GB2312" w:cs="仿宋_GB2312"/>
          <w:sz w:val="32"/>
          <w:szCs w:val="32"/>
          <w:lang w:val="en-US" w:eastAsia="zh"/>
        </w:rPr>
        <w:t>4.9</w:t>
      </w:r>
      <w:r>
        <w:rPr>
          <w:rFonts w:hint="eastAsia" w:ascii="仿宋_GB2312" w:hAnsi="仿宋_GB2312" w:eastAsia="仿宋_GB2312" w:cs="仿宋_GB2312"/>
          <w:sz w:val="32"/>
          <w:szCs w:val="32"/>
          <w:lang w:val="en-US" w:eastAsia="zh-CN"/>
        </w:rPr>
        <w:t>万元，用于</w:t>
      </w:r>
      <w:r>
        <w:rPr>
          <w:rFonts w:hint="eastAsia" w:ascii="仿宋_GB2312" w:hAnsi="仿宋_GB2312" w:eastAsia="仿宋_GB2312" w:cs="仿宋_GB2312"/>
          <w:sz w:val="32"/>
          <w:szCs w:val="32"/>
          <w:lang w:val="en-US" w:eastAsia="zh"/>
        </w:rPr>
        <w:t>1</w:t>
      </w:r>
      <w:r>
        <w:rPr>
          <w:rFonts w:hint="eastAsia" w:ascii="仿宋_GB2312" w:hAnsi="仿宋_GB2312" w:eastAsia="仿宋_GB2312" w:cs="仿宋_GB2312"/>
          <w:sz w:val="32"/>
          <w:szCs w:val="32"/>
          <w:lang w:val="en-US" w:eastAsia="zh-CN"/>
        </w:rPr>
        <w:t>辆公务用车燃油、过路（桥）、维修、保险等方面支出，主要保障</w:t>
      </w:r>
      <w:r>
        <w:rPr>
          <w:rFonts w:hint="eastAsia" w:ascii="仿宋_GB2312" w:hAnsi="仿宋_GB2312" w:eastAsia="仿宋_GB2312" w:cs="仿宋_GB2312"/>
          <w:sz w:val="32"/>
          <w:szCs w:val="32"/>
          <w:lang w:val="en-US" w:eastAsia="zh"/>
        </w:rPr>
        <w:t>维护社会稳定</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
        </w:rPr>
        <w:t>“平安广元”建设</w:t>
      </w:r>
      <w:r>
        <w:rPr>
          <w:rFonts w:hint="eastAsia" w:ascii="仿宋_GB2312" w:hAnsi="仿宋_GB2312" w:eastAsia="仿宋_GB2312" w:cs="仿宋_GB2312"/>
          <w:color w:val="auto"/>
          <w:sz w:val="32"/>
          <w:szCs w:val="32"/>
        </w:rPr>
        <w:t>、政治安全和反邪教、扫黑除恶</w:t>
      </w:r>
      <w:r>
        <w:rPr>
          <w:rFonts w:hint="eastAsia" w:ascii="仿宋_GB2312" w:hAnsi="仿宋_GB2312" w:eastAsia="仿宋_GB2312" w:cs="仿宋_GB2312"/>
          <w:color w:val="auto"/>
          <w:sz w:val="32"/>
          <w:szCs w:val="32"/>
          <w:lang w:eastAsia="zh"/>
        </w:rPr>
        <w:t>常态化</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
        </w:rPr>
        <w:t>矛盾纠纷</w:t>
      </w:r>
      <w:r>
        <w:rPr>
          <w:rFonts w:hint="eastAsia" w:ascii="仿宋_GB2312" w:hAnsi="仿宋_GB2312" w:eastAsia="仿宋_GB2312" w:cs="仿宋_GB2312"/>
          <w:color w:val="auto"/>
          <w:sz w:val="32"/>
          <w:szCs w:val="32"/>
        </w:rPr>
        <w:t>多元化解等工作用车。</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default" w:ascii="仿宋_GB2312" w:hAnsi="仿宋_GB2312" w:eastAsia="仿宋_GB2312" w:cs="仿宋_GB2312"/>
          <w:sz w:val="32"/>
          <w:szCs w:val="32"/>
          <w:lang w:val="en-US" w:eastAsia="zh-CN"/>
        </w:rPr>
      </w:pPr>
      <w:bookmarkStart w:id="19" w:name="_Toc2017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9"/>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因公出国（境）经费与2023年预算相比持平</w:t>
      </w:r>
      <w:r>
        <w:rPr>
          <w:rFonts w:hint="default" w:ascii="仿宋_GB2312" w:hAnsi="仿宋_GB2312" w:eastAsia="仿宋_GB2312" w:cs="仿宋_GB2312"/>
          <w:sz w:val="32"/>
          <w:szCs w:val="32"/>
        </w:rPr>
        <w:t>，</w:t>
      </w:r>
      <w:r>
        <w:rPr>
          <w:rFonts w:hint="eastAsia" w:ascii="仿宋_GB2312" w:hAnsi="仿宋_GB2312" w:eastAsia="仿宋_GB2312" w:cs="仿宋_GB2312"/>
          <w:color w:val="auto"/>
          <w:sz w:val="32"/>
          <w:szCs w:val="32"/>
          <w:lang w:val="en-US" w:eastAsia="zh"/>
        </w:rPr>
        <w:t>2024年</w:t>
      </w:r>
      <w:r>
        <w:rPr>
          <w:rFonts w:hint="eastAsia" w:ascii="仿宋_GB2312" w:hAnsi="仿宋_GB2312" w:eastAsia="仿宋_GB2312" w:cs="仿宋_GB2312"/>
          <w:color w:val="auto"/>
          <w:sz w:val="32"/>
          <w:szCs w:val="32"/>
        </w:rPr>
        <w:t>部门预算未编列因公出国（境）经费，未安排出国（境）任务和计划。</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lang w:val="en-US" w:eastAsia="zh-CN"/>
        </w:rPr>
      </w:pPr>
      <w:bookmarkStart w:id="20" w:name="_Toc5282"/>
      <w:r>
        <w:rPr>
          <w:rFonts w:hint="eastAsia" w:ascii="黑体" w:hAnsi="黑体" w:eastAsia="黑体" w:cs="黑体"/>
          <w:sz w:val="32"/>
          <w:szCs w:val="32"/>
          <w:lang w:val="en-US" w:eastAsia="zh-CN"/>
        </w:rPr>
        <w:t>八、政府性基金预算支出情况说明</w:t>
      </w:r>
      <w:bookmarkEnd w:id="20"/>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市委政法委202</w:t>
      </w:r>
      <w:r>
        <w:rPr>
          <w:rFonts w:hint="eastAsia" w:ascii="仿宋_GB2312" w:hAnsi="仿宋_GB2312" w:eastAsia="仿宋_GB2312" w:cs="仿宋_GB2312"/>
          <w:color w:val="auto"/>
          <w:sz w:val="32"/>
          <w:szCs w:val="32"/>
          <w:lang w:val="en-US" w:eastAsia="zh"/>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
        </w:rPr>
        <w:t>无</w:t>
      </w:r>
      <w:r>
        <w:rPr>
          <w:rFonts w:hint="eastAsia" w:ascii="仿宋_GB2312" w:hAnsi="仿宋_GB2312" w:eastAsia="仿宋_GB2312" w:cs="仿宋_GB2312"/>
          <w:color w:val="auto"/>
          <w:sz w:val="32"/>
          <w:szCs w:val="32"/>
        </w:rPr>
        <w:t>政府性基金预算拨款安排的支出。</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lang w:val="en-US" w:eastAsia="zh-CN"/>
        </w:rPr>
      </w:pPr>
      <w:bookmarkStart w:id="21" w:name="_Toc18806"/>
      <w:r>
        <w:rPr>
          <w:rFonts w:hint="eastAsia" w:ascii="黑体" w:hAnsi="黑体" w:eastAsia="黑体" w:cs="黑体"/>
          <w:sz w:val="32"/>
          <w:szCs w:val="32"/>
          <w:lang w:val="en-US" w:eastAsia="zh-CN"/>
        </w:rPr>
        <w:t>九、国有资本经营预算支出情况说明</w:t>
      </w:r>
      <w:bookmarkEnd w:id="21"/>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rPr>
      </w:pPr>
      <w:bookmarkStart w:id="22" w:name="_Toc5229"/>
      <w:r>
        <w:rPr>
          <w:rFonts w:hint="eastAsia" w:ascii="黑体" w:hAnsi="黑体" w:eastAsia="黑体" w:cs="黑体"/>
          <w:sz w:val="32"/>
          <w:szCs w:val="32"/>
          <w:lang w:val="en-US" w:eastAsia="zh-CN"/>
        </w:rPr>
        <w:t>十、其他重要事项的情况说明</w:t>
      </w:r>
      <w:bookmarkEnd w:id="22"/>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6864"/>
      <w:r>
        <w:rPr>
          <w:rFonts w:hint="eastAsia" w:ascii="楷体_GB2312" w:hAnsi="楷体_GB2312" w:eastAsia="楷体_GB2312" w:cs="楷体_GB2312"/>
          <w:sz w:val="32"/>
          <w:szCs w:val="32"/>
          <w:lang w:val="en-US" w:eastAsia="zh-CN"/>
        </w:rPr>
        <w:t>（一）机关运行经费</w:t>
      </w:r>
      <w:bookmarkEnd w:id="23"/>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default" w:ascii="仿宋_GB2312" w:hAnsi="仿宋_GB2312" w:eastAsia="仿宋_GB2312" w:cs="仿宋_GB2312"/>
          <w:sz w:val="32"/>
          <w:szCs w:val="32"/>
          <w:lang w:val="en-US" w:eastAsia="zh"/>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机关运行经费财政拨款预算为</w:t>
      </w:r>
      <w:r>
        <w:rPr>
          <w:rFonts w:hint="eastAsia" w:ascii="仿宋_GB2312" w:hAnsi="仿宋_GB2312" w:eastAsia="仿宋_GB2312" w:cs="仿宋_GB2312"/>
          <w:sz w:val="32"/>
          <w:szCs w:val="32"/>
          <w:lang w:val="en-US" w:eastAsia="zh"/>
        </w:rPr>
        <w:t>146.91</w:t>
      </w:r>
      <w:r>
        <w:rPr>
          <w:rFonts w:hint="eastAsia" w:ascii="仿宋_GB2312" w:hAnsi="仿宋_GB2312" w:eastAsia="仿宋_GB2312" w:cs="仿宋_GB2312"/>
          <w:sz w:val="32"/>
          <w:szCs w:val="32"/>
          <w:lang w:val="en-US" w:eastAsia="zh-CN"/>
        </w:rPr>
        <w:t>万元，比2023年预算减少</w:t>
      </w:r>
      <w:r>
        <w:rPr>
          <w:rFonts w:hint="eastAsia" w:ascii="仿宋_GB2312" w:hAnsi="仿宋_GB2312" w:eastAsia="仿宋_GB2312" w:cs="仿宋_GB2312"/>
          <w:sz w:val="32"/>
          <w:szCs w:val="32"/>
          <w:lang w:val="en-US" w:eastAsia="zh"/>
        </w:rPr>
        <w:t>9.67</w:t>
      </w:r>
      <w:r>
        <w:rPr>
          <w:rFonts w:hint="eastAsia" w:ascii="仿宋_GB2312" w:hAnsi="仿宋_GB2312" w:eastAsia="仿宋_GB2312" w:cs="仿宋_GB2312"/>
          <w:sz w:val="32"/>
          <w:szCs w:val="32"/>
          <w:lang w:val="en-US" w:eastAsia="zh-CN"/>
        </w:rPr>
        <w:t>万元，下降</w:t>
      </w:r>
      <w:r>
        <w:rPr>
          <w:rFonts w:hint="eastAsia" w:ascii="仿宋_GB2312" w:hAnsi="仿宋_GB2312" w:eastAsia="仿宋_GB2312" w:cs="仿宋_GB2312"/>
          <w:sz w:val="32"/>
          <w:szCs w:val="32"/>
          <w:lang w:val="en-US" w:eastAsia="zh"/>
        </w:rPr>
        <w:t>6.18</w:t>
      </w:r>
      <w:r>
        <w:rPr>
          <w:rFonts w:hint="eastAsia" w:ascii="仿宋_GB2312" w:hAnsi="仿宋_GB2312" w:eastAsia="仿宋_GB2312" w:cs="仿宋_GB2312"/>
          <w:sz w:val="32"/>
          <w:szCs w:val="32"/>
          <w:lang w:val="en-US" w:eastAsia="zh-CN"/>
        </w:rPr>
        <w:t>%。主要原因</w:t>
      </w:r>
      <w:r>
        <w:rPr>
          <w:rFonts w:hint="eastAsia" w:ascii="仿宋_GB2312" w:hAnsi="仿宋_GB2312" w:eastAsia="仿宋_GB2312" w:cs="仿宋_GB2312"/>
          <w:sz w:val="32"/>
          <w:szCs w:val="32"/>
          <w:lang w:val="en-US" w:eastAsia="zh"/>
        </w:rPr>
        <w:t>2023年退休3人，调出1人，公用经费预算相应减少。</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28274"/>
      <w:r>
        <w:rPr>
          <w:rFonts w:hint="eastAsia" w:ascii="楷体_GB2312" w:hAnsi="楷体_GB2312" w:eastAsia="楷体_GB2312" w:cs="楷体_GB2312"/>
          <w:sz w:val="32"/>
          <w:szCs w:val="32"/>
          <w:lang w:val="en-US" w:eastAsia="zh-CN"/>
        </w:rPr>
        <w:t>（二）政府采购情况</w:t>
      </w:r>
      <w:bookmarkEnd w:id="24"/>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安排政府采购预算</w:t>
      </w:r>
      <w:r>
        <w:rPr>
          <w:rFonts w:hint="eastAsia" w:ascii="仿宋_GB2312" w:hAnsi="仿宋_GB2312" w:eastAsia="仿宋_GB2312" w:cs="仿宋_GB2312"/>
          <w:sz w:val="32"/>
          <w:szCs w:val="32"/>
          <w:lang w:val="en-US" w:eastAsia="zh"/>
        </w:rPr>
        <w:t>0</w:t>
      </w:r>
      <w:r>
        <w:rPr>
          <w:rFonts w:hint="eastAsia" w:ascii="仿宋_GB2312" w:hAnsi="仿宋_GB2312" w:eastAsia="仿宋_GB2312" w:cs="仿宋_GB2312"/>
          <w:sz w:val="32"/>
          <w:szCs w:val="32"/>
          <w:lang w:val="en-US" w:eastAsia="zh-CN"/>
        </w:rPr>
        <w:t>万元。</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27181"/>
      <w:r>
        <w:rPr>
          <w:rFonts w:hint="eastAsia" w:ascii="楷体_GB2312" w:hAnsi="楷体_GB2312" w:eastAsia="楷体_GB2312" w:cs="楷体_GB2312"/>
          <w:sz w:val="32"/>
          <w:szCs w:val="32"/>
          <w:lang w:val="en-US" w:eastAsia="zh-CN"/>
        </w:rPr>
        <w:t>（三）国有资产占有使用情况</w:t>
      </w:r>
      <w:bookmarkEnd w:id="25"/>
      <w:bookmarkStart w:id="28" w:name="_GoBack"/>
      <w:bookmarkEnd w:id="28"/>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共有车辆</w:t>
      </w:r>
      <w:r>
        <w:rPr>
          <w:rFonts w:hint="eastAsia" w:ascii="仿宋_GB2312" w:hAnsi="仿宋_GB2312" w:eastAsia="仿宋_GB2312" w:cs="仿宋_GB2312"/>
          <w:sz w:val="32"/>
          <w:szCs w:val="32"/>
          <w:lang w:val="en-US" w:eastAsia="zh"/>
        </w:rPr>
        <w:t>1</w:t>
      </w:r>
      <w:r>
        <w:rPr>
          <w:rFonts w:hint="eastAsia" w:ascii="仿宋_GB2312" w:hAnsi="仿宋_GB2312" w:eastAsia="仿宋_GB2312" w:cs="仿宋_GB2312"/>
          <w:sz w:val="32"/>
          <w:szCs w:val="32"/>
          <w:lang w:val="en-US" w:eastAsia="zh-CN"/>
        </w:rPr>
        <w:t>辆，其中，</w:t>
      </w:r>
      <w:r>
        <w:rPr>
          <w:rFonts w:hint="eastAsia" w:ascii="仿宋_GB2312" w:hAnsi="仿宋_GB2312" w:eastAsia="仿宋_GB2312" w:cs="仿宋_GB2312"/>
          <w:color w:val="auto"/>
          <w:sz w:val="32"/>
          <w:szCs w:val="32"/>
        </w:rPr>
        <w:t>一般公务用车1辆。</w:t>
      </w:r>
      <w:r>
        <w:rPr>
          <w:rFonts w:hint="eastAsia" w:ascii="仿宋_GB2312" w:hAnsi="仿宋_GB2312" w:eastAsia="仿宋_GB2312" w:cs="仿宋_GB2312"/>
          <w:sz w:val="32"/>
          <w:szCs w:val="32"/>
          <w:lang w:val="en-US" w:eastAsia="zh-CN"/>
        </w:rPr>
        <w:t>单位无价值200万元以上的大型设备。</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1"/>
        <w:rPr>
          <w:rFonts w:hint="eastAsia" w:ascii="楷体_GB2312" w:hAnsi="楷体_GB2312" w:eastAsia="楷体_GB2312" w:cs="楷体_GB2312"/>
          <w:sz w:val="32"/>
          <w:szCs w:val="32"/>
        </w:rPr>
      </w:pPr>
      <w:bookmarkStart w:id="26" w:name="_Toc21017"/>
      <w:r>
        <w:rPr>
          <w:rFonts w:hint="eastAsia" w:ascii="楷体_GB2312" w:hAnsi="楷体_GB2312" w:eastAsia="楷体_GB2312" w:cs="楷体_GB2312"/>
          <w:sz w:val="32"/>
          <w:szCs w:val="32"/>
          <w:lang w:val="en-US" w:eastAsia="zh-CN"/>
        </w:rPr>
        <w:t>（四）绩效目标设置情况</w:t>
      </w:r>
      <w:bookmarkEnd w:id="26"/>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lang w:val="en-US" w:eastAsia="zh"/>
        </w:rPr>
        <w:t>市委政法委</w:t>
      </w:r>
      <w:r>
        <w:rPr>
          <w:rFonts w:hint="eastAsia" w:ascii="仿宋_GB2312" w:hAnsi="仿宋_GB2312" w:eastAsia="仿宋_GB2312" w:cs="仿宋_GB2312"/>
          <w:sz w:val="32"/>
          <w:szCs w:val="32"/>
          <w:lang w:val="en-US" w:eastAsia="zh-CN"/>
        </w:rPr>
        <w:t>开展绩效目标管理的项目</w:t>
      </w:r>
      <w:r>
        <w:rPr>
          <w:rFonts w:hint="default" w:ascii="仿宋_GB2312" w:hAnsi="仿宋_GB2312" w:eastAsia="仿宋_GB2312" w:cs="仿宋_GB2312"/>
          <w:sz w:val="32"/>
          <w:szCs w:val="32"/>
          <w:lang w:val="en" w:eastAsia="zh"/>
        </w:rPr>
        <w:t>20</w:t>
      </w:r>
      <w:r>
        <w:rPr>
          <w:rFonts w:hint="eastAsia" w:ascii="仿宋_GB2312" w:hAnsi="仿宋_GB2312" w:eastAsia="仿宋_GB2312" w:cs="仿宋_GB2312"/>
          <w:sz w:val="32"/>
          <w:szCs w:val="32"/>
          <w:lang w:val="en-US" w:eastAsia="zh-CN"/>
        </w:rPr>
        <w:t>个，涉及预算</w:t>
      </w:r>
      <w:r>
        <w:rPr>
          <w:rFonts w:hint="eastAsia" w:ascii="仿宋_GB2312" w:hAnsi="仿宋_GB2312" w:eastAsia="仿宋_GB2312" w:cs="仿宋_GB2312"/>
          <w:sz w:val="32"/>
          <w:szCs w:val="32"/>
          <w:lang w:val="en-US" w:eastAsia="zh"/>
        </w:rPr>
        <w:t>1329.47</w:t>
      </w:r>
      <w:r>
        <w:rPr>
          <w:rFonts w:hint="eastAsia" w:ascii="仿宋_GB2312" w:hAnsi="仿宋_GB2312" w:eastAsia="仿宋_GB2312" w:cs="仿宋_GB2312"/>
          <w:sz w:val="32"/>
          <w:szCs w:val="32"/>
          <w:lang w:val="en-US" w:eastAsia="zh-CN"/>
        </w:rPr>
        <w:t>万元。其中：人员类项目</w:t>
      </w:r>
      <w:r>
        <w:rPr>
          <w:rFonts w:hint="default" w:ascii="仿宋_GB2312" w:hAnsi="仿宋_GB2312" w:eastAsia="仿宋_GB2312" w:cs="仿宋_GB2312"/>
          <w:sz w:val="32"/>
          <w:szCs w:val="32"/>
          <w:lang w:val="en" w:eastAsia="zh"/>
        </w:rPr>
        <w:t>8</w:t>
      </w:r>
      <w:r>
        <w:rPr>
          <w:rFonts w:hint="eastAsia" w:ascii="仿宋_GB2312" w:hAnsi="仿宋_GB2312" w:eastAsia="仿宋_GB2312" w:cs="仿宋_GB2312"/>
          <w:sz w:val="32"/>
          <w:szCs w:val="32"/>
          <w:lang w:val="en-US" w:eastAsia="zh-CN"/>
        </w:rPr>
        <w:t>个，涉及预算</w:t>
      </w:r>
      <w:r>
        <w:rPr>
          <w:rFonts w:hint="eastAsia" w:ascii="仿宋_GB2312" w:hAnsi="仿宋_GB2312" w:eastAsia="仿宋_GB2312" w:cs="仿宋_GB2312"/>
          <w:sz w:val="32"/>
          <w:szCs w:val="32"/>
          <w:lang w:val="en-US" w:eastAsia="zh"/>
        </w:rPr>
        <w:t>939.0</w:t>
      </w:r>
      <w:r>
        <w:rPr>
          <w:rFonts w:hint="default" w:ascii="仿宋_GB2312" w:hAnsi="仿宋_GB2312" w:eastAsia="仿宋_GB2312" w:cs="仿宋_GB2312"/>
          <w:sz w:val="32"/>
          <w:szCs w:val="32"/>
          <w:lang w:val="en" w:eastAsia="zh"/>
        </w:rPr>
        <w:t>5</w:t>
      </w:r>
      <w:r>
        <w:rPr>
          <w:rFonts w:hint="eastAsia" w:ascii="仿宋_GB2312" w:hAnsi="仿宋_GB2312" w:eastAsia="仿宋_GB2312" w:cs="仿宋_GB2312"/>
          <w:sz w:val="32"/>
          <w:szCs w:val="32"/>
          <w:lang w:val="en-US" w:eastAsia="zh-CN"/>
        </w:rPr>
        <w:t>万元；运转类项目</w:t>
      </w:r>
      <w:r>
        <w:rPr>
          <w:rFonts w:hint="default" w:ascii="仿宋_GB2312" w:hAnsi="仿宋_GB2312" w:eastAsia="仿宋_GB2312" w:cs="仿宋_GB2312"/>
          <w:sz w:val="32"/>
          <w:szCs w:val="32"/>
          <w:lang w:val="en" w:eastAsia="zh-CN"/>
        </w:rPr>
        <w:t>4</w:t>
      </w:r>
      <w:r>
        <w:rPr>
          <w:rFonts w:hint="eastAsia" w:ascii="仿宋_GB2312" w:hAnsi="仿宋_GB2312" w:eastAsia="仿宋_GB2312" w:cs="仿宋_GB2312"/>
          <w:sz w:val="32"/>
          <w:szCs w:val="32"/>
          <w:lang w:val="en-US" w:eastAsia="zh-CN"/>
        </w:rPr>
        <w:t>个，涉及预算</w:t>
      </w:r>
      <w:r>
        <w:rPr>
          <w:rFonts w:hint="eastAsia" w:ascii="仿宋_GB2312" w:hAnsi="仿宋_GB2312" w:eastAsia="仿宋_GB2312" w:cs="仿宋_GB2312"/>
          <w:sz w:val="32"/>
          <w:szCs w:val="32"/>
          <w:lang w:val="en-US" w:eastAsia="zh"/>
        </w:rPr>
        <w:t>146.91</w:t>
      </w:r>
      <w:r>
        <w:rPr>
          <w:rFonts w:hint="eastAsia" w:ascii="仿宋_GB2312" w:hAnsi="仿宋_GB2312" w:eastAsia="仿宋_GB2312" w:cs="仿宋_GB2312"/>
          <w:sz w:val="32"/>
          <w:szCs w:val="32"/>
          <w:lang w:val="en-US" w:eastAsia="zh-CN"/>
        </w:rPr>
        <w:t>万元；特定目标类项目</w:t>
      </w:r>
      <w:r>
        <w:rPr>
          <w:rFonts w:hint="eastAsia" w:ascii="仿宋_GB2312" w:hAnsi="仿宋_GB2312" w:eastAsia="仿宋_GB2312" w:cs="仿宋_GB2312"/>
          <w:sz w:val="32"/>
          <w:szCs w:val="32"/>
          <w:lang w:val="en-US" w:eastAsia="zh"/>
        </w:rPr>
        <w:t>8</w:t>
      </w:r>
      <w:r>
        <w:rPr>
          <w:rFonts w:hint="eastAsia" w:ascii="仿宋_GB2312" w:hAnsi="仿宋_GB2312" w:eastAsia="仿宋_GB2312" w:cs="仿宋_GB2312"/>
          <w:sz w:val="32"/>
          <w:szCs w:val="32"/>
          <w:lang w:val="en-US" w:eastAsia="zh-CN"/>
        </w:rPr>
        <w:t>个，涉及预算</w:t>
      </w:r>
      <w:r>
        <w:rPr>
          <w:rFonts w:hint="eastAsia" w:ascii="仿宋_GB2312" w:hAnsi="仿宋_GB2312" w:eastAsia="仿宋_GB2312" w:cs="仿宋_GB2312"/>
          <w:sz w:val="32"/>
          <w:szCs w:val="32"/>
          <w:lang w:val="en-US" w:eastAsia="zh"/>
        </w:rPr>
        <w:t>243.51</w:t>
      </w:r>
      <w:r>
        <w:rPr>
          <w:rFonts w:hint="eastAsia" w:ascii="仿宋_GB2312" w:hAnsi="仿宋_GB2312" w:eastAsia="仿宋_GB2312" w:cs="仿宋_GB2312"/>
          <w:sz w:val="32"/>
          <w:szCs w:val="32"/>
          <w:lang w:val="en-US" w:eastAsia="zh-CN"/>
        </w:rPr>
        <w:t>万元。</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outlineLvl w:val="0"/>
        <w:rPr>
          <w:rFonts w:hint="eastAsia" w:ascii="黑体" w:hAnsi="黑体" w:eastAsia="黑体" w:cs="黑体"/>
          <w:sz w:val="32"/>
          <w:szCs w:val="32"/>
        </w:rPr>
      </w:pPr>
      <w:bookmarkStart w:id="27" w:name="_Toc10927"/>
      <w:r>
        <w:rPr>
          <w:rFonts w:hint="eastAsia" w:ascii="黑体" w:hAnsi="黑体" w:eastAsia="黑体" w:cs="黑体"/>
          <w:sz w:val="32"/>
          <w:szCs w:val="32"/>
          <w:lang w:val="en-US" w:eastAsia="zh-CN"/>
        </w:rPr>
        <w:t>十一、名词解释</w:t>
      </w:r>
      <w:bookmarkEnd w:id="27"/>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sz w:val="32"/>
          <w:szCs w:val="32"/>
          <w:lang w:val="en-US" w:eastAsia="zh-CN"/>
        </w:rPr>
      </w:pPr>
      <w:r>
        <w:rPr>
          <w:rFonts w:hint="default" w:ascii="楷体_GB2312" w:hAnsi="楷体_GB2312" w:eastAsia="楷体_GB2312" w:cs="楷体_GB2312"/>
          <w:sz w:val="32"/>
          <w:szCs w:val="32"/>
          <w:lang w:eastAsia="zh-CN"/>
        </w:rPr>
        <w:t xml:space="preserve">财政拨款收入 </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一般公共服务支出（类）党委办公厅（室）及相关机构事务（款）行政运行（项）：</w:t>
      </w:r>
      <w:r>
        <w:rPr>
          <w:rFonts w:hint="eastAsia" w:ascii="仿宋_GB2312" w:hAnsi="仿宋_GB2312" w:eastAsia="仿宋_GB2312" w:cs="仿宋_GB2312"/>
          <w:color w:val="000000" w:themeColor="text1"/>
          <w:sz w:val="32"/>
          <w:szCs w:val="32"/>
          <w14:textFill>
            <w14:solidFill>
              <w14:schemeClr w14:val="tx1"/>
            </w14:solidFill>
          </w14:textFill>
        </w:rPr>
        <w:t>指机关单位用于保障机构正常运行、开展日常工作的基本支出。</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一般公共服务支出（类）党委办公厅（室）及相关机构事务（款）一般行政管理事务（项）：</w:t>
      </w:r>
      <w:r>
        <w:rPr>
          <w:rFonts w:hint="eastAsia" w:ascii="仿宋_GB2312" w:hAnsi="仿宋_GB2312" w:eastAsia="仿宋_GB2312" w:cs="仿宋_GB2312"/>
          <w:color w:val="000000" w:themeColor="text1"/>
          <w:sz w:val="32"/>
          <w:szCs w:val="32"/>
          <w14:textFill>
            <w14:solidFill>
              <w14:schemeClr w14:val="tx1"/>
            </w14:solidFill>
          </w14:textFill>
        </w:rPr>
        <w:t>指用于一般行政管理事务的支出。</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一般公共服务支出（类）党委办公厅（室）及相关机构事务（款）事业运行（项）：</w:t>
      </w:r>
      <w:r>
        <w:rPr>
          <w:rFonts w:hint="eastAsia" w:ascii="仿宋_GB2312" w:hAnsi="仿宋_GB2312" w:eastAsia="仿宋_GB2312" w:cs="仿宋_GB2312"/>
          <w:color w:val="000000" w:themeColor="text1"/>
          <w:sz w:val="32"/>
          <w:szCs w:val="32"/>
          <w14:textFill>
            <w14:solidFill>
              <w14:schemeClr w14:val="tx1"/>
            </w14:solidFill>
          </w14:textFill>
        </w:rPr>
        <w:t>指事业单位用于保障机构正常运行、开展日常工作的基本支出。</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color w:val="000000" w:themeColor="text1"/>
          <w:sz w:val="32"/>
          <w:szCs w:val="32"/>
          <w14:textFill>
            <w14:solidFill>
              <w14:schemeClr w14:val="tx1"/>
            </w14:solidFill>
          </w14:textFill>
        </w:rPr>
        <w:t>指部门实施养老保险制度由单位缴纳的养老保险的支出。</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社会保障和就业（类）</w:t>
      </w:r>
      <w:r>
        <w:rPr>
          <w:rFonts w:hint="eastAsia" w:ascii="楷体_GB2312" w:hAnsi="楷体_GB2312" w:eastAsia="楷体_GB2312" w:cs="楷体_GB2312"/>
          <w:sz w:val="32"/>
          <w:szCs w:val="32"/>
          <w:lang w:val="en-US" w:eastAsia="zh"/>
        </w:rPr>
        <w:t>其他社会保障和就业支出</w:t>
      </w:r>
      <w:r>
        <w:rPr>
          <w:rFonts w:hint="eastAsia" w:ascii="楷体_GB2312" w:hAnsi="楷体_GB2312" w:eastAsia="楷体_GB2312" w:cs="楷体_GB2312"/>
          <w:sz w:val="32"/>
          <w:szCs w:val="32"/>
          <w:lang w:val="en-US" w:eastAsia="zh-CN"/>
        </w:rPr>
        <w:t>（款）</w:t>
      </w:r>
      <w:r>
        <w:rPr>
          <w:rFonts w:hint="eastAsia" w:ascii="楷体_GB2312" w:hAnsi="楷体_GB2312" w:eastAsia="楷体_GB2312" w:cs="楷体_GB2312"/>
          <w:sz w:val="32"/>
          <w:szCs w:val="32"/>
          <w:lang w:val="en-US" w:eastAsia="zh"/>
        </w:rPr>
        <w:t>其他社会保障和就业支出</w:t>
      </w:r>
      <w:r>
        <w:rPr>
          <w:rFonts w:hint="eastAsia" w:ascii="楷体_GB2312" w:hAnsi="楷体_GB2312" w:eastAsia="楷体_GB2312" w:cs="楷体_GB2312"/>
          <w:sz w:val="32"/>
          <w:szCs w:val="32"/>
          <w:lang w:val="en-US" w:eastAsia="zh-CN"/>
        </w:rPr>
        <w:t>（项）</w:t>
      </w:r>
      <w:r>
        <w:rPr>
          <w:rFonts w:hint="eastAsia" w:ascii="楷体_GB2312" w:hAnsi="楷体_GB2312" w:eastAsia="楷体_GB2312" w:cs="楷体_GB2312"/>
          <w:sz w:val="32"/>
          <w:szCs w:val="32"/>
          <w:lang w:val="en-US" w:eastAsia="zh"/>
        </w:rPr>
        <w:t>：</w:t>
      </w:r>
      <w:r>
        <w:rPr>
          <w:rFonts w:hint="eastAsia" w:ascii="仿宋_GB2312" w:hAnsi="仿宋_GB2312" w:eastAsia="仿宋_GB2312" w:cs="仿宋_GB2312"/>
          <w:color w:val="000000" w:themeColor="text1"/>
          <w:sz w:val="32"/>
          <w:szCs w:val="32"/>
          <w:lang w:eastAsia="zh"/>
          <w14:textFill>
            <w14:solidFill>
              <w14:schemeClr w14:val="tx1"/>
            </w14:solidFill>
          </w14:textFill>
        </w:rPr>
        <w:t>指按规定为职工缴纳的工伤、失业保险等</w:t>
      </w:r>
      <w:r>
        <w:rPr>
          <w:rFonts w:hint="eastAsia" w:ascii="仿宋_GB2312" w:hAnsi="仿宋_GB2312" w:eastAsia="仿宋_GB2312" w:cs="仿宋_GB2312"/>
          <w:color w:val="000000" w:themeColor="text1"/>
          <w:sz w:val="32"/>
          <w:szCs w:val="32"/>
          <w14:textFill>
            <w14:solidFill>
              <w14:schemeClr w14:val="tx1"/>
            </w14:solidFill>
          </w14:textFill>
        </w:rPr>
        <w:t>其他社会保障和就业支出。</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卫生健康（类）行政事业单位医疗（款）行政单位医疗（项）：</w:t>
      </w:r>
      <w:r>
        <w:rPr>
          <w:rFonts w:hint="eastAsia" w:ascii="仿宋_GB2312" w:hAnsi="仿宋_GB2312" w:eastAsia="仿宋_GB2312" w:cs="仿宋_GB2312"/>
          <w:color w:val="000000" w:themeColor="text1"/>
          <w:sz w:val="32"/>
          <w:szCs w:val="32"/>
          <w14:textFill>
            <w14:solidFill>
              <w14:schemeClr w14:val="tx1"/>
            </w14:solidFill>
          </w14:textFill>
        </w:rPr>
        <w:t>指机关及参公管理事业单位用于单位应缴纳基本医疗保险支出。</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color w:val="000000" w:themeColor="text1"/>
          <w:sz w:val="32"/>
          <w:szCs w:val="32"/>
          <w14:textFill>
            <w14:solidFill>
              <w14:schemeClr w14:val="tx1"/>
            </w14:solidFill>
          </w14:textFill>
        </w:rPr>
        <w:t>指按照《住房公积金管理条例》的规定，由单位及其在职职工缴存的长期住房储金。</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color w:val="000000" w:themeColor="text1"/>
          <w:sz w:val="32"/>
          <w:szCs w:val="32"/>
          <w14:textFill>
            <w14:solidFill>
              <w14:schemeClr w14:val="tx1"/>
            </w14:solidFill>
          </w14:textFill>
        </w:rPr>
        <w:t>指为保证机构正常运转，完成日常工作任务而发生的人员支出和公用支出。</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color w:val="000000" w:themeColor="text1"/>
          <w:sz w:val="32"/>
          <w:szCs w:val="32"/>
          <w14:textFill>
            <w14:solidFill>
              <w14:schemeClr w14:val="tx1"/>
            </w14:solidFill>
          </w14:textFill>
        </w:rPr>
        <w:t>指在基本支出之外为完成特定行政任务和事业发展目标所发生的支出。</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color w:val="000000" w:themeColor="text1"/>
          <w:sz w:val="32"/>
          <w:szCs w:val="32"/>
          <w14:textFill>
            <w14:solidFill>
              <w14:schemeClr w14:val="tx1"/>
            </w14:solidFill>
          </w14:textFill>
        </w:rPr>
        <w:t>纳入</w:t>
      </w:r>
      <w:r>
        <w:rPr>
          <w:rFonts w:hint="eastAsia" w:ascii="仿宋_GB2312" w:hAnsi="仿宋_GB2312" w:eastAsia="仿宋_GB2312" w:cs="仿宋_GB2312"/>
          <w:color w:val="000000" w:themeColor="text1"/>
          <w:sz w:val="32"/>
          <w:szCs w:val="32"/>
          <w:lang w:eastAsia="zh"/>
          <w14:textFill>
            <w14:solidFill>
              <w14:schemeClr w14:val="tx1"/>
            </w14:solidFill>
          </w14:textFill>
        </w:rPr>
        <w:t>部门</w:t>
      </w:r>
      <w:r>
        <w:rPr>
          <w:rFonts w:hint="eastAsia" w:ascii="仿宋_GB2312" w:hAnsi="仿宋_GB2312" w:eastAsia="仿宋_GB2312" w:cs="仿宋_GB2312"/>
          <w:color w:val="000000" w:themeColor="text1"/>
          <w:sz w:val="32"/>
          <w:szCs w:val="32"/>
          <w14:textFill>
            <w14:solidFill>
              <w14:schemeClr w14:val="tx1"/>
            </w14:solidFill>
          </w14:textFill>
        </w:rPr>
        <w:t>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2"/>
        </w:numPr>
        <w:shd w:val="clear"/>
        <w:kinsoku/>
        <w:wordWrap/>
        <w:overflowPunct/>
        <w:topLinePunct w:val="0"/>
        <w:autoSpaceDE/>
        <w:autoSpaceDN/>
        <w:bidi w:val="0"/>
        <w:adjustRightInd/>
        <w:snapToGrid w:val="0"/>
        <w:spacing w:line="348" w:lineRule="auto"/>
        <w:ind w:left="0" w:leftChars="0" w:firstLine="42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color w:val="000000" w:themeColor="text1"/>
          <w:sz w:val="32"/>
          <w:szCs w:val="32"/>
          <w14:textFill>
            <w14:solidFill>
              <w14:schemeClr w14:val="tx1"/>
            </w14:solidFill>
          </w14:textFill>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val="0"/>
        <w:spacing w:line="348"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eastAsia" w:ascii="仿宋_GB2312" w:hAnsi="仿宋_GB2312" w:eastAsia="仿宋_GB2312" w:cs="仿宋_GB2312"/>
          <w:color w:val="auto"/>
          <w:sz w:val="32"/>
          <w:szCs w:val="32"/>
        </w:rPr>
        <w:t>市委政法委202</w:t>
      </w:r>
      <w:r>
        <w:rPr>
          <w:rFonts w:hint="eastAsia" w:ascii="仿宋_GB2312" w:hAnsi="仿宋_GB2312" w:eastAsia="仿宋_GB2312" w:cs="仿宋_GB2312"/>
          <w:color w:val="auto"/>
          <w:sz w:val="32"/>
          <w:szCs w:val="32"/>
          <w:lang w:val="en-US" w:eastAsia="zh"/>
        </w:rPr>
        <w:t>4</w:t>
      </w:r>
      <w:r>
        <w:rPr>
          <w:rFonts w:hint="eastAsia" w:ascii="仿宋_GB2312" w:hAnsi="仿宋_GB2312" w:eastAsia="仿宋_GB2312" w:cs="仿宋_GB2312"/>
          <w:color w:val="auto"/>
          <w:sz w:val="32"/>
          <w:szCs w:val="32"/>
        </w:rPr>
        <w:t>年部门预算公开</w:t>
      </w:r>
      <w:r>
        <w:rPr>
          <w:rFonts w:hint="eastAsia" w:ascii="仿宋_GB2312" w:hAnsi="仿宋_GB2312" w:eastAsia="仿宋_GB2312" w:cs="仿宋_GB2312"/>
          <w:color w:val="auto"/>
          <w:sz w:val="32"/>
          <w:szCs w:val="32"/>
          <w:lang w:eastAsia="zh"/>
        </w:rPr>
        <w:t>报</w:t>
      </w:r>
      <w:r>
        <w:rPr>
          <w:rFonts w:hint="eastAsia" w:ascii="仿宋_GB2312" w:hAnsi="仿宋_GB2312" w:eastAsia="仿宋_GB2312" w:cs="仿宋_GB2312"/>
          <w:color w:val="auto"/>
          <w:sz w:val="32"/>
          <w:szCs w:val="32"/>
        </w:rPr>
        <w:t>表</w:t>
      </w: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5F8D7D"/>
    <w:multiLevelType w:val="singleLevel"/>
    <w:tmpl w:val="F85F8D7D"/>
    <w:lvl w:ilvl="0" w:tentative="0">
      <w:start w:val="1"/>
      <w:numFmt w:val="chineseCounting"/>
      <w:suff w:val="nothing"/>
      <w:lvlText w:val="（%1）"/>
      <w:lvlJc w:val="left"/>
      <w:pPr>
        <w:ind w:left="0" w:firstLine="420"/>
      </w:pPr>
      <w:rPr>
        <w:rFonts w:hint="eastAsia"/>
        <w:b/>
        <w:bCs/>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FF3A1DD"/>
    <w:rsid w:val="1B1DFEC1"/>
    <w:rsid w:val="1DECB8EB"/>
    <w:rsid w:val="1F7BF06F"/>
    <w:rsid w:val="1FB18D2F"/>
    <w:rsid w:val="1FEE4B73"/>
    <w:rsid w:val="23CE9849"/>
    <w:rsid w:val="2FFCA154"/>
    <w:rsid w:val="35DF1B7A"/>
    <w:rsid w:val="39AF91C1"/>
    <w:rsid w:val="39F304DD"/>
    <w:rsid w:val="39FDF143"/>
    <w:rsid w:val="3A7F1C8C"/>
    <w:rsid w:val="3DFB561B"/>
    <w:rsid w:val="3F5E69F9"/>
    <w:rsid w:val="4BFB5227"/>
    <w:rsid w:val="4F57E346"/>
    <w:rsid w:val="51B44D3E"/>
    <w:rsid w:val="53CE0CCC"/>
    <w:rsid w:val="54244390"/>
    <w:rsid w:val="54662A63"/>
    <w:rsid w:val="5477F4B7"/>
    <w:rsid w:val="56EF0E28"/>
    <w:rsid w:val="57BE66A1"/>
    <w:rsid w:val="57EFFD81"/>
    <w:rsid w:val="57FF0971"/>
    <w:rsid w:val="58064E12"/>
    <w:rsid w:val="597D7091"/>
    <w:rsid w:val="5A7DCBC2"/>
    <w:rsid w:val="5B9B2A62"/>
    <w:rsid w:val="5BB73252"/>
    <w:rsid w:val="5BFCF5D0"/>
    <w:rsid w:val="5BFEE015"/>
    <w:rsid w:val="5DFB147E"/>
    <w:rsid w:val="5F76BD1F"/>
    <w:rsid w:val="5FDF3980"/>
    <w:rsid w:val="63DB27F8"/>
    <w:rsid w:val="63EDCF55"/>
    <w:rsid w:val="63FBFBCF"/>
    <w:rsid w:val="669360FD"/>
    <w:rsid w:val="67BF7D18"/>
    <w:rsid w:val="67D17273"/>
    <w:rsid w:val="68FF6A83"/>
    <w:rsid w:val="6CD31C64"/>
    <w:rsid w:val="6E39FC6D"/>
    <w:rsid w:val="6EDFDEC6"/>
    <w:rsid w:val="6F993A01"/>
    <w:rsid w:val="6FBBC9CF"/>
    <w:rsid w:val="72BDE561"/>
    <w:rsid w:val="73BF7E31"/>
    <w:rsid w:val="76CEB1BB"/>
    <w:rsid w:val="76CF4602"/>
    <w:rsid w:val="77BFB568"/>
    <w:rsid w:val="77CFA85A"/>
    <w:rsid w:val="77EF4C37"/>
    <w:rsid w:val="77F40FEA"/>
    <w:rsid w:val="78462278"/>
    <w:rsid w:val="7997EA6C"/>
    <w:rsid w:val="79D51C1A"/>
    <w:rsid w:val="79DE12FD"/>
    <w:rsid w:val="7A2E60D6"/>
    <w:rsid w:val="7A9BFCEC"/>
    <w:rsid w:val="7AEAE675"/>
    <w:rsid w:val="7AFD00A0"/>
    <w:rsid w:val="7B57AA35"/>
    <w:rsid w:val="7B6D0813"/>
    <w:rsid w:val="7B7F86A2"/>
    <w:rsid w:val="7BA6B2CD"/>
    <w:rsid w:val="7BAEFEFC"/>
    <w:rsid w:val="7BAFCE5D"/>
    <w:rsid w:val="7BF334F3"/>
    <w:rsid w:val="7BFF6C32"/>
    <w:rsid w:val="7CEFB52B"/>
    <w:rsid w:val="7D46598C"/>
    <w:rsid w:val="7D6B8B09"/>
    <w:rsid w:val="7D77BC85"/>
    <w:rsid w:val="7DCB05E4"/>
    <w:rsid w:val="7DFB240B"/>
    <w:rsid w:val="7DFFE52A"/>
    <w:rsid w:val="7E0935ED"/>
    <w:rsid w:val="7E6B5C2E"/>
    <w:rsid w:val="7EDFDD69"/>
    <w:rsid w:val="7EF7C062"/>
    <w:rsid w:val="7EFE372D"/>
    <w:rsid w:val="7F4B5461"/>
    <w:rsid w:val="7F5F56F7"/>
    <w:rsid w:val="7F5FC679"/>
    <w:rsid w:val="7F7F09A9"/>
    <w:rsid w:val="7F9FF513"/>
    <w:rsid w:val="7FBF620C"/>
    <w:rsid w:val="7FCF2AF7"/>
    <w:rsid w:val="7FD5D9D6"/>
    <w:rsid w:val="7FEEE6FF"/>
    <w:rsid w:val="7FEF995E"/>
    <w:rsid w:val="7FF5CC10"/>
    <w:rsid w:val="7FF68447"/>
    <w:rsid w:val="7FF9C442"/>
    <w:rsid w:val="7FFB4B8E"/>
    <w:rsid w:val="7FFB7B04"/>
    <w:rsid w:val="7FFC547C"/>
    <w:rsid w:val="7FFF2089"/>
    <w:rsid w:val="8769E1CD"/>
    <w:rsid w:val="8D2C0883"/>
    <w:rsid w:val="91F78B58"/>
    <w:rsid w:val="91FF0FEC"/>
    <w:rsid w:val="97DFB491"/>
    <w:rsid w:val="9EDFECB0"/>
    <w:rsid w:val="9FEDE449"/>
    <w:rsid w:val="9FEF033D"/>
    <w:rsid w:val="A27FF1E5"/>
    <w:rsid w:val="A7BF4AE7"/>
    <w:rsid w:val="A7F5F3AB"/>
    <w:rsid w:val="A9FA984C"/>
    <w:rsid w:val="AFB5EEE8"/>
    <w:rsid w:val="AFDEB5A7"/>
    <w:rsid w:val="AFEA7FBF"/>
    <w:rsid w:val="AFF25118"/>
    <w:rsid w:val="B77DC02E"/>
    <w:rsid w:val="B83F4767"/>
    <w:rsid w:val="BA9F0E16"/>
    <w:rsid w:val="BB23A57D"/>
    <w:rsid w:val="BE590B3F"/>
    <w:rsid w:val="BE75F5AC"/>
    <w:rsid w:val="BEEF894A"/>
    <w:rsid w:val="BEFFDD87"/>
    <w:rsid w:val="BF7E2F5A"/>
    <w:rsid w:val="BF930F07"/>
    <w:rsid w:val="BFAF7AC4"/>
    <w:rsid w:val="BFB42744"/>
    <w:rsid w:val="BFBFF8C5"/>
    <w:rsid w:val="BFCD2BF7"/>
    <w:rsid w:val="BFCE8436"/>
    <w:rsid w:val="BFF672FD"/>
    <w:rsid w:val="BFFAE669"/>
    <w:rsid w:val="BFFF6A36"/>
    <w:rsid w:val="C37B6519"/>
    <w:rsid w:val="C3CF38A7"/>
    <w:rsid w:val="C3F7EB7A"/>
    <w:rsid w:val="C5AFBF84"/>
    <w:rsid w:val="C66FF5F0"/>
    <w:rsid w:val="C9FDB89E"/>
    <w:rsid w:val="C9FE848F"/>
    <w:rsid w:val="CC0FC58D"/>
    <w:rsid w:val="CC9E2AE8"/>
    <w:rsid w:val="CDFCB1B8"/>
    <w:rsid w:val="CEDF3276"/>
    <w:rsid w:val="CFF5FEEC"/>
    <w:rsid w:val="D3DD9064"/>
    <w:rsid w:val="D6F76A0C"/>
    <w:rsid w:val="D7EA0F1E"/>
    <w:rsid w:val="D7ECE8D2"/>
    <w:rsid w:val="DCFF613F"/>
    <w:rsid w:val="DEC97A1D"/>
    <w:rsid w:val="DFDD4FB5"/>
    <w:rsid w:val="DFE96147"/>
    <w:rsid w:val="DFE9CB61"/>
    <w:rsid w:val="DFEB27A8"/>
    <w:rsid w:val="DFEEADF9"/>
    <w:rsid w:val="DFFB2D24"/>
    <w:rsid w:val="DFFD10C3"/>
    <w:rsid w:val="E77FF2DC"/>
    <w:rsid w:val="E79E34C8"/>
    <w:rsid w:val="E7F748B5"/>
    <w:rsid w:val="EB3DB860"/>
    <w:rsid w:val="EBAE1B3B"/>
    <w:rsid w:val="EBF72EAA"/>
    <w:rsid w:val="ED534F5C"/>
    <w:rsid w:val="ED731701"/>
    <w:rsid w:val="EDD71393"/>
    <w:rsid w:val="EDDF3AEA"/>
    <w:rsid w:val="EDDF575B"/>
    <w:rsid w:val="EDEFE699"/>
    <w:rsid w:val="EE5F3713"/>
    <w:rsid w:val="EEEB86D3"/>
    <w:rsid w:val="EF77BA34"/>
    <w:rsid w:val="EF784CA6"/>
    <w:rsid w:val="EFC9D62C"/>
    <w:rsid w:val="EFDF7CD4"/>
    <w:rsid w:val="EFF6CCC8"/>
    <w:rsid w:val="EFF7AD44"/>
    <w:rsid w:val="EFFFF249"/>
    <w:rsid w:val="F0DE6437"/>
    <w:rsid w:val="F2D696D4"/>
    <w:rsid w:val="F3FECB2F"/>
    <w:rsid w:val="F46FB7B5"/>
    <w:rsid w:val="F53FEDCF"/>
    <w:rsid w:val="F64EE1F2"/>
    <w:rsid w:val="F6BE9755"/>
    <w:rsid w:val="F6FFA89B"/>
    <w:rsid w:val="F777AA56"/>
    <w:rsid w:val="F77FADCC"/>
    <w:rsid w:val="F7EF8B36"/>
    <w:rsid w:val="F7F7EDB2"/>
    <w:rsid w:val="F7FB5C6E"/>
    <w:rsid w:val="F7FFB354"/>
    <w:rsid w:val="F9DF4F19"/>
    <w:rsid w:val="F9FEBA92"/>
    <w:rsid w:val="FAE4EFE1"/>
    <w:rsid w:val="FAED0642"/>
    <w:rsid w:val="FB7BDB9B"/>
    <w:rsid w:val="FB9B6F12"/>
    <w:rsid w:val="FB9F0B08"/>
    <w:rsid w:val="FBB66A4A"/>
    <w:rsid w:val="FD131E1E"/>
    <w:rsid w:val="FD67B737"/>
    <w:rsid w:val="FDB71ADD"/>
    <w:rsid w:val="FDBC08CF"/>
    <w:rsid w:val="FDEC1F03"/>
    <w:rsid w:val="FDEE6989"/>
    <w:rsid w:val="FE076CC4"/>
    <w:rsid w:val="FE772151"/>
    <w:rsid w:val="FE79438A"/>
    <w:rsid w:val="FEBD595C"/>
    <w:rsid w:val="FEC5B1D2"/>
    <w:rsid w:val="FEFDFE6C"/>
    <w:rsid w:val="FEFFF92F"/>
    <w:rsid w:val="FEFFFA59"/>
    <w:rsid w:val="FF4BA241"/>
    <w:rsid w:val="FF577A33"/>
    <w:rsid w:val="FF5E7DB8"/>
    <w:rsid w:val="FF77E367"/>
    <w:rsid w:val="FF95FBE3"/>
    <w:rsid w:val="FFAFA213"/>
    <w:rsid w:val="FFD576EB"/>
    <w:rsid w:val="FFEEBD9B"/>
    <w:rsid w:val="FFF7CBF6"/>
    <w:rsid w:val="FFF7EBB6"/>
    <w:rsid w:val="FFFA59B2"/>
    <w:rsid w:val="FFFBE8B7"/>
    <w:rsid w:val="FFFE0290"/>
    <w:rsid w:val="FFFEF048"/>
    <w:rsid w:val="FFFF174F"/>
    <w:rsid w:val="FFFF29C8"/>
    <w:rsid w:val="FFFFD691"/>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2018-12-02T09:47:00Z</dcterms:created>
  <dc:creator>admin</dc:creator>
  <cp:lastModifiedBy> </cp:lastModifiedBy>
  <cp:lastPrinted>2024-02-02T15:52:00Z</cp:lastPrinted>
  <dcterms:modified xsi:type="dcterms:W3CDTF">2024-02-05T11:49:33Z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