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9686"/>
      <w:bookmarkStart w:id="1" w:name="_Toc26894"/>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四川省广元市职业高级中学校</w:t>
      </w:r>
      <w:bookmarkEnd w:id="0"/>
      <w:bookmarkEnd w:id="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sdt>
      <w:sdtPr>
        <w:rPr>
          <w:rFonts w:ascii="宋体" w:hAnsi="宋体" w:eastAsia="宋体" w:cs="Times New Roman"/>
          <w:color w:val="auto"/>
          <w:kern w:val="2"/>
          <w:sz w:val="21"/>
          <w:szCs w:val="24"/>
          <w:lang w:val="en-US" w:eastAsia="zh-CN" w:bidi="ar-SA"/>
        </w:rPr>
        <w:id w:val="147473753"/>
        <w15:color w:val="DBDBDB"/>
        <w:docPartObj>
          <w:docPartGallery w:val="Table of Contents"/>
          <w:docPartUnique/>
        </w:docPartObj>
      </w:sdtPr>
      <w:sdtEndPr>
        <w:rPr>
          <w:rFonts w:hint="eastAsia" w:ascii="方正小标宋简体" w:hAnsi="方正小标宋简体" w:eastAsia="方正小标宋简体" w:cs="方正小标宋简体"/>
          <w:b/>
          <w:bCs w:val="0"/>
          <w:i w:val="0"/>
          <w:caps w:val="0"/>
          <w:color w:val="000000" w:themeColor="text1"/>
          <w:spacing w:val="0"/>
          <w:kern w:val="0"/>
          <w:sz w:val="21"/>
          <w:szCs w:val="44"/>
          <w:highlight w:val="none"/>
          <w:shd w:val="clear" w:color="auto" w:fill="FFFFFF"/>
          <w:lang w:val="en-US" w:eastAsia="zh-CN" w:bidi="ar"/>
          <w14:textFill>
            <w14:solidFill>
              <w14:schemeClr w14:val="tx1"/>
            </w14:solidFill>
          </w14:textFill>
        </w:rPr>
      </w:sdtEndPr>
      <w:sdtContent>
        <w:p>
          <w:pPr>
            <w:keepNext w:val="0"/>
            <w:keepLines w:val="0"/>
            <w:pageBreakBefore w:val="0"/>
            <w:kinsoku/>
            <w:wordWrap/>
            <w:overflowPunct/>
            <w:topLinePunct w:val="0"/>
            <w:autoSpaceDE/>
            <w:autoSpaceDN/>
            <w:bidi w:val="0"/>
            <w:adjustRightInd/>
            <w:snapToGrid/>
            <w:spacing w:before="0" w:beforeLines="0" w:after="0" w:afterLines="0" w:line="460" w:lineRule="exact"/>
            <w:ind w:left="0" w:leftChars="0" w:right="0" w:rightChars="0" w:firstLine="0" w:firstLineChars="0"/>
            <w:jc w:val="center"/>
            <w:textAlignment w:val="auto"/>
          </w:pPr>
          <w:r>
            <w:rPr>
              <w:rFonts w:ascii="宋体" w:hAnsi="宋体" w:eastAsia="宋体"/>
              <w:sz w:val="21"/>
            </w:rPr>
            <w:t>目录</w:t>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instrText xml:space="preserve">TOC \o "1-2" \h \u </w:instrText>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separate"/>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_Toc17904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一、基本职能及主要工作</w:t>
          </w:r>
          <w:r>
            <w:rPr>
              <w:b/>
            </w:rPr>
            <w:tab/>
          </w:r>
          <w:r>
            <w:rPr>
              <w:b/>
            </w:rPr>
            <w:fldChar w:fldCharType="begin"/>
          </w:r>
          <w:r>
            <w:rPr>
              <w:b/>
            </w:rPr>
            <w:instrText xml:space="preserve"> PAGEREF _Toc17904 \h </w:instrText>
          </w:r>
          <w:r>
            <w:rPr>
              <w:b/>
            </w:rPr>
            <w:fldChar w:fldCharType="separate"/>
          </w:r>
          <w:r>
            <w:rPr>
              <w:b/>
            </w:rPr>
            <w:t>2</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_Toc5323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rPr>
            <w:t>（一）职能简介</w:t>
          </w:r>
          <w:r>
            <w:tab/>
          </w:r>
          <w:r>
            <w:fldChar w:fldCharType="begin"/>
          </w:r>
          <w:r>
            <w:instrText xml:space="preserve"> PAGEREF _Toc5323 \h </w:instrText>
          </w:r>
          <w:r>
            <w:fldChar w:fldCharType="separate"/>
          </w:r>
          <w:r>
            <w:t>2</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_Toc13930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rPr>
            <w:t>（二）</w:t>
          </w:r>
          <w:r>
            <w:rPr>
              <w:rFonts w:hint="eastAsia"/>
              <w:lang w:val="en-US"/>
            </w:rPr>
            <w:t>2024</w:t>
          </w:r>
          <w:r>
            <w:rPr>
              <w:rFonts w:hint="eastAsia"/>
            </w:rPr>
            <w:t>年重点工作</w:t>
          </w:r>
          <w:r>
            <w:tab/>
          </w:r>
          <w:r>
            <w:fldChar w:fldCharType="begin"/>
          </w:r>
          <w:r>
            <w:instrText xml:space="preserve"> PAGEREF _Toc13930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_Toc10987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二、部门预算单位构成</w:t>
          </w:r>
          <w:r>
            <w:rPr>
              <w:b/>
            </w:rPr>
            <w:tab/>
          </w:r>
          <w:r>
            <w:rPr>
              <w:b/>
            </w:rPr>
            <w:fldChar w:fldCharType="begin"/>
          </w:r>
          <w:r>
            <w:rPr>
              <w:b/>
            </w:rPr>
            <w:instrText xml:space="preserve"> PAGEREF _Toc10987 \h </w:instrText>
          </w:r>
          <w:r>
            <w:rPr>
              <w:b/>
            </w:rPr>
            <w:fldChar w:fldCharType="separate"/>
          </w:r>
          <w:r>
            <w:rPr>
              <w:b/>
            </w:rPr>
            <w:t>4</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_Toc30074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三、收支预算情况说明</w:t>
          </w:r>
          <w:r>
            <w:rPr>
              <w:b/>
            </w:rPr>
            <w:tab/>
          </w:r>
          <w:r>
            <w:rPr>
              <w:b/>
            </w:rPr>
            <w:fldChar w:fldCharType="begin"/>
          </w:r>
          <w:r>
            <w:rPr>
              <w:b/>
            </w:rPr>
            <w:instrText xml:space="preserve"> PAGEREF _Toc30074 \h </w:instrText>
          </w:r>
          <w:r>
            <w:rPr>
              <w:b/>
            </w:rPr>
            <w:fldChar w:fldCharType="separate"/>
          </w:r>
          <w:r>
            <w:rPr>
              <w:b/>
            </w:rPr>
            <w:t>4</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_Toc16648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（一）收入预算情况</w:t>
          </w:r>
          <w:r>
            <w:tab/>
          </w:r>
          <w:r>
            <w:fldChar w:fldCharType="begin"/>
          </w:r>
          <w:r>
            <w:instrText xml:space="preserve"> PAGEREF _Toc16648 \h </w:instrText>
          </w:r>
          <w:r>
            <w:fldChar w:fldCharType="separate"/>
          </w:r>
          <w:r>
            <w:t>4</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_Toc12895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（二）支出预算情况</w:t>
          </w:r>
          <w:r>
            <w:tab/>
          </w:r>
          <w:r>
            <w:fldChar w:fldCharType="begin"/>
          </w:r>
          <w:r>
            <w:instrText xml:space="preserve"> PAGEREF _Toc12895 \h </w:instrText>
          </w:r>
          <w:r>
            <w:fldChar w:fldCharType="separate"/>
          </w:r>
          <w:r>
            <w:t>4</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_Toc8514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四、财政拨款收支预算情况说明</w:t>
          </w:r>
          <w:r>
            <w:rPr>
              <w:b/>
            </w:rPr>
            <w:tab/>
          </w:r>
          <w:r>
            <w:rPr>
              <w:b/>
            </w:rPr>
            <w:fldChar w:fldCharType="begin"/>
          </w:r>
          <w:r>
            <w:rPr>
              <w:b/>
            </w:rPr>
            <w:instrText xml:space="preserve"> PAGEREF _Toc8514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_Toc3859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五、一般公共预算当年拨款情况说明</w:t>
          </w:r>
          <w:r>
            <w:rPr>
              <w:b/>
            </w:rPr>
            <w:tab/>
          </w:r>
          <w:r>
            <w:rPr>
              <w:b/>
            </w:rPr>
            <w:fldChar w:fldCharType="begin"/>
          </w:r>
          <w:r>
            <w:rPr>
              <w:b/>
            </w:rPr>
            <w:instrText xml:space="preserve"> PAGEREF _Toc3859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_Toc19616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（一）一般公共预算当年拨款规模变化情况</w:t>
          </w:r>
          <w:r>
            <w:tab/>
          </w:r>
          <w:r>
            <w:fldChar w:fldCharType="begin"/>
          </w:r>
          <w:r>
            <w:instrText xml:space="preserve"> PAGEREF _Toc19616 \h </w:instrText>
          </w:r>
          <w:r>
            <w:fldChar w:fldCharType="separate"/>
          </w:r>
          <w:r>
            <w:t>5</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_Toc7084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（二）一般公共预算当年拨款结构情况</w:t>
          </w:r>
          <w:r>
            <w:tab/>
          </w:r>
          <w:r>
            <w:fldChar w:fldCharType="begin"/>
          </w:r>
          <w:r>
            <w:instrText xml:space="preserve"> PAGEREF _Toc7084 \h </w:instrText>
          </w:r>
          <w:r>
            <w:fldChar w:fldCharType="separate"/>
          </w:r>
          <w:r>
            <w:t>5</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_Toc353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（三）一般公共预算当年拨款具体使用情况</w:t>
          </w:r>
          <w:r>
            <w:tab/>
          </w:r>
          <w:r>
            <w:fldChar w:fldCharType="begin"/>
          </w:r>
          <w:r>
            <w:instrText xml:space="preserve"> PAGEREF _Toc353 \h </w:instrText>
          </w:r>
          <w:r>
            <w:fldChar w:fldCharType="separate"/>
          </w:r>
          <w:r>
            <w:t>5</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_Toc23009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六、一般公共预算基本支出情况说明</w:t>
          </w:r>
          <w:r>
            <w:rPr>
              <w:b/>
            </w:rPr>
            <w:tab/>
          </w:r>
          <w:r>
            <w:rPr>
              <w:b/>
            </w:rPr>
            <w:fldChar w:fldCharType="begin"/>
          </w:r>
          <w:r>
            <w:rPr>
              <w:b/>
            </w:rPr>
            <w:instrText xml:space="preserve"> PAGEREF _Toc23009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_Toc27891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七、“三公”经费财政拨款预算安排情况说明</w:t>
          </w:r>
          <w:r>
            <w:rPr>
              <w:b/>
            </w:rPr>
            <w:tab/>
          </w:r>
          <w:r>
            <w:rPr>
              <w:b/>
            </w:rPr>
            <w:fldChar w:fldCharType="begin"/>
          </w:r>
          <w:r>
            <w:rPr>
              <w:b/>
            </w:rPr>
            <w:instrText xml:space="preserve"> PAGEREF _Toc27891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_Toc29114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（一）公务接待费</w:t>
          </w:r>
          <w:r>
            <w:tab/>
          </w:r>
          <w:r>
            <w:fldChar w:fldCharType="begin"/>
          </w:r>
          <w:r>
            <w:instrText xml:space="preserve"> PAGEREF _Toc29114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_Toc11873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（二） 公务用车购置及运行维护费</w:t>
          </w:r>
          <w:r>
            <w:tab/>
          </w:r>
          <w:r>
            <w:fldChar w:fldCharType="begin"/>
          </w:r>
          <w:r>
            <w:instrText xml:space="preserve"> PAGEREF _Toc11873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_Toc18604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_Toc18604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_Toc13689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八、政府性基金预算支出情况说明</w:t>
          </w:r>
          <w:r>
            <w:rPr>
              <w:b/>
            </w:rPr>
            <w:tab/>
          </w:r>
          <w:r>
            <w:rPr>
              <w:b/>
            </w:rPr>
            <w:fldChar w:fldCharType="begin"/>
          </w:r>
          <w:r>
            <w:rPr>
              <w:b/>
            </w:rPr>
            <w:instrText xml:space="preserve"> PAGEREF _Toc13689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_Toc30390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九、国有资本经营预算支出情况说明</w:t>
          </w:r>
          <w:r>
            <w:rPr>
              <w:b/>
            </w:rPr>
            <w:tab/>
          </w:r>
          <w:r>
            <w:rPr>
              <w:b/>
            </w:rPr>
            <w:fldChar w:fldCharType="begin"/>
          </w:r>
          <w:r>
            <w:rPr>
              <w:b/>
            </w:rPr>
            <w:instrText xml:space="preserve"> PAGEREF _Toc30390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_Toc11269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十、其他重要事项的情况说明</w:t>
          </w:r>
          <w:r>
            <w:rPr>
              <w:b/>
            </w:rPr>
            <w:tab/>
          </w:r>
          <w:r>
            <w:rPr>
              <w:b/>
            </w:rPr>
            <w:fldChar w:fldCharType="begin"/>
          </w:r>
          <w:r>
            <w:rPr>
              <w:b/>
            </w:rPr>
            <w:instrText xml:space="preserve"> PAGEREF _Toc11269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_Toc12597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（一）机关运行经费</w:t>
          </w:r>
          <w:r>
            <w:tab/>
          </w:r>
          <w:r>
            <w:fldChar w:fldCharType="begin"/>
          </w:r>
          <w:r>
            <w:instrText xml:space="preserve"> PAGEREF _Toc12597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_Toc16830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（二）政府采购情况</w:t>
          </w:r>
          <w:r>
            <w:tab/>
          </w:r>
          <w:r>
            <w:fldChar w:fldCharType="begin"/>
          </w:r>
          <w:r>
            <w:instrText xml:space="preserve"> PAGEREF _Toc16830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_Toc16777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（三）国有资产占有使用情况</w:t>
          </w:r>
          <w:r>
            <w:tab/>
          </w:r>
          <w:r>
            <w:fldChar w:fldCharType="begin"/>
          </w:r>
          <w:r>
            <w:instrText xml:space="preserve"> PAGEREF _Toc16777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_Toc14564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（四）绩效目标设置情况</w:t>
          </w:r>
          <w:r>
            <w:tab/>
          </w:r>
          <w:r>
            <w:fldChar w:fldCharType="begin"/>
          </w:r>
          <w:r>
            <w:instrText xml:space="preserve"> PAGEREF _Toc14564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_Toc3529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十一、名词解释</w:t>
          </w:r>
          <w:r>
            <w:rPr>
              <w:b/>
            </w:rPr>
            <w:tab/>
          </w:r>
          <w:r>
            <w:rPr>
              <w:b/>
            </w:rPr>
            <w:fldChar w:fldCharType="begin"/>
          </w:r>
          <w:r>
            <w:rPr>
              <w:b/>
            </w:rPr>
            <w:instrText xml:space="preserve"> PAGEREF _Toc3529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460" w:lineRule="exact"/>
            <w:ind w:left="0" w:right="0" w:firstLine="0"/>
            <w:jc w:val="both"/>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sdtContent>
    </w:sdt>
    <w:p>
      <w:pPr>
        <w:pStyle w:val="2"/>
        <w:bidi w:val="0"/>
        <w:rPr>
          <w:rFonts w:hint="eastAsia"/>
        </w:rPr>
      </w:pPr>
      <w:bookmarkStart w:id="2" w:name="_Toc17904"/>
      <w:bookmarkStart w:id="3" w:name="_Toc15613"/>
      <w:r>
        <w:rPr>
          <w:rFonts w:hint="eastAsia"/>
          <w:lang w:val="en-US" w:eastAsia="zh-CN"/>
        </w:rPr>
        <w:t>一、基本职能及主要工作</w:t>
      </w:r>
      <w:bookmarkEnd w:id="2"/>
      <w:bookmarkEnd w:id="3"/>
    </w:p>
    <w:p>
      <w:pPr>
        <w:pStyle w:val="3"/>
        <w:bidi w:val="0"/>
        <w:rPr>
          <w:rFonts w:hint="eastAsia"/>
        </w:rPr>
      </w:pPr>
      <w:bookmarkStart w:id="4" w:name="_Toc5323"/>
      <w:r>
        <w:rPr>
          <w:rFonts w:hint="eastAsia"/>
        </w:rPr>
        <w:t>（一）职能简介</w:t>
      </w:r>
      <w:bookmarkEnd w:id="4"/>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120" w:afterAutospacing="0" w:line="520" w:lineRule="exact"/>
        <w:ind w:left="0" w:right="0" w:firstLine="640" w:firstLineChars="200"/>
        <w:jc w:val="both"/>
        <w:textAlignment w:val="baseline"/>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1.全面贯彻国家职业教育方针，坚持为社会主义现代化建设服务，就业与升学并重，努力培养和造就适应市场需要的有一技之长的专业人才。</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120" w:afterAutospacing="0" w:line="520" w:lineRule="exact"/>
        <w:ind w:left="0" w:right="0" w:firstLine="640" w:firstLineChars="200"/>
        <w:jc w:val="both"/>
        <w:textAlignment w:val="baseline"/>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2.以立德树人为根本任务，加强学生思想道德和职业道德教育，加强新技术教育和技能训练，为学生全面成才、持续发展奠定扎实基础。</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120" w:afterAutospacing="0" w:line="520" w:lineRule="exact"/>
        <w:ind w:left="0" w:right="0" w:firstLine="640" w:firstLineChars="200"/>
        <w:jc w:val="both"/>
        <w:textAlignment w:val="baseline"/>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3.深化教育教学改革，坚持教学和生产相结合、教学和科学技术的推广服务相结合，重视基础知识和专业知识的理实一体化教学模式建设。</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120" w:afterAutospacing="0" w:line="520" w:lineRule="exact"/>
        <w:ind w:left="0" w:right="0" w:firstLine="640" w:firstLineChars="200"/>
        <w:jc w:val="both"/>
        <w:textAlignment w:val="baseline"/>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4.培育特色专业和重点专业，及时调整专业设置，形成适应区域经济发展的专业特色和优势。</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120" w:afterAutospacing="0" w:line="520" w:lineRule="exact"/>
        <w:ind w:left="0" w:right="0" w:firstLine="640" w:firstLineChars="200"/>
        <w:jc w:val="both"/>
        <w:textAlignment w:val="baseline"/>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加强校企合作，发挥校企联合办学的整体优势。主动适应企业用人需求，努力提高人才培养质量，使毕业生素质与企业的需求相适应。鼓励教师到企业实践锻炼，聘任优秀技术人才到学校兼课，不断提高“双师型”教师队伍建设。</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120" w:afterAutospacing="0" w:line="520" w:lineRule="exact"/>
        <w:ind w:left="0" w:right="0" w:firstLine="640" w:firstLineChars="200"/>
        <w:jc w:val="both"/>
        <w:textAlignment w:val="baseline"/>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6.充分利用职业教育资源，坚持学历教育与职业培训并重，实行灵活的办学模式。多层次、多形式地开展文化、科技、公民道德和职业技术等方面的教育培训，努力为创建学习型社会发挥积极作用。</w:t>
      </w:r>
    </w:p>
    <w:p>
      <w:pPr>
        <w:pStyle w:val="3"/>
        <w:bidi w:val="0"/>
        <w:rPr>
          <w:rFonts w:hint="eastAsia"/>
        </w:rPr>
      </w:pPr>
      <w:bookmarkStart w:id="5" w:name="_Toc13930"/>
      <w:r>
        <w:rPr>
          <w:rFonts w:hint="eastAsia"/>
        </w:rPr>
        <w:t>（二）</w:t>
      </w:r>
      <w:r>
        <w:rPr>
          <w:rFonts w:hint="eastAsia"/>
          <w:lang w:val="en-US"/>
        </w:rPr>
        <w:t>2024</w:t>
      </w:r>
      <w:r>
        <w:rPr>
          <w:rFonts w:hint="eastAsia"/>
        </w:rPr>
        <w:t>年重点工作</w:t>
      </w:r>
      <w:bookmarkEnd w:id="5"/>
    </w:p>
    <w:p>
      <w:pPr>
        <w:shd w:val="clear"/>
        <w:spacing w:line="576" w:lineRule="exact"/>
        <w:ind w:firstLine="640" w:firstLineChars="200"/>
        <w:rPr>
          <w:rFonts w:hint="eastAsia" w:ascii="楷体_GB2312" w:hAnsi="楷体_GB2312" w:eastAsia="楷体_GB2312" w:cs="楷体_GB2312"/>
          <w:sz w:val="32"/>
          <w:szCs w:val="32"/>
        </w:rPr>
      </w:pPr>
      <w:r>
        <w:rPr>
          <w:rFonts w:hint="eastAsia" w:ascii="仿宋_GB2312" w:hAnsi="仿宋_GB2312" w:eastAsia="仿宋_GB2312" w:cs="仿宋_GB2312"/>
          <w:color w:val="auto"/>
          <w:kern w:val="2"/>
          <w:sz w:val="32"/>
          <w:szCs w:val="32"/>
          <w:lang w:val="en-US" w:eastAsia="zh-CN" w:bidi="ar-SA"/>
        </w:rPr>
        <w:t>2024年，</w:t>
      </w:r>
      <w:bookmarkStart w:id="38" w:name="_GoBack"/>
      <w:r>
        <w:rPr>
          <w:rFonts w:hint="eastAsia" w:ascii="仿宋_GB2312" w:hAnsi="仿宋_GB2312" w:eastAsia="仿宋_GB2312" w:cs="仿宋_GB2312"/>
          <w:color w:val="auto"/>
          <w:kern w:val="2"/>
          <w:sz w:val="32"/>
          <w:szCs w:val="32"/>
          <w:lang w:val="en-US" w:eastAsia="zh-CN" w:bidi="ar-SA"/>
        </w:rPr>
        <w:t>坚持以习近平新时代中国特色社会主义思想</w:t>
      </w:r>
      <w:bookmarkEnd w:id="38"/>
      <w:r>
        <w:rPr>
          <w:rFonts w:hint="eastAsia" w:ascii="仿宋_GB2312" w:hAnsi="仿宋_GB2312" w:eastAsia="仿宋_GB2312" w:cs="仿宋_GB2312"/>
          <w:color w:val="auto"/>
          <w:kern w:val="2"/>
          <w:sz w:val="32"/>
          <w:szCs w:val="32"/>
          <w:lang w:val="en-US" w:eastAsia="zh-CN" w:bidi="ar-SA"/>
        </w:rPr>
        <w:t>为指导，落实教育强国建设工作部署，改革创新夯基，稳中求进提质，坚持以高质量的党建引领高质量的发展，围绕“队伍建设、常规管理、特色品牌”3个重点，开展“强基固本行动、强规严纪行动、提质培优行动”3项行动，实施“强师提能工程、办学达标工程、规模稳控工程、制度优化工程、强规严纪工程、三名双优工程、高考培优工程、三全育人工程、后服暖心工程”，促进师生全面提升，推进学校高质量发展，很好地服务地方经济社会。持续构建现代学校治理体系，全力提高人才培养质量，加快推进职业教育高质量发展。</w:t>
      </w:r>
    </w:p>
    <w:p>
      <w:pPr>
        <w:pStyle w:val="2"/>
        <w:bidi w:val="0"/>
        <w:rPr>
          <w:rFonts w:hint="eastAsia"/>
          <w:lang w:val="en-US" w:eastAsia="zh-CN"/>
        </w:rPr>
      </w:pPr>
      <w:bookmarkStart w:id="6" w:name="_Toc11541"/>
      <w:bookmarkStart w:id="7" w:name="_Toc10987"/>
      <w:r>
        <w:rPr>
          <w:rFonts w:hint="eastAsia"/>
          <w:lang w:val="en-US" w:eastAsia="zh-CN"/>
        </w:rPr>
        <w:t>二、部门预算单位构成</w:t>
      </w:r>
      <w:bookmarkEnd w:id="6"/>
      <w:bookmarkEnd w:id="7"/>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120" w:afterAutospacing="0" w:line="520" w:lineRule="exact"/>
        <w:ind w:left="0" w:right="0" w:firstLine="640" w:firstLineChars="200"/>
        <w:jc w:val="both"/>
        <w:textAlignment w:val="baseline"/>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四川省广元市职业高级中学校直属广元市教育局，为二级预算单位，无下属单位。</w:t>
      </w:r>
    </w:p>
    <w:p>
      <w:pPr>
        <w:pStyle w:val="2"/>
        <w:bidi w:val="0"/>
        <w:rPr>
          <w:rFonts w:hint="eastAsia"/>
        </w:rPr>
      </w:pPr>
      <w:bookmarkStart w:id="8" w:name="_Toc30074"/>
      <w:bookmarkStart w:id="9" w:name="_Toc25686"/>
      <w:r>
        <w:rPr>
          <w:rFonts w:hint="eastAsia"/>
          <w:lang w:val="en-US" w:eastAsia="zh-CN"/>
        </w:rPr>
        <w:t>三、收支预算情况说明</w:t>
      </w:r>
      <w:bookmarkEnd w:id="8"/>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lang w:val="en-US" w:eastAsia="zh-CN" w:bidi="ar-SA"/>
        </w:rPr>
        <w:t>按照综合预算的原则，四川省广元市职业高级中学校所有收入和支出均纳入部门预算管理。收入包括：一般公共预算拨款收入、事业收入；支出包括：教育支出、社会保障和就业支出、卫生健康支出、住房保障支出。四川省广元市职业高级中学校2024年收支预算总数3593.09万元，比2023年收支预算总数增加828.33万元，主要原因一是2023年事业收入未纳入预算公开；二是新进人员增加，人员经费增加。</w:t>
      </w:r>
    </w:p>
    <w:p>
      <w:pPr>
        <w:pStyle w:val="3"/>
        <w:bidi w:val="0"/>
        <w:rPr>
          <w:rFonts w:hint="eastAsia"/>
          <w:lang w:val="en-US" w:eastAsia="zh-CN"/>
        </w:rPr>
      </w:pPr>
      <w:bookmarkStart w:id="10" w:name="_Toc16648"/>
      <w:r>
        <w:rPr>
          <w:rFonts w:hint="eastAsia"/>
          <w:lang w:val="en-US" w:eastAsia="zh-CN"/>
        </w:rPr>
        <w:t>（一）收入预算情况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四川省广元市职业高级中学校2024年收入预算3593.09万元，其中：一般公共预算拨款收入2893.09万元，占80.52%；事业收入700万元，占19.48%。</w:t>
      </w:r>
    </w:p>
    <w:p>
      <w:pPr>
        <w:pStyle w:val="3"/>
        <w:bidi w:val="0"/>
        <w:rPr>
          <w:rFonts w:hint="eastAsia"/>
          <w:lang w:val="en-US" w:eastAsia="zh-CN"/>
        </w:rPr>
      </w:pPr>
      <w:bookmarkStart w:id="11" w:name="_Toc12895"/>
      <w:r>
        <w:rPr>
          <w:rFonts w:hint="eastAsia"/>
          <w:lang w:val="en-US" w:eastAsia="zh-CN"/>
        </w:rPr>
        <w:t>（二）支出预算情况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四川省广元市职业高级中学校2024年支出预算3593.09万元，其中：基本支出2994.15万元，占83.33%；项目支出598.94万元，占16.67%。</w:t>
      </w:r>
    </w:p>
    <w:p>
      <w:pPr>
        <w:pStyle w:val="2"/>
        <w:bidi w:val="0"/>
        <w:rPr>
          <w:rFonts w:hint="eastAsia"/>
        </w:rPr>
      </w:pPr>
      <w:bookmarkStart w:id="12" w:name="_Toc8514"/>
      <w:bookmarkStart w:id="13" w:name="_Toc28515"/>
      <w:r>
        <w:rPr>
          <w:rFonts w:hint="eastAsia"/>
          <w:lang w:val="en-US" w:eastAsia="zh-CN"/>
        </w:rPr>
        <w:t>四、财政拨款收支预算情况说明</w:t>
      </w:r>
      <w:bookmarkEnd w:id="12"/>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四川省广元市职业高级中学校2024年财政拨款收支预算总数2893.09万元，比2023年财政拨款收支预算总数增加128.33万元，主要原因是新进人员增加10余人，导致经费增加。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收入包括：本年一般公共预算拨款收入2893.09万元；支出包括：教育支出2215.79万元、社会保障和就业支出330.86万元、卫生健康支出106.07万元、住房保障支出240.37万元。</w:t>
      </w:r>
    </w:p>
    <w:p>
      <w:pPr>
        <w:pStyle w:val="2"/>
        <w:bidi w:val="0"/>
        <w:rPr>
          <w:rFonts w:hint="eastAsia"/>
          <w:lang w:val="en-US" w:eastAsia="zh-CN"/>
        </w:rPr>
      </w:pPr>
      <w:bookmarkStart w:id="14" w:name="_Toc9601"/>
      <w:bookmarkStart w:id="15" w:name="_Toc3859"/>
      <w:r>
        <w:rPr>
          <w:rFonts w:hint="eastAsia"/>
          <w:lang w:val="en-US" w:eastAsia="zh-CN"/>
        </w:rPr>
        <w:t>五、一般公共预算当年拨款情况说明</w:t>
      </w:r>
      <w:bookmarkEnd w:id="14"/>
      <w:bookmarkEnd w:id="15"/>
    </w:p>
    <w:p>
      <w:pPr>
        <w:pStyle w:val="3"/>
        <w:bidi w:val="0"/>
        <w:rPr>
          <w:rFonts w:hint="eastAsia"/>
          <w:lang w:val="en-US" w:eastAsia="zh-CN"/>
        </w:rPr>
      </w:pPr>
      <w:bookmarkStart w:id="16" w:name="_Toc19616"/>
      <w:r>
        <w:rPr>
          <w:rFonts w:hint="eastAsia"/>
          <w:lang w:val="en-US" w:eastAsia="zh-CN"/>
        </w:rPr>
        <w:t>（一）一般公共预算当年拨款规模变化情况</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四川省广元市职业高级中学校2024年一般公共预算当年拨款2893.09万元，比2023年预算数增加128.33万元，主要原因是新进人员增加10余人，导致经费增加。</w:t>
      </w:r>
    </w:p>
    <w:p>
      <w:pPr>
        <w:pStyle w:val="3"/>
        <w:bidi w:val="0"/>
        <w:rPr>
          <w:rFonts w:hint="eastAsia"/>
          <w:lang w:val="en-US" w:eastAsia="zh-CN"/>
        </w:rPr>
      </w:pPr>
      <w:bookmarkStart w:id="17" w:name="_Toc7084"/>
      <w:r>
        <w:rPr>
          <w:rFonts w:hint="eastAsia"/>
          <w:lang w:val="en-US" w:eastAsia="zh-CN"/>
        </w:rPr>
        <w:t>（二）一般公共预算当年拨款结构情况</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教育支出2215.79万元，占76.59%；社会保障和就业支出330.86万元，占11.44%；卫生健康支出106.07万元，占3.66%；住房保障支出240.37万元，占8.31%。</w:t>
      </w:r>
    </w:p>
    <w:p>
      <w:pPr>
        <w:pStyle w:val="3"/>
        <w:bidi w:val="0"/>
        <w:rPr>
          <w:rFonts w:hint="eastAsia"/>
          <w:lang w:val="en-US" w:eastAsia="zh-CN"/>
        </w:rPr>
      </w:pPr>
      <w:bookmarkStart w:id="18" w:name="_Toc353"/>
      <w:r>
        <w:rPr>
          <w:rFonts w:hint="eastAsia"/>
          <w:lang w:val="en-US" w:eastAsia="zh-CN"/>
        </w:rPr>
        <w:t>（三）一般公共预算当年拨款具体使用情况</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1.</w:t>
      </w:r>
      <w:r>
        <w:rPr>
          <w:rFonts w:hint="eastAsia" w:ascii="仿宋_GB2312" w:hAnsi="仿宋_GB2312" w:eastAsia="仿宋_GB2312" w:cs="仿宋_GB2312"/>
          <w:color w:val="auto"/>
          <w:kern w:val="2"/>
          <w:sz w:val="32"/>
          <w:szCs w:val="32"/>
          <w:lang w:val="en-US" w:eastAsia="zh-CN" w:bidi="ar-SA"/>
        </w:rPr>
        <w:t>教育支出（类）职业教育（款）中等职业教育（项）2024年预算数为2215.79万元，主要用于：基本工资、</w:t>
      </w:r>
      <w:r>
        <w:rPr>
          <w:rFonts w:hint="eastAsia" w:ascii="仿宋_GB2312" w:hAnsi="仿宋_GB2312" w:eastAsia="仿宋_GB2312" w:cs="仿宋_GB2312"/>
          <w:color w:val="auto"/>
          <w:kern w:val="2"/>
          <w:sz w:val="32"/>
          <w:szCs w:val="32"/>
          <w:lang w:val="en-US" w:eastAsia="zh-Hans" w:bidi="ar-SA"/>
        </w:rPr>
        <w:t>津</w:t>
      </w:r>
      <w:r>
        <w:rPr>
          <w:rFonts w:hint="eastAsia" w:ascii="仿宋_GB2312" w:hAnsi="仿宋_GB2312" w:eastAsia="仿宋_GB2312" w:cs="仿宋_GB2312"/>
          <w:color w:val="auto"/>
          <w:kern w:val="2"/>
          <w:sz w:val="32"/>
          <w:szCs w:val="32"/>
          <w:lang w:val="en-US" w:eastAsia="zh-CN" w:bidi="ar-SA"/>
        </w:rPr>
        <w:t>贴</w:t>
      </w:r>
      <w:r>
        <w:rPr>
          <w:rFonts w:hint="eastAsia" w:ascii="仿宋_GB2312" w:hAnsi="仿宋_GB2312" w:eastAsia="仿宋_GB2312" w:cs="仿宋_GB2312"/>
          <w:color w:val="auto"/>
          <w:kern w:val="2"/>
          <w:sz w:val="32"/>
          <w:szCs w:val="32"/>
          <w:lang w:val="en-US" w:eastAsia="zh-Hans" w:bidi="ar-SA"/>
        </w:rPr>
        <w:t>补贴、</w:t>
      </w:r>
      <w:r>
        <w:rPr>
          <w:rFonts w:hint="eastAsia" w:ascii="仿宋_GB2312" w:hAnsi="仿宋_GB2312" w:eastAsia="仿宋_GB2312" w:cs="仿宋_GB2312"/>
          <w:color w:val="auto"/>
          <w:kern w:val="2"/>
          <w:sz w:val="32"/>
          <w:szCs w:val="32"/>
          <w:lang w:val="en-US" w:eastAsia="zh-CN" w:bidi="ar-SA"/>
        </w:rPr>
        <w:t>奖金、绩效工资</w:t>
      </w:r>
      <w:r>
        <w:rPr>
          <w:rFonts w:hint="eastAsia" w:ascii="仿宋_GB2312" w:hAnsi="仿宋_GB2312" w:eastAsia="仿宋_GB2312" w:cs="仿宋_GB2312"/>
          <w:color w:val="auto"/>
          <w:kern w:val="2"/>
          <w:sz w:val="32"/>
          <w:szCs w:val="32"/>
          <w:lang w:val="en-US" w:eastAsia="zh-Hans" w:bidi="ar-SA"/>
        </w:rPr>
        <w:t>、</w:t>
      </w:r>
      <w:r>
        <w:rPr>
          <w:rFonts w:hint="eastAsia" w:ascii="仿宋_GB2312" w:hAnsi="仿宋_GB2312" w:eastAsia="仿宋_GB2312" w:cs="仿宋_GB2312"/>
          <w:color w:val="auto"/>
          <w:kern w:val="2"/>
          <w:sz w:val="32"/>
          <w:szCs w:val="32"/>
          <w:lang w:val="en-US" w:eastAsia="zh-CN" w:bidi="ar-SA"/>
        </w:rPr>
        <w:t>工会经费、福利费、党建经费、退休人员活动费、乡村振兴工作经费等支出</w:t>
      </w:r>
      <w:r>
        <w:rPr>
          <w:rFonts w:hint="eastAsia" w:ascii="仿宋_GB2312" w:hAnsi="仿宋_GB2312" w:eastAsia="仿宋_GB2312" w:cs="仿宋_GB2312"/>
          <w:color w:val="auto"/>
          <w:kern w:val="2"/>
          <w:sz w:val="32"/>
          <w:szCs w:val="32"/>
          <w:lang w:val="en-US" w:eastAsia="zh-Hans" w:bidi="ar-SA"/>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社会保障和就业（类）行政事业单位养老支出（款）机关事业单位基本养老保险缴费支出（项）2024年预算数为320.11万元，主要用于：学校按照养老保险制度为教职工缴纳的基本养老保险支出。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t>社会保障和就业（类）其他社会保障和就业支出（款）其他社会保障和就业支出（项）2024年预算数为10.75万元，主要用于：学校按照规定缴纳的其他社会保障和支出。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4.卫生健康（类）行政事业单位医疗（款）事业单位医疗（项）2024年预算数为106.07万元，主要用于：学校按规定为教职工缴纳的基本医疗保险支出。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5.住房保障（类）住房改革支出（款）住房公积金（项）2024年预算数为240.37万元，主要用于：学校按规定为教职工缴纳的住房公积金支出。</w:t>
      </w:r>
    </w:p>
    <w:p>
      <w:pPr>
        <w:pStyle w:val="2"/>
        <w:bidi w:val="0"/>
        <w:rPr>
          <w:rFonts w:hint="eastAsia"/>
        </w:rPr>
      </w:pPr>
      <w:bookmarkStart w:id="19" w:name="_Toc23009"/>
      <w:bookmarkStart w:id="20" w:name="_Toc75"/>
      <w:r>
        <w:rPr>
          <w:rFonts w:hint="eastAsia"/>
          <w:lang w:val="en-US" w:eastAsia="zh-CN"/>
        </w:rPr>
        <w:t>六、一般公共预算基本支出情况说明</w:t>
      </w:r>
      <w:bookmarkEnd w:id="19"/>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四川省广元市职业高级中学校2024年一般公共预算基本支出2889.45万元，其中：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人员经费2808.6万元，主要包括：基本工资、津贴补贴、奖金、绩效工资、机关事业单位基本养老保险、职工基本医疗保险、其他社会保障缴费、住房公积金、生活补助等支出。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公用经费80.85万元，主要包括：工会经费、福利费、党建经费、退休人员活动经费等支出</w:t>
      </w:r>
    </w:p>
    <w:p>
      <w:pPr>
        <w:pStyle w:val="2"/>
        <w:bidi w:val="0"/>
        <w:rPr>
          <w:rFonts w:hint="eastAsia"/>
        </w:rPr>
      </w:pPr>
      <w:bookmarkStart w:id="21" w:name="_Toc27891"/>
      <w:bookmarkStart w:id="22" w:name="_Toc12209"/>
      <w:r>
        <w:rPr>
          <w:rFonts w:hint="eastAsia"/>
          <w:lang w:val="en-US" w:eastAsia="zh-CN"/>
        </w:rPr>
        <w:t>七、“三公”经费财政拨款预算安排情况说明</w:t>
      </w:r>
      <w:bookmarkEnd w:id="21"/>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四川省广元市职业高级中学校2024年“三公”经费财政拨款预算数0万元，其中：公务接待费0万元，公务用车购置及运行维护费0万元，因公出国（境）经费0万元。</w:t>
      </w:r>
    </w:p>
    <w:p>
      <w:pPr>
        <w:pStyle w:val="3"/>
        <w:bidi w:val="0"/>
        <w:rPr>
          <w:rFonts w:hint="eastAsia"/>
          <w:lang w:val="en-US" w:eastAsia="zh-CN"/>
        </w:rPr>
      </w:pPr>
      <w:bookmarkStart w:id="23" w:name="_Toc29114"/>
      <w:r>
        <w:rPr>
          <w:rFonts w:hint="eastAsia"/>
          <w:lang w:val="en-US" w:eastAsia="zh-CN"/>
        </w:rPr>
        <w:t>（一）公务接待费</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2024年公务接待费计划0万元，较2023年相比无变化。</w:t>
      </w:r>
    </w:p>
    <w:p>
      <w:pPr>
        <w:pStyle w:val="3"/>
        <w:numPr>
          <w:ilvl w:val="0"/>
          <w:numId w:val="1"/>
        </w:numPr>
        <w:bidi w:val="0"/>
        <w:rPr>
          <w:rFonts w:hint="eastAsia"/>
          <w:lang w:val="en-US" w:eastAsia="zh-CN"/>
        </w:rPr>
      </w:pPr>
      <w:bookmarkStart w:id="24" w:name="_Toc11873"/>
      <w:r>
        <w:rPr>
          <w:rFonts w:hint="eastAsia"/>
          <w:lang w:val="en-US" w:eastAsia="zh-CN"/>
        </w:rPr>
        <w:t>公务用车购置及运行维护费</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公务用车购置及运行维护费与2023年预算相比持平。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学校现有公务用车2辆，其中：轿车1辆，其他1辆。其经费来源为教育收费。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2024年安排公务用车运行维护费0万元。</w:t>
      </w:r>
    </w:p>
    <w:p>
      <w:pPr>
        <w:pStyle w:val="3"/>
        <w:bidi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5" w:name="_Toc18604"/>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2024年因公出国（境）经费预算0万元，与2023年预算相比持平。</w:t>
      </w:r>
    </w:p>
    <w:p>
      <w:pPr>
        <w:pStyle w:val="2"/>
        <w:bidi w:val="0"/>
        <w:rPr>
          <w:rFonts w:hint="eastAsia"/>
          <w:lang w:val="en-US" w:eastAsia="zh-CN"/>
        </w:rPr>
      </w:pPr>
      <w:bookmarkStart w:id="26" w:name="_Toc31908"/>
      <w:bookmarkStart w:id="27" w:name="_Toc13689"/>
      <w:r>
        <w:rPr>
          <w:rFonts w:hint="eastAsia"/>
          <w:lang w:val="en-US" w:eastAsia="zh-CN"/>
        </w:rPr>
        <w:t>八、政府性基金预算支出情况说明</w:t>
      </w:r>
      <w:bookmarkEnd w:id="26"/>
      <w:bookmarkEnd w:id="2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四川省广元市职业高级中学校2024年无政府性基金预算拨款安排的支出。</w:t>
      </w:r>
    </w:p>
    <w:p>
      <w:pPr>
        <w:pStyle w:val="2"/>
        <w:bidi w:val="0"/>
        <w:rPr>
          <w:rFonts w:hint="eastAsia"/>
          <w:lang w:val="en-US" w:eastAsia="zh-CN"/>
        </w:rPr>
      </w:pPr>
      <w:bookmarkStart w:id="28" w:name="_Toc30390"/>
      <w:bookmarkStart w:id="29" w:name="_Toc29965"/>
      <w:r>
        <w:rPr>
          <w:rFonts w:hint="eastAsia"/>
          <w:lang w:val="en-US" w:eastAsia="zh-CN"/>
        </w:rPr>
        <w:t>九、国有资本经营预算支出情况说明</w:t>
      </w:r>
      <w:bookmarkEnd w:id="28"/>
      <w:bookmarkEnd w:id="2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2"/>
          <w:sz w:val="32"/>
          <w:szCs w:val="32"/>
          <w:lang w:val="en-US" w:eastAsia="zh-CN" w:bidi="ar-SA"/>
        </w:rPr>
        <w:t>四川省广元市职业高级中学校2024年无国有资本经营预算拨款安排的支出。</w:t>
      </w:r>
    </w:p>
    <w:p>
      <w:pPr>
        <w:pStyle w:val="2"/>
        <w:bidi w:val="0"/>
        <w:rPr>
          <w:rFonts w:hint="eastAsia"/>
        </w:rPr>
      </w:pPr>
      <w:bookmarkStart w:id="30" w:name="_Toc11269"/>
      <w:bookmarkStart w:id="31" w:name="_Toc23545"/>
      <w:r>
        <w:rPr>
          <w:rFonts w:hint="eastAsia"/>
          <w:lang w:val="en-US" w:eastAsia="zh-CN"/>
        </w:rPr>
        <w:t>十、其他重要事项的情况说明</w:t>
      </w:r>
      <w:bookmarkEnd w:id="30"/>
      <w:bookmarkEnd w:id="31"/>
    </w:p>
    <w:p>
      <w:pPr>
        <w:pStyle w:val="3"/>
        <w:bidi w:val="0"/>
        <w:rPr>
          <w:rFonts w:hint="eastAsia"/>
          <w:lang w:val="en-US" w:eastAsia="zh-CN"/>
        </w:rPr>
      </w:pPr>
      <w:bookmarkStart w:id="32" w:name="_Toc12597"/>
      <w:r>
        <w:rPr>
          <w:rFonts w:hint="eastAsia"/>
          <w:lang w:val="en-US" w:eastAsia="zh-CN"/>
        </w:rPr>
        <w:t>（一）机关运行经费</w:t>
      </w:r>
      <w:bookmarkEnd w:id="3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四川省广元市职业高级中学校为事业单位，按规定未使用机关运行的相关科目。</w:t>
      </w:r>
    </w:p>
    <w:p>
      <w:pPr>
        <w:pStyle w:val="3"/>
        <w:bidi w:val="0"/>
        <w:rPr>
          <w:rFonts w:hint="eastAsia"/>
          <w:lang w:val="en-US" w:eastAsia="zh-CN"/>
        </w:rPr>
      </w:pPr>
      <w:bookmarkStart w:id="33" w:name="_Toc16830"/>
      <w:r>
        <w:rPr>
          <w:rFonts w:hint="eastAsia"/>
          <w:lang w:val="en-US" w:eastAsia="zh-CN"/>
        </w:rPr>
        <w:t>（二）政府采购情况</w:t>
      </w:r>
      <w:bookmarkEnd w:id="3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2024年，学校安排政府采购预算0万元。</w:t>
      </w:r>
    </w:p>
    <w:p>
      <w:pPr>
        <w:pStyle w:val="3"/>
        <w:bidi w:val="0"/>
        <w:rPr>
          <w:rFonts w:hint="eastAsia"/>
          <w:lang w:val="en-US" w:eastAsia="zh-CN"/>
        </w:rPr>
      </w:pPr>
      <w:bookmarkStart w:id="34" w:name="_Toc16777"/>
      <w:r>
        <w:rPr>
          <w:rFonts w:hint="eastAsia"/>
          <w:lang w:val="en-US" w:eastAsia="zh-CN"/>
        </w:rPr>
        <w:t>（三）国有资产占有使用情况</w:t>
      </w:r>
      <w:bookmarkEnd w:id="3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截至2023年底，学校共有车辆2辆，其中，定向保障用车2辆。学校无价值200万元以上的大型设备。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2024年部门预算未安排购置车辆及单位价值200万元以上大型设备。</w:t>
      </w:r>
    </w:p>
    <w:p>
      <w:pPr>
        <w:pStyle w:val="3"/>
        <w:bidi w:val="0"/>
        <w:rPr>
          <w:rFonts w:hint="eastAsia"/>
        </w:rPr>
      </w:pPr>
      <w:bookmarkStart w:id="35" w:name="_Toc14564"/>
      <w:r>
        <w:rPr>
          <w:rFonts w:hint="eastAsia"/>
          <w:lang w:val="en-US" w:eastAsia="zh-CN"/>
        </w:rPr>
        <w:t>（四）绩效目标设置情况</w:t>
      </w:r>
      <w:bookmarkEnd w:id="3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2024年学校开展绩效目标管理的项目12个，涉及预算3593.09万元。其中：人员类项目4个，涉及预算 2808.6万元；运转类项目3个，涉及预算185.55万元；特定目标类项目5个，涉及预算598.94万元。</w:t>
      </w:r>
    </w:p>
    <w:p>
      <w:pPr>
        <w:pStyle w:val="2"/>
        <w:bidi w:val="0"/>
        <w:rPr>
          <w:rFonts w:hint="eastAsia"/>
        </w:rPr>
      </w:pPr>
      <w:bookmarkStart w:id="36" w:name="_Toc11503"/>
      <w:bookmarkStart w:id="37" w:name="_Toc3529"/>
      <w:r>
        <w:rPr>
          <w:rFonts w:hint="eastAsia"/>
          <w:lang w:val="en-US" w:eastAsia="zh-CN"/>
        </w:rPr>
        <w:t>十一、名词解释</w:t>
      </w:r>
      <w:bookmarkEnd w:id="36"/>
      <w:bookmarkEnd w:id="3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color w:val="auto"/>
          <w:kern w:val="2"/>
          <w:sz w:val="32"/>
          <w:szCs w:val="32"/>
          <w:lang w:val="en-US" w:eastAsia="zh-CN" w:bidi="ar-SA"/>
        </w:rPr>
        <w:t>指市财政当年安排的财政预算收入。按现行管理制度，部门预算中反映的财政拨款为一般公共预算拨款。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color w:val="auto"/>
          <w:kern w:val="2"/>
          <w:sz w:val="32"/>
          <w:szCs w:val="32"/>
          <w:lang w:val="en-US" w:eastAsia="zh-CN" w:bidi="ar-SA"/>
        </w:rPr>
        <w:t>指事业学校开展教学等活动所取得的收入。主要为学校根据国家有关部门批准的项目和标准收取的住宿费等。</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楷体_GB2312" w:hAnsi="楷体_GB2312" w:eastAsia="楷体_GB2312" w:cs="楷体_GB2312"/>
          <w:sz w:val="32"/>
          <w:szCs w:val="32"/>
          <w:lang w:val="en-US" w:eastAsia="zh-CN"/>
        </w:rPr>
        <w:t>（三）</w:t>
      </w:r>
      <w:r>
        <w:rPr>
          <w:rFonts w:hint="eastAsia" w:ascii="楷体" w:hAnsi="楷体" w:eastAsia="楷体" w:cs="楷体"/>
          <w:i w:val="0"/>
          <w:caps w:val="0"/>
          <w:color w:val="333333"/>
          <w:spacing w:val="0"/>
          <w:kern w:val="0"/>
          <w:sz w:val="32"/>
          <w:szCs w:val="32"/>
          <w:shd w:val="clear" w:color="auto" w:fill="FFFFFF"/>
          <w:lang w:val="en-US" w:eastAsia="zh-CN" w:bidi="ar"/>
        </w:rPr>
        <w:t>教育支出（类）职业教育（款）中等职业教育（项）：</w:t>
      </w:r>
      <w:r>
        <w:rPr>
          <w:rFonts w:hint="eastAsia" w:ascii="仿宋_GB2312" w:hAnsi="仿宋_GB2312" w:eastAsia="仿宋_GB2312" w:cs="仿宋_GB2312"/>
          <w:color w:val="auto"/>
          <w:kern w:val="2"/>
          <w:sz w:val="32"/>
          <w:szCs w:val="32"/>
          <w:lang w:val="en-US" w:eastAsia="zh-CN" w:bidi="ar-SA"/>
        </w:rPr>
        <w:t>指学校用于保障机构正常运行、开展日常工作的基本支出。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楷体_GB2312" w:hAnsi="楷体_GB2312" w:eastAsia="楷体_GB2312" w:cs="楷体_GB2312"/>
          <w:sz w:val="32"/>
          <w:szCs w:val="32"/>
          <w:lang w:val="en-US" w:eastAsia="zh-CN"/>
        </w:rPr>
        <w:t>（四）</w:t>
      </w:r>
      <w:r>
        <w:rPr>
          <w:rFonts w:hint="eastAsia" w:ascii="楷体" w:hAnsi="楷体" w:eastAsia="楷体" w:cs="楷体"/>
          <w:i w:val="0"/>
          <w:caps w:val="0"/>
          <w:color w:val="333333"/>
          <w:spacing w:val="0"/>
          <w:kern w:val="0"/>
          <w:sz w:val="32"/>
          <w:szCs w:val="32"/>
          <w:shd w:val="clear" w:color="auto" w:fill="FFFFFF"/>
          <w:lang w:val="en-US" w:eastAsia="zh-CN" w:bidi="ar"/>
        </w:rPr>
        <w:t>社会保障和就业（类）行政事业单位养老支出（款）机关事业单位基本养老保险缴费支出（项）：</w:t>
      </w:r>
      <w:r>
        <w:rPr>
          <w:rFonts w:hint="eastAsia" w:ascii="仿宋_GB2312" w:hAnsi="仿宋_GB2312" w:eastAsia="仿宋_GB2312" w:cs="仿宋_GB2312"/>
          <w:color w:val="auto"/>
          <w:kern w:val="2"/>
          <w:sz w:val="32"/>
          <w:szCs w:val="32"/>
          <w:lang w:val="en-US" w:eastAsia="zh-CN" w:bidi="ar-SA"/>
        </w:rPr>
        <w:t>指实施养老保险制度由学校缴纳的养老保险的支出。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（五）</w:t>
      </w:r>
      <w:r>
        <w:rPr>
          <w:rFonts w:hint="eastAsia" w:ascii="楷体" w:hAnsi="楷体" w:eastAsia="楷体" w:cs="楷体"/>
          <w:i w:val="0"/>
          <w:caps w:val="0"/>
          <w:color w:val="333333"/>
          <w:spacing w:val="0"/>
          <w:kern w:val="0"/>
          <w:sz w:val="32"/>
          <w:szCs w:val="32"/>
          <w:shd w:val="clear" w:color="auto" w:fill="FFFFFF"/>
          <w:lang w:val="en-US" w:eastAsia="zh-CN" w:bidi="ar"/>
        </w:rPr>
        <w:t>卫生健康（类）行政事业单位医疗（款）事业单位医疗（项）：</w:t>
      </w:r>
      <w:r>
        <w:rPr>
          <w:rFonts w:hint="eastAsia" w:ascii="仿宋_GB2312" w:hAnsi="仿宋_GB2312" w:eastAsia="仿宋_GB2312" w:cs="仿宋_GB2312"/>
          <w:color w:val="auto"/>
          <w:kern w:val="2"/>
          <w:sz w:val="32"/>
          <w:szCs w:val="32"/>
          <w:lang w:val="en-US" w:eastAsia="zh-CN" w:bidi="ar-SA"/>
        </w:rPr>
        <w:t>指学校用于缴纳职工基本医疗保险支出。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楷体_GB2312" w:hAnsi="楷体_GB2312" w:eastAsia="楷体_GB2312" w:cs="楷体_GB2312"/>
          <w:sz w:val="32"/>
          <w:szCs w:val="32"/>
          <w:lang w:val="en-US" w:eastAsia="zh-CN"/>
        </w:rPr>
        <w:t>（六）</w:t>
      </w:r>
      <w:r>
        <w:rPr>
          <w:rFonts w:hint="eastAsia" w:ascii="楷体" w:hAnsi="楷体" w:eastAsia="楷体" w:cs="楷体"/>
          <w:i w:val="0"/>
          <w:caps w:val="0"/>
          <w:color w:val="333333"/>
          <w:spacing w:val="0"/>
          <w:kern w:val="0"/>
          <w:sz w:val="32"/>
          <w:szCs w:val="32"/>
          <w:shd w:val="clear" w:color="auto" w:fill="FFFFFF"/>
          <w:lang w:val="en-US" w:eastAsia="zh-CN" w:bidi="ar"/>
        </w:rPr>
        <w:t>社会保障和就业（类）其他社会保障和就业支出（款）其他社会保障和就业支出（项）：</w:t>
      </w:r>
      <w:r>
        <w:rPr>
          <w:rFonts w:hint="eastAsia" w:ascii="仿宋_GB2312" w:hAnsi="仿宋_GB2312" w:eastAsia="仿宋_GB2312" w:cs="仿宋_GB2312"/>
          <w:color w:val="auto"/>
          <w:kern w:val="2"/>
          <w:sz w:val="32"/>
          <w:szCs w:val="32"/>
          <w:lang w:val="en-US" w:eastAsia="zh-CN" w:bidi="ar-SA"/>
        </w:rPr>
        <w:t>指学校缴纳的工伤、失业保险等方面的支出。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（七）</w:t>
      </w:r>
      <w:r>
        <w:rPr>
          <w:rFonts w:hint="eastAsia" w:ascii="楷体" w:hAnsi="楷体" w:eastAsia="楷体" w:cs="楷体"/>
          <w:i w:val="0"/>
          <w:caps w:val="0"/>
          <w:color w:val="333333"/>
          <w:spacing w:val="0"/>
          <w:kern w:val="0"/>
          <w:sz w:val="32"/>
          <w:szCs w:val="32"/>
          <w:shd w:val="clear" w:color="auto" w:fill="FFFFFF"/>
          <w:lang w:val="en-US" w:eastAsia="zh-CN" w:bidi="ar"/>
        </w:rPr>
        <w:t>住房保障（类）住房改革支出（款）住房公积金（项）：</w:t>
      </w:r>
      <w:r>
        <w:rPr>
          <w:rFonts w:hint="eastAsia" w:ascii="仿宋_GB2312" w:hAnsi="仿宋_GB2312" w:eastAsia="仿宋_GB2312" w:cs="仿宋_GB2312"/>
          <w:color w:val="auto"/>
          <w:kern w:val="2"/>
          <w:sz w:val="32"/>
          <w:szCs w:val="32"/>
          <w:lang w:val="en-US" w:eastAsia="zh-CN" w:bidi="ar-SA"/>
        </w:rPr>
        <w:t>指按照《住房公积金管理条例》的规定，由学校为在职职工缴存的长期住房储金。</w:t>
      </w:r>
      <w:r>
        <w:rPr>
          <w:rFonts w:hint="eastAsia" w:ascii="仿宋" w:hAnsi="仿宋" w:eastAsia="仿宋" w:cs="仿宋"/>
          <w:i w:val="0"/>
          <w:caps w:val="0"/>
          <w:color w:val="333333"/>
          <w:spacing w:val="0"/>
          <w:kern w:val="0"/>
          <w:sz w:val="32"/>
          <w:szCs w:val="32"/>
          <w:shd w:val="clear" w:color="auto" w:fill="FFFFFF"/>
          <w:lang w:val="en-US" w:eastAsia="zh-CN" w:bidi="ar"/>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w:t>
      </w:r>
      <w:r>
        <w:rPr>
          <w:rFonts w:hint="eastAsia" w:ascii="楷体" w:hAnsi="楷体" w:eastAsia="楷体" w:cs="楷体"/>
          <w:i w:val="0"/>
          <w:caps w:val="0"/>
          <w:color w:val="333333"/>
          <w:spacing w:val="0"/>
          <w:kern w:val="0"/>
          <w:sz w:val="32"/>
          <w:szCs w:val="32"/>
          <w:shd w:val="clear" w:color="auto" w:fill="FFFFFF"/>
          <w:lang w:val="en-US" w:eastAsia="zh-CN" w:bidi="ar"/>
        </w:rPr>
        <w:t>基本支出：</w:t>
      </w:r>
      <w:r>
        <w:rPr>
          <w:rFonts w:hint="eastAsia" w:ascii="仿宋_GB2312" w:hAnsi="仿宋_GB2312" w:eastAsia="仿宋_GB2312" w:cs="仿宋_GB2312"/>
          <w:color w:val="auto"/>
          <w:kern w:val="2"/>
          <w:sz w:val="32"/>
          <w:szCs w:val="32"/>
          <w:lang w:val="en-US" w:eastAsia="zh-CN" w:bidi="ar-SA"/>
        </w:rPr>
        <w:t>指学校为保证机构正常运转，完成日常工作任务而发生的人员支出和公用支出。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楷体_GB2312" w:hAnsi="楷体_GB2312" w:eastAsia="楷体_GB2312" w:cs="楷体_GB2312"/>
          <w:sz w:val="32"/>
          <w:szCs w:val="32"/>
          <w:lang w:val="en-US" w:eastAsia="zh-CN"/>
        </w:rPr>
        <w:t>（九）</w:t>
      </w:r>
      <w:r>
        <w:rPr>
          <w:rFonts w:hint="eastAsia" w:ascii="楷体" w:hAnsi="楷体" w:eastAsia="楷体" w:cs="楷体"/>
          <w:i w:val="0"/>
          <w:caps w:val="0"/>
          <w:color w:val="333333"/>
          <w:spacing w:val="0"/>
          <w:kern w:val="0"/>
          <w:sz w:val="32"/>
          <w:szCs w:val="32"/>
          <w:shd w:val="clear" w:color="auto" w:fill="FFFFFF"/>
          <w:lang w:val="en-US" w:eastAsia="zh-CN" w:bidi="ar"/>
        </w:rPr>
        <w:t>项目支出：</w:t>
      </w:r>
      <w:r>
        <w:rPr>
          <w:rFonts w:hint="eastAsia" w:ascii="仿宋_GB2312" w:hAnsi="仿宋_GB2312" w:eastAsia="仿宋_GB2312" w:cs="仿宋_GB2312"/>
          <w:color w:val="auto"/>
          <w:kern w:val="2"/>
          <w:sz w:val="32"/>
          <w:szCs w:val="32"/>
          <w:lang w:val="en-US" w:eastAsia="zh-CN" w:bidi="ar-SA"/>
        </w:rPr>
        <w:t>指学校在基本支出之外为完成特定行政任务和事业发展目标所发生的支出。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楷体_GB2312" w:hAnsi="楷体_GB2312" w:eastAsia="楷体_GB2312" w:cs="楷体_GB2312"/>
          <w:sz w:val="32"/>
          <w:szCs w:val="32"/>
          <w:lang w:val="en-US" w:eastAsia="zh-CN"/>
        </w:rPr>
        <w:t>（十）“三公”经费：</w:t>
      </w:r>
      <w:r>
        <w:rPr>
          <w:rFonts w:hint="eastAsia" w:ascii="仿宋_GB2312" w:hAnsi="仿宋_GB2312" w:eastAsia="仿宋_GB2312" w:cs="仿宋_GB2312"/>
          <w:color w:val="auto"/>
          <w:kern w:val="2"/>
          <w:sz w:val="32"/>
          <w:szCs w:val="32"/>
          <w:lang w:val="en-US" w:eastAsia="zh-CN" w:bidi="ar-SA"/>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color w:val="auto"/>
          <w:kern w:val="2"/>
          <w:sz w:val="32"/>
          <w:szCs w:val="32"/>
          <w:lang w:val="en-US" w:eastAsia="zh-CN" w:bidi="ar-SA"/>
        </w:rPr>
        <w:br w:type="textWrapping"/>
      </w:r>
      <w:r>
        <w:rPr>
          <w:rFonts w:hint="eastAsia" w:ascii="仿宋_GB2312" w:hAnsi="仿宋_GB2312" w:eastAsia="仿宋_GB2312" w:cs="仿宋_GB2312"/>
          <w:sz w:val="32"/>
          <w:szCs w:val="32"/>
          <w:lang w:val="en-US" w:eastAsia="zh-CN"/>
        </w:rPr>
        <w:t>　  附件：</w:t>
      </w:r>
      <w:r>
        <w:rPr>
          <w:rFonts w:hint="eastAsia" w:ascii="仿宋_GB2312" w:hAnsi="仿宋_GB2312" w:eastAsia="仿宋_GB2312" w:cs="仿宋_GB2312"/>
          <w:color w:val="auto"/>
          <w:kern w:val="2"/>
          <w:sz w:val="32"/>
          <w:szCs w:val="32"/>
          <w:lang w:val="en-US" w:eastAsia="zh-CN" w:bidi="ar-SA"/>
        </w:rPr>
        <w:t>部门预算公开表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 xml:space="preserve">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7236fad3-f122-400d-8f11-29d606304f0c"/>
  </w:docVars>
  <w:rsids>
    <w:rsidRoot w:val="00000000"/>
    <w:rsid w:val="012352D1"/>
    <w:rsid w:val="054D10EA"/>
    <w:rsid w:val="056D486A"/>
    <w:rsid w:val="0BDF6813"/>
    <w:rsid w:val="13D84B5E"/>
    <w:rsid w:val="16E11692"/>
    <w:rsid w:val="18252151"/>
    <w:rsid w:val="1849373C"/>
    <w:rsid w:val="194A0A34"/>
    <w:rsid w:val="1A9F5AEC"/>
    <w:rsid w:val="1D9F113A"/>
    <w:rsid w:val="1F7BF06F"/>
    <w:rsid w:val="1FEE4B73"/>
    <w:rsid w:val="230B6414"/>
    <w:rsid w:val="23CE9849"/>
    <w:rsid w:val="24613919"/>
    <w:rsid w:val="285C14C0"/>
    <w:rsid w:val="293E2361"/>
    <w:rsid w:val="2A723DA1"/>
    <w:rsid w:val="2C4346EF"/>
    <w:rsid w:val="2E5C5D76"/>
    <w:rsid w:val="2F3E12FB"/>
    <w:rsid w:val="304765B2"/>
    <w:rsid w:val="329F64BC"/>
    <w:rsid w:val="372799D5"/>
    <w:rsid w:val="39F304DD"/>
    <w:rsid w:val="3D27565B"/>
    <w:rsid w:val="41390199"/>
    <w:rsid w:val="41780CC1"/>
    <w:rsid w:val="41B15F81"/>
    <w:rsid w:val="41BE244C"/>
    <w:rsid w:val="466B0DF4"/>
    <w:rsid w:val="4B2779B2"/>
    <w:rsid w:val="4DC358C0"/>
    <w:rsid w:val="54244390"/>
    <w:rsid w:val="54662A63"/>
    <w:rsid w:val="55EC35D4"/>
    <w:rsid w:val="565847C5"/>
    <w:rsid w:val="58064E12"/>
    <w:rsid w:val="5A7D47FA"/>
    <w:rsid w:val="5BFEE015"/>
    <w:rsid w:val="5D347D3A"/>
    <w:rsid w:val="5D867E6A"/>
    <w:rsid w:val="5E602469"/>
    <w:rsid w:val="61396238"/>
    <w:rsid w:val="62E21FE6"/>
    <w:rsid w:val="63EDCF55"/>
    <w:rsid w:val="63FBFBCF"/>
    <w:rsid w:val="653B59DE"/>
    <w:rsid w:val="65B03CD6"/>
    <w:rsid w:val="669360FD"/>
    <w:rsid w:val="68FF6A83"/>
    <w:rsid w:val="6AEF6005"/>
    <w:rsid w:val="6D035033"/>
    <w:rsid w:val="6E3DB48E"/>
    <w:rsid w:val="6E3F5E20"/>
    <w:rsid w:val="6E927C1A"/>
    <w:rsid w:val="6FBBC9CF"/>
    <w:rsid w:val="70C745CA"/>
    <w:rsid w:val="72BDE561"/>
    <w:rsid w:val="73471CDE"/>
    <w:rsid w:val="742A5B61"/>
    <w:rsid w:val="78462278"/>
    <w:rsid w:val="7997EA6C"/>
    <w:rsid w:val="7A0423EA"/>
    <w:rsid w:val="7AEAE675"/>
    <w:rsid w:val="7B613568"/>
    <w:rsid w:val="7BAFCE5D"/>
    <w:rsid w:val="7D46598C"/>
    <w:rsid w:val="7D9F8F0F"/>
    <w:rsid w:val="7DFB240B"/>
    <w:rsid w:val="7DFE05E7"/>
    <w:rsid w:val="7E0935ED"/>
    <w:rsid w:val="7F4912D5"/>
    <w:rsid w:val="7FCF2AF7"/>
    <w:rsid w:val="9FEF033D"/>
    <w:rsid w:val="A27FF1E5"/>
    <w:rsid w:val="AF3FEDDD"/>
    <w:rsid w:val="AFDEB5A7"/>
    <w:rsid w:val="AFEA7FBF"/>
    <w:rsid w:val="B83F4767"/>
    <w:rsid w:val="BBE6C87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1"/>
    <w:basedOn w:val="1"/>
    <w:next w:val="1"/>
    <w:qFormat/>
    <w:uiPriority w:val="0"/>
    <w:pPr>
      <w:keepNext w:val="0"/>
      <w:keepLines w:val="0"/>
      <w:spacing w:line="560" w:lineRule="exact"/>
      <w:ind w:firstLine="880" w:firstLineChars="200"/>
      <w:outlineLvl w:val="0"/>
    </w:pPr>
    <w:rPr>
      <w:rFonts w:ascii="Times New Roman" w:hAnsi="Times New Roman" w:eastAsia="黑体" w:cs="Times New Roman"/>
      <w:kern w:val="44"/>
      <w:sz w:val="32"/>
      <w:szCs w:val="22"/>
    </w:rPr>
  </w:style>
  <w:style w:type="paragraph" w:styleId="3">
    <w:name w:val="heading 2"/>
    <w:basedOn w:val="1"/>
    <w:next w:val="1"/>
    <w:unhideWhenUsed/>
    <w:qFormat/>
    <w:uiPriority w:val="0"/>
    <w:pPr>
      <w:keepNext/>
      <w:keepLines/>
      <w:spacing w:line="560" w:lineRule="exact"/>
      <w:ind w:firstLine="880" w:firstLineChars="200"/>
      <w:jc w:val="both"/>
      <w:outlineLvl w:val="1"/>
    </w:pPr>
    <w:rPr>
      <w:rFonts w:ascii="Arial" w:hAnsi="Arial" w:eastAsia="楷体" w:cs="Times New Roman"/>
      <w:bCs/>
      <w:sz w:val="32"/>
      <w:szCs w:val="32"/>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Body Text"/>
    <w:basedOn w:val="1"/>
    <w:qFormat/>
    <w:uiPriority w:val="0"/>
    <w:pPr>
      <w:spacing w:before="0" w:after="140" w:line="276" w:lineRule="auto"/>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w:basedOn w:val="5"/>
    <w:qFormat/>
    <w:uiPriority w:val="0"/>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5"/>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BodyText1I2"/>
    <w:basedOn w:val="16"/>
    <w:next w:val="1"/>
    <w:qFormat/>
    <w:uiPriority w:val="0"/>
    <w:pPr>
      <w:spacing w:after="120"/>
      <w:ind w:left="420" w:leftChars="200" w:firstLine="420" w:firstLineChars="200"/>
      <w:jc w:val="both"/>
      <w:textAlignment w:val="baseline"/>
    </w:pPr>
    <w:rPr>
      <w:rFonts w:ascii="Calibri" w:hAnsi="Calibri" w:eastAsia="宋体"/>
      <w:sz w:val="21"/>
      <w:szCs w:val="24"/>
    </w:rPr>
  </w:style>
  <w:style w:type="paragraph" w:customStyle="1" w:styleId="16">
    <w:name w:val="BodyTextIndent"/>
    <w:basedOn w:val="1"/>
    <w:next w:val="15"/>
    <w:qFormat/>
    <w:uiPriority w:val="0"/>
    <w:pPr>
      <w:spacing w:after="120"/>
      <w:ind w:left="420" w:leftChars="200"/>
      <w:jc w:val="both"/>
      <w:textAlignment w:val="baseline"/>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3691</Words>
  <Characters>4022</Characters>
  <TotalTime>12</TotalTime>
  <ScaleCrop>false</ScaleCrop>
  <LinksUpToDate>false</LinksUpToDate>
  <CharactersWithSpaces>4111</CharactersWithSpaces>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 </cp:lastModifiedBy>
  <dcterms:modified xsi:type="dcterms:W3CDTF">2024-03-25T20:50:09Z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BA8A53ACEA4A413988A3011720F1AB83_13</vt:lpwstr>
  </property>
</Properties>
</file>