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广元市气象局</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2024年部门预算编制说明</w:t>
      </w:r>
    </w:p>
    <w:p>
      <w:pPr>
        <w:jc w:val="center"/>
        <w:rPr>
          <w:rFonts w:ascii="黑体" w:hAnsi="黑体" w:eastAsia="黑体" w:cs="黑体"/>
          <w:b/>
          <w:bCs/>
          <w:color w:val="000000" w:themeColor="text1"/>
          <w:kern w:val="0"/>
          <w:sz w:val="32"/>
          <w:szCs w:val="32"/>
          <w:shd w:val="clear" w:color="auto" w:fill="FFFFFF"/>
          <w:lang w:bidi="ar"/>
          <w14:textFill>
            <w14:solidFill>
              <w14:schemeClr w14:val="tx1"/>
            </w14:solidFill>
          </w14:textFill>
        </w:rPr>
      </w:pPr>
      <w: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t>目   录</w:t>
      </w:r>
    </w:p>
    <w:sdt>
      <w:sdtPr>
        <w:rPr>
          <w:lang w:val="zh-CN"/>
        </w:rPr>
        <w:id w:val="-1"/>
        <w:docPartObj>
          <w:docPartGallery w:val="Table of Contents"/>
          <w:docPartUnique/>
        </w:docPartObj>
      </w:sdtPr>
      <w:sdtEndPr>
        <w:rPr>
          <w:rFonts w:ascii="Calibri" w:hAnsi="Calibri" w:eastAsia="宋体" w:cs="Times New Roman"/>
          <w:color w:val="auto"/>
          <w:kern w:val="2"/>
          <w:sz w:val="21"/>
          <w:szCs w:val="24"/>
          <w:lang w:val="zh-CN"/>
        </w:rPr>
      </w:sdtEndPr>
      <w:sdtContent>
        <w:p>
          <w:pPr>
            <w:pStyle w:val="19"/>
            <w:rPr>
              <w:rStyle w:val="14"/>
              <w:rFonts w:ascii="黑体" w:hAnsi="黑体" w:eastAsia="黑体" w:cs="黑体"/>
              <w:b w:val="0"/>
              <w:bCs w:val="0"/>
              <w:color w:val="auto"/>
              <w:kern w:val="2"/>
              <w:sz w:val="21"/>
              <w:szCs w:val="24"/>
            </w:rPr>
          </w:pPr>
          <w:r>
            <w:fldChar w:fldCharType="begin"/>
          </w:r>
          <w:r>
            <w:instrText xml:space="preserve"> TOC \o "1-3" \h \z \u </w:instrText>
          </w:r>
          <w:r>
            <w:fldChar w:fldCharType="separate"/>
          </w:r>
          <w:r>
            <w:fldChar w:fldCharType="begin"/>
          </w:r>
          <w:r>
            <w:instrText xml:space="preserve"> HYPERLINK \l "_Toc158038904" </w:instrText>
          </w:r>
          <w:r>
            <w:fldChar w:fldCharType="separate"/>
          </w:r>
          <w:r>
            <w:rPr>
              <w:rStyle w:val="14"/>
              <w:rFonts w:hint="eastAsia" w:ascii="黑体" w:hAnsi="黑体" w:eastAsia="黑体" w:cs="黑体"/>
              <w:b w:val="0"/>
              <w:bCs w:val="0"/>
              <w:color w:val="auto"/>
              <w:kern w:val="2"/>
              <w:sz w:val="21"/>
              <w:szCs w:val="24"/>
            </w:rPr>
            <w:t>一、基本职能及主要工作</w:t>
          </w:r>
          <w:r>
            <w:rPr>
              <w:rStyle w:val="14"/>
              <w:rFonts w:ascii="黑体" w:hAnsi="黑体" w:eastAsia="黑体" w:cs="黑体"/>
              <w:b w:val="0"/>
              <w:bCs w:val="0"/>
              <w:color w:val="auto"/>
              <w:kern w:val="2"/>
              <w:sz w:val="21"/>
              <w:szCs w:val="24"/>
            </w:rPr>
            <w:t>……………………………………………………………….………………</w:t>
          </w:r>
          <w:r>
            <w:rPr>
              <w:rStyle w:val="14"/>
              <w:rFonts w:ascii="黑体" w:hAnsi="黑体" w:eastAsia="黑体" w:cs="黑体"/>
              <w:b w:val="0"/>
              <w:bCs w:val="0"/>
              <w:color w:val="auto"/>
              <w:kern w:val="2"/>
              <w:sz w:val="21"/>
              <w:szCs w:val="24"/>
            </w:rPr>
            <w:fldChar w:fldCharType="begin"/>
          </w:r>
          <w:r>
            <w:rPr>
              <w:rStyle w:val="14"/>
              <w:rFonts w:ascii="黑体" w:hAnsi="黑体" w:eastAsia="黑体" w:cs="黑体"/>
              <w:b w:val="0"/>
              <w:bCs w:val="0"/>
              <w:color w:val="auto"/>
              <w:kern w:val="2"/>
              <w:sz w:val="21"/>
              <w:szCs w:val="24"/>
            </w:rPr>
            <w:instrText xml:space="preserve"> PAGEREF _Toc158038904 \h </w:instrText>
          </w:r>
          <w:r>
            <w:rPr>
              <w:rStyle w:val="14"/>
              <w:rFonts w:ascii="黑体" w:hAnsi="黑体" w:eastAsia="黑体" w:cs="黑体"/>
              <w:b w:val="0"/>
              <w:bCs w:val="0"/>
              <w:color w:val="auto"/>
              <w:kern w:val="2"/>
              <w:sz w:val="21"/>
              <w:szCs w:val="24"/>
            </w:rPr>
            <w:fldChar w:fldCharType="separate"/>
          </w:r>
          <w:r>
            <w:rPr>
              <w:rStyle w:val="14"/>
              <w:rFonts w:ascii="黑体" w:hAnsi="黑体" w:eastAsia="黑体" w:cs="黑体"/>
              <w:b w:val="0"/>
              <w:bCs w:val="0"/>
              <w:color w:val="auto"/>
              <w:kern w:val="2"/>
              <w:sz w:val="21"/>
              <w:szCs w:val="24"/>
            </w:rPr>
            <w:t>2</w:t>
          </w:r>
          <w:r>
            <w:rPr>
              <w:rStyle w:val="14"/>
              <w:rFonts w:ascii="黑体" w:hAnsi="黑体" w:eastAsia="黑体" w:cs="黑体"/>
              <w:b w:val="0"/>
              <w:bCs w:val="0"/>
              <w:color w:val="auto"/>
              <w:kern w:val="2"/>
              <w:sz w:val="21"/>
              <w:szCs w:val="24"/>
            </w:rPr>
            <w:fldChar w:fldCharType="end"/>
          </w:r>
          <w:r>
            <w:rPr>
              <w:rStyle w:val="14"/>
              <w:rFonts w:ascii="黑体" w:hAnsi="黑体" w:eastAsia="黑体" w:cs="黑体"/>
              <w:b w:val="0"/>
              <w:bCs w:val="0"/>
              <w:color w:val="auto"/>
              <w:kern w:val="2"/>
              <w:sz w:val="21"/>
              <w:szCs w:val="24"/>
            </w:rPr>
            <w:fldChar w:fldCharType="end"/>
          </w:r>
        </w:p>
        <w:p>
          <w:pPr>
            <w:pStyle w:val="10"/>
            <w:tabs>
              <w:tab w:val="right" w:leader="dot" w:pos="8835"/>
            </w:tabs>
          </w:pPr>
          <w:r>
            <w:fldChar w:fldCharType="begin"/>
          </w:r>
          <w:r>
            <w:instrText xml:space="preserve"> HYPERLINK \l "_Toc158038905" </w:instrText>
          </w:r>
          <w:r>
            <w:fldChar w:fldCharType="separate"/>
          </w:r>
          <w:r>
            <w:rPr>
              <w:rStyle w:val="14"/>
              <w:rFonts w:hint="eastAsia" w:ascii="楷体_GB2312" w:hAnsi="楷体_GB2312" w:eastAsia="楷体_GB2312" w:cs="楷体_GB2312"/>
            </w:rPr>
            <w:t>（一）广元市气象局职能简介</w:t>
          </w:r>
          <w:r>
            <w:tab/>
          </w:r>
          <w:r>
            <w:fldChar w:fldCharType="begin"/>
          </w:r>
          <w:r>
            <w:instrText xml:space="preserve"> PAGEREF _Toc158038905 \h </w:instrText>
          </w:r>
          <w:r>
            <w:fldChar w:fldCharType="separate"/>
          </w:r>
          <w:r>
            <w:t>2</w:t>
          </w:r>
          <w:r>
            <w:fldChar w:fldCharType="end"/>
          </w:r>
          <w:r>
            <w:fldChar w:fldCharType="end"/>
          </w:r>
        </w:p>
        <w:p>
          <w:pPr>
            <w:pStyle w:val="10"/>
            <w:tabs>
              <w:tab w:val="right" w:leader="dot" w:pos="8835"/>
            </w:tabs>
          </w:pPr>
          <w:r>
            <w:fldChar w:fldCharType="begin"/>
          </w:r>
          <w:r>
            <w:instrText xml:space="preserve"> HYPERLINK \l "_Toc158038906" </w:instrText>
          </w:r>
          <w:r>
            <w:fldChar w:fldCharType="separate"/>
          </w:r>
          <w:r>
            <w:rPr>
              <w:rStyle w:val="14"/>
              <w:rFonts w:hint="eastAsia" w:ascii="楷体_GB2312" w:hAnsi="楷体_GB2312" w:eastAsia="楷体_GB2312" w:cs="楷体_GB2312"/>
            </w:rPr>
            <w:t>（二）广元市气象局</w:t>
          </w:r>
          <w:r>
            <w:rPr>
              <w:rStyle w:val="14"/>
              <w:rFonts w:ascii="楷体_GB2312" w:hAnsi="楷体_GB2312" w:eastAsia="楷体_GB2312" w:cs="楷体_GB2312"/>
            </w:rPr>
            <w:t>2024</w:t>
          </w:r>
          <w:r>
            <w:rPr>
              <w:rStyle w:val="14"/>
              <w:rFonts w:hint="eastAsia" w:ascii="楷体_GB2312" w:hAnsi="楷体_GB2312" w:eastAsia="楷体_GB2312" w:cs="楷体_GB2312"/>
            </w:rPr>
            <w:t>年重点工作</w:t>
          </w:r>
          <w:r>
            <w:tab/>
          </w:r>
          <w:r>
            <w:fldChar w:fldCharType="begin"/>
          </w:r>
          <w:r>
            <w:instrText xml:space="preserve"> PAGEREF _Toc158038906 \h </w:instrText>
          </w:r>
          <w:r>
            <w:fldChar w:fldCharType="separate"/>
          </w:r>
          <w:r>
            <w:t>3</w:t>
          </w:r>
          <w:r>
            <w:fldChar w:fldCharType="end"/>
          </w:r>
          <w:r>
            <w:fldChar w:fldCharType="end"/>
          </w:r>
        </w:p>
        <w:p>
          <w:pPr>
            <w:pStyle w:val="8"/>
            <w:tabs>
              <w:tab w:val="right" w:leader="dot" w:pos="8835"/>
            </w:tabs>
          </w:pPr>
          <w:r>
            <w:fldChar w:fldCharType="begin"/>
          </w:r>
          <w:r>
            <w:instrText xml:space="preserve"> HYPERLINK \l "_Toc158038907" </w:instrText>
          </w:r>
          <w:r>
            <w:fldChar w:fldCharType="separate"/>
          </w:r>
          <w:r>
            <w:rPr>
              <w:rStyle w:val="14"/>
              <w:rFonts w:hint="eastAsia" w:ascii="黑体" w:hAnsi="黑体" w:eastAsia="黑体" w:cs="黑体"/>
            </w:rPr>
            <w:t>二、部门预算单位构成</w:t>
          </w:r>
          <w:r>
            <w:tab/>
          </w:r>
          <w:r>
            <w:fldChar w:fldCharType="begin"/>
          </w:r>
          <w:r>
            <w:instrText xml:space="preserve"> PAGEREF _Toc158038907 \h </w:instrText>
          </w:r>
          <w:r>
            <w:fldChar w:fldCharType="separate"/>
          </w:r>
          <w:r>
            <w:t>6</w:t>
          </w:r>
          <w:r>
            <w:fldChar w:fldCharType="end"/>
          </w:r>
          <w:r>
            <w:fldChar w:fldCharType="end"/>
          </w:r>
        </w:p>
        <w:p>
          <w:pPr>
            <w:pStyle w:val="8"/>
            <w:tabs>
              <w:tab w:val="right" w:leader="dot" w:pos="8835"/>
            </w:tabs>
          </w:pPr>
          <w:r>
            <w:fldChar w:fldCharType="begin"/>
          </w:r>
          <w:r>
            <w:instrText xml:space="preserve"> HYPERLINK \l "_Toc158038908" </w:instrText>
          </w:r>
          <w:r>
            <w:fldChar w:fldCharType="separate"/>
          </w:r>
          <w:r>
            <w:rPr>
              <w:rStyle w:val="14"/>
              <w:rFonts w:hint="eastAsia" w:ascii="黑体" w:hAnsi="黑体" w:eastAsia="黑体" w:cs="黑体"/>
            </w:rPr>
            <w:t>三、收支预算情况说明</w:t>
          </w:r>
          <w:r>
            <w:tab/>
          </w:r>
          <w:r>
            <w:fldChar w:fldCharType="begin"/>
          </w:r>
          <w:r>
            <w:instrText xml:space="preserve"> PAGEREF _Toc158038908 \h </w:instrText>
          </w:r>
          <w:r>
            <w:fldChar w:fldCharType="separate"/>
          </w:r>
          <w:r>
            <w:t>6</w:t>
          </w:r>
          <w:r>
            <w:fldChar w:fldCharType="end"/>
          </w:r>
          <w:r>
            <w:fldChar w:fldCharType="end"/>
          </w:r>
        </w:p>
        <w:p>
          <w:pPr>
            <w:pStyle w:val="10"/>
            <w:tabs>
              <w:tab w:val="right" w:leader="dot" w:pos="8835"/>
            </w:tabs>
          </w:pPr>
          <w:r>
            <w:fldChar w:fldCharType="begin"/>
          </w:r>
          <w:r>
            <w:instrText xml:space="preserve"> HYPERLINK \l "_Toc158038909" </w:instrText>
          </w:r>
          <w:r>
            <w:fldChar w:fldCharType="separate"/>
          </w:r>
          <w:r>
            <w:rPr>
              <w:rStyle w:val="14"/>
              <w:rFonts w:hint="eastAsia" w:ascii="楷体_GB2312" w:hAnsi="楷体_GB2312" w:eastAsia="楷体_GB2312" w:cs="楷体_GB2312"/>
            </w:rPr>
            <w:t>（一）收入预算情况</w:t>
          </w:r>
          <w:r>
            <w:tab/>
          </w:r>
          <w:r>
            <w:fldChar w:fldCharType="begin"/>
          </w:r>
          <w:r>
            <w:instrText xml:space="preserve"> PAGEREF _Toc158038909 \h </w:instrText>
          </w:r>
          <w:r>
            <w:fldChar w:fldCharType="separate"/>
          </w:r>
          <w:r>
            <w:t>6</w:t>
          </w:r>
          <w:r>
            <w:fldChar w:fldCharType="end"/>
          </w:r>
          <w:r>
            <w:fldChar w:fldCharType="end"/>
          </w:r>
        </w:p>
        <w:p>
          <w:pPr>
            <w:pStyle w:val="10"/>
            <w:tabs>
              <w:tab w:val="right" w:leader="dot" w:pos="8835"/>
            </w:tabs>
          </w:pPr>
          <w:r>
            <w:fldChar w:fldCharType="begin"/>
          </w:r>
          <w:r>
            <w:instrText xml:space="preserve"> HYPERLINK \l "_Toc158038910" </w:instrText>
          </w:r>
          <w:r>
            <w:fldChar w:fldCharType="separate"/>
          </w:r>
          <w:r>
            <w:rPr>
              <w:rStyle w:val="14"/>
              <w:rFonts w:hint="eastAsia" w:ascii="楷体_GB2312" w:hAnsi="楷体_GB2312" w:eastAsia="楷体_GB2312" w:cs="楷体_GB2312"/>
            </w:rPr>
            <w:t>（二）支出预算情况</w:t>
          </w:r>
          <w:r>
            <w:tab/>
          </w:r>
          <w:r>
            <w:fldChar w:fldCharType="begin"/>
          </w:r>
          <w:r>
            <w:instrText xml:space="preserve"> PAGEREF _Toc158038910 \h </w:instrText>
          </w:r>
          <w:r>
            <w:fldChar w:fldCharType="separate"/>
          </w:r>
          <w:r>
            <w:t>6</w:t>
          </w:r>
          <w:r>
            <w:fldChar w:fldCharType="end"/>
          </w:r>
          <w:r>
            <w:fldChar w:fldCharType="end"/>
          </w:r>
        </w:p>
        <w:p>
          <w:pPr>
            <w:pStyle w:val="8"/>
            <w:tabs>
              <w:tab w:val="right" w:leader="dot" w:pos="8835"/>
            </w:tabs>
          </w:pPr>
          <w:r>
            <w:fldChar w:fldCharType="begin"/>
          </w:r>
          <w:r>
            <w:instrText xml:space="preserve"> HYPERLINK \l "_Toc158038911" </w:instrText>
          </w:r>
          <w:r>
            <w:fldChar w:fldCharType="separate"/>
          </w:r>
          <w:r>
            <w:rPr>
              <w:rStyle w:val="14"/>
              <w:rFonts w:hint="eastAsia" w:ascii="黑体" w:hAnsi="黑体" w:eastAsia="黑体" w:cs="黑体"/>
            </w:rPr>
            <w:t>四、财政拨款收支预算情况说明</w:t>
          </w:r>
          <w:r>
            <w:tab/>
          </w:r>
          <w:r>
            <w:fldChar w:fldCharType="begin"/>
          </w:r>
          <w:r>
            <w:instrText xml:space="preserve"> PAGEREF _Toc158038911 \h </w:instrText>
          </w:r>
          <w:r>
            <w:fldChar w:fldCharType="separate"/>
          </w:r>
          <w:r>
            <w:t>7</w:t>
          </w:r>
          <w:r>
            <w:fldChar w:fldCharType="end"/>
          </w:r>
          <w:r>
            <w:fldChar w:fldCharType="end"/>
          </w:r>
        </w:p>
        <w:p>
          <w:pPr>
            <w:pStyle w:val="8"/>
            <w:tabs>
              <w:tab w:val="right" w:leader="dot" w:pos="8835"/>
            </w:tabs>
          </w:pPr>
          <w:r>
            <w:fldChar w:fldCharType="begin"/>
          </w:r>
          <w:r>
            <w:instrText xml:space="preserve"> HYPERLINK \l "_Toc158038912" </w:instrText>
          </w:r>
          <w:r>
            <w:fldChar w:fldCharType="separate"/>
          </w:r>
          <w:r>
            <w:rPr>
              <w:rStyle w:val="14"/>
              <w:rFonts w:hint="eastAsia" w:ascii="黑体" w:hAnsi="黑体" w:eastAsia="黑体" w:cs="黑体"/>
            </w:rPr>
            <w:t>五、一般公共预算当年拨款情况说明</w:t>
          </w:r>
          <w:r>
            <w:tab/>
          </w:r>
          <w:r>
            <w:fldChar w:fldCharType="begin"/>
          </w:r>
          <w:r>
            <w:instrText xml:space="preserve"> PAGEREF _Toc158038912 \h </w:instrText>
          </w:r>
          <w:r>
            <w:fldChar w:fldCharType="separate"/>
          </w:r>
          <w:r>
            <w:t>7</w:t>
          </w:r>
          <w:r>
            <w:fldChar w:fldCharType="end"/>
          </w:r>
          <w:r>
            <w:fldChar w:fldCharType="end"/>
          </w:r>
        </w:p>
        <w:p>
          <w:pPr>
            <w:pStyle w:val="10"/>
            <w:tabs>
              <w:tab w:val="right" w:leader="dot" w:pos="8835"/>
            </w:tabs>
          </w:pPr>
          <w:r>
            <w:fldChar w:fldCharType="begin"/>
          </w:r>
          <w:r>
            <w:instrText xml:space="preserve"> HYPERLINK \l "_Toc158038913" </w:instrText>
          </w:r>
          <w:r>
            <w:fldChar w:fldCharType="separate"/>
          </w:r>
          <w:r>
            <w:rPr>
              <w:rStyle w:val="14"/>
              <w:rFonts w:hint="eastAsia" w:ascii="楷体_GB2312" w:hAnsi="楷体_GB2312" w:eastAsia="楷体_GB2312" w:cs="楷体_GB2312"/>
            </w:rPr>
            <w:t>（一）一般公共预算当年拨款规模变化情况</w:t>
          </w:r>
          <w:r>
            <w:tab/>
          </w:r>
          <w:r>
            <w:fldChar w:fldCharType="begin"/>
          </w:r>
          <w:r>
            <w:instrText xml:space="preserve"> PAGEREF _Toc158038913 \h </w:instrText>
          </w:r>
          <w:r>
            <w:fldChar w:fldCharType="separate"/>
          </w:r>
          <w:r>
            <w:t>7</w:t>
          </w:r>
          <w:r>
            <w:fldChar w:fldCharType="end"/>
          </w:r>
          <w:r>
            <w:fldChar w:fldCharType="end"/>
          </w:r>
        </w:p>
        <w:p>
          <w:pPr>
            <w:pStyle w:val="10"/>
            <w:tabs>
              <w:tab w:val="right" w:leader="dot" w:pos="8835"/>
            </w:tabs>
          </w:pPr>
          <w:r>
            <w:fldChar w:fldCharType="begin"/>
          </w:r>
          <w:r>
            <w:instrText xml:space="preserve"> HYPERLINK \l "_Toc158038914" </w:instrText>
          </w:r>
          <w:r>
            <w:fldChar w:fldCharType="separate"/>
          </w:r>
          <w:r>
            <w:rPr>
              <w:rStyle w:val="14"/>
              <w:rFonts w:hint="eastAsia" w:ascii="楷体_GB2312" w:hAnsi="楷体_GB2312" w:eastAsia="楷体_GB2312" w:cs="楷体_GB2312"/>
            </w:rPr>
            <w:t>（二）一般公共预算当年拨款结构情况</w:t>
          </w:r>
          <w:r>
            <w:tab/>
          </w:r>
          <w:r>
            <w:fldChar w:fldCharType="begin"/>
          </w:r>
          <w:r>
            <w:instrText xml:space="preserve"> PAGEREF _Toc158038914 \h </w:instrText>
          </w:r>
          <w:r>
            <w:fldChar w:fldCharType="separate"/>
          </w:r>
          <w:r>
            <w:t>7</w:t>
          </w:r>
          <w:r>
            <w:fldChar w:fldCharType="end"/>
          </w:r>
          <w:r>
            <w:fldChar w:fldCharType="end"/>
          </w:r>
        </w:p>
        <w:p>
          <w:pPr>
            <w:pStyle w:val="10"/>
            <w:tabs>
              <w:tab w:val="right" w:leader="dot" w:pos="8835"/>
            </w:tabs>
          </w:pPr>
          <w:r>
            <w:fldChar w:fldCharType="begin"/>
          </w:r>
          <w:r>
            <w:instrText xml:space="preserve"> HYPERLINK \l "_Toc158038915" </w:instrText>
          </w:r>
          <w:r>
            <w:fldChar w:fldCharType="separate"/>
          </w:r>
          <w:r>
            <w:rPr>
              <w:rStyle w:val="14"/>
              <w:rFonts w:hint="eastAsia" w:ascii="楷体_GB2312" w:hAnsi="楷体_GB2312" w:eastAsia="楷体_GB2312" w:cs="楷体_GB2312"/>
            </w:rPr>
            <w:t>（三）一般公共预算当年拨款具体使用情况</w:t>
          </w:r>
          <w:r>
            <w:tab/>
          </w:r>
          <w:r>
            <w:fldChar w:fldCharType="begin"/>
          </w:r>
          <w:r>
            <w:instrText xml:space="preserve"> PAGEREF _Toc158038915 \h </w:instrText>
          </w:r>
          <w:r>
            <w:fldChar w:fldCharType="separate"/>
          </w:r>
          <w:r>
            <w:t>7</w:t>
          </w:r>
          <w:r>
            <w:fldChar w:fldCharType="end"/>
          </w:r>
          <w:r>
            <w:fldChar w:fldCharType="end"/>
          </w:r>
        </w:p>
        <w:p>
          <w:pPr>
            <w:pStyle w:val="8"/>
            <w:tabs>
              <w:tab w:val="right" w:leader="dot" w:pos="8835"/>
            </w:tabs>
          </w:pPr>
          <w:r>
            <w:fldChar w:fldCharType="begin"/>
          </w:r>
          <w:r>
            <w:instrText xml:space="preserve"> HYPERLINK \l "_Toc158038916" </w:instrText>
          </w:r>
          <w:r>
            <w:fldChar w:fldCharType="separate"/>
          </w:r>
          <w:r>
            <w:rPr>
              <w:rStyle w:val="14"/>
              <w:rFonts w:hint="eastAsia" w:ascii="黑体" w:hAnsi="黑体" w:eastAsia="黑体" w:cs="黑体"/>
            </w:rPr>
            <w:t>六、一般公共预算基本支出情况说明</w:t>
          </w:r>
          <w:r>
            <w:tab/>
          </w:r>
          <w:r>
            <w:fldChar w:fldCharType="begin"/>
          </w:r>
          <w:r>
            <w:instrText xml:space="preserve"> PAGEREF _Toc158038916 \h </w:instrText>
          </w:r>
          <w:r>
            <w:fldChar w:fldCharType="separate"/>
          </w:r>
          <w:r>
            <w:t>9</w:t>
          </w:r>
          <w:r>
            <w:fldChar w:fldCharType="end"/>
          </w:r>
          <w:r>
            <w:fldChar w:fldCharType="end"/>
          </w:r>
        </w:p>
        <w:p>
          <w:pPr>
            <w:pStyle w:val="8"/>
            <w:tabs>
              <w:tab w:val="right" w:leader="dot" w:pos="8835"/>
            </w:tabs>
          </w:pPr>
          <w:r>
            <w:fldChar w:fldCharType="begin"/>
          </w:r>
          <w:r>
            <w:instrText xml:space="preserve"> HYPERLINK \l "_Toc158038917" </w:instrText>
          </w:r>
          <w:r>
            <w:fldChar w:fldCharType="separate"/>
          </w:r>
          <w:r>
            <w:rPr>
              <w:rStyle w:val="14"/>
              <w:rFonts w:hint="eastAsia" w:ascii="黑体" w:hAnsi="黑体" w:eastAsia="黑体" w:cs="黑体"/>
            </w:rPr>
            <w:t>七、“三公”经费财政拨款预算安排情况说明</w:t>
          </w:r>
          <w:r>
            <w:tab/>
          </w:r>
          <w:r>
            <w:fldChar w:fldCharType="begin"/>
          </w:r>
          <w:r>
            <w:instrText xml:space="preserve"> PAGEREF _Toc158038917 \h </w:instrText>
          </w:r>
          <w:r>
            <w:fldChar w:fldCharType="separate"/>
          </w:r>
          <w:r>
            <w:t>9</w:t>
          </w:r>
          <w:r>
            <w:fldChar w:fldCharType="end"/>
          </w:r>
          <w:r>
            <w:fldChar w:fldCharType="end"/>
          </w:r>
        </w:p>
        <w:p>
          <w:pPr>
            <w:pStyle w:val="10"/>
            <w:tabs>
              <w:tab w:val="right" w:leader="dot" w:pos="8835"/>
            </w:tabs>
          </w:pPr>
          <w:r>
            <w:fldChar w:fldCharType="begin"/>
          </w:r>
          <w:r>
            <w:instrText xml:space="preserve"> HYPERLINK \l "_Toc158038918" </w:instrText>
          </w:r>
          <w:r>
            <w:fldChar w:fldCharType="separate"/>
          </w:r>
          <w:r>
            <w:rPr>
              <w:rStyle w:val="14"/>
              <w:rFonts w:hint="eastAsia" w:ascii="楷体_GB2312" w:hAnsi="楷体_GB2312" w:eastAsia="楷体_GB2312" w:cs="楷体_GB2312"/>
            </w:rPr>
            <w:t>（一）公务接待费</w:t>
          </w:r>
          <w:r>
            <w:tab/>
          </w:r>
          <w:r>
            <w:fldChar w:fldCharType="begin"/>
          </w:r>
          <w:r>
            <w:instrText xml:space="preserve"> PAGEREF _Toc158038918 \h </w:instrText>
          </w:r>
          <w:r>
            <w:fldChar w:fldCharType="separate"/>
          </w:r>
          <w:r>
            <w:t>9</w:t>
          </w:r>
          <w:r>
            <w:fldChar w:fldCharType="end"/>
          </w:r>
          <w:r>
            <w:fldChar w:fldCharType="end"/>
          </w:r>
        </w:p>
        <w:p>
          <w:pPr>
            <w:pStyle w:val="10"/>
            <w:tabs>
              <w:tab w:val="right" w:leader="dot" w:pos="8835"/>
            </w:tabs>
          </w:pPr>
          <w:r>
            <w:fldChar w:fldCharType="begin"/>
          </w:r>
          <w:r>
            <w:instrText xml:space="preserve"> HYPERLINK \l "_Toc158038919" </w:instrText>
          </w:r>
          <w:r>
            <w:fldChar w:fldCharType="separate"/>
          </w:r>
          <w:r>
            <w:rPr>
              <w:rStyle w:val="14"/>
              <w:rFonts w:hint="eastAsia" w:ascii="楷体_GB2312" w:hAnsi="楷体_GB2312" w:eastAsia="楷体_GB2312" w:cs="楷体_GB2312"/>
            </w:rPr>
            <w:t>（二）公务用车购置及运行维护费</w:t>
          </w:r>
          <w:r>
            <w:tab/>
          </w:r>
          <w:r>
            <w:fldChar w:fldCharType="begin"/>
          </w:r>
          <w:r>
            <w:instrText xml:space="preserve"> PAGEREF _Toc158038919 \h </w:instrText>
          </w:r>
          <w:r>
            <w:fldChar w:fldCharType="separate"/>
          </w:r>
          <w:r>
            <w:t>9</w:t>
          </w:r>
          <w:r>
            <w:fldChar w:fldCharType="end"/>
          </w:r>
          <w:r>
            <w:fldChar w:fldCharType="end"/>
          </w:r>
        </w:p>
        <w:p>
          <w:pPr>
            <w:pStyle w:val="10"/>
            <w:tabs>
              <w:tab w:val="right" w:leader="dot" w:pos="8835"/>
            </w:tabs>
          </w:pPr>
          <w:r>
            <w:fldChar w:fldCharType="begin"/>
          </w:r>
          <w:r>
            <w:instrText xml:space="preserve"> HYPERLINK \l "_Toc158038920" </w:instrText>
          </w:r>
          <w:r>
            <w:fldChar w:fldCharType="separate"/>
          </w:r>
          <w:r>
            <w:rPr>
              <w:rStyle w:val="14"/>
              <w:rFonts w:hint="eastAsia" w:ascii="仿宋_GB2312" w:hAnsi="仿宋_GB2312" w:eastAsia="仿宋_GB2312" w:cs="仿宋_GB2312"/>
            </w:rPr>
            <w:t>（</w:t>
          </w:r>
          <w:r>
            <w:rPr>
              <w:rStyle w:val="14"/>
              <w:rFonts w:hint="eastAsia" w:ascii="楷体_GB2312" w:hAnsi="楷体_GB2312" w:eastAsia="楷体_GB2312" w:cs="楷体_GB2312"/>
            </w:rPr>
            <w:t>三）因公出国（境）经费</w:t>
          </w:r>
          <w:r>
            <w:tab/>
          </w:r>
          <w:r>
            <w:fldChar w:fldCharType="begin"/>
          </w:r>
          <w:r>
            <w:instrText xml:space="preserve"> PAGEREF _Toc158038920 \h </w:instrText>
          </w:r>
          <w:r>
            <w:fldChar w:fldCharType="separate"/>
          </w:r>
          <w:r>
            <w:t>9</w:t>
          </w:r>
          <w:r>
            <w:fldChar w:fldCharType="end"/>
          </w:r>
          <w:r>
            <w:fldChar w:fldCharType="end"/>
          </w:r>
        </w:p>
        <w:p>
          <w:pPr>
            <w:pStyle w:val="8"/>
            <w:tabs>
              <w:tab w:val="right" w:leader="dot" w:pos="8835"/>
            </w:tabs>
          </w:pPr>
          <w:r>
            <w:fldChar w:fldCharType="begin"/>
          </w:r>
          <w:r>
            <w:instrText xml:space="preserve"> HYPERLINK \l "_Toc158038921" </w:instrText>
          </w:r>
          <w:r>
            <w:fldChar w:fldCharType="separate"/>
          </w:r>
          <w:r>
            <w:rPr>
              <w:rStyle w:val="14"/>
              <w:rFonts w:hint="eastAsia" w:ascii="黑体" w:hAnsi="黑体" w:eastAsia="黑体" w:cs="黑体"/>
            </w:rPr>
            <w:t>八、政府性基金预算支出情况说明</w:t>
          </w:r>
          <w:r>
            <w:tab/>
          </w:r>
          <w:r>
            <w:fldChar w:fldCharType="begin"/>
          </w:r>
          <w:r>
            <w:instrText xml:space="preserve"> PAGEREF _Toc158038921 \h </w:instrText>
          </w:r>
          <w:r>
            <w:fldChar w:fldCharType="separate"/>
          </w:r>
          <w:r>
            <w:t>10</w:t>
          </w:r>
          <w:r>
            <w:fldChar w:fldCharType="end"/>
          </w:r>
          <w:r>
            <w:fldChar w:fldCharType="end"/>
          </w:r>
        </w:p>
        <w:p>
          <w:pPr>
            <w:pStyle w:val="8"/>
            <w:tabs>
              <w:tab w:val="right" w:leader="dot" w:pos="8835"/>
            </w:tabs>
          </w:pPr>
          <w:r>
            <w:fldChar w:fldCharType="begin"/>
          </w:r>
          <w:r>
            <w:instrText xml:space="preserve"> HYPERLINK \l "_Toc158038922" </w:instrText>
          </w:r>
          <w:r>
            <w:fldChar w:fldCharType="separate"/>
          </w:r>
          <w:r>
            <w:rPr>
              <w:rStyle w:val="14"/>
              <w:rFonts w:hint="eastAsia" w:ascii="黑体" w:hAnsi="黑体" w:eastAsia="黑体" w:cs="黑体"/>
            </w:rPr>
            <w:t>九、国有资本经营预算支出情况说明</w:t>
          </w:r>
          <w:r>
            <w:tab/>
          </w:r>
          <w:r>
            <w:fldChar w:fldCharType="begin"/>
          </w:r>
          <w:r>
            <w:instrText xml:space="preserve"> PAGEREF _Toc158038922 \h </w:instrText>
          </w:r>
          <w:r>
            <w:fldChar w:fldCharType="separate"/>
          </w:r>
          <w:r>
            <w:t>10</w:t>
          </w:r>
          <w:r>
            <w:fldChar w:fldCharType="end"/>
          </w:r>
          <w:r>
            <w:fldChar w:fldCharType="end"/>
          </w:r>
        </w:p>
        <w:p>
          <w:pPr>
            <w:pStyle w:val="8"/>
            <w:tabs>
              <w:tab w:val="right" w:leader="dot" w:pos="8835"/>
            </w:tabs>
          </w:pPr>
          <w:r>
            <w:fldChar w:fldCharType="begin"/>
          </w:r>
          <w:r>
            <w:instrText xml:space="preserve"> HYPERLINK \l "_Toc158038923" </w:instrText>
          </w:r>
          <w:r>
            <w:fldChar w:fldCharType="separate"/>
          </w:r>
          <w:r>
            <w:rPr>
              <w:rStyle w:val="14"/>
              <w:rFonts w:hint="eastAsia" w:ascii="黑体" w:hAnsi="黑体" w:eastAsia="黑体" w:cs="黑体"/>
            </w:rPr>
            <w:t>十、其他重要事项的情况说明</w:t>
          </w:r>
          <w:r>
            <w:tab/>
          </w:r>
          <w:r>
            <w:fldChar w:fldCharType="begin"/>
          </w:r>
          <w:r>
            <w:instrText xml:space="preserve"> PAGEREF _Toc158038923 \h </w:instrText>
          </w:r>
          <w:r>
            <w:fldChar w:fldCharType="separate"/>
          </w:r>
          <w:r>
            <w:t>10</w:t>
          </w:r>
          <w:r>
            <w:fldChar w:fldCharType="end"/>
          </w:r>
          <w:r>
            <w:fldChar w:fldCharType="end"/>
          </w:r>
        </w:p>
        <w:p>
          <w:pPr>
            <w:pStyle w:val="10"/>
            <w:tabs>
              <w:tab w:val="right" w:leader="dot" w:pos="8835"/>
            </w:tabs>
          </w:pPr>
          <w:r>
            <w:fldChar w:fldCharType="begin"/>
          </w:r>
          <w:r>
            <w:instrText xml:space="preserve"> HYPERLINK \l "_Toc158038924" </w:instrText>
          </w:r>
          <w:r>
            <w:fldChar w:fldCharType="separate"/>
          </w:r>
          <w:r>
            <w:rPr>
              <w:rStyle w:val="14"/>
              <w:rFonts w:hint="eastAsia" w:ascii="楷体_GB2312" w:hAnsi="楷体_GB2312" w:eastAsia="楷体_GB2312" w:cs="楷体_GB2312"/>
            </w:rPr>
            <w:t>（一）机关运行经费</w:t>
          </w:r>
          <w:r>
            <w:tab/>
          </w:r>
          <w:r>
            <w:fldChar w:fldCharType="begin"/>
          </w:r>
          <w:r>
            <w:instrText xml:space="preserve"> PAGEREF _Toc158038924 \h </w:instrText>
          </w:r>
          <w:r>
            <w:fldChar w:fldCharType="separate"/>
          </w:r>
          <w:r>
            <w:t>10</w:t>
          </w:r>
          <w:r>
            <w:fldChar w:fldCharType="end"/>
          </w:r>
          <w:r>
            <w:fldChar w:fldCharType="end"/>
          </w:r>
        </w:p>
        <w:p>
          <w:pPr>
            <w:pStyle w:val="10"/>
            <w:tabs>
              <w:tab w:val="right" w:leader="dot" w:pos="8835"/>
            </w:tabs>
          </w:pPr>
          <w:r>
            <w:fldChar w:fldCharType="begin"/>
          </w:r>
          <w:r>
            <w:instrText xml:space="preserve"> HYPERLINK \l "_Toc158038925" </w:instrText>
          </w:r>
          <w:r>
            <w:fldChar w:fldCharType="separate"/>
          </w:r>
          <w:r>
            <w:rPr>
              <w:rStyle w:val="14"/>
              <w:rFonts w:hint="eastAsia" w:ascii="楷体_GB2312" w:hAnsi="楷体_GB2312" w:eastAsia="楷体_GB2312" w:cs="楷体_GB2312"/>
            </w:rPr>
            <w:t>（二）政府采购情况</w:t>
          </w:r>
          <w:r>
            <w:tab/>
          </w:r>
          <w:r>
            <w:fldChar w:fldCharType="begin"/>
          </w:r>
          <w:r>
            <w:instrText xml:space="preserve"> PAGEREF _Toc158038925 \h </w:instrText>
          </w:r>
          <w:r>
            <w:fldChar w:fldCharType="separate"/>
          </w:r>
          <w:r>
            <w:t>10</w:t>
          </w:r>
          <w:r>
            <w:fldChar w:fldCharType="end"/>
          </w:r>
          <w:r>
            <w:fldChar w:fldCharType="end"/>
          </w:r>
        </w:p>
        <w:p>
          <w:pPr>
            <w:pStyle w:val="10"/>
            <w:tabs>
              <w:tab w:val="right" w:leader="dot" w:pos="8835"/>
            </w:tabs>
          </w:pPr>
          <w:r>
            <w:fldChar w:fldCharType="begin"/>
          </w:r>
          <w:r>
            <w:instrText xml:space="preserve"> HYPERLINK \l "_Toc158038926" </w:instrText>
          </w:r>
          <w:r>
            <w:fldChar w:fldCharType="separate"/>
          </w:r>
          <w:r>
            <w:rPr>
              <w:rStyle w:val="14"/>
              <w:rFonts w:hint="eastAsia" w:ascii="楷体_GB2312" w:hAnsi="楷体_GB2312" w:eastAsia="楷体_GB2312" w:cs="楷体_GB2312"/>
            </w:rPr>
            <w:t>（三）国有资产占有使用情况</w:t>
          </w:r>
          <w:r>
            <w:tab/>
          </w:r>
          <w:r>
            <w:fldChar w:fldCharType="begin"/>
          </w:r>
          <w:r>
            <w:instrText xml:space="preserve"> PAGEREF _Toc158038926 \h </w:instrText>
          </w:r>
          <w:r>
            <w:fldChar w:fldCharType="separate"/>
          </w:r>
          <w:r>
            <w:t>10</w:t>
          </w:r>
          <w:r>
            <w:fldChar w:fldCharType="end"/>
          </w:r>
          <w:r>
            <w:fldChar w:fldCharType="end"/>
          </w:r>
        </w:p>
        <w:p>
          <w:pPr>
            <w:pStyle w:val="10"/>
            <w:tabs>
              <w:tab w:val="right" w:leader="dot" w:pos="8835"/>
            </w:tabs>
          </w:pPr>
          <w:r>
            <w:fldChar w:fldCharType="begin"/>
          </w:r>
          <w:r>
            <w:instrText xml:space="preserve"> HYPERLINK \l "_Toc158038927" </w:instrText>
          </w:r>
          <w:r>
            <w:fldChar w:fldCharType="separate"/>
          </w:r>
          <w:r>
            <w:rPr>
              <w:rStyle w:val="14"/>
              <w:rFonts w:hint="eastAsia" w:ascii="楷体_GB2312" w:hAnsi="楷体_GB2312" w:eastAsia="楷体_GB2312" w:cs="楷体_GB2312"/>
            </w:rPr>
            <w:t>（四）绩效目标设置情况</w:t>
          </w:r>
          <w:r>
            <w:tab/>
          </w:r>
          <w:r>
            <w:fldChar w:fldCharType="begin"/>
          </w:r>
          <w:r>
            <w:instrText xml:space="preserve"> PAGEREF _Toc158038927 \h </w:instrText>
          </w:r>
          <w:r>
            <w:fldChar w:fldCharType="separate"/>
          </w:r>
          <w:r>
            <w:t>10</w:t>
          </w:r>
          <w:r>
            <w:fldChar w:fldCharType="end"/>
          </w:r>
          <w:r>
            <w:fldChar w:fldCharType="end"/>
          </w:r>
        </w:p>
        <w:p>
          <w:pPr>
            <w:pStyle w:val="8"/>
            <w:tabs>
              <w:tab w:val="right" w:leader="dot" w:pos="8835"/>
            </w:tabs>
            <w:rPr>
              <w:rFonts w:hint="default"/>
            </w:rPr>
          </w:pPr>
          <w:r>
            <w:fldChar w:fldCharType="begin"/>
          </w:r>
          <w:r>
            <w:instrText xml:space="preserve"> HYPERLINK \l "_Toc158038928" </w:instrText>
          </w:r>
          <w:r>
            <w:fldChar w:fldCharType="separate"/>
          </w:r>
          <w:r>
            <w:rPr>
              <w:rStyle w:val="14"/>
              <w:rFonts w:hint="eastAsia" w:ascii="黑体" w:hAnsi="黑体" w:eastAsia="黑体" w:cs="黑体"/>
            </w:rPr>
            <w:t>十一、名词解释</w:t>
          </w:r>
          <w:r>
            <w:tab/>
          </w:r>
          <w:r>
            <w:fldChar w:fldCharType="begin"/>
          </w:r>
          <w:r>
            <w:instrText xml:space="preserve"> PAGEREF _Toc158038928 \h </w:instrText>
          </w:r>
          <w:r>
            <w:fldChar w:fldCharType="separate"/>
          </w:r>
          <w:r>
            <w:t>1</w:t>
          </w:r>
          <w:r>
            <w:fldChar w:fldCharType="end"/>
          </w:r>
          <w:r>
            <w:fldChar w:fldCharType="end"/>
          </w:r>
          <w:r>
            <w:t>1</w:t>
          </w:r>
        </w:p>
        <w:p>
          <w:r>
            <w:rPr>
              <w:b/>
              <w:bCs/>
              <w:lang w:val="zh-CN"/>
            </w:rPr>
            <w:fldChar w:fldCharType="end"/>
          </w:r>
        </w:p>
      </w:sdtContent>
    </w:sdt>
    <w:p>
      <w:pPr>
        <w:pStyle w:val="11"/>
        <w:widowControl/>
        <w:shd w:val="clear" w:color="auto" w:fill="FFFFFF"/>
        <w:spacing w:before="130" w:line="580" w:lineRule="atLeast"/>
        <w:rPr>
          <w:rFonts w:ascii="宋体" w:hAnsi="宋体" w:cs="宋体"/>
          <w:color w:val="000000" w:themeColor="text1"/>
          <w:kern w:val="0"/>
          <w:sz w:val="28"/>
          <w:szCs w:val="28"/>
          <w:shd w:val="clear" w:color="auto" w:fill="FFFFFF"/>
          <w:lang w:bidi="ar"/>
          <w14:textFill>
            <w14:solidFill>
              <w14:schemeClr w14:val="tx1"/>
            </w14:solidFill>
          </w14:textFill>
        </w:rPr>
      </w:pPr>
      <w:r>
        <w:rPr>
          <w:rFonts w:hint="eastAsia" w:ascii="宋体" w:hAnsi="宋体" w:cs="宋体"/>
          <w:b/>
          <w:color w:val="000000" w:themeColor="text1"/>
          <w:sz w:val="28"/>
          <w:szCs w:val="28"/>
          <w:shd w:val="clear" w:color="auto" w:fill="FFFFFF"/>
          <w14:textFill>
            <w14:solidFill>
              <w14:schemeClr w14:val="tx1"/>
            </w14:solidFill>
          </w14:textFill>
        </w:rPr>
        <w:t xml:space="preserve">     </w:t>
      </w:r>
    </w:p>
    <w:p>
      <w:pPr>
        <w:pStyle w:val="11"/>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spacing w:line="576" w:lineRule="exact"/>
        <w:ind w:firstLine="640" w:firstLineChars="200"/>
        <w:outlineLvl w:val="0"/>
        <w:rPr>
          <w:rFonts w:ascii="黑体" w:hAnsi="黑体" w:eastAsia="黑体" w:cs="黑体"/>
          <w:sz w:val="32"/>
          <w:szCs w:val="32"/>
        </w:rPr>
      </w:pPr>
      <w:bookmarkStart w:id="0" w:name="_Toc158038904"/>
      <w:r>
        <w:rPr>
          <w:rFonts w:hint="eastAsia" w:ascii="黑体" w:hAnsi="黑体" w:eastAsia="黑体" w:cs="黑体"/>
          <w:sz w:val="32"/>
          <w:szCs w:val="32"/>
        </w:rPr>
        <w:t>一、基本职能及主要工作</w:t>
      </w:r>
      <w:bookmarkEnd w:id="0"/>
    </w:p>
    <w:p>
      <w:pPr>
        <w:spacing w:line="576" w:lineRule="exact"/>
        <w:ind w:firstLine="640" w:firstLineChars="200"/>
        <w:outlineLvl w:val="1"/>
        <w:rPr>
          <w:rFonts w:hint="eastAsia" w:ascii="楷体_GB2312" w:hAnsi="楷体_GB2312" w:eastAsia="楷体_GB2312" w:cs="楷体_GB2312"/>
          <w:sz w:val="32"/>
          <w:szCs w:val="32"/>
        </w:rPr>
      </w:pPr>
      <w:bookmarkStart w:id="1" w:name="_Toc158038905"/>
      <w:r>
        <w:rPr>
          <w:rFonts w:hint="eastAsia" w:ascii="楷体_GB2312" w:hAnsi="楷体_GB2312" w:eastAsia="楷体_GB2312" w:cs="楷体_GB2312"/>
          <w:sz w:val="32"/>
          <w:szCs w:val="32"/>
        </w:rPr>
        <w:t>（一）广元市气象局职能简介</w:t>
      </w:r>
      <w:bookmarkEnd w:id="1"/>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广元市气象局实行上级气象主管机构和地方政府双重领导，以气象主管机构领导为主的管理体制。根据授权承担全市气象工作的政府行政管理职能，依法履行气象主管机构的各项职责。总编制10名，在职人员7人，退休人员2人。</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主要职责为：</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1.负责本行政区域内气象事业发展规划、计划及气象业务建设的组织实施。</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2.负责本行政区域内气象设施建设项目的审查。</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3.对本行政区域内的气象活动进行指导、监督和行业管理。</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4.组织管理本行政区域内气象探测资料的汇总、分发。</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5.依法保护气象探测环境。</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6.负责本行政区域内气象监测、预报管理，及时提出气象灾害防御措施，并对重大气象灾害做出评估，为本级人民政府组织防御气象灾害提供决策依据。</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7.管理本行政区域内公众气象预报、灾害性天气警报以及农业气象预报、城市环境气象预报、森林火险气象等级预报等专业气象预报的发布。</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8.管理本行政区域内人工影响天气，指导和组织人工影响天气作业。</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9.组织管理雷电灾害防御，会同有关部门指导对可能遭受袭击的建筑物、构筑物和其它设施安装的雷电灾害防护装置的检测工作。</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10.负责向本级人民政府和同级有关部门提出利用、保护气候资源和推广应用气象资源区划等成果的建议，组织对气候资源开发利用项目进行气候可行性论证。</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11.组织开展气象法制宣传教育，负责监督、检查有关气象法规的实施，对违反气象法律、法规、规章有关规定的行为依法进行处罚，承担有关行政复议和行政诉讼。</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12.统一领导和管理本行政区域内气象部门的计划财务、人事劳动、科研和培训以及业务建设等工作。</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13.会同县人民政府对县气象机构实施以部门为主的双重管理。</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14.协助地方党委和人民政府做好当地气象部门的精神文明建设和思想政治工作。</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15.承担上级气象主管机构和本级人民政府交办的其他事项。</w:t>
      </w:r>
    </w:p>
    <w:p>
      <w:pPr>
        <w:spacing w:line="576" w:lineRule="exact"/>
        <w:ind w:firstLine="640" w:firstLineChars="200"/>
        <w:outlineLvl w:val="1"/>
        <w:rPr>
          <w:rFonts w:hint="eastAsia" w:ascii="楷体_GB2312" w:hAnsi="楷体_GB2312" w:eastAsia="楷体_GB2312" w:cs="楷体_GB2312"/>
          <w:sz w:val="32"/>
          <w:szCs w:val="32"/>
        </w:rPr>
      </w:pPr>
      <w:bookmarkStart w:id="2" w:name="_Toc158038906"/>
      <w:r>
        <w:rPr>
          <w:rFonts w:hint="eastAsia" w:ascii="楷体_GB2312" w:hAnsi="楷体_GB2312" w:eastAsia="楷体_GB2312" w:cs="楷体_GB2312"/>
          <w:sz w:val="32"/>
          <w:szCs w:val="32"/>
        </w:rPr>
        <w:t>（二）广元市气象局2024年重点工作</w:t>
      </w:r>
      <w:bookmarkEnd w:id="2"/>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履行管党治党责任。加强领导班子建设，组织召开党建培训会、党务干部交流会等，强化理论武装。扎实开展主题教育。确定5个调查研究选题，调研课题《广元市人工影响天气能力建设需求分析和对策建议》受到市政府分管领导批示。压实从严治党责任。召开全面从严治党工作会议，制定工作方案，明晰责任清单；加强纪检队伍建设，强化纪检干部考核，按要求开展纪检干部队伍教育整顿工作；开展党风廉政宣传教育月系列活动，强化党员干部廉政教育。</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守牢防汛减灾第一道防线。完善议事机构规则，健全工作制度，明确部门职责，规范运行流程。汛期成功应对7次暴雨、2次大风以及强对流等重要天气过程，单独或联合市防指发布重要天气预警提示单17期，发布红色预警信号4期，启动应急响应6次，共计21天。市委分管领导对汛期服务报告批示：今年以来，气象服务质量不断提升，为应对灾害、服务经济社会发展做出了积极贡献。</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做好重大活动气象服务保障。组织、策划、实施完成：习近平总书记来广视察、第三十一届世界大学生夏季运动会、广元女儿节、第十三届大蜀道国际文化旅游节等8次重大活动气象保障任务。受到市委市政府领导高度评价。剑阁县气象局受党委政府通报表扬，1人被授三等功。适时开展人工增雨作业112箭次，发射火箭弹186枚，燃烧碘化银焰条542根，作业有效率93%以上。</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4.融入央省在广企业生产经营。为企业“量身定制”专业气象服务方案，全力做好高温干旱时段电力迎峰度夏、生产保供气象服务；联合应急管理局召开川煤集团煤矿精准气象服务工作推进会，常态化开展华电、大唐、中核等年度汛情分析会、防汛调度经验交流会、气象服务需求座谈会；与高速公路管理部门联合开展“高速保畅通”行动；建立铁路沿线自然灾害监测预警协调机制。</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5.全覆盖落实安全生产监管。落实“三管三必须”的要求，对274家防雷安全重点单位和1家雷电防护装置检测资质单位开展全覆盖安全检查，出具隐患清单42份，督促完成整改42份；与公安局、市住建局等单位开展”双随机、一公开”安全检查，共检查企业18家，针对隐患点对点出具执法文书；开展气象执法人员培训，组织开展交叉执法检查，精心准备全省气象行政执法队伍大比武，获得第二名；常态化开展安全生产检查10次，对安全隐患及时整改，形成闭环；编制方案，推进安全领域突出问题和作风不实、欺上瞒下等问题专项整治。</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6.夯实发展支撑保障。推动市、县人民政府印发《气象高质量发展纲要（2022—2035年）》本地方案，明确指导思想、发展目标、重点任务、保障措施，形成推动气象高质量发展合力。</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7.加强人才队伍建设。建立人才培养机制，健全岗位竞聘机制，加强干部队伍交流。支持气象科研。新成立创新团队1个，下达科研课题6项，参加川东北南充重点实验室课题1项；取得明显成效。在省第九届气象行业天气预报职业竞赛中获强对流天气临近预报个人第一名、团体单项奖第二名，1人获历史个例天气预报二等奖。</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8.推进项目实施和规划编制。组织实施“广元市及旺苍县剑阁县气象局基础设施改造项目”、剑阁北斗探空站建设；组织编制剑门蜀道古柏森林雷击火灾防御系统方案；编制古柏保护、蜀道旅游气象监测预警能力建设方案；编制完成剑阁、苍溪、青川基层台站能力提升方案。苍溪县政府出台文件支持苍溪申报“中国百年气象台站”。</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9.人影工作能力进一步提升。市生态环境局从大气污染防治经费中划拨30万用于人影作业，调拨一辆烟炉巡检车辆已经到位投入使用，通过沟通协调，市防汛抗旱指挥部出资50万元购买WR-1D人影火箭弹297枚；旺苍县和苍溪县气象局配置1套ZBZ-CTY自动化高性能火箭发射系统。</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10.扎实开展主题教育。按照主题教育要求，为处级领导、党员干部配齐学习书目；制定主题教育读书班学习方案，组织班子领导开展集中学习3次、研讨交流2次；确定5个调查研究选题，派出调研组4个，对县区气象机构、市级相关部门等16个单位开展调研。调研课题《广元市人工影响天气能力建设需求分析和对策建议》获得市政府分管领导批示。</w:t>
      </w:r>
    </w:p>
    <w:p>
      <w:pPr>
        <w:spacing w:line="576" w:lineRule="exact"/>
        <w:ind w:firstLine="640" w:firstLineChars="200"/>
        <w:outlineLvl w:val="0"/>
        <w:rPr>
          <w:rFonts w:ascii="黑体" w:hAnsi="黑体" w:eastAsia="黑体" w:cs="黑体"/>
          <w:sz w:val="32"/>
          <w:szCs w:val="32"/>
        </w:rPr>
      </w:pPr>
      <w:bookmarkStart w:id="3" w:name="_Toc158038907"/>
      <w:r>
        <w:rPr>
          <w:rFonts w:hint="eastAsia" w:ascii="黑体" w:hAnsi="黑体" w:eastAsia="黑体" w:cs="黑体"/>
          <w:sz w:val="32"/>
          <w:szCs w:val="32"/>
        </w:rPr>
        <w:t>二、部门预算单位构成</w:t>
      </w:r>
      <w:bookmarkEnd w:id="3"/>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广元市气象局</w:t>
      </w:r>
      <w:r>
        <w:rPr>
          <w:rFonts w:hint="eastAsia" w:ascii="仿宋_GB2312" w:hAnsi="仿宋_GB2312" w:eastAsia="仿宋_GB2312" w:cs="仿宋_GB2312"/>
          <w:sz w:val="32"/>
          <w:szCs w:val="32"/>
          <w:lang w:eastAsia="zh-CN"/>
        </w:rPr>
        <w:t>无下属二级预算单位，部门预算仅包括气象局机关。</w:t>
      </w:r>
    </w:p>
    <w:p>
      <w:pPr>
        <w:spacing w:line="576" w:lineRule="exact"/>
        <w:ind w:firstLine="640" w:firstLineChars="200"/>
        <w:outlineLvl w:val="0"/>
        <w:rPr>
          <w:rFonts w:ascii="黑体" w:hAnsi="黑体" w:eastAsia="黑体" w:cs="黑体"/>
          <w:sz w:val="32"/>
          <w:szCs w:val="32"/>
        </w:rPr>
      </w:pPr>
      <w:bookmarkStart w:id="4" w:name="_Toc158038908"/>
      <w:r>
        <w:rPr>
          <w:rFonts w:hint="eastAsia" w:ascii="黑体" w:hAnsi="黑体" w:eastAsia="黑体" w:cs="黑体"/>
          <w:sz w:val="32"/>
          <w:szCs w:val="32"/>
        </w:rPr>
        <w:t>三、收支预算情况说明</w:t>
      </w:r>
      <w:bookmarkEnd w:id="4"/>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广元市气象局所有收入和支出均纳入部门预算管理。收入包括：一般公共预算拨款收入；支出包括：社会保障和就业支出、卫生健康支出、农林水支出、自然资源海洋气象等支出、住房保障支出。广元市气象局2024年收支预算总数298.40万元,比2023年收支预算总数增加2.46万元，主要原因是人员经费增加。</w:t>
      </w:r>
    </w:p>
    <w:p>
      <w:pPr>
        <w:spacing w:line="576" w:lineRule="exact"/>
        <w:ind w:firstLine="640" w:firstLineChars="200"/>
        <w:outlineLvl w:val="1"/>
        <w:rPr>
          <w:rFonts w:ascii="楷体_GB2312" w:hAnsi="楷体_GB2312" w:eastAsia="楷体_GB2312" w:cs="楷体_GB2312"/>
          <w:sz w:val="32"/>
          <w:szCs w:val="32"/>
        </w:rPr>
      </w:pPr>
      <w:bookmarkStart w:id="5" w:name="_Toc158038909"/>
      <w:r>
        <w:rPr>
          <w:rFonts w:hint="eastAsia" w:ascii="楷体_GB2312" w:hAnsi="楷体_GB2312" w:eastAsia="楷体_GB2312" w:cs="楷体_GB2312"/>
          <w:sz w:val="32"/>
          <w:szCs w:val="32"/>
        </w:rPr>
        <w:t>（一）收入预算情况</w:t>
      </w:r>
      <w:bookmarkEnd w:id="5"/>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广元市气象局2024年收入预算298.40万元，其中：一般公共预算拨款收入298.40万元，占100%。</w:t>
      </w:r>
    </w:p>
    <w:p>
      <w:pPr>
        <w:spacing w:line="576" w:lineRule="exact"/>
        <w:ind w:firstLine="640" w:firstLineChars="200"/>
        <w:outlineLvl w:val="1"/>
        <w:rPr>
          <w:rFonts w:ascii="楷体_GB2312" w:hAnsi="楷体_GB2312" w:eastAsia="楷体_GB2312" w:cs="楷体_GB2312"/>
          <w:sz w:val="32"/>
          <w:szCs w:val="32"/>
        </w:rPr>
      </w:pPr>
      <w:bookmarkStart w:id="6" w:name="_Toc158038910"/>
      <w:r>
        <w:rPr>
          <w:rFonts w:hint="eastAsia" w:ascii="楷体_GB2312" w:hAnsi="楷体_GB2312" w:eastAsia="楷体_GB2312" w:cs="楷体_GB2312"/>
          <w:sz w:val="32"/>
          <w:szCs w:val="32"/>
        </w:rPr>
        <w:t>（二）支出预算情况</w:t>
      </w:r>
      <w:bookmarkEnd w:id="6"/>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广元市气象局2024年支出预算298.40万元，其中：基本支出123.46万元，占41.37%；项目支出174.94万元，占58.63%。</w:t>
      </w:r>
    </w:p>
    <w:p>
      <w:pPr>
        <w:spacing w:line="576" w:lineRule="exact"/>
        <w:ind w:firstLine="640" w:firstLineChars="200"/>
        <w:outlineLvl w:val="0"/>
        <w:rPr>
          <w:rFonts w:ascii="黑体" w:hAnsi="黑体" w:eastAsia="黑体" w:cs="黑体"/>
          <w:sz w:val="32"/>
          <w:szCs w:val="32"/>
        </w:rPr>
      </w:pPr>
      <w:bookmarkStart w:id="7" w:name="_Toc158038911"/>
      <w:r>
        <w:rPr>
          <w:rFonts w:hint="eastAsia" w:ascii="黑体" w:hAnsi="黑体" w:eastAsia="黑体" w:cs="黑体"/>
          <w:sz w:val="32"/>
          <w:szCs w:val="32"/>
        </w:rPr>
        <w:t>四、财政拨款收支预算情况说明</w:t>
      </w:r>
      <w:bookmarkEnd w:id="7"/>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广元市气象局2024年财政拨款收支预算总数298.40万元,比2023年财政拨款收支预算总数增加2.46万元，主要原因是人员经费增加。</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收入包括：本年一般公共预算拨款收入298.40万元；支出包括：社会保障和就业支出11.73万元、卫生健康支出3.78万元、农林水支出5.46万元、自然资源海洋气象等支出267.46万元、住房保障支出9.97万元。</w:t>
      </w:r>
    </w:p>
    <w:p>
      <w:pPr>
        <w:spacing w:line="576" w:lineRule="exact"/>
        <w:ind w:firstLine="640" w:firstLineChars="200"/>
        <w:outlineLvl w:val="0"/>
        <w:rPr>
          <w:rFonts w:ascii="黑体" w:hAnsi="黑体" w:eastAsia="黑体" w:cs="黑体"/>
          <w:sz w:val="32"/>
          <w:szCs w:val="32"/>
        </w:rPr>
      </w:pPr>
      <w:bookmarkStart w:id="8" w:name="_Toc158038912"/>
      <w:r>
        <w:rPr>
          <w:rFonts w:hint="eastAsia" w:ascii="黑体" w:hAnsi="黑体" w:eastAsia="黑体" w:cs="黑体"/>
          <w:sz w:val="32"/>
          <w:szCs w:val="32"/>
        </w:rPr>
        <w:t>五、一般公共预算当年拨款情况说明</w:t>
      </w:r>
      <w:bookmarkEnd w:id="8"/>
    </w:p>
    <w:p>
      <w:pPr>
        <w:spacing w:line="576" w:lineRule="exact"/>
        <w:ind w:firstLine="640" w:firstLineChars="200"/>
        <w:outlineLvl w:val="1"/>
        <w:rPr>
          <w:rFonts w:ascii="楷体_GB2312" w:hAnsi="楷体_GB2312" w:eastAsia="楷体_GB2312" w:cs="楷体_GB2312"/>
          <w:sz w:val="32"/>
          <w:szCs w:val="32"/>
        </w:rPr>
      </w:pPr>
      <w:bookmarkStart w:id="9" w:name="_Toc158038913"/>
      <w:r>
        <w:rPr>
          <w:rFonts w:hint="eastAsia" w:ascii="楷体_GB2312" w:hAnsi="楷体_GB2312" w:eastAsia="楷体_GB2312" w:cs="楷体_GB2312"/>
          <w:sz w:val="32"/>
          <w:szCs w:val="32"/>
        </w:rPr>
        <w:t>（一）一般公共预算当年拨款规模变化情况</w:t>
      </w:r>
      <w:bookmarkEnd w:id="9"/>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广元市气象局2024年一般公共预算当年拨款298.40万元，比2023年预算数增加2.46万元，主要原因是人员经费增加。</w:t>
      </w:r>
    </w:p>
    <w:p>
      <w:pPr>
        <w:spacing w:line="576" w:lineRule="exact"/>
        <w:ind w:firstLine="640" w:firstLineChars="200"/>
        <w:outlineLvl w:val="1"/>
        <w:rPr>
          <w:rFonts w:ascii="楷体_GB2312" w:hAnsi="楷体_GB2312" w:eastAsia="楷体_GB2312" w:cs="楷体_GB2312"/>
          <w:sz w:val="32"/>
          <w:szCs w:val="32"/>
        </w:rPr>
      </w:pPr>
      <w:bookmarkStart w:id="10" w:name="_Toc158038914"/>
      <w:r>
        <w:rPr>
          <w:rFonts w:hint="eastAsia" w:ascii="楷体_GB2312" w:hAnsi="楷体_GB2312" w:eastAsia="楷体_GB2312" w:cs="楷体_GB2312"/>
          <w:sz w:val="32"/>
          <w:szCs w:val="32"/>
        </w:rPr>
        <w:t>（二）一般公共预算当年拨款结构情况</w:t>
      </w:r>
      <w:bookmarkEnd w:id="10"/>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社会保障和就业支出11.73万元，占3.93%；卫生健康支出3.78万元，占1.27%；农林水支出5.46万元，占1.83%；自然资源海洋气象等支出267.46万元，占89.63%；住房保障支出9.97万元，占3.34%。</w:t>
      </w:r>
    </w:p>
    <w:p>
      <w:pPr>
        <w:spacing w:line="576" w:lineRule="exact"/>
        <w:ind w:firstLine="640" w:firstLineChars="200"/>
        <w:outlineLvl w:val="1"/>
        <w:rPr>
          <w:rFonts w:ascii="楷体_GB2312" w:hAnsi="楷体_GB2312" w:eastAsia="楷体_GB2312" w:cs="楷体_GB2312"/>
          <w:sz w:val="32"/>
          <w:szCs w:val="32"/>
        </w:rPr>
      </w:pPr>
      <w:bookmarkStart w:id="11" w:name="_Toc158038915"/>
      <w:r>
        <w:rPr>
          <w:rFonts w:hint="eastAsia" w:ascii="楷体_GB2312" w:hAnsi="楷体_GB2312" w:eastAsia="楷体_GB2312" w:cs="楷体_GB2312"/>
          <w:sz w:val="32"/>
          <w:szCs w:val="32"/>
        </w:rPr>
        <w:t>（三）一般公共预算当年拨款具体使用情况</w:t>
      </w:r>
      <w:bookmarkEnd w:id="11"/>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社会保障和就业（类）行政事业单位养老支出（款）机关事业单位基本养老保险缴费支出（项）2024年预算数为11.73万元，主要用于：实施养老保险制度由单位缴纳的基本养老保险支出。</w:t>
      </w:r>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卫生健康支出（类）行政事业单位医疗（款）事业单位医疗（项）2024年预算数为3.78万元，主要用于：机关及参公管理事业单位按规定由单位缴纳的基本医疗保险支出。</w:t>
      </w:r>
    </w:p>
    <w:p>
      <w:pPr>
        <w:spacing w:line="576" w:lineRule="exact"/>
        <w:ind w:firstLine="640" w:firstLineChars="200"/>
        <w:rPr>
          <w:rFonts w:hint="eastAsia" w:ascii="宋体" w:hAnsi="宋体" w:cs="宋体"/>
          <w:color w:val="333333"/>
          <w:kern w:val="0"/>
          <w:sz w:val="28"/>
          <w:szCs w:val="28"/>
          <w:shd w:val="clear" w:color="auto" w:fill="FFFFFF"/>
          <w:lang w:bidi="ar"/>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农林水支出（类）巩固</w:t>
      </w:r>
      <w:r>
        <w:rPr>
          <w:rFonts w:hint="eastAsia" w:ascii="仿宋_GB2312" w:hAnsi="仿宋_GB2312" w:eastAsia="仿宋_GB2312" w:cs="仿宋_GB2312"/>
          <w:sz w:val="32"/>
          <w:szCs w:val="32"/>
          <w:lang w:eastAsia="zh-CN"/>
        </w:rPr>
        <w:t>脱贫攻坚</w:t>
      </w:r>
      <w:r>
        <w:rPr>
          <w:rFonts w:hint="eastAsia" w:ascii="仿宋_GB2312" w:hAnsi="仿宋_GB2312" w:eastAsia="仿宋_GB2312" w:cs="仿宋_GB2312"/>
          <w:sz w:val="32"/>
          <w:szCs w:val="32"/>
        </w:rPr>
        <w:t>成果衔接乡村振兴（款）其他巩固脱贫攻坚成果衔接乡村振兴支出（项）2024年预算数为5.46万元，主要用于：乡村振兴项目经费。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rPr>
        <w:t xml:space="preserve"> </w:t>
      </w:r>
      <w:r>
        <w:rPr>
          <w:rFonts w:hint="eastAsia" w:ascii="仿宋_GB2312" w:hAnsi="仿宋_GB2312" w:eastAsia="仿宋_GB2312" w:cs="仿宋_GB2312"/>
          <w:sz w:val="32"/>
          <w:szCs w:val="32"/>
        </w:rPr>
        <w:t>自然资源海洋气象等支出（类）气象事务（款）气象事业机构（项）2024年预算数为97.98万元，主要用于：人员工资支出，机关日常运转费用。</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rPr>
        <w:t xml:space="preserve"> </w:t>
      </w:r>
      <w:r>
        <w:rPr>
          <w:rFonts w:hint="eastAsia" w:ascii="仿宋_GB2312" w:hAnsi="仿宋_GB2312" w:eastAsia="仿宋_GB2312" w:cs="仿宋_GB2312"/>
          <w:sz w:val="32"/>
          <w:szCs w:val="32"/>
        </w:rPr>
        <w:t>自然资源海洋气象等支出（类）气象事务（款）气象探测（项）2024年预算数为13.88万元，主要用于：全市区域自动气象站日常维</w:t>
      </w:r>
      <w:bookmarkStart w:id="25" w:name="_GoBack"/>
      <w:bookmarkEnd w:id="25"/>
      <w:r>
        <w:rPr>
          <w:rFonts w:hint="eastAsia" w:ascii="仿宋_GB2312" w:hAnsi="仿宋_GB2312" w:eastAsia="仿宋_GB2312" w:cs="仿宋_GB2312"/>
          <w:sz w:val="32"/>
          <w:szCs w:val="32"/>
        </w:rPr>
        <w:t>护维修等费用。</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rPr>
        <w:t xml:space="preserve"> </w:t>
      </w:r>
      <w:r>
        <w:rPr>
          <w:rFonts w:hint="eastAsia" w:ascii="仿宋_GB2312" w:hAnsi="仿宋_GB2312" w:eastAsia="仿宋_GB2312" w:cs="仿宋_GB2312"/>
          <w:sz w:val="32"/>
          <w:szCs w:val="32"/>
        </w:rPr>
        <w:t>自然资源海洋气象等支出（类）气象事务（款）气象预报预测（项）2024年预算数为141.00万元，主要用于：央视天气预报播出经费及广元电视台天气预报播出制作费。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w:t>
      </w:r>
      <w:r>
        <w:rPr>
          <w:rFonts w:hint="eastAsia"/>
        </w:rPr>
        <w:t xml:space="preserve"> </w:t>
      </w:r>
      <w:r>
        <w:rPr>
          <w:rFonts w:hint="eastAsia" w:ascii="仿宋_GB2312" w:hAnsi="仿宋_GB2312" w:eastAsia="仿宋_GB2312" w:cs="仿宋_GB2312"/>
          <w:sz w:val="32"/>
          <w:szCs w:val="32"/>
        </w:rPr>
        <w:t>自然资源海洋气象等支出（类）气象事务（款）气象服务（项）2024年预算数为14.60万元，主要用于：人工影响天气作业相关费用。</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w:t>
      </w:r>
      <w:r>
        <w:rPr>
          <w:rFonts w:hint="eastAsia"/>
        </w:rPr>
        <w:t xml:space="preserve"> </w:t>
      </w:r>
      <w:r>
        <w:rPr>
          <w:rFonts w:hint="eastAsia" w:ascii="仿宋_GB2312" w:hAnsi="仿宋_GB2312" w:eastAsia="仿宋_GB2312" w:cs="仿宋_GB2312"/>
          <w:sz w:val="32"/>
          <w:szCs w:val="32"/>
        </w:rPr>
        <w:t>住房保障（类）住房改革支出（款）住房公积金（项）2024年预算数为9.97万元，主要用于：部门按规定为职工缴纳的住房公积金支出。</w:t>
      </w:r>
    </w:p>
    <w:p>
      <w:pPr>
        <w:spacing w:line="576" w:lineRule="exact"/>
        <w:ind w:firstLine="640" w:firstLineChars="200"/>
        <w:outlineLvl w:val="0"/>
        <w:rPr>
          <w:rFonts w:ascii="黑体" w:hAnsi="黑体" w:eastAsia="黑体" w:cs="黑体"/>
          <w:sz w:val="32"/>
          <w:szCs w:val="32"/>
        </w:rPr>
      </w:pPr>
      <w:bookmarkStart w:id="12" w:name="_Toc158038916"/>
      <w:r>
        <w:rPr>
          <w:rFonts w:hint="eastAsia" w:ascii="黑体" w:hAnsi="黑体" w:eastAsia="黑体" w:cs="黑体"/>
          <w:sz w:val="32"/>
          <w:szCs w:val="32"/>
        </w:rPr>
        <w:t>六、一般公共预算基本支出情况说明</w:t>
      </w:r>
      <w:bookmarkEnd w:id="12"/>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广元市气象局2024年一般公共预算基本支出123.46万元，其中：</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人员经费110.19万元，主要包括：基本工资、津贴补贴、奖金、绩效工资、机关事业单位基本养老保险缴费、职工基本医疗保险缴费、其他社会保障缴费、住房公积金、生活补助等支出。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公用经费13.27万元，主要包括：办公费、电费、差旅费、会议费、公务接待费、工会经费、福利费、其他交通费、其他商品和服务支出等支出。</w:t>
      </w:r>
    </w:p>
    <w:p>
      <w:pPr>
        <w:spacing w:line="576" w:lineRule="exact"/>
        <w:ind w:firstLine="640" w:firstLineChars="200"/>
        <w:outlineLvl w:val="0"/>
        <w:rPr>
          <w:rFonts w:ascii="黑体" w:hAnsi="黑体" w:eastAsia="黑体" w:cs="黑体"/>
          <w:sz w:val="32"/>
          <w:szCs w:val="32"/>
        </w:rPr>
      </w:pPr>
      <w:bookmarkStart w:id="13" w:name="_Toc158038917"/>
      <w:r>
        <w:rPr>
          <w:rFonts w:hint="eastAsia" w:ascii="黑体" w:hAnsi="黑体" w:eastAsia="黑体" w:cs="黑体"/>
          <w:sz w:val="32"/>
          <w:szCs w:val="32"/>
        </w:rPr>
        <w:t>七、“三公”经费财政拨款预算安排情况说明</w:t>
      </w:r>
      <w:bookmarkEnd w:id="13"/>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广元市气象局2024年“三公”经费财政拨款预算数0.4万元，其中：公务接待费0.4万元，公务用车购置及运行维护费0万元，因公出国（境）经费0万元。</w:t>
      </w:r>
    </w:p>
    <w:p>
      <w:pPr>
        <w:spacing w:line="576" w:lineRule="exact"/>
        <w:ind w:firstLine="640" w:firstLineChars="200"/>
        <w:outlineLvl w:val="1"/>
        <w:rPr>
          <w:rFonts w:ascii="楷体_GB2312" w:hAnsi="楷体_GB2312" w:eastAsia="楷体_GB2312" w:cs="楷体_GB2312"/>
          <w:sz w:val="32"/>
          <w:szCs w:val="32"/>
        </w:rPr>
      </w:pPr>
      <w:bookmarkStart w:id="14" w:name="_Toc158038918"/>
      <w:r>
        <w:rPr>
          <w:rFonts w:hint="eastAsia" w:ascii="楷体_GB2312" w:hAnsi="楷体_GB2312" w:eastAsia="楷体_GB2312" w:cs="楷体_GB2312"/>
          <w:sz w:val="32"/>
          <w:szCs w:val="32"/>
        </w:rPr>
        <w:t>（一）公务接待费</w:t>
      </w:r>
      <w:bookmarkEnd w:id="14"/>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公务接待费与2023年预算相比持平。</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2024年公务接待费计划用于执行接待考察调研、检查指导等公务活动开支的交通费、住宿费、用餐费等。</w:t>
      </w:r>
    </w:p>
    <w:p>
      <w:pPr>
        <w:spacing w:line="576" w:lineRule="exact"/>
        <w:ind w:left="641"/>
        <w:outlineLvl w:val="1"/>
        <w:rPr>
          <w:rFonts w:ascii="楷体_GB2312" w:hAnsi="楷体_GB2312" w:eastAsia="楷体_GB2312" w:cs="楷体_GB2312"/>
          <w:sz w:val="32"/>
          <w:szCs w:val="32"/>
        </w:rPr>
      </w:pPr>
      <w:bookmarkStart w:id="15" w:name="_Toc158038919"/>
      <w:r>
        <w:rPr>
          <w:rFonts w:hint="eastAsia" w:ascii="楷体_GB2312" w:hAnsi="楷体_GB2312" w:eastAsia="楷体_GB2312" w:cs="楷体_GB2312"/>
          <w:sz w:val="32"/>
          <w:szCs w:val="32"/>
        </w:rPr>
        <w:t>（二）公务用车购置及运行维护费</w:t>
      </w:r>
      <w:bookmarkEnd w:id="15"/>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公务用车购置及运行维护费与2023年预算相比持平，2024年无公务用车购置及运行维护费。</w:t>
      </w:r>
    </w:p>
    <w:p>
      <w:pPr>
        <w:spacing w:line="576" w:lineRule="exact"/>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bookmarkStart w:id="16" w:name="_Toc158038920"/>
      <w:r>
        <w:rPr>
          <w:rFonts w:hint="eastAsia" w:ascii="仿宋_GB2312" w:hAnsi="仿宋_GB2312" w:eastAsia="仿宋_GB2312" w:cs="仿宋_GB2312"/>
          <w:sz w:val="32"/>
          <w:szCs w:val="32"/>
        </w:rPr>
        <w:t>（</w:t>
      </w:r>
      <w:r>
        <w:rPr>
          <w:rFonts w:hint="eastAsia" w:ascii="楷体_GB2312" w:hAnsi="楷体_GB2312" w:eastAsia="楷体_GB2312" w:cs="楷体_GB2312"/>
          <w:sz w:val="32"/>
          <w:szCs w:val="32"/>
        </w:rPr>
        <w:t>三）因公出国（境）经费</w:t>
      </w:r>
      <w:bookmarkEnd w:id="16"/>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因公出国（境）经费与2023年预算相比持平，2024年无因公出国（境）经费。</w:t>
      </w:r>
    </w:p>
    <w:p>
      <w:pPr>
        <w:spacing w:line="576" w:lineRule="exact"/>
        <w:ind w:firstLine="640" w:firstLineChars="200"/>
        <w:outlineLvl w:val="0"/>
        <w:rPr>
          <w:rFonts w:ascii="黑体" w:hAnsi="黑体" w:eastAsia="黑体" w:cs="黑体"/>
          <w:sz w:val="32"/>
          <w:szCs w:val="32"/>
        </w:rPr>
      </w:pPr>
      <w:bookmarkStart w:id="17" w:name="_Toc158038921"/>
      <w:r>
        <w:rPr>
          <w:rFonts w:hint="eastAsia" w:ascii="黑体" w:hAnsi="黑体" w:eastAsia="黑体" w:cs="黑体"/>
          <w:sz w:val="32"/>
          <w:szCs w:val="32"/>
        </w:rPr>
        <w:t>八、政府性基金预算支出情况说明</w:t>
      </w:r>
      <w:bookmarkEnd w:id="17"/>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广元市气象局2024年无政府性基金预算拨款安排的支出。</w:t>
      </w:r>
    </w:p>
    <w:p>
      <w:pPr>
        <w:spacing w:line="576" w:lineRule="exact"/>
        <w:ind w:firstLine="640" w:firstLineChars="200"/>
        <w:outlineLvl w:val="0"/>
        <w:rPr>
          <w:rFonts w:ascii="黑体" w:hAnsi="黑体" w:eastAsia="黑体" w:cs="黑体"/>
          <w:sz w:val="32"/>
          <w:szCs w:val="32"/>
        </w:rPr>
      </w:pPr>
      <w:bookmarkStart w:id="18" w:name="_Toc158038922"/>
      <w:r>
        <w:rPr>
          <w:rFonts w:hint="eastAsia" w:ascii="黑体" w:hAnsi="黑体" w:eastAsia="黑体" w:cs="黑体"/>
          <w:sz w:val="32"/>
          <w:szCs w:val="32"/>
        </w:rPr>
        <w:t>九、国有资本经营预算支出情况说明</w:t>
      </w:r>
      <w:bookmarkEnd w:id="18"/>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广元市气象局2024年无国有资本经营预算拨款安排的支出。</w:t>
      </w:r>
    </w:p>
    <w:p>
      <w:pPr>
        <w:spacing w:line="576" w:lineRule="exact"/>
        <w:ind w:firstLine="640" w:firstLineChars="200"/>
        <w:outlineLvl w:val="0"/>
        <w:rPr>
          <w:rFonts w:ascii="黑体" w:hAnsi="黑体" w:eastAsia="黑体" w:cs="黑体"/>
          <w:sz w:val="32"/>
          <w:szCs w:val="32"/>
        </w:rPr>
      </w:pPr>
      <w:bookmarkStart w:id="19" w:name="_Toc158038923"/>
      <w:r>
        <w:rPr>
          <w:rFonts w:hint="eastAsia" w:ascii="黑体" w:hAnsi="黑体" w:eastAsia="黑体" w:cs="黑体"/>
          <w:sz w:val="32"/>
          <w:szCs w:val="32"/>
        </w:rPr>
        <w:t>十、其他重要事项的情况说明</w:t>
      </w:r>
      <w:bookmarkEnd w:id="19"/>
    </w:p>
    <w:p>
      <w:pPr>
        <w:spacing w:line="576" w:lineRule="exact"/>
        <w:ind w:firstLine="640" w:firstLineChars="200"/>
        <w:outlineLvl w:val="1"/>
        <w:rPr>
          <w:rFonts w:ascii="楷体_GB2312" w:hAnsi="楷体_GB2312" w:eastAsia="楷体_GB2312" w:cs="楷体_GB2312"/>
          <w:sz w:val="32"/>
          <w:szCs w:val="32"/>
        </w:rPr>
      </w:pPr>
      <w:bookmarkStart w:id="20" w:name="_Toc158038924"/>
      <w:r>
        <w:rPr>
          <w:rFonts w:hint="eastAsia" w:ascii="楷体_GB2312" w:hAnsi="楷体_GB2312" w:eastAsia="楷体_GB2312" w:cs="楷体_GB2312"/>
          <w:sz w:val="32"/>
          <w:szCs w:val="32"/>
        </w:rPr>
        <w:t>（一）机关运行经费</w:t>
      </w:r>
      <w:bookmarkEnd w:id="20"/>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广元市气象局</w:t>
      </w:r>
      <w:r>
        <w:rPr>
          <w:rFonts w:hint="default" w:ascii="仿宋_GB2312" w:hAnsi="仿宋_GB2312" w:eastAsia="仿宋_GB2312" w:cs="仿宋_GB2312"/>
          <w:sz w:val="32"/>
          <w:szCs w:val="32"/>
        </w:rPr>
        <w:t>为事业单位，按规定未使用机关运行的相关科目</w:t>
      </w:r>
      <w:r>
        <w:rPr>
          <w:rFonts w:hint="eastAsia" w:ascii="仿宋_GB2312" w:hAnsi="仿宋_GB2312" w:eastAsia="仿宋_GB2312" w:cs="仿宋_GB2312"/>
          <w:sz w:val="32"/>
          <w:szCs w:val="32"/>
        </w:rPr>
        <w:t>。</w:t>
      </w:r>
    </w:p>
    <w:p>
      <w:pPr>
        <w:spacing w:line="576" w:lineRule="exact"/>
        <w:ind w:firstLine="640" w:firstLineChars="200"/>
        <w:outlineLvl w:val="1"/>
        <w:rPr>
          <w:rFonts w:ascii="楷体_GB2312" w:hAnsi="楷体_GB2312" w:eastAsia="楷体_GB2312" w:cs="楷体_GB2312"/>
          <w:sz w:val="32"/>
          <w:szCs w:val="32"/>
        </w:rPr>
      </w:pPr>
      <w:bookmarkStart w:id="21" w:name="_Toc158038925"/>
      <w:r>
        <w:rPr>
          <w:rFonts w:hint="eastAsia" w:ascii="楷体_GB2312" w:hAnsi="楷体_GB2312" w:eastAsia="楷体_GB2312" w:cs="楷体_GB2312"/>
          <w:sz w:val="32"/>
          <w:szCs w:val="32"/>
        </w:rPr>
        <w:t>（二）政府采购情况</w:t>
      </w:r>
      <w:bookmarkEnd w:id="21"/>
    </w:p>
    <w:p>
      <w:pPr>
        <w:keepNext w:val="0"/>
        <w:keepLines w:val="0"/>
        <w:widowControl w:val="0"/>
        <w:suppressLineNumbers w:val="0"/>
        <w:suppressAutoHyphens/>
        <w:spacing w:before="0" w:beforeAutospacing="0" w:after="0" w:afterAutospacing="0" w:line="576" w:lineRule="exact"/>
        <w:ind w:left="0" w:right="0" w:firstLine="640" w:firstLineChars="200"/>
        <w:jc w:val="both"/>
        <w:rPr>
          <w:rFonts w:ascii="仿宋_GB2312" w:hAnsi="仿宋_GB2312" w:eastAsia="仿宋_GB2312" w:cs="仿宋_GB2312"/>
          <w:sz w:val="32"/>
          <w:szCs w:val="32"/>
        </w:rPr>
      </w:pPr>
      <w:r>
        <w:rPr>
          <w:rFonts w:hint="default" w:ascii="仿宋_GB2312" w:hAnsi="Calibri" w:eastAsia="仿宋_GB2312" w:cs="仿宋_GB2312"/>
          <w:kern w:val="2"/>
          <w:sz w:val="32"/>
          <w:szCs w:val="32"/>
          <w:lang w:val="en-US" w:eastAsia="zh-CN" w:bidi="ar"/>
        </w:rPr>
        <w:t>2024年，</w:t>
      </w:r>
      <w:r>
        <w:rPr>
          <w:rFonts w:hint="eastAsia" w:ascii="仿宋_GB2312" w:hAnsi="仿宋_GB2312" w:eastAsia="仿宋_GB2312" w:cs="仿宋_GB2312"/>
          <w:sz w:val="32"/>
          <w:szCs w:val="32"/>
        </w:rPr>
        <w:t>广元市气象局</w:t>
      </w:r>
      <w:r>
        <w:rPr>
          <w:rFonts w:hint="default" w:ascii="仿宋_GB2312" w:hAnsi="仿宋_GB2312" w:eastAsia="仿宋_GB2312" w:cs="仿宋_GB2312"/>
          <w:sz w:val="32"/>
          <w:szCs w:val="32"/>
        </w:rPr>
        <w:t>未</w:t>
      </w:r>
      <w:r>
        <w:rPr>
          <w:rFonts w:hint="default" w:ascii="仿宋_GB2312" w:hAnsi="Calibri" w:eastAsia="仿宋_GB2312" w:cs="仿宋_GB2312"/>
          <w:kern w:val="2"/>
          <w:sz w:val="32"/>
          <w:szCs w:val="32"/>
          <w:lang w:val="en-US" w:eastAsia="zh-CN" w:bidi="ar"/>
        </w:rPr>
        <w:t>安排政府采购预算</w:t>
      </w:r>
      <w:r>
        <w:rPr>
          <w:rFonts w:hint="eastAsia" w:ascii="仿宋_GB2312" w:hAnsi="仿宋_GB2312" w:eastAsia="仿宋_GB2312" w:cs="仿宋_GB2312"/>
          <w:sz w:val="32"/>
          <w:szCs w:val="32"/>
        </w:rPr>
        <w:t>。</w:t>
      </w:r>
    </w:p>
    <w:p>
      <w:pPr>
        <w:spacing w:line="576" w:lineRule="exact"/>
        <w:ind w:firstLine="640" w:firstLineChars="200"/>
        <w:outlineLvl w:val="1"/>
        <w:rPr>
          <w:rFonts w:ascii="楷体_GB2312" w:hAnsi="楷体_GB2312" w:eastAsia="楷体_GB2312" w:cs="楷体_GB2312"/>
          <w:sz w:val="32"/>
          <w:szCs w:val="32"/>
        </w:rPr>
      </w:pPr>
      <w:bookmarkStart w:id="22" w:name="_Toc158038926"/>
      <w:r>
        <w:rPr>
          <w:rFonts w:hint="eastAsia" w:ascii="楷体_GB2312" w:hAnsi="楷体_GB2312" w:eastAsia="楷体_GB2312" w:cs="楷体_GB2312"/>
          <w:sz w:val="32"/>
          <w:szCs w:val="32"/>
        </w:rPr>
        <w:t>（三）国有资产占有使用情况</w:t>
      </w:r>
      <w:bookmarkEnd w:id="22"/>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截至2023年底，广元市气象局共有车辆0辆。单位无价值200万元以上的大型设备。</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2024年部门预算未安排购置车辆及单位价值200万元以上大型设备。</w:t>
      </w:r>
    </w:p>
    <w:p>
      <w:pPr>
        <w:spacing w:line="576" w:lineRule="exact"/>
        <w:ind w:firstLine="640" w:firstLineChars="200"/>
        <w:outlineLvl w:val="1"/>
        <w:rPr>
          <w:rFonts w:ascii="楷体_GB2312" w:hAnsi="楷体_GB2312" w:eastAsia="楷体_GB2312" w:cs="楷体_GB2312"/>
          <w:sz w:val="32"/>
          <w:szCs w:val="32"/>
        </w:rPr>
      </w:pPr>
      <w:bookmarkStart w:id="23" w:name="_Toc158038927"/>
      <w:r>
        <w:rPr>
          <w:rFonts w:hint="eastAsia" w:ascii="楷体_GB2312" w:hAnsi="楷体_GB2312" w:eastAsia="楷体_GB2312" w:cs="楷体_GB2312"/>
          <w:sz w:val="32"/>
          <w:szCs w:val="32"/>
        </w:rPr>
        <w:t>（四）绩效目标设置情况</w:t>
      </w:r>
      <w:bookmarkEnd w:id="23"/>
    </w:p>
    <w:p>
      <w:pPr>
        <w:spacing w:line="576" w:lineRule="exact"/>
        <w:ind w:firstLine="640"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rPr>
        <w:t>2024年广元市气象局开展绩效目标管理的项目13个，涉及预算298.4万元。其中：人员类项目5个，涉及预算110.19万元；运转类项目3个，涉及预算13.27万元；特定目标类项目5个，涉及预算174.94万元。</w:t>
      </w:r>
    </w:p>
    <w:p>
      <w:pPr>
        <w:spacing w:line="576" w:lineRule="exact"/>
        <w:ind w:firstLine="640" w:firstLineChars="200"/>
        <w:outlineLvl w:val="0"/>
        <w:rPr>
          <w:rFonts w:ascii="黑体" w:hAnsi="黑体" w:eastAsia="黑体" w:cs="黑体"/>
          <w:sz w:val="32"/>
          <w:szCs w:val="32"/>
        </w:rPr>
      </w:pPr>
      <w:bookmarkStart w:id="24" w:name="_Toc158038928"/>
      <w:r>
        <w:rPr>
          <w:rFonts w:hint="eastAsia" w:ascii="黑体" w:hAnsi="黑体" w:eastAsia="黑体" w:cs="黑体"/>
          <w:sz w:val="32"/>
          <w:szCs w:val="32"/>
        </w:rPr>
        <w:t>十一、名词解释</w:t>
      </w:r>
      <w:bookmarkEnd w:id="24"/>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ascii="楷体_GB2312" w:hAnsi="楷体_GB2312" w:eastAsia="楷体_GB2312" w:cs="楷体_GB2312"/>
          <w:sz w:val="32"/>
          <w:szCs w:val="32"/>
        </w:rPr>
        <w:t>:</w:t>
      </w:r>
      <w:r>
        <w:rPr>
          <w:rFonts w:hint="eastAsia" w:ascii="仿宋_GB2312" w:hAnsi="仿宋_GB2312" w:eastAsia="仿宋_GB2312" w:cs="仿宋_GB2312"/>
          <w:sz w:val="32"/>
          <w:szCs w:val="32"/>
        </w:rPr>
        <w:t>指市财政当年安排的财政预算收入。按现行管理制度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部门预算中反映的财政拨款包括一般公共预算拨款和政府性基金预算拨款。</w:t>
      </w:r>
    </w:p>
    <w:p>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（二）社会保障和就业（类）行政事业单位养老支出（款）事业单位离退休（项）：</w:t>
      </w:r>
      <w:r>
        <w:rPr>
          <w:rFonts w:hint="eastAsia" w:ascii="仿宋_GB2312" w:hAnsi="仿宋_GB2312" w:eastAsia="仿宋_GB2312" w:cs="仿宋_GB2312"/>
          <w:sz w:val="32"/>
          <w:szCs w:val="32"/>
        </w:rPr>
        <w:t>指事业单位离退休人员的支出</w:t>
      </w:r>
      <w:r>
        <w:rPr>
          <w:rFonts w:hint="eastAsia" w:ascii="楷体_GB2312" w:hAnsi="楷体_GB2312" w:eastAsia="楷体_GB2312" w:cs="楷体_GB2312"/>
          <w:sz w:val="32"/>
          <w:szCs w:val="32"/>
        </w:rPr>
        <w:t>。</w:t>
      </w:r>
    </w:p>
    <w:p>
      <w:pP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（三）社会保障和就业（类）行政事业单位养老支出（款）行政单位离退休（项）：</w:t>
      </w:r>
      <w:r>
        <w:rPr>
          <w:rFonts w:hint="eastAsia" w:ascii="仿宋_GB2312" w:hAnsi="仿宋_GB2312" w:eastAsia="仿宋_GB2312" w:cs="仿宋_GB2312"/>
          <w:sz w:val="32"/>
          <w:szCs w:val="32"/>
        </w:rPr>
        <w:t>指行政及参公管理事业单位离退休人员的支出。</w:t>
      </w:r>
    </w:p>
    <w:p>
      <w:pP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（四）社会保障和就业（类）行政事业单位养老支出（款）机关事业单位基本养老保险缴费支出（项）：</w:t>
      </w:r>
      <w:r>
        <w:rPr>
          <w:rFonts w:hint="eastAsia" w:ascii="仿宋_GB2312" w:hAnsi="仿宋_GB2312" w:eastAsia="仿宋_GB2312" w:cs="仿宋_GB2312"/>
          <w:sz w:val="32"/>
          <w:szCs w:val="32"/>
        </w:rPr>
        <w:t>指部门实施养老保险制度由单位缴纳的养老保险的支出。</w:t>
      </w:r>
    </w:p>
    <w:p>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（五）卫生健康（类）行政事业单位医疗（款）行政单位医疗（项）：</w:t>
      </w:r>
      <w:r>
        <w:rPr>
          <w:rFonts w:hint="eastAsia" w:ascii="仿宋_GB2312" w:hAnsi="仿宋_GB2312" w:eastAsia="仿宋_GB2312" w:cs="仿宋_GB2312"/>
          <w:sz w:val="32"/>
          <w:szCs w:val="32"/>
        </w:rPr>
        <w:t>指机关及参公管理事业单位用于单位应缴纳基本医疗保险支出。</w:t>
      </w:r>
    </w:p>
    <w:p>
      <w:pP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（六）卫生健康（类）行政事业单位医疗（款）事业单位医疗（项）：</w:t>
      </w:r>
      <w:r>
        <w:rPr>
          <w:rFonts w:hint="eastAsia" w:ascii="仿宋_GB2312" w:hAnsi="仿宋_GB2312" w:eastAsia="仿宋_GB2312" w:cs="仿宋_GB2312"/>
          <w:sz w:val="32"/>
          <w:szCs w:val="32"/>
        </w:rPr>
        <w:t>指事业单位用于单位应缴纳基本医疗保险支出。</w:t>
      </w:r>
    </w:p>
    <w:p>
      <w:pP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（七）卫生健康（类）行政事业单位医疗（款）公务员医疗补助（项）：</w:t>
      </w:r>
      <w:r>
        <w:rPr>
          <w:rFonts w:hint="eastAsia" w:ascii="仿宋_GB2312" w:hAnsi="仿宋_GB2312" w:eastAsia="仿宋_GB2312" w:cs="仿宋_GB2312"/>
          <w:sz w:val="32"/>
          <w:szCs w:val="32"/>
        </w:rPr>
        <w:t>指机关及参公管理事业单位用于集中缴纳公务员医疗补助支出。</w:t>
      </w:r>
    </w:p>
    <w:p>
      <w:pP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（八）住房保障（类）住房改革支出（款）住房公积金（项）：</w:t>
      </w:r>
      <w:r>
        <w:rPr>
          <w:rFonts w:hint="eastAsia" w:ascii="仿宋_GB2312" w:hAnsi="仿宋_GB2312" w:eastAsia="仿宋_GB2312" w:cs="仿宋_GB2312"/>
          <w:sz w:val="32"/>
          <w:szCs w:val="32"/>
        </w:rPr>
        <w:t>指按照《住房公积金管理条例》的规定，由单位及其在职职工缴存的长期住房储金。</w:t>
      </w:r>
    </w:p>
    <w:p>
      <w:pP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（九）农林水支出（类）巩固</w:t>
      </w:r>
      <w:r>
        <w:rPr>
          <w:rFonts w:hint="eastAsia" w:ascii="楷体_GB2312" w:hAnsi="楷体_GB2312" w:eastAsia="楷体_GB2312" w:cs="楷体_GB2312"/>
          <w:sz w:val="32"/>
          <w:szCs w:val="32"/>
          <w:lang w:eastAsia="zh-CN"/>
        </w:rPr>
        <w:t>脱贫攻坚</w:t>
      </w:r>
      <w:r>
        <w:rPr>
          <w:rFonts w:hint="eastAsia" w:ascii="楷体_GB2312" w:hAnsi="楷体_GB2312" w:eastAsia="楷体_GB2312" w:cs="楷体_GB2312"/>
          <w:sz w:val="32"/>
          <w:szCs w:val="32"/>
        </w:rPr>
        <w:t>成果衔接乡村振兴（款）其他巩固脱贫攻坚成果衔接乡村振兴支出（项）：</w:t>
      </w:r>
      <w:r>
        <w:rPr>
          <w:rFonts w:hint="eastAsia" w:ascii="仿宋_GB2312" w:hAnsi="仿宋_GB2312" w:eastAsia="仿宋_GB2312" w:cs="仿宋_GB2312"/>
          <w:sz w:val="32"/>
          <w:szCs w:val="32"/>
        </w:rPr>
        <w:t>反映除上述项目以外其他用于巩固拓展脱贫攻坚成果同乡村振兴有效衔接方面的支出。</w:t>
      </w:r>
    </w:p>
    <w:p>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（十）基本支出：</w:t>
      </w:r>
      <w:r>
        <w:rPr>
          <w:rFonts w:hint="eastAsia" w:ascii="仿宋_GB2312" w:hAnsi="仿宋_GB2312" w:eastAsia="仿宋_GB2312" w:cs="仿宋_GB2312"/>
          <w:sz w:val="32"/>
          <w:szCs w:val="32"/>
        </w:rPr>
        <w:t>指为保证机构正常运转，完成日常工作任务而发生的人员支出和公用支出。</w:t>
      </w:r>
    </w:p>
    <w:p>
      <w:pP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（十一）项目支出：</w:t>
      </w:r>
      <w:r>
        <w:rPr>
          <w:rFonts w:hint="eastAsia" w:ascii="仿宋_GB2312" w:hAnsi="仿宋_GB2312" w:eastAsia="仿宋_GB2312" w:cs="仿宋_GB2312"/>
          <w:sz w:val="32"/>
          <w:szCs w:val="32"/>
        </w:rPr>
        <w:t>指在基本支出之外为完成特定行政任务和事业发展目标所发生的支出。</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（十二）“三公”经费：</w:t>
      </w:r>
      <w:r>
        <w:rPr>
          <w:rFonts w:hint="eastAsia" w:ascii="仿宋_GB2312" w:hAnsi="仿宋_GB2312" w:eastAsia="仿宋_GB2312" w:cs="仿宋_GB2312"/>
          <w:sz w:val="32"/>
          <w:szCs w:val="32"/>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ijay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12</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6"/>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12</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kNmY3ZTgyOGFlMTUyNDE5ODMwYjMzMTE1ZjM0ODYifQ=="/>
  </w:docVars>
  <w:rsids>
    <w:rsidRoot w:val="003857B9"/>
    <w:rsid w:val="00182C4D"/>
    <w:rsid w:val="00290982"/>
    <w:rsid w:val="003401B5"/>
    <w:rsid w:val="003857B9"/>
    <w:rsid w:val="005D20E7"/>
    <w:rsid w:val="00671074"/>
    <w:rsid w:val="00897BC0"/>
    <w:rsid w:val="009D4AC7"/>
    <w:rsid w:val="00E6645B"/>
    <w:rsid w:val="012352D1"/>
    <w:rsid w:val="1D9F113A"/>
    <w:rsid w:val="1F7BF06F"/>
    <w:rsid w:val="1FEE4B73"/>
    <w:rsid w:val="23CE9849"/>
    <w:rsid w:val="372799D5"/>
    <w:rsid w:val="39F304DD"/>
    <w:rsid w:val="3ECFAB46"/>
    <w:rsid w:val="54244390"/>
    <w:rsid w:val="54662A63"/>
    <w:rsid w:val="556E666E"/>
    <w:rsid w:val="58064E12"/>
    <w:rsid w:val="5BFEE015"/>
    <w:rsid w:val="63D73A62"/>
    <w:rsid w:val="63EDCF55"/>
    <w:rsid w:val="63FBFBCF"/>
    <w:rsid w:val="669360FD"/>
    <w:rsid w:val="68FF6A83"/>
    <w:rsid w:val="6AEF6005"/>
    <w:rsid w:val="6CFF8E48"/>
    <w:rsid w:val="6E3DB48E"/>
    <w:rsid w:val="6FBBC9CF"/>
    <w:rsid w:val="72BDE561"/>
    <w:rsid w:val="78462278"/>
    <w:rsid w:val="7997EA6C"/>
    <w:rsid w:val="7AEAE675"/>
    <w:rsid w:val="7B8FEC2D"/>
    <w:rsid w:val="7BAFCE5D"/>
    <w:rsid w:val="7D46598C"/>
    <w:rsid w:val="7D9F8F0F"/>
    <w:rsid w:val="7DFB240B"/>
    <w:rsid w:val="7DFE05E7"/>
    <w:rsid w:val="7E0935ED"/>
    <w:rsid w:val="7E7C3E48"/>
    <w:rsid w:val="7FCF2AF7"/>
    <w:rsid w:val="9FEF033D"/>
    <w:rsid w:val="A27FF1E5"/>
    <w:rsid w:val="AF3FEDDD"/>
    <w:rsid w:val="AFDEB5A7"/>
    <w:rsid w:val="AFEA7FBF"/>
    <w:rsid w:val="B3FF2B7D"/>
    <w:rsid w:val="B83F4767"/>
    <w:rsid w:val="BF930F07"/>
    <w:rsid w:val="BFCE8436"/>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13">
    <w:name w:val="Default Paragraph Font"/>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next w:val="1"/>
    <w:autoRedefine/>
    <w:qFormat/>
    <w:uiPriority w:val="0"/>
    <w:pPr>
      <w:suppressLineNumbers/>
      <w:spacing w:before="120" w:after="120"/>
    </w:pPr>
    <w:rPr>
      <w:i/>
      <w:iCs/>
      <w:sz w:val="24"/>
    </w:rPr>
  </w:style>
  <w:style w:type="paragraph" w:styleId="4">
    <w:name w:val="Body Text"/>
    <w:basedOn w:val="1"/>
    <w:autoRedefine/>
    <w:qFormat/>
    <w:uiPriority w:val="0"/>
    <w:pPr>
      <w:spacing w:after="140" w:line="276" w:lineRule="auto"/>
    </w:pPr>
  </w:style>
  <w:style w:type="paragraph" w:styleId="5">
    <w:name w:val="Balloon Text"/>
    <w:basedOn w:val="1"/>
    <w:link w:val="20"/>
    <w:autoRedefine/>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autoRedefine/>
    <w:qFormat/>
    <w:uiPriority w:val="39"/>
  </w:style>
  <w:style w:type="paragraph" w:styleId="9">
    <w:name w:val="List"/>
    <w:basedOn w:val="4"/>
    <w:qFormat/>
    <w:uiPriority w:val="0"/>
  </w:style>
  <w:style w:type="paragraph" w:styleId="10">
    <w:name w:val="toc 2"/>
    <w:basedOn w:val="1"/>
    <w:next w:val="1"/>
    <w:autoRedefine/>
    <w:qFormat/>
    <w:uiPriority w:val="39"/>
    <w:pPr>
      <w:ind w:left="420" w:leftChars="200"/>
    </w:pPr>
  </w:style>
  <w:style w:type="paragraph" w:styleId="11">
    <w:name w:val="Normal (Web)"/>
    <w:basedOn w:val="1"/>
    <w:autoRedefine/>
    <w:qFormat/>
    <w:uiPriority w:val="0"/>
    <w:rPr>
      <w:sz w:val="24"/>
    </w:rPr>
  </w:style>
  <w:style w:type="character" w:styleId="14">
    <w:name w:val="Hyperlink"/>
    <w:basedOn w:val="13"/>
    <w:autoRedefine/>
    <w:unhideWhenUsed/>
    <w:qFormat/>
    <w:uiPriority w:val="99"/>
    <w:rPr>
      <w:color w:val="0000FF" w:themeColor="hyperlink"/>
      <w:u w:val="single"/>
      <w14:textFill>
        <w14:solidFill>
          <w14:schemeClr w14:val="hlink"/>
        </w14:solidFill>
      </w14:textFill>
    </w:rPr>
  </w:style>
  <w:style w:type="character" w:customStyle="1" w:styleId="15">
    <w:name w:val="默认段落字体1"/>
    <w:autoRedefine/>
    <w:qFormat/>
    <w:uiPriority w:val="0"/>
  </w:style>
  <w:style w:type="paragraph" w:customStyle="1" w:styleId="16">
    <w:name w:val="Heading"/>
    <w:basedOn w:val="1"/>
    <w:next w:val="4"/>
    <w:autoRedefine/>
    <w:qFormat/>
    <w:uiPriority w:val="0"/>
    <w:pPr>
      <w:keepNext/>
      <w:spacing w:before="240" w:after="120"/>
    </w:pPr>
    <w:rPr>
      <w:rFonts w:ascii="Liberation Sans" w:hAnsi="Liberation Sans" w:eastAsia="Noto Sans CJK SC Regular" w:cs="Noto Sans CJK SC Regular"/>
      <w:sz w:val="28"/>
      <w:szCs w:val="28"/>
    </w:rPr>
  </w:style>
  <w:style w:type="paragraph" w:customStyle="1" w:styleId="17">
    <w:name w:val="Index"/>
    <w:basedOn w:val="1"/>
    <w:autoRedefine/>
    <w:qFormat/>
    <w:uiPriority w:val="0"/>
    <w:pPr>
      <w:suppressLineNumbers/>
    </w:pPr>
  </w:style>
  <w:style w:type="character" w:customStyle="1" w:styleId="18">
    <w:name w:val="标题 1 Char"/>
    <w:basedOn w:val="13"/>
    <w:link w:val="2"/>
    <w:autoRedefine/>
    <w:qFormat/>
    <w:uiPriority w:val="0"/>
    <w:rPr>
      <w:rFonts w:ascii="Calibri" w:hAnsi="Calibri"/>
      <w:b/>
      <w:bCs/>
      <w:kern w:val="44"/>
      <w:sz w:val="44"/>
      <w:szCs w:val="44"/>
    </w:rPr>
  </w:style>
  <w:style w:type="paragraph" w:customStyle="1" w:styleId="19">
    <w:name w:val="TOC Heading"/>
    <w:basedOn w:val="2"/>
    <w:next w:val="1"/>
    <w:autoRedefine/>
    <w:unhideWhenUsed/>
    <w:qFormat/>
    <w:uiPriority w:val="39"/>
    <w:pPr>
      <w:widowControl/>
      <w:suppressAutoHyphens w:val="0"/>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0">
    <w:name w:val="批注框文本 Char"/>
    <w:basedOn w:val="13"/>
    <w:link w:val="5"/>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5600</Words>
  <Characters>2206</Characters>
  <Lines>1</Lines>
  <Paragraphs>1</Paragraphs>
  <TotalTime>3</TotalTime>
  <ScaleCrop>false</ScaleCrop>
  <LinksUpToDate>false</LinksUpToDate>
  <CharactersWithSpaces>7791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2024-02-06T11:33:00Z</dcterms:created>
  <dc:creator>admin</dc:creator>
  <cp:lastModifiedBy> </cp:lastModifiedBy>
  <dcterms:modified xsi:type="dcterms:W3CDTF">2024-04-07T09:17:54Z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96081F72B7444D3C8C1C7DDAED24732C_13</vt:lpwstr>
  </property>
</Properties>
</file>