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下西坝办事处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keepNext w:val="0"/>
        <w:keepLines w:val="0"/>
        <w:pageBreakBefore w:val="0"/>
        <w:kinsoku/>
        <w:wordWrap/>
        <w:overflowPunct/>
        <w:topLinePunct w:val="0"/>
        <w:autoSpaceDE/>
        <w:autoSpaceDN/>
        <w:bidi w:val="0"/>
        <w:adjustRightInd/>
        <w:snapToGrid/>
        <w:spacing w:line="576" w:lineRule="exact"/>
        <w:jc w:val="center"/>
        <w:textAlignment w:val="auto"/>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一、基本职能及主要工作..............................(2)</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（一）单位职能简介..................................(2)</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（二）单位2024年重点工作...........................(2)</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二、部门预算单位构成................................(3)</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三、收支预算情况说明................................(3)</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（一）收入预算情况..................................(3)</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（二）支出预算情况..................................(4)</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四、财政拨款收支预算情况说明........................(4)</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五、一般公共预算当年拨款情况说明....................(4)</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（一）一般公共预算当年拨款规模变化情况..............(4)</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（二）一般公共预算当年拨款结构情况..................(4)</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（三）一般公共预算当年拨款具体使用情况..............(5)</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六、一般公共预算基本支出情况说明....................(7)</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七、“三公”经费财政拨款预算安排情况说明............(8)</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 (8)</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九、国有资本经营预算支出情况说明.....................(8)</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十、其他重要事项的情况说明...........................(8)</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 (9)</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下西坝</w:t>
      </w:r>
      <w:r>
        <w:rPr>
          <w:rFonts w:hint="eastAsia" w:ascii="楷体_GB2312" w:hAnsi="楷体_GB2312" w:eastAsia="楷体_GB2312" w:cs="楷体_GB2312"/>
          <w:sz w:val="32"/>
          <w:szCs w:val="32"/>
          <w:lang w:val="en-US" w:eastAsia="zh-CN"/>
        </w:rPr>
        <w:t>办事处</w:t>
      </w:r>
      <w:r>
        <w:rPr>
          <w:rFonts w:hint="eastAsia" w:ascii="楷体_GB2312" w:hAnsi="楷体_GB2312" w:eastAsia="楷体_GB2312" w:cs="楷体_GB2312"/>
          <w:sz w:val="32"/>
          <w:szCs w:val="32"/>
        </w:rPr>
        <w:t>职能简介</w:t>
      </w:r>
    </w:p>
    <w:p>
      <w:pPr>
        <w:keepNext w:val="0"/>
        <w:keepLines w:val="0"/>
        <w:pageBreakBefore w:val="0"/>
        <w:widowControl w:val="0"/>
        <w:kinsoku/>
        <w:wordWrap/>
        <w:overflowPunct/>
        <w:topLinePunct w:val="0"/>
        <w:autoSpaceDE/>
        <w:autoSpaceDN/>
        <w:bidi w:val="0"/>
        <w:adjustRightInd/>
        <w:snapToGrid/>
        <w:spacing w:beforeLines="0" w:afterLines="0" w:line="576" w:lineRule="exact"/>
        <w:ind w:firstLine="640" w:firstLineChars="200"/>
        <w:textAlignment w:val="auto"/>
        <w:rPr>
          <w:rFonts w:hint="eastAsia" w:ascii="仿宋_GB2312" w:hAnsi="仿宋_GB2312" w:eastAsia="仿宋_GB2312" w:cs="仿宋_GB2312"/>
          <w:b w:val="0"/>
          <w:bCs w:val="0"/>
          <w:color w:val="auto"/>
          <w:spacing w:val="0"/>
          <w:sz w:val="32"/>
          <w:szCs w:val="32"/>
          <w:lang w:val="en-US" w:eastAsia="zh-CN"/>
        </w:rPr>
      </w:pPr>
      <w:r>
        <w:rPr>
          <w:rFonts w:hint="eastAsia" w:ascii="仿宋_GB2312" w:hAnsi="仿宋_GB2312" w:eastAsia="仿宋_GB2312" w:cs="仿宋_GB2312"/>
          <w:b w:val="0"/>
          <w:bCs w:val="0"/>
          <w:color w:val="auto"/>
          <w:spacing w:val="0"/>
          <w:sz w:val="32"/>
          <w:szCs w:val="32"/>
          <w:lang w:val="en-US" w:eastAsia="zh-CN"/>
        </w:rPr>
        <w:t>负责辖区内经济社区发展、安全生产、信访维稳、房屋征收与补偿、计划生育、民政、劳动就业、社会保障、环境卫生等工作。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eastAsia="zh-CN"/>
        </w:rPr>
        <w:t>下西坝办事处</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keepNext w:val="0"/>
        <w:keepLines w:val="0"/>
        <w:pageBreakBefore w:val="0"/>
        <w:widowControl w:val="0"/>
        <w:kinsoku/>
        <w:wordWrap/>
        <w:overflowPunct/>
        <w:topLinePunct w:val="0"/>
        <w:autoSpaceDE/>
        <w:autoSpaceDN/>
        <w:bidi w:val="0"/>
        <w:adjustRightInd/>
        <w:snapToGrid/>
        <w:spacing w:beforeLines="0" w:afterLines="0" w:line="576" w:lineRule="exact"/>
        <w:ind w:firstLine="640" w:firstLineChars="200"/>
        <w:textAlignment w:val="auto"/>
        <w:rPr>
          <w:rFonts w:hint="eastAsia" w:ascii="仿宋_GB2312" w:hAnsi="仿宋_GB2312" w:eastAsia="仿宋_GB2312" w:cs="仿宋_GB2312"/>
          <w:b w:val="0"/>
          <w:bCs w:val="0"/>
          <w:color w:val="auto"/>
          <w:spacing w:val="0"/>
          <w:sz w:val="32"/>
          <w:szCs w:val="32"/>
          <w:lang w:val="en-US" w:eastAsia="zh-CN"/>
        </w:rPr>
      </w:pPr>
      <w:r>
        <w:rPr>
          <w:rFonts w:hint="eastAsia" w:ascii="仿宋_GB2312" w:hAnsi="仿宋_GB2312" w:eastAsia="仿宋_GB2312" w:cs="仿宋_GB2312"/>
          <w:b w:val="0"/>
          <w:bCs w:val="0"/>
          <w:color w:val="auto"/>
          <w:spacing w:val="0"/>
          <w:sz w:val="32"/>
          <w:szCs w:val="32"/>
          <w:lang w:val="en-US" w:eastAsia="zh-CN"/>
        </w:rPr>
        <w:t>1.全力推进项目建设。继续做好对曾家营棚户区环球雅途东侧地块项目、曾家营七组下西产业园配套设施建设项目后续征地拆迁工作；积极推进整体连片开发和城市综合体建设，以品质升级带来价值提升的乘数效应。</w:t>
      </w:r>
    </w:p>
    <w:p>
      <w:pPr>
        <w:keepNext w:val="0"/>
        <w:keepLines w:val="0"/>
        <w:pageBreakBefore w:val="0"/>
        <w:widowControl w:val="0"/>
        <w:kinsoku/>
        <w:wordWrap/>
        <w:overflowPunct/>
        <w:topLinePunct w:val="0"/>
        <w:autoSpaceDE/>
        <w:autoSpaceDN/>
        <w:bidi w:val="0"/>
        <w:adjustRightInd/>
        <w:snapToGrid/>
        <w:spacing w:beforeLines="0" w:afterLines="0" w:line="576" w:lineRule="exact"/>
        <w:ind w:firstLine="640" w:firstLineChars="200"/>
        <w:textAlignment w:val="auto"/>
        <w:rPr>
          <w:rFonts w:hint="default" w:ascii="仿宋_GB2312" w:hAnsi="仿宋_GB2312" w:eastAsia="仿宋_GB2312" w:cs="仿宋_GB2312"/>
          <w:b w:val="0"/>
          <w:bCs w:val="0"/>
          <w:color w:val="auto"/>
          <w:spacing w:val="0"/>
          <w:sz w:val="32"/>
          <w:szCs w:val="32"/>
          <w:lang w:val="en-US" w:eastAsia="zh-CN"/>
        </w:rPr>
      </w:pPr>
      <w:r>
        <w:rPr>
          <w:rFonts w:hint="eastAsia" w:ascii="仿宋_GB2312" w:hAnsi="仿宋_GB2312" w:eastAsia="仿宋_GB2312" w:cs="仿宋_GB2312"/>
          <w:b w:val="0"/>
          <w:bCs w:val="0"/>
          <w:color w:val="auto"/>
          <w:spacing w:val="0"/>
          <w:sz w:val="32"/>
          <w:szCs w:val="32"/>
          <w:lang w:val="en-US" w:eastAsia="zh-CN"/>
        </w:rPr>
        <w:t>2.夯实基层治理能力。坚持党建引领，持续深入推广“小街问事”等基层治理经验，形成示范引领。聚焦集体经济发展，做实和发展社区集体经济，夯实基层治理体系和治理能力现代化基础支撑。聚焦群众素质提升，继续开展“星级文明户”、物业“服务之星”评选等特色活动。</w:t>
      </w:r>
    </w:p>
    <w:p>
      <w:pPr>
        <w:keepNext w:val="0"/>
        <w:keepLines w:val="0"/>
        <w:pageBreakBefore w:val="0"/>
        <w:widowControl w:val="0"/>
        <w:kinsoku/>
        <w:wordWrap/>
        <w:overflowPunct/>
        <w:topLinePunct w:val="0"/>
        <w:autoSpaceDE/>
        <w:autoSpaceDN/>
        <w:bidi w:val="0"/>
        <w:adjustRightInd/>
        <w:snapToGrid/>
        <w:spacing w:beforeLines="0" w:afterLines="0" w:line="576" w:lineRule="exact"/>
        <w:ind w:firstLine="640" w:firstLineChars="200"/>
        <w:textAlignment w:val="auto"/>
        <w:rPr>
          <w:rFonts w:hint="eastAsia" w:ascii="仿宋_GB2312" w:hAnsi="仿宋_GB2312" w:eastAsia="仿宋_GB2312" w:cs="仿宋_GB2312"/>
          <w:b w:val="0"/>
          <w:bCs w:val="0"/>
          <w:color w:val="auto"/>
          <w:spacing w:val="0"/>
          <w:sz w:val="32"/>
          <w:szCs w:val="32"/>
          <w:lang w:val="en-US" w:eastAsia="zh-CN"/>
        </w:rPr>
      </w:pPr>
      <w:r>
        <w:rPr>
          <w:rFonts w:hint="eastAsia" w:ascii="仿宋_GB2312" w:hAnsi="仿宋_GB2312" w:eastAsia="仿宋_GB2312" w:cs="仿宋_GB2312"/>
          <w:b w:val="0"/>
          <w:bCs w:val="0"/>
          <w:color w:val="auto"/>
          <w:spacing w:val="0"/>
          <w:sz w:val="32"/>
          <w:szCs w:val="32"/>
          <w:lang w:val="en-US" w:eastAsia="zh-CN"/>
        </w:rPr>
        <w:t>3.着力抓好安全稳定。继续深入抓好矛盾纠纷排查工作，认真抓好积案、难案化解。关注网络舆情，及时应对；进一步强化企业安全生产主体责任，理顺安全监管运行机制，全面落实“党政同责、一岗双责”；扎实做好安全隐患整治监督工作，树牢人民至上、安全至上的理念，切实抓好安全工作落实落地。</w:t>
      </w:r>
    </w:p>
    <w:p>
      <w:pPr>
        <w:keepNext w:val="0"/>
        <w:keepLines w:val="0"/>
        <w:pageBreakBefore w:val="0"/>
        <w:widowControl w:val="0"/>
        <w:kinsoku/>
        <w:wordWrap/>
        <w:overflowPunct/>
        <w:topLinePunct w:val="0"/>
        <w:autoSpaceDE/>
        <w:autoSpaceDN/>
        <w:bidi w:val="0"/>
        <w:adjustRightInd/>
        <w:snapToGrid/>
        <w:spacing w:beforeLines="0" w:afterLines="0" w:line="576" w:lineRule="exact"/>
        <w:ind w:firstLine="640" w:firstLineChars="200"/>
        <w:textAlignment w:val="auto"/>
        <w:rPr>
          <w:rFonts w:hint="eastAsia" w:ascii="仿宋_GB2312" w:hAnsi="仿宋_GB2312" w:eastAsia="仿宋_GB2312" w:cs="仿宋_GB2312"/>
          <w:b w:val="0"/>
          <w:bCs w:val="0"/>
          <w:color w:val="auto"/>
          <w:spacing w:val="0"/>
          <w:sz w:val="32"/>
          <w:szCs w:val="32"/>
          <w:lang w:val="en-US" w:eastAsia="zh-CN"/>
        </w:rPr>
      </w:pPr>
      <w:r>
        <w:rPr>
          <w:rFonts w:hint="eastAsia" w:ascii="仿宋_GB2312" w:hAnsi="仿宋_GB2312" w:eastAsia="仿宋_GB2312" w:cs="仿宋_GB2312"/>
          <w:b w:val="0"/>
          <w:bCs w:val="0"/>
          <w:color w:val="auto"/>
          <w:spacing w:val="0"/>
          <w:sz w:val="32"/>
          <w:szCs w:val="32"/>
          <w:lang w:val="en-US" w:eastAsia="zh-CN"/>
        </w:rPr>
        <w:t>4.坚定不移抓好党的建设。始终把政治建设摆在首位，坚决拥护“两个确立”、增强“四个意识”、坚定“四个自信”、做到“两个维护”。着力抓好基层组织阵地建设，推进下西社区等4个社区标准化阵地建设。纵深推进全面从严治党，驰而不息抓好作风建设，深入开展干部纪律作风整顿，积极营造风清气正的良好政治生态。</w:t>
      </w:r>
    </w:p>
    <w:p>
      <w:pPr>
        <w:keepNext w:val="0"/>
        <w:keepLines w:val="0"/>
        <w:pageBreakBefore w:val="0"/>
        <w:widowControl w:val="0"/>
        <w:kinsoku/>
        <w:wordWrap/>
        <w:overflowPunct/>
        <w:topLinePunct w:val="0"/>
        <w:autoSpaceDE/>
        <w:autoSpaceDN/>
        <w:bidi w:val="0"/>
        <w:adjustRightInd/>
        <w:snapToGrid/>
        <w:spacing w:beforeLines="0" w:afterLines="0" w:line="576" w:lineRule="exact"/>
        <w:ind w:firstLine="640" w:firstLineChars="200"/>
        <w:textAlignment w:val="auto"/>
        <w:rPr>
          <w:rFonts w:hint="eastAsia"/>
        </w:rPr>
      </w:pPr>
      <w:r>
        <w:rPr>
          <w:rFonts w:hint="eastAsia" w:ascii="仿宋_GB2312" w:hAnsi="仿宋_GB2312" w:eastAsia="仿宋_GB2312" w:cs="仿宋_GB2312"/>
          <w:b w:val="0"/>
          <w:bCs w:val="0"/>
          <w:color w:val="auto"/>
          <w:spacing w:val="0"/>
          <w:sz w:val="32"/>
          <w:szCs w:val="32"/>
          <w:lang w:val="en-US" w:eastAsia="zh-CN"/>
        </w:rPr>
        <w:t>5.持续抓牢民生保障。加快补齐民生短板，加大文化体育广场、口袋公园建设，建设城市便民生活圈。兜牢社会保障底线，加强医保、养老保险等社会保障，强化特殊困难群体关爱救助。加大劳动就业保障，在群众就业、产业增收上下功夫，促进群众增收致富。</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下西坝办事处为经开区一级预算单位，本单位无下属二级预算单位。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下西坝办事处所有收入和支出均纳入部门预算管理。收入包括：一般公共预算拨款收入；支出包括：一般公共服务支出、国防支出、公共安全支出、社会保障和就业支出、卫生健康支出、城乡社区支出、农林水支出、住房保障支出。下西坝办事处2024年收支预算总数1155.15万元,比2023年收支预算总数增加82.64万元，主要原因是惠家沟社区由袁家坝办事处划入下西坝办事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下西坝办事处2024年收入预算1155.15万元，其中：一般公共预算拨款收入1155.15万元，占100%。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下西坝办事处2024年支出预算1155.15万元，其中：基本支出442.86万元，占38.34%；项目支出712.29万元，占61.66%</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下西坝办事处2024年财政拨款收支预算总数1155.15万元,比2023年财政拨款收支预算总数增加82.64万元，主要原因是惠家沟社区由袁家坝办事处划入下西坝办事处。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1155.15万元；支出包括：一般公共服务支出408.18万元、国防支出1万元、公共安全支出22万元、社会保障和就业支出51.36万元、卫生健康支出17.14万元、城乡社区支出8万元、农林水支出614.69万元、住房保障支出32.78万元。</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一般公共预算当年拨款情况说明</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下西坝办事处2024年一般公共预算当年拨款1155.15万元，比2023年预算数增加82.64万元，主要原因是惠家沟社区由袁家坝办事处划入下西坝办事处。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408.18万元，占35.34%；国防支出1万元，占0.08%；公共安全支出22万元，占1.9%；社会保障和就业支出51.36万元，占4.45%；卫生健康支出17.14万元，占1.48%；城乡社区支出8万元，占0.69%；农林水支出614.69万元，占53.21%；住房保障支出32.78万元，占2.85%；</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 xml:space="preserve">一般公共服务支出（类）201政府办公厅（室）及相关机构事务（款）03行政运行（项）01：2024年预算数为341.58万元，主要用于办事处人员工资、保险及日常运行维护费用。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2.一般公共服务支出（类）201政府办公厅（室）及相关机构事务（款）03一般行政管理事务（项）02：2024年预算数为4万元主要用于应急公务用车运行经费支出。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3.一般公共服务支出（类）201政府办公厅（室）及相关机构事务（款）03机关服务（项）03:2024年预算数为12.6万，主要用于办事处伙食团支出。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4.一般公共服务支出（类）201政府办公厅（室）及相关机构事务（款）03专项业务及机关事务管理（项）05：2024年预算数为1万元，用于法制建设经费。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5.一般公共服务支出（类）201纪检监察事务（款）11其他纪检监察事务支出（项）99：2024年预算数为2万元，用于纪检监察工作经费。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6.一般公共服务支出（类）201党委办公厅（室）及相关机构事务（款）31其他组织事务支出（项）99:2024年预算数为6万元，主要用于办事处党建经费。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7.一般公共服务支出（类）201市场监督管理事务（款）38食品安全管理（项）16：2024年预算数为1万元，主要用于办事处食品安全管理工作经费。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8.一般公共服务（类）201其他一般公共服务支出（款）99 其他一般公共服务支出（项）99：预算数为40万元，主要用于园区指挥部发展工作开展。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9.国防支出（203）其他国防支出（99）其他国防支出（99）2024年预算数为1万元，主要用于办事处武装工作开展。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10.公共安全支出（类）204国家安全（款）03其他公共安全支出（项）99:年预算数为22万元，主要用于综治维稳工作支出。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11.社会保障和就业支出（类）208行政事业单位离退休（款）05行政单位离退休（项）01：2024年预算数为2.52万元，主要用于单位退休职工绩效支出。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12.社会保障和就业（类）208行政事业单位养老支出（款）05机关事业单位基本养老保险缴费支出（项）05：2024年预算数为37.98万元，主要用于机关及参公管理事业单位基本养老保险缴费支出。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13.社会保障和就业（类）208行政事业单位养老支出（款）05机关事业单位职业年金缴费支出（项）06：2024年预算数为10.86万元，主要用于实施养老保险制度由单位缴纳的职业年金支出。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14.卫生健康（类）210行政事业单位医疗（款）11行政单位医疗（项）01：2024年预算数为17.14万元，主要用于机关及参公管理事业单位按规定由单位缴纳的基本医疗保险支出。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15.城乡社区支出（类）212城乡社区环境卫生（款）05城乡社区环境卫生（项）01：2024年预算数为8万元，主要用于辖区环境卫生整治。</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16.农林水支出（类）213农业农村（款）01病虫害控制（项）08：2024年预算数为1万元，主要用于畜禽防疫工作经费。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17.农林水支出（类）213林业和草原（款）02林业草原防灾减灾（项）34：2024年预算数为2万元，主要用于森林防灭火工作经费。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18.农林水支出（类）213水利（款）03防汛（项）14：2024年预算数为1万元，主要用于办事处防洪防汛支出。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19.农林水支出（类）213农村综合改革（款）07对村民委员会和村党支部的补助（项）05：2024年预算数为610.69万元，主要用于社区干部工资及公用经费。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20.住房保障（类）221住房改革支出（款）02住房公积金（项）01：2024年预算数为32.78万元，主要用于部门按规定为职工缴纳的住房公积金支出。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下西坝办事处2024年一般公共预算基本支出442.86万元，其中：人员经费378.67万元，主要包括：基本工资、津贴补贴、奖金、社会保险缴费、住房公积金等支出。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公用经费64.19万元，主要包括：办公费、印刷费、水费、电费、邮电费、差旅费、维修（护）费、会议费、培训费、劳务费、工会经费、福利费、其他交通费用等支出。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下西坝办事处2024年“三公”经费财政拨款预算数0万元，其中：公务接待费0万元。公务用车购置及运行维护费0万元，因公出国（境）经费0万元。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公务接待费与2023年预算相比下降0万元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下西坝办事处2024年无政府性基金预算拨款安排的支出。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下西坝办事处2024年无国有资本经营预算拨款安排的支出。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2024年，下西坝办事处机关运行经费财政拨款预算为64.19万元，比2023年预算增加33.15万元，增长51.64%。主要原因是预算拨款增加。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2024年，下西坝办事处安排政府采购预算3万元，其中：政府采购货物预算3万元。主要用于购置空调、打印机、办公桌椅等。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截至2023年底，下西坝办事处共有车辆0辆。单位无价值200万元以上的大型设备。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lang w:val="en-US" w:eastAsia="zh-CN"/>
        </w:rPr>
        <w:t>2024年下西坝办事</w:t>
      </w:r>
      <w:r>
        <w:rPr>
          <w:rFonts w:hint="eastAsia" w:ascii="仿宋_GB2312" w:hAnsi="仿宋_GB2312" w:eastAsia="仿宋_GB2312" w:cs="仿宋_GB2312"/>
          <w:color w:val="auto"/>
          <w:sz w:val="32"/>
          <w:szCs w:val="32"/>
          <w:highlight w:val="none"/>
          <w:lang w:val="en-US" w:eastAsia="zh-CN"/>
        </w:rPr>
        <w:t>处开展绩效目标管理的项目33个，涉及预算1155.15万元。其中：人员类项目9个，涉及预算378.67万元；公用经费项目7个，涉及预算64.19万元；运转类项目2个，涉及预算610.69万元；特定目标类项目15个，涉及预算101.6万元。</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（一）财政拨款收入：指市财政当年安排的财政预算收入。按现行管理制度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bookmarkStart w:id="0" w:name="_GoBack"/>
      <w:bookmarkEnd w:id="0"/>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（二）一般公共服务支出（类）201政府办公厅（室）及相关机构事务（款）03行政运行（项）01：指反映行政单位（包括实行公务员管理的事业单位）的基本支出。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（三）一般公共服务支出（类）201政府办公厅（室）及相关机构事务（款）03一般行政管理事务（项）02：指反映行政单位（包括实行公务员管理的事业单位）未单独设置项级科目的其他项目支出。</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olor w:val="000000"/>
          <w:sz w:val="32"/>
          <w:szCs w:val="32"/>
        </w:rPr>
      </w:pPr>
      <w:r>
        <w:rPr>
          <w:rFonts w:hint="eastAsia" w:ascii="仿宋_GB2312" w:hAnsi="仿宋_GB2312" w:eastAsia="仿宋_GB2312" w:cs="仿宋_GB2312"/>
          <w:sz w:val="32"/>
          <w:szCs w:val="32"/>
          <w:lang w:val="en-US" w:eastAsia="zh-CN"/>
        </w:rPr>
        <w:t>（四）一般公共服务支出（类）201政府办公厅（室）及相关机构事务（款）03专项业务活动（项）03：</w:t>
      </w:r>
      <w:r>
        <w:rPr>
          <w:rFonts w:hint="eastAsia" w:ascii="仿宋_GB2312" w:eastAsia="仿宋_GB2312"/>
          <w:color w:val="000000"/>
          <w:sz w:val="32"/>
          <w:szCs w:val="32"/>
          <w:lang w:val="en-US" w:eastAsia="zh-CN"/>
        </w:rPr>
        <w:t>反映为行政单位（包括实行公务员管理的事业单位）提供后勤服务的各类后勤服务中心、医务室等附属事业单位的支出</w:t>
      </w:r>
      <w:r>
        <w:rPr>
          <w:rFonts w:hint="eastAsia" w:ascii="仿宋_GB2312" w:eastAsia="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 国防支出（203）其他国防支出（99）其他国防支出（99）：反映其他用于国防方面的支出。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（六）公共安全支出（类）204国家安全（款）03其他国家安全支出（项）99：指反映用于安全方面的支出。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（七）社会保障和就业支出（类）208行政事业单位离退休（款）05机关事业单位基本养老保险缴费支出（项）05：指反映机关事业单位实施养老保险制度由单位缴纳的基本养老保险费支出。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（八）社会保障和就业支出（类）208行政事业单位离退休（款）05机关事业单位职业年金缴费支出（项）06：指反映机关事业单位实施养老保险制度由单位实际缴纳的职业年金支出。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卫生健康支出（类）210行政事业单位医疗（款）11行政事业单位医疗（项）01：指反映财政部门集中安排的行政单位（包括实行公务员管理事业单位，下同）基本医疗保险缴费经费，未参加医疗保险的行政单位的公费医疗经费，按国家规定享受离休人员、红军老战士待遇的医疗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（十）城乡社区支出（类）212城乡社区环境卫生（款）05城乡社区环境卫生（项）01：反映城乡社区道路清扫、垃圾清运与处理、公厕建设与维护、园林绿化等方面的支出。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一）农林水支出（类）213水利（款）03防汛（项）14：反映防汛业务支出。有关事项包括防汛物资购置管护，防汛通信设施设备、网络系统、车船设备运行维护，防汛值班、水情报汛、防汛指挥系统运行维护、水毁修复以及防汛组织（如防汛预案编制、检查、演习、宣传、会议等），汛期调用民工及劳动保护，水利设施灾后重建，退田还湖，蓄滞洪区补偿、水情、雨情、决策支持，防汛视频会商，应急度汛，山洪灾害防治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二）农林水支出（类）213农村综合改革（款）07对村民委员会和村党支部的补助（项）05：反映各级财政对村民委员会和村党支部的补助支出，以及支持建立县级基本财力保障机制安排的村级组织运转奖补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（十三）住房保障支出（类）221住房改革支出（款）02住房公积金（项）01：指反映行政事业单位按人力资源和社会保障部、财政部规定的基本工资和津贴补贴以及规定比例为职工缴纳的住房公积金。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（十四）应急防治及应急管理支出（类）224应急管理事务（款）01安全监管（项）06：反映安全生产监管方面的支出。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（十五）应急防治及应急管理支出（类）224其他灾害防治及应急管理支出（款）99其他灾害防治及应急管理支出（项）00：反映除上述项目以外其他用于灾害防治及应急管理支出。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（十六）基本支出：指为保证机构正常运转，完成日常工作任务而发生的人员支出和公用支出。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（十七）项目支出：指在基本支出之外为完成特定行政任务和事业发展目标所发生的支出。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八）“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十九）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pStyle w:val="2"/>
        <w:keepNext w:val="0"/>
        <w:keepLines w:val="0"/>
        <w:pageBreakBefore w:val="0"/>
        <w:numPr>
          <w:ilvl w:val="0"/>
          <w:numId w:val="0"/>
        </w:numPr>
        <w:kinsoku/>
        <w:wordWrap/>
        <w:overflowPunct/>
        <w:topLinePunct w:val="0"/>
        <w:autoSpaceDE/>
        <w:autoSpaceDN/>
        <w:bidi w:val="0"/>
        <w:adjustRightInd/>
        <w:snapToGrid/>
        <w:spacing w:line="576" w:lineRule="exact"/>
        <w:ind w:leftChars="4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仿宋">
    <w:altName w:val="宋体"/>
    <w:panose1 w:val="02010609060101010101"/>
    <w:charset w:val="86"/>
    <w:family w:val="auto"/>
    <w:pitch w:val="default"/>
    <w:sig w:usb0="00000000" w:usb1="00000000" w:usb2="00000016" w:usb3="00000000" w:csb0="00040001"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FFBBAD"/>
    <w:multiLevelType w:val="singleLevel"/>
    <w:tmpl w:val="BAFFBBAD"/>
    <w:lvl w:ilvl="0" w:tentative="0">
      <w:start w:val="5"/>
      <w:numFmt w:val="chineseCounting"/>
      <w:suff w:val="nothing"/>
      <w:lvlText w:val="%1、"/>
      <w:lvlJc w:val="left"/>
      <w:rPr>
        <w:rFonts w:hint="eastAsia"/>
      </w:rPr>
    </w:lvl>
  </w:abstractNum>
  <w:abstractNum w:abstractNumId="1">
    <w:nsid w:val="3650943A"/>
    <w:multiLevelType w:val="singleLevel"/>
    <w:tmpl w:val="3650943A"/>
    <w:lvl w:ilvl="0" w:tentative="0">
      <w:start w:val="1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zOTJjOGNhMzdiNGFkMDhlZmI1ODFlZDg2MGQxNDMifQ=="/>
  </w:docVars>
  <w:rsids>
    <w:rsidRoot w:val="00000000"/>
    <w:rsid w:val="012352D1"/>
    <w:rsid w:val="033B50CF"/>
    <w:rsid w:val="060A6683"/>
    <w:rsid w:val="06123FBA"/>
    <w:rsid w:val="075367E0"/>
    <w:rsid w:val="07C37441"/>
    <w:rsid w:val="0EE81881"/>
    <w:rsid w:val="14EA24B1"/>
    <w:rsid w:val="1589154B"/>
    <w:rsid w:val="17084E70"/>
    <w:rsid w:val="1B2B3FD8"/>
    <w:rsid w:val="1D9F113A"/>
    <w:rsid w:val="1F7BF06F"/>
    <w:rsid w:val="1FEE4B73"/>
    <w:rsid w:val="22C26AE8"/>
    <w:rsid w:val="23CE9849"/>
    <w:rsid w:val="27D00546"/>
    <w:rsid w:val="2B88413E"/>
    <w:rsid w:val="33224D99"/>
    <w:rsid w:val="372799D5"/>
    <w:rsid w:val="39F304DD"/>
    <w:rsid w:val="3CCD42E3"/>
    <w:rsid w:val="3D8C311C"/>
    <w:rsid w:val="41F7770E"/>
    <w:rsid w:val="42C27D1A"/>
    <w:rsid w:val="44F71EFD"/>
    <w:rsid w:val="49FA5FEB"/>
    <w:rsid w:val="519F5DF6"/>
    <w:rsid w:val="524E4DC1"/>
    <w:rsid w:val="52F45CCD"/>
    <w:rsid w:val="54244390"/>
    <w:rsid w:val="54662A63"/>
    <w:rsid w:val="58064E12"/>
    <w:rsid w:val="5BFEE015"/>
    <w:rsid w:val="5E5036FB"/>
    <w:rsid w:val="63EDCF55"/>
    <w:rsid w:val="63FBFBCF"/>
    <w:rsid w:val="65486C93"/>
    <w:rsid w:val="654D7CE3"/>
    <w:rsid w:val="65F92DE6"/>
    <w:rsid w:val="669360FD"/>
    <w:rsid w:val="66E35AB9"/>
    <w:rsid w:val="68FF6A83"/>
    <w:rsid w:val="6AEF6005"/>
    <w:rsid w:val="6BD1764C"/>
    <w:rsid w:val="6E3DB48E"/>
    <w:rsid w:val="6E9630B3"/>
    <w:rsid w:val="6F9E3985"/>
    <w:rsid w:val="6FBBC9CF"/>
    <w:rsid w:val="72BDE561"/>
    <w:rsid w:val="78462278"/>
    <w:rsid w:val="7997EA6C"/>
    <w:rsid w:val="7A3A1700"/>
    <w:rsid w:val="7AEAE675"/>
    <w:rsid w:val="7B9F69B3"/>
    <w:rsid w:val="7BAFCE5D"/>
    <w:rsid w:val="7D46598C"/>
    <w:rsid w:val="7D9F8F0F"/>
    <w:rsid w:val="7DFB240B"/>
    <w:rsid w:val="7DFE05E7"/>
    <w:rsid w:val="7E0935ED"/>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1F91D3"/>
    <w:rsid w:val="F6BE9755"/>
    <w:rsid w:val="F6FFA89B"/>
    <w:rsid w:val="F88D0DC7"/>
    <w:rsid w:val="FAE4EFE1"/>
    <w:rsid w:val="FB9B6F12"/>
    <w:rsid w:val="FBB66A4A"/>
    <w:rsid w:val="FBF7C4DC"/>
    <w:rsid w:val="FDEE6989"/>
    <w:rsid w:val="FEFF0922"/>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0"/>
    <w:pPr>
      <w:spacing w:after="120" w:afterLines="0"/>
      <w:ind w:left="420" w:leftChars="200"/>
    </w:p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Body Text"/>
    <w:basedOn w:val="1"/>
    <w:next w:val="6"/>
    <w:qFormat/>
    <w:uiPriority w:val="0"/>
    <w:pPr>
      <w:spacing w:before="0" w:after="140" w:line="276" w:lineRule="auto"/>
    </w:pPr>
  </w:style>
  <w:style w:type="paragraph" w:styleId="6">
    <w:name w:val="Plain Text"/>
    <w:basedOn w:val="1"/>
    <w:qFormat/>
    <w:uiPriority w:val="99"/>
    <w:rPr>
      <w:rFonts w:ascii="宋体" w:hAnsi="Courier New" w:cs="宋体"/>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5"/>
    <w:qFormat/>
    <w:uiPriority w:val="0"/>
  </w:style>
  <w:style w:type="paragraph" w:styleId="10">
    <w:name w:val="Normal (Web)"/>
    <w:basedOn w:val="1"/>
    <w:qFormat/>
    <w:uiPriority w:val="0"/>
    <w:rPr>
      <w:sz w:val="24"/>
    </w:rPr>
  </w:style>
  <w:style w:type="character" w:styleId="13">
    <w:name w:val="Strong"/>
    <w:basedOn w:val="12"/>
    <w:qFormat/>
    <w:uiPriority w:val="99"/>
    <w:rPr>
      <w:b/>
    </w:rPr>
  </w:style>
  <w:style w:type="paragraph" w:customStyle="1" w:styleId="14">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15">
    <w:name w:val="默认段落字体1"/>
    <w:qFormat/>
    <w:uiPriority w:val="0"/>
  </w:style>
  <w:style w:type="paragraph" w:customStyle="1" w:styleId="16">
    <w:name w:val="Heading"/>
    <w:basedOn w:val="1"/>
    <w:next w:val="5"/>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7">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6140</Words>
  <Characters>7105</Characters>
  <TotalTime>11</TotalTime>
  <ScaleCrop>false</ScaleCrop>
  <LinksUpToDate>false</LinksUpToDate>
  <CharactersWithSpaces>7205</CharactersWithSpaces>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 </cp:lastModifiedBy>
  <dcterms:modified xsi:type="dcterms:W3CDTF">2024-05-20T15:43:29Z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C107B6981AEA4ACC8D54CF601C50C93A_13</vt:lpwstr>
  </property>
</Properties>
</file>