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袁家坝办事处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九、国有资本经营预算支出情况说明....................(9)</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十、其他重要事项的情况说明..........................(9)</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十一、名词解释......................................(10)</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袁家坝办事处</w:t>
      </w:r>
      <w:r>
        <w:rPr>
          <w:rFonts w:hint="eastAsia" w:ascii="楷体_GB2312" w:hAnsi="楷体_GB2312" w:eastAsia="楷体_GB2312" w:cs="楷体_GB2312"/>
          <w:sz w:val="32"/>
          <w:szCs w:val="32"/>
        </w:rPr>
        <w:t>职能简介</w:t>
      </w:r>
    </w:p>
    <w:p>
      <w:pPr>
        <w:pStyle w:val="8"/>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130" w:beforeAutospacing="0" w:after="0" w:afterAutospacing="0" w:line="580" w:lineRule="atLeas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负责辖区内企业服务、安全生产、信访维稳、房屋征收与补偿、计划生育、民政、劳动就业、社会保障、环境卫生等工作。</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eastAsia="zh-CN"/>
        </w:rPr>
        <w:t>袁家坝办事处</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8"/>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130" w:beforeAutospacing="0" w:after="0" w:afterAutospacing="0" w:line="580" w:lineRule="atLeas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稳步增速、攻坚破难，聚力经济建设谋发展。一是深入分析拟引进企业在延链、补链、强链上的综合能力，瞄准国内外加工行业龙头企业，特别是高纯铝、新能源电池等高附加值项目，加强下游铝精深加工能力。积极推进山东方乔年产3万吨彩图铝卷项目、中信戴卡年产500万只铝制转向节、广元电线电缆制造产业园建设及项目招引力度，提升招商引资成效。二是加强企业运行调度，对园区铝基新材料产业企业实行分类管理，建立服务台账，从要素保障、配套服务、政策支持等方面予以重点保障。力争2024年全年进规工业企业8家以上，完成规上工业总产值360亿元以上；入库项目10个以上，完成固定资产投资28亿元以上；协助企业向上争取各类产业发展资金3000万元以上，协助企业争取融资1亿元以上。三是加快推进项目建设，督促已开工的能投燃气发电、昱航铝业、恒辉铝业、九华明坤、中科瑞能等项目加快建设进度，确保如期建成试产；协调督促弘昌晟技改迁建、电线电缆产业园等项目加快前期手续办理，实质性进场开工建设。督促西安建工全面完成园区道路、管网其他地块场平施工，满足企业入园用地。启动石盘工业园二期征地拆迁工作，力争实质性场平开工。</w:t>
      </w:r>
    </w:p>
    <w:p>
      <w:pPr>
        <w:pStyle w:val="8"/>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130" w:beforeAutospacing="0" w:after="0" w:afterAutospacing="0" w:line="580" w:lineRule="atLeast"/>
        <w:ind w:right="0" w:rightChars="0" w:firstLine="640" w:firstLineChars="200"/>
        <w:jc w:val="both"/>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聚焦重点，正风肃纪，坚持党建引领夯基础。一是持续巩固主题教育学习成果，深入学习新思想，在学思用贯通、知信行统一上下功夫,着力从思想体系上研机析理,从精髓要义上深刻领悟,从实践要求上准确把握，切实将主题教育成果运用到推动辖区经济发展，解决园区管理、民生保障、社会治理等方面问题的全过程。二是推动基层党组织建设水平全面提升，加快推进石盘社区阵地建设，不断完善基层治理体系建设。加强“两新”组织建设，健全落实党员干部联系“两新”组织制度，做好新入园企业党员情况摸排和党组织建立工作。筹备召开“两新”组织工作座谈会，全面梳理解决目前“两新”组织发展存在问题。三是切实加强党风廉政建设，压紧压实全面从严治党政治责任，保持惩贪治腐高压态势，持之以恒纠正“四风”，驰而不息正风肃纪，保持“亲清”政商关系。加强重点领域和关键岗位监督，一体推进不敢腐、不能腐、不想腐，营造风清气正的良好政治生态。</w:t>
      </w:r>
    </w:p>
    <w:p>
      <w:pPr>
        <w:pStyle w:val="8"/>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130" w:beforeAutospacing="0" w:after="0" w:afterAutospacing="0" w:line="580" w:lineRule="atLeas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以民为本、为民解困，完善民生保障守基线。一是结合“千万工程”经验建设宜居宜业和美乡村工作要求，在前期民生项目实施基础上，加快覃家梁村农旅融合产业项目实施，打造精品休闲娱乐点。持续推进上石、石盘道路拓宽、安全饮水、光亮工程等民生项目实施，启动嘉陵社区智慧化社区建设。二是扎实推进社会保障工作，严格落实各项惠民政策，持续开展困难帮扶，落实低保各项配套政策，切实解决困难群体在生产生活、居住、就医、就学等方面的需求。三是完善创业服务保障体系，开展技能培训，抓好就业保障，大力开发就业岗位，助推创业带动就业；规范企业用工行为，加强劳动保障监察，切实维护劳务工合法权益，提升劳动就业保障能力。</w:t>
      </w:r>
    </w:p>
    <w:p>
      <w:pPr>
        <w:pStyle w:val="8"/>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130" w:beforeAutospacing="0" w:after="0" w:afterAutospacing="0" w:line="580" w:lineRule="atLeast"/>
        <w:ind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健全体系、强化监管，严守底线工作保稳定。一是加强安全生产监督管理力度，加强对生产作业现场的安全监督，切实落实事故隐患自查自改，对不按要求进行整改的企业，一律上报相关执法部门严管重罚，确保问题整改取得实效。对安全事故频发的企业进行挂牌督导和约谈问责。二是认真贯彻落实“绿水青山就是金山银山”理念，深入打好蓝天、碧水、净土保卫战，严格落实河长制、林长制、田长制，大力开展城乡垃圾分类、黑臭水体、企业污水、尾气排放治理等工作。围绕农村面源污染、畜禽养殖、农村生活污水排放、医疗废物处置等方面开展生态环境大排查。大力开展“散乱污”企业整治。三是抓好信访综治，促社会安定。加大矛盾纠纷排查处置力度，落实重点人员稳控措施;推进社会稳定风险评估、反恐、反邪教等工作。强化稳定风险排查化解,加大“治重化积”力度，做到信访问题不出园区、不出街道、不出开发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袁家坝办事处为广元市经济技术开发区一级预算单位，本单位无下属二级预算单位。</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袁家坝办事处所有收入和支出均纳入部门预算管理。收入包括：一般公共预算拨款收入；支出包括：一般公共服务支出、国防支出、公共安全支出、社会保障和就业支出、卫生健康支出、城乡社区支出、农林水支出、住房保障支出、灾害防治及应急管理支出。袁家坝办事处2024年收支预算总数716.69万元,比2023年收支预算总数减少71.92万元，主要原因是预算拨款减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袁家坝办事处2024年收入预算716.69万元，其中：一般公共预算拨款收入716.69万元，占100%。</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袁家坝办事处2024年支出预算716.69万元，其中：基本支出412.65万元，占57.58%；项目支出304.05万元，占42.42%</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袁家坝办事处2024年财政拨款收支预算总数716.69万元,比2023年财政拨款收支预算总数减少71.92万元，主要原因是财政预算拨款减少。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716.69万元；支出包括：一般公共服务支出445.09万元、国防支出1万元、公共安全支出6万元、社会保障和就业支出46.3万元、卫生健康支出7.11万元、城乡社区支出5万元、农林水支出184.97万元、住房保障支出19.22万元、灾害防治及应急管理支出2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袁家坝办事处2024年一般公共预算当年拨款716.69万元，比2023年预算数减少71.92万元，主要原因是预算拨款减少。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445.09万元，占62.1%；国防支出1万元，占0.14%；公共安全支出6万元，占0.84%；社会保障和就业支出46.3万元，占6.46%；卫生健康支出7.11万元，占0.99%；城乡社区支出5万元，占0.7%；农林水支出184.97万元，占25.81%；住房保障支出19.22万元，占2.68%；害防治及应急管理支出2万元，占0.28%。</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 xml:space="preserve">一般公共服务支出（类）201政府办公厅（室）及相关机构事务（款）03行政运行（项）01：2024年预算数为340.01万元，主要用于办事处及指挥部人员工资、保险及日常运行维护费用。                                                                 </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2.一般公共服务支出（类）201政府办公厅（室）及相关机构事务（款）03一般行政管理事务（项）02：2024年预算数为78万元主要用于袁家坝铝产业园指挥部工作经费支出。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3.一般公共服务支出（类）201政府办公厅（室）及相关机构事务（款）03机关服务（项）03:2024年预算数为27.08万，主要用于办事处伙食团支出。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4.国防支出（类）203其他国防支出（款）99其他国防支出（项）99：2024年预算数为1万元，主要用于办事处武装工作开展。</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5.公共安全支出（类）204其他公共安全支出（款）03其他国家公共安全支出（项）99:2024年预算数为6万元，主要用于综治维稳工作支出。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6.社会保障和就业支出（类）208行政事业单位离退休（款）05行政单位离退休（项）01：2024年预算数为12.6万元，主要用于单位退休职工绩效支出。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7.社会保障和就业（类）208行政事业单位养老支出（款）05行政单位离退休（项）05：2024年预算数为22.46万元，主要用于机关及参公管理事业单位离退休人员经费支出。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8.社会保障和就业（类）208行政事业单位养老支出（款）05机关事业单位职业年金缴费支出（项）06：2024年预算数为11.24万元，主要用于实施养老保险制度由单位缴纳的职业年金支出。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9.卫生健康（类）210行政事业单位医疗（款）11行政单位医疗（项）01：2024年预算数为7.11万元，主要用于机关及参公管理事业单位按规定由单位缴纳的基本医疗保险支出。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10.城乡社区支出（类）212城乡社区环境卫生（款）05城乡社区环境卫生（项）01：2024年预算数为5万元，主要用于辖区环境卫生整治。</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default"/>
          <w:lang w:val="en-US" w:eastAsia="zh-CN"/>
        </w:rPr>
      </w:pPr>
      <w:r>
        <w:rPr>
          <w:rFonts w:hint="eastAsia" w:ascii="仿宋_GB2312" w:hAnsi="仿宋_GB2312" w:eastAsia="仿宋_GB2312" w:cs="仿宋_GB2312"/>
          <w:sz w:val="32"/>
          <w:szCs w:val="32"/>
          <w:lang w:val="en-US" w:eastAsia="zh-CN"/>
        </w:rPr>
        <w:t>11.农林水支出（类）213水利（款）03防汛（项）14：2024年预算数为3万元，主要用于办事处防洪防汛支出。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12.农林水支出（类）213农村综合改革（款）07对村民委员会和村党支部的补助（项）05：2024年预算数为181.97万元，主要用于社区干部工资及公用经费。</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13.住房保障（类）221住房改革支出（款）02住房公积金（项）01：2024年预算数为19.22万元，主要用于部门按规定为职工缴纳的住房公积金支出。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14.灾害防治及应急管理支出（类）224应急管理事务（款）01其他灾害防治及应急管理支出（项）99：2024年预算数为2万元，主要用于办事处安全生产工作等支出。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袁家坝办事处2024年一般公共预算基本支出412.65万元，其中：人员经费355.72万元，主要包括：基本工资、津贴补贴、奖金、社会保险缴费、住房公积金、生活补助等支出。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公用经费56.92万元，主要包括：办公费、印刷费、水费、电费、邮电费、差旅费、公务接待费、劳务费、工会经费、福利费、其他交通费用等支出。</w:t>
      </w:r>
    </w:p>
    <w:p>
      <w:pPr>
        <w:keepNext w:val="0"/>
        <w:keepLines w:val="0"/>
        <w:pageBreakBefore w:val="0"/>
        <w:widowControl/>
        <w:numPr>
          <w:ilvl w:val="0"/>
          <w:numId w:val="1"/>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“三公”经费财政拨款预算安排情况说明</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袁家坝办事处2024年“三公”经费财政拨款预算数0.8万元，其中：公务接待费0.8万元。公务用车购置及运行维护费0万元，因公出国（境）经费0万元。</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sz w:val="32"/>
          <w:szCs w:val="32"/>
          <w:lang w:val="en-US" w:eastAsia="zh-CN"/>
        </w:rPr>
        <w:t>公务接待费</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公务接待费与2023年预算相比下降0.1万元，主要原因是公务接待减少。2024年公务接待费计划用于铝产业园指挥部招商引资接待支出。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(二）公务用车购置及运行维护费</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公务用车购置及运行维护费与2023年预算相比持平。单位现有公务用车0辆。</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0" w:beforeAutospacing="0" w:after="0" w:afterAutospacing="0" w:line="580" w:lineRule="atLeas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numPr>
          <w:numId w:val="0"/>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袁家坝办事处2024年无政府性基金预算拨款安排的支出。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袁家坝办事处2024年无国有资本经营预算拨款安排的支出。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2024年，袁家坝办事处机关运行经费财政拨款预算为56.92万元，比2023年预算增加24.42万元，增长40.75%。主要原因预算拨款增加。</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2024年，袁家坝办事处安排政府采购预算2.94万元，其中：政府采购货物预算2.94万元。主要用于购置空调、打印机、办公桌椅等。</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截至2023年底，袁家坝办事处共有车辆0辆。单位无价值200万元以上的大型设备。</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袁家坝办事处开展绩效目标管理的项目29个，涉及预算716.69万元。其中：人员类项目9个，涉及预算355.72万；公用经费项目7个，涉及预算56.92万元；运转类项目2个，涉及预算181.97万元；特定目标类项目11个，涉及预算122.08万元。</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名词解释</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bookmarkStart w:id="0" w:name="_GoBack"/>
      <w:bookmarkEnd w:id="0"/>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（二）一般公共服务支出（类）201政府办公厅（室）及相关机构事务（款）03行政运行（项）01：指反映行政单位（包括实行公务员管理的事业单位）的基本支出。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 一般公共服务支出（类）201政府办公厅（室）及相关机构事务（款）03一般行政管理事务（项）02：指反映行政单位（包括实行公务员管理的事业单位）未单独设置项级科目的其他项目支出。</w:t>
      </w:r>
    </w:p>
    <w:p>
      <w:pPr>
        <w:keepNext w:val="0"/>
        <w:keepLines w:val="0"/>
        <w:pageBreakBefore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hAnsi="仿宋_GB2312" w:eastAsia="仿宋_GB2312" w:cs="仿宋_GB2312"/>
          <w:sz w:val="32"/>
          <w:szCs w:val="32"/>
          <w:lang w:val="en-US" w:eastAsia="zh-CN"/>
        </w:rPr>
        <w:t>（四） 一般公共服务支出（类）201政府办公厅（室）及相关机构事务（款）03专项业务活动（项）03：</w:t>
      </w:r>
      <w:r>
        <w:rPr>
          <w:rFonts w:hint="eastAsia" w:ascii="仿宋_GB2312" w:eastAsia="仿宋_GB2312"/>
          <w:color w:val="000000"/>
          <w:sz w:val="32"/>
          <w:szCs w:val="32"/>
          <w:lang w:val="en-US" w:eastAsia="zh-CN"/>
        </w:rPr>
        <w:t>反映为行政单位（包括实行公务员管理的事业单位）提供后勤服务的各类后勤服务中心、医务室等附属事业单位的支出</w:t>
      </w:r>
      <w:r>
        <w:rPr>
          <w:rFonts w:hint="eastAsia" w:ascii="仿宋_GB2312" w:eastAsia="仿宋_GB2312"/>
          <w:color w:val="000000"/>
          <w:sz w:val="32"/>
          <w:szCs w:val="32"/>
        </w:rPr>
        <w:t>。</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 国防支出（203）其他国防支出（99）其他国防支出（99）：反映其他用于国防方面的支出。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（六）公共安全支出（类）204国家安全（款）03其他国家安全支出（项）99：指反映用于安全方面的支出。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（七）社会保障和就业支出（类）208行政事业单位离退休（款）05机关事业单位基本养老保险缴费支出（项）05：指反映机关事业单位实施养老保险制度由单位缴纳的基本养老保险费支出。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（八）社会保障和就业支出（类）208行政事业单位离退休（款）05机关事业单位职业年金缴费支出（项）06：指反映机关事业单位实施养老保险制度由单位实际缴纳的职业年金支出。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卫生健康支出（类）210行政事业单位医疗（款）11行政事业单位医疗（项）01：指反映财政部门集中安排的行政单位（包括实行公务员管理事业单位，下同）基本医疗保险缴费经费，未参加医疗保险的行政单位的公费医疗经费，按国家规定享受离休人员、红军老战士待遇的医疗经费。</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（十）城乡社区支出（类）212城乡社区环境卫生（款）05城乡社区环境卫生（项）01：反映城乡社区道路清扫、垃圾清运与处理、公厕建设与维护、园林绿化等方面的支出。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农林水支出（类）213水利（款）03防汛（项）14：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农林水支出（类）213农村综合改革（款）07对村民委员会和村党支部的补助（项）05：反映各级财政对村民委员会和村党支部的补助支出，以及支持建立县级基本财力保障机制安排的村级组织运转奖补资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（十三）住房保障支出（类）221住房改革支出（款）02住房公积金（项）01：指反映行政事业单位按人力资源和社会保障部、财政部规定的基本工资和津贴补贴以及规定比例为职工缴纳的住房公积金。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（十四）应急防治及应急管理支出（类）224应急管理事务（款）01安全监管（项）06：反映安全生产监管方面的支出。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（十五）应急防治及应急管理支出（类）224其他灾害防治及应急管理支出（款）99其他灾害防治及应急管理支出（项）00：反映除上述项目以外其他用于灾害防治及应急管理支出。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（十六）基本支出：指为保证机构正常运转，完成日常工作任务而发生的人员支出和公用支出。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（十七）项目支出：指在基本支出之外为完成特定行政任务和事业发展目标所发生的支出。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八）“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十九）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pStyle w:val="9"/>
        <w:numPr>
          <w:ilvl w:val="0"/>
          <w:numId w:val="0"/>
        </w:numPr>
        <w:ind w:leftChars="400"/>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1134" w:right="1474" w:bottom="1134" w:left="1587" w:header="720" w:footer="1559"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FB" w:usb2="0000002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BDD216"/>
    <w:multiLevelType w:val="singleLevel"/>
    <w:tmpl w:val="CBBDD216"/>
    <w:lvl w:ilvl="0" w:tentative="0">
      <w:start w:val="7"/>
      <w:numFmt w:val="chineseCounting"/>
      <w:suff w:val="nothing"/>
      <w:lvlText w:val="%1、"/>
      <w:lvlJc w:val="left"/>
      <w:rPr>
        <w:rFonts w:hint="eastAsia"/>
      </w:rPr>
    </w:lvl>
  </w:abstractNum>
  <w:abstractNum w:abstractNumId="1">
    <w:nsid w:val="3650943A"/>
    <w:multiLevelType w:val="singleLevel"/>
    <w:tmpl w:val="3650943A"/>
    <w:lvl w:ilvl="0" w:tentative="0">
      <w:start w:val="11"/>
      <w:numFmt w:val="chineseCounting"/>
      <w:suff w:val="nothing"/>
      <w:lvlText w:val="%1、"/>
      <w:lvlJc w:val="left"/>
      <w:rPr>
        <w:rFonts w:hint="eastAsia"/>
      </w:rPr>
    </w:lvl>
  </w:abstractNum>
  <w:abstractNum w:abstractNumId="2">
    <w:nsid w:val="7E2DDF99"/>
    <w:multiLevelType w:val="singleLevel"/>
    <w:tmpl w:val="7E2DDF99"/>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MTI0ZGUxMmY2OWNmNjYwZGQwNjEzMThkMGU0ZjUifQ=="/>
  </w:docVars>
  <w:rsids>
    <w:rsidRoot w:val="00000000"/>
    <w:rsid w:val="009329D3"/>
    <w:rsid w:val="012352D1"/>
    <w:rsid w:val="040E6CEF"/>
    <w:rsid w:val="06123FBA"/>
    <w:rsid w:val="088569B7"/>
    <w:rsid w:val="1B2B3FD8"/>
    <w:rsid w:val="1D9F113A"/>
    <w:rsid w:val="1F7BF06F"/>
    <w:rsid w:val="1FEE4B73"/>
    <w:rsid w:val="22C26AE8"/>
    <w:rsid w:val="23CE9849"/>
    <w:rsid w:val="2B1158E2"/>
    <w:rsid w:val="372799D5"/>
    <w:rsid w:val="39F304DD"/>
    <w:rsid w:val="41F7770E"/>
    <w:rsid w:val="450262D6"/>
    <w:rsid w:val="524E4DC1"/>
    <w:rsid w:val="54244390"/>
    <w:rsid w:val="54662A63"/>
    <w:rsid w:val="579E009D"/>
    <w:rsid w:val="58064E12"/>
    <w:rsid w:val="5BFEE015"/>
    <w:rsid w:val="63EDCF55"/>
    <w:rsid w:val="63FBFBCF"/>
    <w:rsid w:val="669360FD"/>
    <w:rsid w:val="66E35AB9"/>
    <w:rsid w:val="68FF6A83"/>
    <w:rsid w:val="6AEF6005"/>
    <w:rsid w:val="6E3DB48E"/>
    <w:rsid w:val="6E9630B3"/>
    <w:rsid w:val="6FBBC9CF"/>
    <w:rsid w:val="72BDE561"/>
    <w:rsid w:val="748C449D"/>
    <w:rsid w:val="78462278"/>
    <w:rsid w:val="7997EA6C"/>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9EF5ED"/>
    <w:rsid w:val="DFDD4FB5"/>
    <w:rsid w:val="E7F748B5"/>
    <w:rsid w:val="EE5F3713"/>
    <w:rsid w:val="EFC9D62C"/>
    <w:rsid w:val="F61F91D3"/>
    <w:rsid w:val="F6BE9755"/>
    <w:rsid w:val="F6FFA89B"/>
    <w:rsid w:val="F88D0DC7"/>
    <w:rsid w:val="FAE4EFE1"/>
    <w:rsid w:val="FB9B6F12"/>
    <w:rsid w:val="FBB66A4A"/>
    <w:rsid w:val="FBF7C4DC"/>
    <w:rsid w:val="FDEE6989"/>
    <w:rsid w:val="FEFF0922"/>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Body Text Indent"/>
    <w:basedOn w:val="1"/>
    <w:qFormat/>
    <w:uiPriority w:val="0"/>
    <w:pPr>
      <w:spacing w:after="120" w:afterLines="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3"/>
    <w:qFormat/>
    <w:uiPriority w:val="0"/>
  </w:style>
  <w:style w:type="paragraph" w:styleId="8">
    <w:name w:val="Normal (Web)"/>
    <w:basedOn w:val="1"/>
    <w:qFormat/>
    <w:uiPriority w:val="0"/>
    <w:rPr>
      <w:sz w:val="24"/>
    </w:rPr>
  </w:style>
  <w:style w:type="paragraph" w:styleId="9">
    <w:name w:val="Body Text First Indent 2"/>
    <w:basedOn w:val="4"/>
    <w:qFormat/>
    <w:uiPriority w:val="99"/>
    <w:pPr>
      <w:ind w:firstLine="420" w:firstLineChars="200"/>
    </w:pPr>
  </w:style>
  <w:style w:type="character" w:styleId="12">
    <w:name w:val="Strong"/>
    <w:basedOn w:val="11"/>
    <w:qFormat/>
    <w:uiPriority w:val="99"/>
    <w:rPr>
      <w:b/>
    </w:rPr>
  </w:style>
  <w:style w:type="character" w:customStyle="1" w:styleId="13">
    <w:name w:val="默认段落字体1"/>
    <w:qFormat/>
    <w:uiPriority w:val="0"/>
  </w:style>
  <w:style w:type="paragraph" w:customStyle="1" w:styleId="14">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6140</Words>
  <Characters>7105</Characters>
  <TotalTime>6</TotalTime>
  <ScaleCrop>false</ScaleCrop>
  <LinksUpToDate>false</LinksUpToDate>
  <CharactersWithSpaces>7205</CharactersWithSpaces>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2024-05-20T15:52:08Z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ED6A20D49859443EB2030E5B03B09E47_13</vt:lpwstr>
  </property>
</Properties>
</file>