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drawings/drawing6.xml" ContentType="application/vnd.openxmlformats-officedocument.drawingml.chartshapes+xml"/>
  <Override PartName="/word/drawings/drawing7.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475"/>
      <w:bookmarkStart w:id="1" w:name="_Toc15396597"/>
      <w:bookmarkStart w:id="2" w:name="_Toc15377193"/>
      <w:bookmarkStart w:id="3" w:name="_Toc15378441"/>
      <w:bookmarkStart w:id="4" w:name="_Toc1537742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46189897"/>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77426"/>
      <w:bookmarkStart w:id="8" w:name="_Toc15378442"/>
      <w:bookmarkStart w:id="9" w:name="_Toc15396476"/>
      <w:bookmarkStart w:id="10" w:name="_Toc146189898"/>
      <w:bookmarkStart w:id="11" w:name="_Toc15396598"/>
      <w:bookmarkStart w:id="12" w:name="_Toc15377194"/>
      <w:r>
        <w:rPr>
          <w:rFonts w:hint="eastAsia" w:ascii="方正小标宋简体" w:hAnsi="方正小标宋简体" w:eastAsia="方正小标宋简体" w:cs="方正小标宋简体"/>
          <w:sz w:val="72"/>
          <w:szCs w:val="72"/>
        </w:rPr>
        <w:t>广元市</w:t>
      </w:r>
      <w:bookmarkEnd w:id="5"/>
      <w:bookmarkStart w:id="13" w:name="_Toc15306268"/>
      <w:r>
        <w:rPr>
          <w:rFonts w:hint="eastAsia" w:ascii="方正小标宋简体" w:hAnsi="方正小标宋简体" w:eastAsia="方正小标宋简体" w:cs="方正小标宋简体"/>
          <w:sz w:val="72"/>
          <w:szCs w:val="72"/>
        </w:rPr>
        <w:t>审计局部门决算</w:t>
      </w:r>
      <w:bookmarkEnd w:id="7"/>
      <w:bookmarkEnd w:id="8"/>
      <w:bookmarkEnd w:id="9"/>
      <w:bookmarkEnd w:id="10"/>
      <w:bookmarkEnd w:id="11"/>
      <w:bookmarkEnd w:id="12"/>
      <w:bookmarkEnd w:id="13"/>
    </w:p>
    <w:p>
      <w:pPr>
        <w:widowControl/>
        <w:jc w:val="center"/>
        <w:rPr>
          <w:rFonts w:ascii="黑体" w:hAnsi="黑体" w:eastAsia="黑体" w:cstheme="minorBidi"/>
          <w:sz w:val="28"/>
          <w:szCs w:val="28"/>
        </w:rPr>
      </w:pPr>
      <w:r>
        <w:rPr>
          <w:rFonts w:ascii="方正小标宋简体" w:hAnsi="宋体" w:eastAsia="方正小标宋简体"/>
          <w:sz w:val="36"/>
          <w:szCs w:val="36"/>
        </w:rPr>
        <w:br w:type="page"/>
      </w:r>
      <w:r>
        <w:rPr>
          <w:rFonts w:hint="eastAsia" w:ascii="黑体" w:hAnsi="黑体" w:eastAsia="黑体"/>
          <w:spacing w:val="480"/>
          <w:kern w:val="0"/>
          <w:sz w:val="48"/>
          <w:szCs w:val="48"/>
          <w:fitText w:val="1920" w:id="1186206630"/>
        </w:rPr>
        <w:t>目</w:t>
      </w:r>
      <w:r>
        <w:rPr>
          <w:rFonts w:hint="eastAsia" w:ascii="黑体" w:hAnsi="黑体" w:eastAsia="黑体"/>
          <w:spacing w:val="0"/>
          <w:kern w:val="0"/>
          <w:sz w:val="48"/>
          <w:szCs w:val="48"/>
          <w:fitText w:val="1920" w:id="1186206630"/>
        </w:rPr>
        <w:t>录</w:t>
      </w:r>
    </w:p>
    <w:p>
      <w:pPr>
        <w:pStyle w:val="12"/>
        <w:rPr>
          <w:sz w:val="30"/>
          <w:szCs w:val="30"/>
        </w:rPr>
      </w:pPr>
      <w:r>
        <w:rPr>
          <w:rFonts w:hint="eastAsia"/>
        </w:rPr>
        <w:t>公开时间：2023年</w:t>
      </w:r>
      <w:r>
        <w:t>10</w:t>
      </w:r>
      <w:r>
        <w:rPr>
          <w:rFonts w:hint="eastAsia"/>
        </w:rPr>
        <w:t>月7日</w:t>
      </w:r>
      <w:bookmarkStart w:id="14" w:name="_Toc15396599"/>
      <w:bookmarkStart w:id="15" w:name="_Toc15377196"/>
      <w:r>
        <w:rPr>
          <w:sz w:val="30"/>
          <w:szCs w:val="30"/>
        </w:rPr>
        <w:fldChar w:fldCharType="begin"/>
      </w:r>
      <w:r>
        <w:rPr>
          <w:sz w:val="30"/>
          <w:szCs w:val="30"/>
        </w:rPr>
        <w:instrText xml:space="preserve"> TOC \o "1-3" \h \z \u </w:instrText>
      </w:r>
      <w:r>
        <w:rPr>
          <w:sz w:val="30"/>
          <w:szCs w:val="30"/>
        </w:rPr>
        <w:fldChar w:fldCharType="separate"/>
      </w:r>
    </w:p>
    <w:p>
      <w:pPr>
        <w:pStyle w:val="12"/>
        <w:spacing w:line="520" w:lineRule="exact"/>
        <w:jc w:val="both"/>
        <w:rPr>
          <w:rFonts w:cstheme="minorBidi"/>
          <w:sz w:val="30"/>
          <w:szCs w:val="30"/>
        </w:rPr>
      </w:pPr>
      <w:r>
        <w:fldChar w:fldCharType="begin"/>
      </w:r>
      <w:r>
        <w:instrText xml:space="preserve"> HYPERLINK \l "_Toc146189899" </w:instrText>
      </w:r>
      <w:r>
        <w:fldChar w:fldCharType="separate"/>
      </w:r>
      <w:r>
        <w:rPr>
          <w:rStyle w:val="19"/>
          <w:rFonts w:hint="eastAsia"/>
          <w:sz w:val="30"/>
          <w:szCs w:val="30"/>
        </w:rPr>
        <w:t>第一部分部门概况</w:t>
      </w:r>
      <w:r>
        <w:rPr>
          <w:sz w:val="30"/>
          <w:szCs w:val="30"/>
        </w:rPr>
        <w:tab/>
      </w:r>
      <w:r>
        <w:rPr>
          <w:sz w:val="30"/>
          <w:szCs w:val="30"/>
        </w:rPr>
        <w:fldChar w:fldCharType="begin"/>
      </w:r>
      <w:r>
        <w:rPr>
          <w:sz w:val="30"/>
          <w:szCs w:val="30"/>
        </w:rPr>
        <w:instrText xml:space="preserve"> PAGEREF _Toc146189899 \h </w:instrText>
      </w:r>
      <w:r>
        <w:rPr>
          <w:sz w:val="30"/>
          <w:szCs w:val="30"/>
        </w:rPr>
        <w:fldChar w:fldCharType="separate"/>
      </w:r>
      <w:r>
        <w:rPr>
          <w:sz w:val="30"/>
          <w:szCs w:val="30"/>
        </w:rPr>
        <w:t>1</w:t>
      </w:r>
      <w:r>
        <w:rPr>
          <w:sz w:val="30"/>
          <w:szCs w:val="30"/>
        </w:rPr>
        <w:fldChar w:fldCharType="end"/>
      </w:r>
      <w:r>
        <w:rPr>
          <w:sz w:val="30"/>
          <w:szCs w:val="30"/>
        </w:rPr>
        <w:fldChar w:fldCharType="end"/>
      </w:r>
    </w:p>
    <w:p>
      <w:pPr>
        <w:pStyle w:val="13"/>
        <w:spacing w:line="520" w:lineRule="exact"/>
        <w:rPr>
          <w:rFonts w:ascii="仿宋" w:hAnsi="仿宋" w:eastAsia="仿宋" w:cstheme="minorBidi"/>
          <w:sz w:val="30"/>
          <w:szCs w:val="30"/>
        </w:rPr>
      </w:pPr>
      <w:r>
        <w:fldChar w:fldCharType="begin"/>
      </w:r>
      <w:r>
        <w:instrText xml:space="preserve"> HYPERLINK \l "_Toc146189900" </w:instrText>
      </w:r>
      <w:r>
        <w:fldChar w:fldCharType="separate"/>
      </w:r>
      <w:r>
        <w:rPr>
          <w:rStyle w:val="19"/>
          <w:rFonts w:hint="eastAsia" w:ascii="仿宋" w:hAnsi="仿宋" w:eastAsia="仿宋"/>
          <w:sz w:val="30"/>
          <w:szCs w:val="30"/>
        </w:rPr>
        <w:t>一、部门职责</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_Toc146189900 \h </w:instrText>
      </w:r>
      <w:r>
        <w:rPr>
          <w:rFonts w:ascii="仿宋" w:hAnsi="仿宋" w:eastAsia="仿宋"/>
          <w:sz w:val="30"/>
          <w:szCs w:val="30"/>
        </w:rPr>
        <w:fldChar w:fldCharType="separate"/>
      </w:r>
      <w:r>
        <w:rPr>
          <w:rFonts w:ascii="仿宋" w:hAnsi="仿宋" w:eastAsia="仿宋"/>
          <w:sz w:val="30"/>
          <w:szCs w:val="30"/>
        </w:rPr>
        <w:t>1</w:t>
      </w:r>
      <w:r>
        <w:rPr>
          <w:rFonts w:ascii="仿宋" w:hAnsi="仿宋" w:eastAsia="仿宋"/>
          <w:sz w:val="30"/>
          <w:szCs w:val="30"/>
        </w:rPr>
        <w:fldChar w:fldCharType="end"/>
      </w:r>
      <w:r>
        <w:rPr>
          <w:rFonts w:ascii="仿宋" w:hAnsi="仿宋" w:eastAsia="仿宋"/>
          <w:sz w:val="30"/>
          <w:szCs w:val="30"/>
        </w:rPr>
        <w:fldChar w:fldCharType="end"/>
      </w:r>
    </w:p>
    <w:p>
      <w:pPr>
        <w:pStyle w:val="13"/>
        <w:spacing w:line="520" w:lineRule="exact"/>
        <w:rPr>
          <w:rFonts w:ascii="仿宋" w:hAnsi="仿宋" w:eastAsia="仿宋" w:cstheme="minorBidi"/>
          <w:sz w:val="30"/>
          <w:szCs w:val="30"/>
        </w:rPr>
      </w:pPr>
      <w:r>
        <w:fldChar w:fldCharType="begin"/>
      </w:r>
      <w:r>
        <w:instrText xml:space="preserve"> HYPERLINK \l "_Toc146189901" </w:instrText>
      </w:r>
      <w:r>
        <w:fldChar w:fldCharType="separate"/>
      </w:r>
      <w:r>
        <w:rPr>
          <w:rStyle w:val="19"/>
          <w:rFonts w:hint="eastAsia" w:ascii="仿宋" w:hAnsi="仿宋" w:eastAsia="仿宋"/>
          <w:sz w:val="30"/>
          <w:szCs w:val="30"/>
        </w:rPr>
        <w:t>二、机构设置</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_Toc146189901 \h </w:instrText>
      </w:r>
      <w:r>
        <w:rPr>
          <w:rFonts w:ascii="仿宋" w:hAnsi="仿宋" w:eastAsia="仿宋"/>
          <w:sz w:val="30"/>
          <w:szCs w:val="30"/>
        </w:rPr>
        <w:fldChar w:fldCharType="separate"/>
      </w:r>
      <w:r>
        <w:rPr>
          <w:rFonts w:ascii="仿宋" w:hAnsi="仿宋" w:eastAsia="仿宋"/>
          <w:sz w:val="30"/>
          <w:szCs w:val="30"/>
        </w:rPr>
        <w:t>4</w:t>
      </w:r>
      <w:r>
        <w:rPr>
          <w:rFonts w:ascii="仿宋" w:hAnsi="仿宋" w:eastAsia="仿宋"/>
          <w:sz w:val="30"/>
          <w:szCs w:val="30"/>
        </w:rPr>
        <w:fldChar w:fldCharType="end"/>
      </w:r>
      <w:r>
        <w:rPr>
          <w:rFonts w:ascii="仿宋" w:hAnsi="仿宋" w:eastAsia="仿宋"/>
          <w:sz w:val="30"/>
          <w:szCs w:val="30"/>
        </w:rPr>
        <w:fldChar w:fldCharType="end"/>
      </w:r>
    </w:p>
    <w:p>
      <w:pPr>
        <w:pStyle w:val="12"/>
        <w:spacing w:line="520" w:lineRule="exact"/>
        <w:rPr>
          <w:rFonts w:cstheme="minorBidi"/>
          <w:sz w:val="30"/>
          <w:szCs w:val="30"/>
        </w:rPr>
      </w:pPr>
      <w:r>
        <w:fldChar w:fldCharType="begin"/>
      </w:r>
      <w:r>
        <w:instrText xml:space="preserve"> HYPERLINK \l "_Toc146189906" </w:instrText>
      </w:r>
      <w:r>
        <w:fldChar w:fldCharType="separate"/>
      </w:r>
      <w:r>
        <w:rPr>
          <w:rStyle w:val="19"/>
          <w:rFonts w:hint="eastAsia"/>
          <w:sz w:val="30"/>
          <w:szCs w:val="30"/>
        </w:rPr>
        <w:t>第二部分</w:t>
      </w:r>
      <w:r>
        <w:rPr>
          <w:rStyle w:val="19"/>
          <w:sz w:val="30"/>
          <w:szCs w:val="30"/>
        </w:rPr>
        <w:t>2022</w:t>
      </w:r>
      <w:r>
        <w:rPr>
          <w:rStyle w:val="19"/>
          <w:rFonts w:hint="eastAsia"/>
          <w:sz w:val="30"/>
          <w:szCs w:val="30"/>
        </w:rPr>
        <w:t>年度部门决算情况说明</w:t>
      </w:r>
      <w:r>
        <w:rPr>
          <w:sz w:val="30"/>
          <w:szCs w:val="30"/>
        </w:rPr>
        <w:tab/>
      </w:r>
      <w:r>
        <w:rPr>
          <w:sz w:val="30"/>
          <w:szCs w:val="30"/>
        </w:rPr>
        <w:fldChar w:fldCharType="begin"/>
      </w:r>
      <w:r>
        <w:rPr>
          <w:sz w:val="30"/>
          <w:szCs w:val="30"/>
        </w:rPr>
        <w:instrText xml:space="preserve"> PAGEREF _Toc146189906 \h </w:instrText>
      </w:r>
      <w:r>
        <w:rPr>
          <w:sz w:val="30"/>
          <w:szCs w:val="30"/>
        </w:rPr>
        <w:fldChar w:fldCharType="separate"/>
      </w:r>
      <w:r>
        <w:rPr>
          <w:sz w:val="30"/>
          <w:szCs w:val="30"/>
        </w:rPr>
        <w:t>5</w:t>
      </w:r>
      <w:r>
        <w:rPr>
          <w:sz w:val="30"/>
          <w:szCs w:val="30"/>
        </w:rPr>
        <w:fldChar w:fldCharType="end"/>
      </w:r>
      <w:r>
        <w:rPr>
          <w:sz w:val="30"/>
          <w:szCs w:val="30"/>
        </w:rPr>
        <w:fldChar w:fldCharType="end"/>
      </w:r>
    </w:p>
    <w:p>
      <w:pPr>
        <w:pStyle w:val="13"/>
        <w:tabs>
          <w:tab w:val="left" w:pos="1260"/>
        </w:tabs>
        <w:spacing w:line="520" w:lineRule="exact"/>
        <w:rPr>
          <w:rFonts w:ascii="仿宋" w:hAnsi="仿宋" w:eastAsia="仿宋" w:cstheme="minorBidi"/>
          <w:sz w:val="30"/>
          <w:szCs w:val="30"/>
        </w:rPr>
      </w:pPr>
      <w:r>
        <w:fldChar w:fldCharType="begin"/>
      </w:r>
      <w:r>
        <w:instrText xml:space="preserve"> HYPERLINK \l "_Toc146189907" </w:instrText>
      </w:r>
      <w:r>
        <w:fldChar w:fldCharType="separate"/>
      </w:r>
      <w:r>
        <w:rPr>
          <w:rStyle w:val="19"/>
          <w:rFonts w:hint="eastAsia" w:ascii="仿宋" w:hAnsi="仿宋" w:eastAsia="仿宋" w:cstheme="majorBidi"/>
          <w:bCs/>
          <w:sz w:val="30"/>
          <w:szCs w:val="30"/>
        </w:rPr>
        <w:t>一、</w:t>
      </w:r>
      <w:r>
        <w:rPr>
          <w:rFonts w:ascii="仿宋" w:hAnsi="仿宋" w:eastAsia="仿宋" w:cstheme="minorBidi"/>
          <w:sz w:val="30"/>
          <w:szCs w:val="30"/>
        </w:rPr>
        <w:tab/>
      </w:r>
      <w:r>
        <w:rPr>
          <w:rStyle w:val="19"/>
          <w:rFonts w:hint="eastAsia" w:ascii="仿宋" w:hAnsi="仿宋" w:eastAsia="仿宋"/>
          <w:sz w:val="30"/>
          <w:szCs w:val="30"/>
        </w:rPr>
        <w:t>收</w:t>
      </w:r>
      <w:r>
        <w:rPr>
          <w:rStyle w:val="19"/>
          <w:rFonts w:hint="eastAsia" w:ascii="仿宋" w:hAnsi="仿宋" w:eastAsia="仿宋" w:cstheme="majorBidi"/>
          <w:bCs/>
          <w:sz w:val="30"/>
          <w:szCs w:val="30"/>
        </w:rPr>
        <w:t>入支出决算总体情况说明</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_Toc146189907 \h </w:instrText>
      </w:r>
      <w:r>
        <w:rPr>
          <w:rFonts w:ascii="仿宋" w:hAnsi="仿宋" w:eastAsia="仿宋"/>
          <w:sz w:val="30"/>
          <w:szCs w:val="30"/>
        </w:rPr>
        <w:fldChar w:fldCharType="separate"/>
      </w:r>
      <w:r>
        <w:rPr>
          <w:rFonts w:ascii="仿宋" w:hAnsi="仿宋" w:eastAsia="仿宋"/>
          <w:sz w:val="30"/>
          <w:szCs w:val="30"/>
        </w:rPr>
        <w:t>5</w:t>
      </w:r>
      <w:r>
        <w:rPr>
          <w:rFonts w:ascii="仿宋" w:hAnsi="仿宋" w:eastAsia="仿宋"/>
          <w:sz w:val="30"/>
          <w:szCs w:val="30"/>
        </w:rPr>
        <w:fldChar w:fldCharType="end"/>
      </w:r>
      <w:r>
        <w:rPr>
          <w:rFonts w:ascii="仿宋" w:hAnsi="仿宋" w:eastAsia="仿宋"/>
          <w:sz w:val="30"/>
          <w:szCs w:val="30"/>
        </w:rPr>
        <w:fldChar w:fldCharType="end"/>
      </w:r>
    </w:p>
    <w:p>
      <w:pPr>
        <w:pStyle w:val="13"/>
        <w:tabs>
          <w:tab w:val="left" w:pos="1260"/>
        </w:tabs>
        <w:spacing w:line="520" w:lineRule="exact"/>
        <w:rPr>
          <w:rFonts w:ascii="仿宋" w:hAnsi="仿宋" w:eastAsia="仿宋" w:cstheme="minorBidi"/>
          <w:sz w:val="30"/>
          <w:szCs w:val="30"/>
        </w:rPr>
      </w:pPr>
      <w:r>
        <w:fldChar w:fldCharType="begin"/>
      </w:r>
      <w:r>
        <w:instrText xml:space="preserve"> HYPERLINK \l "_Toc146189908" </w:instrText>
      </w:r>
      <w:r>
        <w:fldChar w:fldCharType="separate"/>
      </w:r>
      <w:r>
        <w:rPr>
          <w:rStyle w:val="19"/>
          <w:rFonts w:hint="eastAsia" w:ascii="仿宋" w:hAnsi="仿宋" w:eastAsia="仿宋" w:cstheme="majorBidi"/>
          <w:bCs/>
          <w:sz w:val="30"/>
          <w:szCs w:val="30"/>
        </w:rPr>
        <w:t>二、</w:t>
      </w:r>
      <w:r>
        <w:rPr>
          <w:rFonts w:ascii="仿宋" w:hAnsi="仿宋" w:eastAsia="仿宋" w:cstheme="minorBidi"/>
          <w:sz w:val="30"/>
          <w:szCs w:val="30"/>
        </w:rPr>
        <w:tab/>
      </w:r>
      <w:r>
        <w:rPr>
          <w:rStyle w:val="19"/>
          <w:rFonts w:hint="eastAsia" w:ascii="仿宋" w:hAnsi="仿宋" w:eastAsia="仿宋"/>
          <w:sz w:val="30"/>
          <w:szCs w:val="30"/>
        </w:rPr>
        <w:t>收</w:t>
      </w:r>
      <w:r>
        <w:rPr>
          <w:rStyle w:val="19"/>
          <w:rFonts w:hint="eastAsia" w:ascii="仿宋" w:hAnsi="仿宋" w:eastAsia="仿宋" w:cstheme="majorBidi"/>
          <w:bCs/>
          <w:sz w:val="30"/>
          <w:szCs w:val="30"/>
        </w:rPr>
        <w:t>入决算情况说明</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_Toc146189908 \h </w:instrText>
      </w:r>
      <w:r>
        <w:rPr>
          <w:rFonts w:ascii="仿宋" w:hAnsi="仿宋" w:eastAsia="仿宋"/>
          <w:sz w:val="30"/>
          <w:szCs w:val="30"/>
        </w:rPr>
        <w:fldChar w:fldCharType="separate"/>
      </w:r>
      <w:r>
        <w:rPr>
          <w:rFonts w:ascii="仿宋" w:hAnsi="仿宋" w:eastAsia="仿宋"/>
          <w:sz w:val="30"/>
          <w:szCs w:val="30"/>
        </w:rPr>
        <w:t>5</w:t>
      </w:r>
      <w:r>
        <w:rPr>
          <w:rFonts w:ascii="仿宋" w:hAnsi="仿宋" w:eastAsia="仿宋"/>
          <w:sz w:val="30"/>
          <w:szCs w:val="30"/>
        </w:rPr>
        <w:fldChar w:fldCharType="end"/>
      </w:r>
      <w:r>
        <w:rPr>
          <w:rFonts w:ascii="仿宋" w:hAnsi="仿宋" w:eastAsia="仿宋"/>
          <w:sz w:val="30"/>
          <w:szCs w:val="30"/>
        </w:rPr>
        <w:fldChar w:fldCharType="end"/>
      </w:r>
    </w:p>
    <w:p>
      <w:pPr>
        <w:pStyle w:val="13"/>
        <w:tabs>
          <w:tab w:val="left" w:pos="1260"/>
        </w:tabs>
        <w:spacing w:line="520" w:lineRule="exact"/>
        <w:rPr>
          <w:rFonts w:ascii="仿宋" w:hAnsi="仿宋" w:eastAsia="仿宋" w:cstheme="minorBidi"/>
          <w:sz w:val="30"/>
          <w:szCs w:val="30"/>
        </w:rPr>
      </w:pPr>
      <w:r>
        <w:fldChar w:fldCharType="begin"/>
      </w:r>
      <w:r>
        <w:instrText xml:space="preserve"> HYPERLINK \l "_Toc146189910" </w:instrText>
      </w:r>
      <w:r>
        <w:fldChar w:fldCharType="separate"/>
      </w:r>
      <w:r>
        <w:rPr>
          <w:rStyle w:val="19"/>
          <w:rFonts w:hint="eastAsia" w:ascii="仿宋" w:hAnsi="仿宋" w:eastAsia="仿宋" w:cstheme="majorBidi"/>
          <w:bCs/>
          <w:sz w:val="30"/>
          <w:szCs w:val="30"/>
        </w:rPr>
        <w:t>三、</w:t>
      </w:r>
      <w:r>
        <w:rPr>
          <w:rFonts w:ascii="仿宋" w:hAnsi="仿宋" w:eastAsia="仿宋" w:cstheme="minorBidi"/>
          <w:sz w:val="30"/>
          <w:szCs w:val="30"/>
        </w:rPr>
        <w:tab/>
      </w:r>
      <w:r>
        <w:rPr>
          <w:rStyle w:val="19"/>
          <w:rFonts w:hint="eastAsia" w:ascii="仿宋" w:hAnsi="仿宋" w:eastAsia="仿宋"/>
          <w:sz w:val="30"/>
          <w:szCs w:val="30"/>
        </w:rPr>
        <w:t>支</w:t>
      </w:r>
      <w:r>
        <w:rPr>
          <w:rStyle w:val="19"/>
          <w:rFonts w:hint="eastAsia" w:ascii="仿宋" w:hAnsi="仿宋" w:eastAsia="仿宋" w:cstheme="majorBidi"/>
          <w:bCs/>
          <w:sz w:val="30"/>
          <w:szCs w:val="30"/>
        </w:rPr>
        <w:t>出决算情况说明</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_Toc146189910 \h </w:instrText>
      </w:r>
      <w:r>
        <w:rPr>
          <w:rFonts w:ascii="仿宋" w:hAnsi="仿宋" w:eastAsia="仿宋"/>
          <w:sz w:val="30"/>
          <w:szCs w:val="30"/>
        </w:rPr>
        <w:fldChar w:fldCharType="separate"/>
      </w:r>
      <w:r>
        <w:rPr>
          <w:rFonts w:ascii="仿宋" w:hAnsi="仿宋" w:eastAsia="仿宋"/>
          <w:sz w:val="30"/>
          <w:szCs w:val="30"/>
        </w:rPr>
        <w:t>6</w:t>
      </w:r>
      <w:r>
        <w:rPr>
          <w:rFonts w:ascii="仿宋" w:hAnsi="仿宋" w:eastAsia="仿宋"/>
          <w:sz w:val="30"/>
          <w:szCs w:val="30"/>
        </w:rPr>
        <w:fldChar w:fldCharType="end"/>
      </w:r>
      <w:r>
        <w:rPr>
          <w:rFonts w:ascii="仿宋" w:hAnsi="仿宋" w:eastAsia="仿宋"/>
          <w:sz w:val="30"/>
          <w:szCs w:val="30"/>
        </w:rPr>
        <w:fldChar w:fldCharType="end"/>
      </w:r>
    </w:p>
    <w:p>
      <w:pPr>
        <w:pStyle w:val="13"/>
        <w:spacing w:line="520" w:lineRule="exact"/>
        <w:rPr>
          <w:rFonts w:ascii="仿宋" w:hAnsi="仿宋" w:eastAsia="仿宋" w:cstheme="minorBidi"/>
          <w:sz w:val="30"/>
          <w:szCs w:val="30"/>
        </w:rPr>
      </w:pPr>
      <w:r>
        <w:fldChar w:fldCharType="begin"/>
      </w:r>
      <w:r>
        <w:instrText xml:space="preserve"> HYPERLINK \l "_Toc146189912" </w:instrText>
      </w:r>
      <w:r>
        <w:fldChar w:fldCharType="separate"/>
      </w:r>
      <w:r>
        <w:rPr>
          <w:rStyle w:val="19"/>
          <w:rFonts w:hint="eastAsia" w:ascii="仿宋" w:hAnsi="仿宋" w:eastAsia="仿宋"/>
          <w:sz w:val="30"/>
          <w:szCs w:val="30"/>
        </w:rPr>
        <w:t>四、财</w:t>
      </w:r>
      <w:r>
        <w:rPr>
          <w:rStyle w:val="19"/>
          <w:rFonts w:hint="eastAsia" w:ascii="仿宋" w:hAnsi="仿宋" w:eastAsia="仿宋" w:cstheme="majorBidi"/>
          <w:bCs/>
          <w:sz w:val="30"/>
          <w:szCs w:val="30"/>
        </w:rPr>
        <w:t>政拨款收入支出决算总体情况说明</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_Toc146189912 \h </w:instrText>
      </w:r>
      <w:r>
        <w:rPr>
          <w:rFonts w:ascii="仿宋" w:hAnsi="仿宋" w:eastAsia="仿宋"/>
          <w:sz w:val="30"/>
          <w:szCs w:val="30"/>
        </w:rPr>
        <w:fldChar w:fldCharType="separate"/>
      </w:r>
      <w:r>
        <w:rPr>
          <w:rFonts w:ascii="仿宋" w:hAnsi="仿宋" w:eastAsia="仿宋"/>
          <w:sz w:val="30"/>
          <w:szCs w:val="30"/>
        </w:rPr>
        <w:t>7</w:t>
      </w:r>
      <w:r>
        <w:rPr>
          <w:rFonts w:ascii="仿宋" w:hAnsi="仿宋" w:eastAsia="仿宋"/>
          <w:sz w:val="30"/>
          <w:szCs w:val="30"/>
        </w:rPr>
        <w:fldChar w:fldCharType="end"/>
      </w:r>
      <w:r>
        <w:rPr>
          <w:rFonts w:ascii="仿宋" w:hAnsi="仿宋" w:eastAsia="仿宋"/>
          <w:sz w:val="30"/>
          <w:szCs w:val="30"/>
        </w:rPr>
        <w:fldChar w:fldCharType="end"/>
      </w:r>
    </w:p>
    <w:p>
      <w:pPr>
        <w:pStyle w:val="13"/>
        <w:spacing w:line="520" w:lineRule="exact"/>
        <w:rPr>
          <w:rFonts w:ascii="仿宋" w:hAnsi="仿宋" w:eastAsia="仿宋" w:cstheme="minorBidi"/>
          <w:sz w:val="30"/>
          <w:szCs w:val="30"/>
        </w:rPr>
      </w:pPr>
      <w:r>
        <w:fldChar w:fldCharType="begin"/>
      </w:r>
      <w:r>
        <w:instrText xml:space="preserve"> HYPERLINK \l "_Toc146189913" </w:instrText>
      </w:r>
      <w:r>
        <w:fldChar w:fldCharType="separate"/>
      </w:r>
      <w:r>
        <w:rPr>
          <w:rStyle w:val="19"/>
          <w:rFonts w:hint="eastAsia" w:ascii="仿宋" w:hAnsi="仿宋" w:eastAsia="仿宋"/>
          <w:sz w:val="30"/>
          <w:szCs w:val="30"/>
        </w:rPr>
        <w:t>五、一</w:t>
      </w:r>
      <w:r>
        <w:rPr>
          <w:rStyle w:val="19"/>
          <w:rFonts w:hint="eastAsia" w:ascii="仿宋" w:hAnsi="仿宋" w:eastAsia="仿宋" w:cstheme="majorBidi"/>
          <w:bCs/>
          <w:sz w:val="30"/>
          <w:szCs w:val="30"/>
        </w:rPr>
        <w:t>般公共预算财政拨款支出决算情况说明</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_Toc146189913 \h </w:instrText>
      </w:r>
      <w:r>
        <w:rPr>
          <w:rFonts w:ascii="仿宋" w:hAnsi="仿宋" w:eastAsia="仿宋"/>
          <w:sz w:val="30"/>
          <w:szCs w:val="30"/>
        </w:rPr>
        <w:fldChar w:fldCharType="separate"/>
      </w:r>
      <w:r>
        <w:rPr>
          <w:rFonts w:ascii="仿宋" w:hAnsi="仿宋" w:eastAsia="仿宋"/>
          <w:sz w:val="30"/>
          <w:szCs w:val="30"/>
        </w:rPr>
        <w:t>7</w:t>
      </w:r>
      <w:r>
        <w:rPr>
          <w:rFonts w:ascii="仿宋" w:hAnsi="仿宋" w:eastAsia="仿宋"/>
          <w:sz w:val="30"/>
          <w:szCs w:val="30"/>
        </w:rPr>
        <w:fldChar w:fldCharType="end"/>
      </w:r>
      <w:r>
        <w:rPr>
          <w:rFonts w:ascii="仿宋" w:hAnsi="仿宋" w:eastAsia="仿宋"/>
          <w:sz w:val="30"/>
          <w:szCs w:val="30"/>
        </w:rPr>
        <w:fldChar w:fldCharType="end"/>
      </w:r>
    </w:p>
    <w:p>
      <w:pPr>
        <w:pStyle w:val="13"/>
        <w:spacing w:line="520" w:lineRule="exact"/>
        <w:rPr>
          <w:rFonts w:ascii="仿宋" w:hAnsi="仿宋" w:eastAsia="仿宋" w:cstheme="minorBidi"/>
          <w:sz w:val="30"/>
          <w:szCs w:val="30"/>
        </w:rPr>
      </w:pPr>
      <w:r>
        <w:fldChar w:fldCharType="begin"/>
      </w:r>
      <w:r>
        <w:instrText xml:space="preserve"> HYPERLINK \l "_Toc146189918" </w:instrText>
      </w:r>
      <w:r>
        <w:fldChar w:fldCharType="separate"/>
      </w:r>
      <w:r>
        <w:rPr>
          <w:rStyle w:val="19"/>
          <w:rFonts w:hint="eastAsia" w:ascii="仿宋" w:hAnsi="仿宋" w:eastAsia="仿宋"/>
          <w:sz w:val="30"/>
          <w:szCs w:val="30"/>
        </w:rPr>
        <w:t>六、一</w:t>
      </w:r>
      <w:r>
        <w:rPr>
          <w:rStyle w:val="19"/>
          <w:rFonts w:hint="eastAsia" w:ascii="仿宋" w:hAnsi="仿宋" w:eastAsia="仿宋" w:cstheme="majorBidi"/>
          <w:bCs/>
          <w:sz w:val="30"/>
          <w:szCs w:val="30"/>
        </w:rPr>
        <w:t>般公共预算财政拨款基本支出决算情况说明</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_Toc146189918 \h </w:instrText>
      </w:r>
      <w:r>
        <w:rPr>
          <w:rFonts w:ascii="仿宋" w:hAnsi="仿宋" w:eastAsia="仿宋"/>
          <w:sz w:val="30"/>
          <w:szCs w:val="30"/>
        </w:rPr>
        <w:fldChar w:fldCharType="separate"/>
      </w:r>
      <w:r>
        <w:rPr>
          <w:rFonts w:ascii="仿宋" w:hAnsi="仿宋" w:eastAsia="仿宋"/>
          <w:sz w:val="30"/>
          <w:szCs w:val="30"/>
        </w:rPr>
        <w:t>11</w:t>
      </w:r>
      <w:r>
        <w:rPr>
          <w:rFonts w:ascii="仿宋" w:hAnsi="仿宋" w:eastAsia="仿宋"/>
          <w:sz w:val="30"/>
          <w:szCs w:val="30"/>
        </w:rPr>
        <w:fldChar w:fldCharType="end"/>
      </w:r>
      <w:r>
        <w:rPr>
          <w:rFonts w:ascii="仿宋" w:hAnsi="仿宋" w:eastAsia="仿宋"/>
          <w:sz w:val="30"/>
          <w:szCs w:val="30"/>
        </w:rPr>
        <w:fldChar w:fldCharType="end"/>
      </w:r>
    </w:p>
    <w:p>
      <w:pPr>
        <w:pStyle w:val="13"/>
        <w:spacing w:line="520" w:lineRule="exact"/>
        <w:rPr>
          <w:rFonts w:ascii="仿宋" w:hAnsi="仿宋" w:eastAsia="仿宋" w:cstheme="minorBidi"/>
          <w:sz w:val="30"/>
          <w:szCs w:val="30"/>
        </w:rPr>
      </w:pPr>
      <w:r>
        <w:fldChar w:fldCharType="begin"/>
      </w:r>
      <w:r>
        <w:instrText xml:space="preserve"> HYPERLINK \l "_Toc146189919" </w:instrText>
      </w:r>
      <w:r>
        <w:fldChar w:fldCharType="separate"/>
      </w:r>
      <w:r>
        <w:rPr>
          <w:rStyle w:val="19"/>
          <w:rFonts w:hint="eastAsia" w:ascii="仿宋" w:hAnsi="仿宋" w:eastAsia="仿宋"/>
          <w:sz w:val="30"/>
          <w:szCs w:val="30"/>
        </w:rPr>
        <w:t>七、</w:t>
      </w:r>
      <w:r>
        <w:rPr>
          <w:rStyle w:val="19"/>
          <w:rFonts w:hint="eastAsia" w:ascii="仿宋" w:hAnsi="仿宋" w:eastAsia="仿宋" w:cstheme="majorBidi"/>
          <w:bCs/>
          <w:sz w:val="30"/>
          <w:szCs w:val="30"/>
        </w:rPr>
        <w:t>财政拨款</w:t>
      </w:r>
      <w:r>
        <w:rPr>
          <w:rStyle w:val="19"/>
          <w:rFonts w:ascii="仿宋" w:hAnsi="仿宋" w:eastAsia="仿宋" w:cstheme="majorBidi"/>
          <w:bCs/>
          <w:sz w:val="30"/>
          <w:szCs w:val="30"/>
        </w:rPr>
        <w:t>“</w:t>
      </w:r>
      <w:r>
        <w:rPr>
          <w:rStyle w:val="19"/>
          <w:rFonts w:hint="eastAsia" w:ascii="仿宋" w:hAnsi="仿宋" w:eastAsia="仿宋" w:cstheme="majorBidi"/>
          <w:bCs/>
          <w:sz w:val="30"/>
          <w:szCs w:val="30"/>
        </w:rPr>
        <w:t>三公”经费支出决算情况说明</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_Toc146189919 \h </w:instrText>
      </w:r>
      <w:r>
        <w:rPr>
          <w:rFonts w:ascii="仿宋" w:hAnsi="仿宋" w:eastAsia="仿宋"/>
          <w:sz w:val="30"/>
          <w:szCs w:val="30"/>
        </w:rPr>
        <w:fldChar w:fldCharType="separate"/>
      </w:r>
      <w:r>
        <w:rPr>
          <w:rFonts w:ascii="仿宋" w:hAnsi="仿宋" w:eastAsia="仿宋"/>
          <w:sz w:val="30"/>
          <w:szCs w:val="30"/>
        </w:rPr>
        <w:t>11</w:t>
      </w:r>
      <w:r>
        <w:rPr>
          <w:rFonts w:ascii="仿宋" w:hAnsi="仿宋" w:eastAsia="仿宋"/>
          <w:sz w:val="30"/>
          <w:szCs w:val="30"/>
        </w:rPr>
        <w:fldChar w:fldCharType="end"/>
      </w:r>
      <w:r>
        <w:rPr>
          <w:rFonts w:ascii="仿宋" w:hAnsi="仿宋" w:eastAsia="仿宋"/>
          <w:sz w:val="30"/>
          <w:szCs w:val="30"/>
        </w:rPr>
        <w:fldChar w:fldCharType="end"/>
      </w:r>
    </w:p>
    <w:p>
      <w:pPr>
        <w:pStyle w:val="13"/>
        <w:spacing w:line="520" w:lineRule="exact"/>
        <w:rPr>
          <w:rFonts w:ascii="仿宋" w:hAnsi="仿宋" w:eastAsia="仿宋" w:cstheme="minorBidi"/>
          <w:sz w:val="30"/>
          <w:szCs w:val="30"/>
        </w:rPr>
      </w:pPr>
      <w:r>
        <w:fldChar w:fldCharType="begin"/>
      </w:r>
      <w:r>
        <w:instrText xml:space="preserve"> HYPERLINK \l "_Toc146189922" </w:instrText>
      </w:r>
      <w:r>
        <w:fldChar w:fldCharType="separate"/>
      </w:r>
      <w:r>
        <w:rPr>
          <w:rStyle w:val="19"/>
          <w:rFonts w:hint="eastAsia" w:ascii="仿宋" w:hAnsi="仿宋" w:eastAsia="仿宋"/>
          <w:sz w:val="30"/>
          <w:szCs w:val="30"/>
        </w:rPr>
        <w:t>八、</w:t>
      </w:r>
      <w:r>
        <w:rPr>
          <w:rStyle w:val="19"/>
          <w:rFonts w:hint="eastAsia" w:ascii="仿宋" w:hAnsi="仿宋" w:eastAsia="仿宋" w:cstheme="majorBidi"/>
          <w:bCs/>
          <w:sz w:val="30"/>
          <w:szCs w:val="30"/>
        </w:rPr>
        <w:t>政府性基金预算支出决算情况说明</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_Toc146189922 \h </w:instrText>
      </w:r>
      <w:r>
        <w:rPr>
          <w:rFonts w:ascii="仿宋" w:hAnsi="仿宋" w:eastAsia="仿宋"/>
          <w:sz w:val="30"/>
          <w:szCs w:val="30"/>
        </w:rPr>
        <w:fldChar w:fldCharType="separate"/>
      </w:r>
      <w:r>
        <w:rPr>
          <w:rFonts w:ascii="仿宋" w:hAnsi="仿宋" w:eastAsia="仿宋"/>
          <w:sz w:val="30"/>
          <w:szCs w:val="30"/>
        </w:rPr>
        <w:t>13</w:t>
      </w:r>
      <w:r>
        <w:rPr>
          <w:rFonts w:ascii="仿宋" w:hAnsi="仿宋" w:eastAsia="仿宋"/>
          <w:sz w:val="30"/>
          <w:szCs w:val="30"/>
        </w:rPr>
        <w:fldChar w:fldCharType="end"/>
      </w:r>
      <w:r>
        <w:rPr>
          <w:rFonts w:ascii="仿宋" w:hAnsi="仿宋" w:eastAsia="仿宋"/>
          <w:sz w:val="30"/>
          <w:szCs w:val="30"/>
        </w:rPr>
        <w:fldChar w:fldCharType="end"/>
      </w:r>
    </w:p>
    <w:p>
      <w:pPr>
        <w:pStyle w:val="13"/>
        <w:spacing w:line="520" w:lineRule="exact"/>
        <w:rPr>
          <w:rFonts w:ascii="仿宋" w:hAnsi="仿宋" w:eastAsia="仿宋" w:cstheme="minorBidi"/>
          <w:sz w:val="30"/>
          <w:szCs w:val="30"/>
        </w:rPr>
      </w:pPr>
      <w:r>
        <w:fldChar w:fldCharType="begin"/>
      </w:r>
      <w:r>
        <w:instrText xml:space="preserve"> HYPERLINK \l "_Toc146189923" </w:instrText>
      </w:r>
      <w:r>
        <w:fldChar w:fldCharType="separate"/>
      </w:r>
      <w:r>
        <w:rPr>
          <w:rStyle w:val="19"/>
          <w:rFonts w:hint="eastAsia" w:ascii="仿宋" w:hAnsi="仿宋" w:eastAsia="仿宋" w:cstheme="majorBidi"/>
          <w:bCs/>
          <w:sz w:val="30"/>
          <w:szCs w:val="30"/>
        </w:rPr>
        <w:t>九、国有资本经营预算支出决算情况说明</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_Toc146189923 \h </w:instrText>
      </w:r>
      <w:r>
        <w:rPr>
          <w:rFonts w:ascii="仿宋" w:hAnsi="仿宋" w:eastAsia="仿宋"/>
          <w:sz w:val="30"/>
          <w:szCs w:val="30"/>
        </w:rPr>
        <w:fldChar w:fldCharType="separate"/>
      </w:r>
      <w:r>
        <w:rPr>
          <w:rFonts w:ascii="仿宋" w:hAnsi="仿宋" w:eastAsia="仿宋"/>
          <w:sz w:val="30"/>
          <w:szCs w:val="30"/>
        </w:rPr>
        <w:t>13</w:t>
      </w:r>
      <w:r>
        <w:rPr>
          <w:rFonts w:ascii="仿宋" w:hAnsi="仿宋" w:eastAsia="仿宋"/>
          <w:sz w:val="30"/>
          <w:szCs w:val="30"/>
        </w:rPr>
        <w:fldChar w:fldCharType="end"/>
      </w:r>
      <w:r>
        <w:rPr>
          <w:rFonts w:ascii="仿宋" w:hAnsi="仿宋" w:eastAsia="仿宋"/>
          <w:sz w:val="30"/>
          <w:szCs w:val="30"/>
        </w:rPr>
        <w:fldChar w:fldCharType="end"/>
      </w:r>
    </w:p>
    <w:p>
      <w:pPr>
        <w:pStyle w:val="13"/>
        <w:spacing w:line="520" w:lineRule="exact"/>
        <w:rPr>
          <w:rFonts w:ascii="仿宋" w:hAnsi="仿宋" w:eastAsia="仿宋" w:cstheme="minorBidi"/>
          <w:sz w:val="30"/>
          <w:szCs w:val="30"/>
        </w:rPr>
      </w:pPr>
      <w:r>
        <w:fldChar w:fldCharType="begin"/>
      </w:r>
      <w:r>
        <w:instrText xml:space="preserve"> HYPERLINK \l "_Toc146189924" </w:instrText>
      </w:r>
      <w:r>
        <w:fldChar w:fldCharType="separate"/>
      </w:r>
      <w:r>
        <w:rPr>
          <w:rStyle w:val="19"/>
          <w:rFonts w:hint="eastAsia" w:ascii="仿宋" w:hAnsi="仿宋" w:eastAsia="仿宋" w:cstheme="majorBidi"/>
          <w:bCs/>
          <w:sz w:val="30"/>
          <w:szCs w:val="30"/>
        </w:rPr>
        <w:t>十、其他重要事项的情况说明</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_Toc146189924 \h </w:instrText>
      </w:r>
      <w:r>
        <w:rPr>
          <w:rFonts w:ascii="仿宋" w:hAnsi="仿宋" w:eastAsia="仿宋"/>
          <w:sz w:val="30"/>
          <w:szCs w:val="30"/>
        </w:rPr>
        <w:fldChar w:fldCharType="separate"/>
      </w:r>
      <w:r>
        <w:rPr>
          <w:rFonts w:ascii="仿宋" w:hAnsi="仿宋" w:eastAsia="仿宋"/>
          <w:sz w:val="30"/>
          <w:szCs w:val="30"/>
        </w:rPr>
        <w:t>13</w:t>
      </w:r>
      <w:r>
        <w:rPr>
          <w:rFonts w:ascii="仿宋" w:hAnsi="仿宋" w:eastAsia="仿宋"/>
          <w:sz w:val="30"/>
          <w:szCs w:val="30"/>
        </w:rPr>
        <w:fldChar w:fldCharType="end"/>
      </w:r>
      <w:r>
        <w:rPr>
          <w:rFonts w:ascii="仿宋" w:hAnsi="仿宋" w:eastAsia="仿宋"/>
          <w:sz w:val="30"/>
          <w:szCs w:val="30"/>
        </w:rPr>
        <w:fldChar w:fldCharType="end"/>
      </w:r>
    </w:p>
    <w:p>
      <w:pPr>
        <w:pStyle w:val="12"/>
        <w:spacing w:line="520" w:lineRule="exact"/>
        <w:rPr>
          <w:rFonts w:cstheme="minorBidi"/>
          <w:sz w:val="30"/>
          <w:szCs w:val="30"/>
        </w:rPr>
      </w:pPr>
      <w:r>
        <w:fldChar w:fldCharType="begin"/>
      </w:r>
      <w:r>
        <w:instrText xml:space="preserve"> HYPERLINK \l "_Toc146189929" </w:instrText>
      </w:r>
      <w:r>
        <w:fldChar w:fldCharType="separate"/>
      </w:r>
      <w:r>
        <w:rPr>
          <w:rStyle w:val="19"/>
          <w:rFonts w:hint="eastAsia"/>
          <w:bCs/>
          <w:kern w:val="44"/>
          <w:sz w:val="30"/>
          <w:szCs w:val="30"/>
        </w:rPr>
        <w:t>第三部分</w:t>
      </w:r>
      <w:r>
        <w:rPr>
          <w:rStyle w:val="19"/>
          <w:rFonts w:hint="eastAsia"/>
          <w:sz w:val="30"/>
          <w:szCs w:val="30"/>
        </w:rPr>
        <w:t>名</w:t>
      </w:r>
      <w:r>
        <w:rPr>
          <w:rStyle w:val="19"/>
          <w:rFonts w:hint="eastAsia"/>
          <w:bCs/>
          <w:kern w:val="44"/>
          <w:sz w:val="30"/>
          <w:szCs w:val="30"/>
        </w:rPr>
        <w:t>词解释</w:t>
      </w:r>
      <w:r>
        <w:rPr>
          <w:sz w:val="30"/>
          <w:szCs w:val="30"/>
        </w:rPr>
        <w:tab/>
      </w:r>
      <w:r>
        <w:rPr>
          <w:sz w:val="30"/>
          <w:szCs w:val="30"/>
        </w:rPr>
        <w:fldChar w:fldCharType="begin"/>
      </w:r>
      <w:r>
        <w:rPr>
          <w:sz w:val="30"/>
          <w:szCs w:val="30"/>
        </w:rPr>
        <w:instrText xml:space="preserve"> PAGEREF _Toc146189929 \h </w:instrText>
      </w:r>
      <w:r>
        <w:rPr>
          <w:sz w:val="30"/>
          <w:szCs w:val="30"/>
        </w:rPr>
        <w:fldChar w:fldCharType="separate"/>
      </w:r>
      <w:r>
        <w:rPr>
          <w:sz w:val="30"/>
          <w:szCs w:val="30"/>
        </w:rPr>
        <w:t>15</w:t>
      </w:r>
      <w:r>
        <w:rPr>
          <w:sz w:val="30"/>
          <w:szCs w:val="30"/>
        </w:rPr>
        <w:fldChar w:fldCharType="end"/>
      </w:r>
      <w:r>
        <w:rPr>
          <w:sz w:val="30"/>
          <w:szCs w:val="30"/>
        </w:rPr>
        <w:fldChar w:fldCharType="end"/>
      </w:r>
    </w:p>
    <w:p>
      <w:pPr>
        <w:pStyle w:val="12"/>
        <w:spacing w:line="520" w:lineRule="exact"/>
        <w:rPr>
          <w:rFonts w:cstheme="minorBidi"/>
          <w:sz w:val="30"/>
          <w:szCs w:val="30"/>
        </w:rPr>
      </w:pPr>
      <w:r>
        <w:fldChar w:fldCharType="begin"/>
      </w:r>
      <w:r>
        <w:instrText xml:space="preserve"> HYPERLINK \l "_Toc146189930" </w:instrText>
      </w:r>
      <w:r>
        <w:fldChar w:fldCharType="separate"/>
      </w:r>
      <w:r>
        <w:rPr>
          <w:rStyle w:val="19"/>
          <w:rFonts w:hint="eastAsia"/>
          <w:sz w:val="30"/>
          <w:szCs w:val="30"/>
        </w:rPr>
        <w:t>第</w:t>
      </w:r>
      <w:r>
        <w:rPr>
          <w:rStyle w:val="19"/>
          <w:rFonts w:hint="eastAsia"/>
          <w:bCs/>
          <w:kern w:val="44"/>
          <w:sz w:val="30"/>
          <w:szCs w:val="30"/>
        </w:rPr>
        <w:t>四部分附件</w:t>
      </w:r>
      <w:r>
        <w:rPr>
          <w:sz w:val="30"/>
          <w:szCs w:val="30"/>
        </w:rPr>
        <w:tab/>
      </w:r>
      <w:r>
        <w:rPr>
          <w:sz w:val="30"/>
          <w:szCs w:val="30"/>
        </w:rPr>
        <w:fldChar w:fldCharType="begin"/>
      </w:r>
      <w:r>
        <w:rPr>
          <w:sz w:val="30"/>
          <w:szCs w:val="30"/>
        </w:rPr>
        <w:instrText xml:space="preserve"> PAGEREF _Toc146189930 \h </w:instrText>
      </w:r>
      <w:r>
        <w:rPr>
          <w:sz w:val="30"/>
          <w:szCs w:val="30"/>
        </w:rPr>
        <w:fldChar w:fldCharType="separate"/>
      </w:r>
      <w:r>
        <w:rPr>
          <w:sz w:val="30"/>
          <w:szCs w:val="30"/>
        </w:rPr>
        <w:t>18</w:t>
      </w:r>
      <w:r>
        <w:rPr>
          <w:sz w:val="30"/>
          <w:szCs w:val="30"/>
        </w:rPr>
        <w:fldChar w:fldCharType="end"/>
      </w:r>
      <w:r>
        <w:rPr>
          <w:sz w:val="30"/>
          <w:szCs w:val="30"/>
        </w:rPr>
        <w:fldChar w:fldCharType="end"/>
      </w:r>
    </w:p>
    <w:p>
      <w:pPr>
        <w:pStyle w:val="12"/>
        <w:spacing w:line="520" w:lineRule="exact"/>
        <w:rPr>
          <w:rFonts w:cstheme="minorBidi"/>
          <w:sz w:val="30"/>
          <w:szCs w:val="30"/>
        </w:rPr>
      </w:pPr>
      <w:r>
        <w:fldChar w:fldCharType="begin"/>
      </w:r>
      <w:r>
        <w:instrText xml:space="preserve"> HYPERLINK \l "_Toc146189932" </w:instrText>
      </w:r>
      <w:r>
        <w:fldChar w:fldCharType="separate"/>
      </w:r>
      <w:r>
        <w:rPr>
          <w:rStyle w:val="19"/>
          <w:rFonts w:hint="eastAsia"/>
          <w:sz w:val="30"/>
          <w:szCs w:val="30"/>
        </w:rPr>
        <w:t>第</w:t>
      </w:r>
      <w:r>
        <w:rPr>
          <w:rStyle w:val="19"/>
          <w:rFonts w:hint="eastAsia"/>
          <w:bCs/>
          <w:kern w:val="44"/>
          <w:sz w:val="30"/>
          <w:szCs w:val="30"/>
        </w:rPr>
        <w:t>五部分附表</w:t>
      </w:r>
      <w:r>
        <w:rPr>
          <w:sz w:val="30"/>
          <w:szCs w:val="30"/>
        </w:rPr>
        <w:tab/>
      </w:r>
      <w:r>
        <w:rPr>
          <w:sz w:val="30"/>
          <w:szCs w:val="30"/>
        </w:rPr>
        <w:fldChar w:fldCharType="begin"/>
      </w:r>
      <w:r>
        <w:rPr>
          <w:sz w:val="30"/>
          <w:szCs w:val="30"/>
        </w:rPr>
        <w:instrText xml:space="preserve"> PAGEREF _Toc146189932 \h </w:instrText>
      </w:r>
      <w:r>
        <w:rPr>
          <w:sz w:val="30"/>
          <w:szCs w:val="30"/>
        </w:rPr>
        <w:fldChar w:fldCharType="separate"/>
      </w:r>
      <w:r>
        <w:rPr>
          <w:sz w:val="30"/>
          <w:szCs w:val="30"/>
        </w:rPr>
        <w:t>55</w:t>
      </w:r>
      <w:r>
        <w:rPr>
          <w:sz w:val="30"/>
          <w:szCs w:val="30"/>
        </w:rPr>
        <w:fldChar w:fldCharType="end"/>
      </w:r>
      <w:r>
        <w:rPr>
          <w:sz w:val="30"/>
          <w:szCs w:val="30"/>
        </w:rPr>
        <w:fldChar w:fldCharType="end"/>
      </w:r>
    </w:p>
    <w:p>
      <w:pPr>
        <w:pStyle w:val="13"/>
        <w:spacing w:line="520" w:lineRule="exact"/>
        <w:rPr>
          <w:rFonts w:ascii="仿宋" w:hAnsi="仿宋" w:eastAsia="仿宋" w:cstheme="minorBidi"/>
          <w:sz w:val="30"/>
          <w:szCs w:val="30"/>
        </w:rPr>
      </w:pPr>
      <w:r>
        <w:fldChar w:fldCharType="begin"/>
      </w:r>
      <w:r>
        <w:instrText xml:space="preserve"> HYPERLINK \l "_Toc146189933" </w:instrText>
      </w:r>
      <w:r>
        <w:fldChar w:fldCharType="separate"/>
      </w:r>
      <w:r>
        <w:rPr>
          <w:rStyle w:val="19"/>
          <w:rFonts w:hint="eastAsia" w:ascii="仿宋" w:hAnsi="仿宋" w:eastAsia="仿宋"/>
          <w:sz w:val="30"/>
          <w:szCs w:val="30"/>
        </w:rPr>
        <w:t>一、收入支出决算总表</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_Toc146189933 \h </w:instrText>
      </w:r>
      <w:r>
        <w:rPr>
          <w:rFonts w:ascii="仿宋" w:hAnsi="仿宋" w:eastAsia="仿宋"/>
          <w:sz w:val="30"/>
          <w:szCs w:val="30"/>
        </w:rPr>
        <w:fldChar w:fldCharType="separate"/>
      </w:r>
      <w:r>
        <w:rPr>
          <w:rFonts w:ascii="仿宋" w:hAnsi="仿宋" w:eastAsia="仿宋"/>
          <w:sz w:val="30"/>
          <w:szCs w:val="30"/>
        </w:rPr>
        <w:t>56</w:t>
      </w:r>
      <w:r>
        <w:rPr>
          <w:rFonts w:ascii="仿宋" w:hAnsi="仿宋" w:eastAsia="仿宋"/>
          <w:sz w:val="30"/>
          <w:szCs w:val="30"/>
        </w:rPr>
        <w:fldChar w:fldCharType="end"/>
      </w:r>
      <w:r>
        <w:rPr>
          <w:rFonts w:ascii="仿宋" w:hAnsi="仿宋" w:eastAsia="仿宋"/>
          <w:sz w:val="30"/>
          <w:szCs w:val="30"/>
        </w:rPr>
        <w:fldChar w:fldCharType="end"/>
      </w:r>
    </w:p>
    <w:p>
      <w:pPr>
        <w:pStyle w:val="13"/>
        <w:spacing w:line="520" w:lineRule="exact"/>
        <w:rPr>
          <w:rFonts w:ascii="仿宋" w:hAnsi="仿宋" w:eastAsia="仿宋" w:cstheme="minorBidi"/>
          <w:sz w:val="30"/>
          <w:szCs w:val="30"/>
        </w:rPr>
      </w:pPr>
      <w:r>
        <w:fldChar w:fldCharType="begin"/>
      </w:r>
      <w:r>
        <w:instrText xml:space="preserve"> HYPERLINK \l "_Toc146189934" </w:instrText>
      </w:r>
      <w:r>
        <w:fldChar w:fldCharType="separate"/>
      </w:r>
      <w:r>
        <w:rPr>
          <w:rStyle w:val="19"/>
          <w:rFonts w:hint="eastAsia" w:ascii="仿宋" w:hAnsi="仿宋" w:eastAsia="仿宋"/>
          <w:sz w:val="30"/>
          <w:szCs w:val="30"/>
        </w:rPr>
        <w:t>二、收入决算表</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_Toc146189934 \h </w:instrText>
      </w:r>
      <w:r>
        <w:rPr>
          <w:rFonts w:ascii="仿宋" w:hAnsi="仿宋" w:eastAsia="仿宋"/>
          <w:sz w:val="30"/>
          <w:szCs w:val="30"/>
        </w:rPr>
        <w:fldChar w:fldCharType="separate"/>
      </w:r>
      <w:r>
        <w:rPr>
          <w:rFonts w:ascii="仿宋" w:hAnsi="仿宋" w:eastAsia="仿宋"/>
          <w:sz w:val="30"/>
          <w:szCs w:val="30"/>
        </w:rPr>
        <w:t>56</w:t>
      </w:r>
      <w:r>
        <w:rPr>
          <w:rFonts w:ascii="仿宋" w:hAnsi="仿宋" w:eastAsia="仿宋"/>
          <w:sz w:val="30"/>
          <w:szCs w:val="30"/>
        </w:rPr>
        <w:fldChar w:fldCharType="end"/>
      </w:r>
      <w:r>
        <w:rPr>
          <w:rFonts w:ascii="仿宋" w:hAnsi="仿宋" w:eastAsia="仿宋"/>
          <w:sz w:val="30"/>
          <w:szCs w:val="30"/>
        </w:rPr>
        <w:fldChar w:fldCharType="end"/>
      </w:r>
    </w:p>
    <w:p>
      <w:pPr>
        <w:pStyle w:val="13"/>
        <w:spacing w:line="520" w:lineRule="exact"/>
        <w:rPr>
          <w:rFonts w:ascii="仿宋" w:hAnsi="仿宋" w:eastAsia="仿宋" w:cstheme="minorBidi"/>
          <w:sz w:val="30"/>
          <w:szCs w:val="30"/>
        </w:rPr>
      </w:pPr>
      <w:r>
        <w:fldChar w:fldCharType="begin"/>
      </w:r>
      <w:r>
        <w:instrText xml:space="preserve"> HYPERLINK \l "_Toc146189935" </w:instrText>
      </w:r>
      <w:r>
        <w:fldChar w:fldCharType="separate"/>
      </w:r>
      <w:r>
        <w:rPr>
          <w:rStyle w:val="19"/>
          <w:rFonts w:hint="eastAsia" w:ascii="仿宋" w:hAnsi="仿宋" w:eastAsia="仿宋"/>
          <w:sz w:val="30"/>
          <w:szCs w:val="30"/>
        </w:rPr>
        <w:t>三、支出决算表</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_Toc146189935 \h </w:instrText>
      </w:r>
      <w:r>
        <w:rPr>
          <w:rFonts w:ascii="仿宋" w:hAnsi="仿宋" w:eastAsia="仿宋"/>
          <w:sz w:val="30"/>
          <w:szCs w:val="30"/>
        </w:rPr>
        <w:fldChar w:fldCharType="separate"/>
      </w:r>
      <w:r>
        <w:rPr>
          <w:rFonts w:ascii="仿宋" w:hAnsi="仿宋" w:eastAsia="仿宋"/>
          <w:sz w:val="30"/>
          <w:szCs w:val="30"/>
        </w:rPr>
        <w:t>56</w:t>
      </w:r>
      <w:r>
        <w:rPr>
          <w:rFonts w:ascii="仿宋" w:hAnsi="仿宋" w:eastAsia="仿宋"/>
          <w:sz w:val="30"/>
          <w:szCs w:val="30"/>
        </w:rPr>
        <w:fldChar w:fldCharType="end"/>
      </w:r>
      <w:r>
        <w:rPr>
          <w:rFonts w:ascii="仿宋" w:hAnsi="仿宋" w:eastAsia="仿宋"/>
          <w:sz w:val="30"/>
          <w:szCs w:val="30"/>
        </w:rPr>
        <w:fldChar w:fldCharType="end"/>
      </w:r>
    </w:p>
    <w:p>
      <w:pPr>
        <w:pStyle w:val="13"/>
        <w:spacing w:line="520" w:lineRule="exact"/>
        <w:rPr>
          <w:rFonts w:ascii="仿宋" w:hAnsi="仿宋" w:eastAsia="仿宋" w:cstheme="minorBidi"/>
          <w:sz w:val="30"/>
          <w:szCs w:val="30"/>
        </w:rPr>
      </w:pPr>
      <w:r>
        <w:fldChar w:fldCharType="begin"/>
      </w:r>
      <w:r>
        <w:instrText xml:space="preserve"> HYPERLINK \l "_Toc146189936" </w:instrText>
      </w:r>
      <w:r>
        <w:fldChar w:fldCharType="separate"/>
      </w:r>
      <w:r>
        <w:rPr>
          <w:rStyle w:val="19"/>
          <w:rFonts w:hint="eastAsia" w:ascii="仿宋" w:hAnsi="仿宋" w:eastAsia="仿宋"/>
          <w:sz w:val="30"/>
          <w:szCs w:val="30"/>
        </w:rPr>
        <w:t>四、财政拨款收入支出决算总表</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_Toc146189936 \h </w:instrText>
      </w:r>
      <w:r>
        <w:rPr>
          <w:rFonts w:ascii="仿宋" w:hAnsi="仿宋" w:eastAsia="仿宋"/>
          <w:sz w:val="30"/>
          <w:szCs w:val="30"/>
        </w:rPr>
        <w:fldChar w:fldCharType="separate"/>
      </w:r>
      <w:r>
        <w:rPr>
          <w:rFonts w:ascii="仿宋" w:hAnsi="仿宋" w:eastAsia="仿宋"/>
          <w:sz w:val="30"/>
          <w:szCs w:val="30"/>
        </w:rPr>
        <w:t>56</w:t>
      </w:r>
      <w:r>
        <w:rPr>
          <w:rFonts w:ascii="仿宋" w:hAnsi="仿宋" w:eastAsia="仿宋"/>
          <w:sz w:val="30"/>
          <w:szCs w:val="30"/>
        </w:rPr>
        <w:fldChar w:fldCharType="end"/>
      </w:r>
      <w:r>
        <w:rPr>
          <w:rFonts w:ascii="仿宋" w:hAnsi="仿宋" w:eastAsia="仿宋"/>
          <w:sz w:val="30"/>
          <w:szCs w:val="30"/>
        </w:rPr>
        <w:fldChar w:fldCharType="end"/>
      </w:r>
    </w:p>
    <w:p>
      <w:pPr>
        <w:pStyle w:val="13"/>
        <w:spacing w:line="520" w:lineRule="exact"/>
        <w:rPr>
          <w:rFonts w:ascii="仿宋" w:hAnsi="仿宋" w:eastAsia="仿宋" w:cstheme="minorBidi"/>
          <w:sz w:val="30"/>
          <w:szCs w:val="30"/>
        </w:rPr>
      </w:pPr>
      <w:r>
        <w:fldChar w:fldCharType="begin"/>
      </w:r>
      <w:r>
        <w:instrText xml:space="preserve"> HYPERLINK \l "_Toc146189937" </w:instrText>
      </w:r>
      <w:r>
        <w:fldChar w:fldCharType="separate"/>
      </w:r>
      <w:r>
        <w:rPr>
          <w:rStyle w:val="19"/>
          <w:rFonts w:hint="eastAsia" w:ascii="仿宋" w:hAnsi="仿宋" w:eastAsia="仿宋"/>
          <w:sz w:val="30"/>
          <w:szCs w:val="30"/>
        </w:rPr>
        <w:t>五、财政拨款支出决算明细表</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_Toc146189937 \h </w:instrText>
      </w:r>
      <w:r>
        <w:rPr>
          <w:rFonts w:ascii="仿宋" w:hAnsi="仿宋" w:eastAsia="仿宋"/>
          <w:sz w:val="30"/>
          <w:szCs w:val="30"/>
        </w:rPr>
        <w:fldChar w:fldCharType="separate"/>
      </w:r>
      <w:r>
        <w:rPr>
          <w:rFonts w:ascii="仿宋" w:hAnsi="仿宋" w:eastAsia="仿宋"/>
          <w:sz w:val="30"/>
          <w:szCs w:val="30"/>
        </w:rPr>
        <w:t>56</w:t>
      </w:r>
      <w:r>
        <w:rPr>
          <w:rFonts w:ascii="仿宋" w:hAnsi="仿宋" w:eastAsia="仿宋"/>
          <w:sz w:val="30"/>
          <w:szCs w:val="30"/>
        </w:rPr>
        <w:fldChar w:fldCharType="end"/>
      </w:r>
      <w:r>
        <w:rPr>
          <w:rFonts w:ascii="仿宋" w:hAnsi="仿宋" w:eastAsia="仿宋"/>
          <w:sz w:val="30"/>
          <w:szCs w:val="30"/>
        </w:rPr>
        <w:fldChar w:fldCharType="end"/>
      </w:r>
    </w:p>
    <w:p>
      <w:pPr>
        <w:pStyle w:val="13"/>
        <w:spacing w:line="520" w:lineRule="exact"/>
        <w:rPr>
          <w:rFonts w:ascii="仿宋" w:hAnsi="仿宋" w:eastAsia="仿宋" w:cstheme="minorBidi"/>
          <w:sz w:val="30"/>
          <w:szCs w:val="30"/>
        </w:rPr>
      </w:pPr>
      <w:r>
        <w:fldChar w:fldCharType="begin"/>
      </w:r>
      <w:r>
        <w:instrText xml:space="preserve"> HYPERLINK \l "_Toc146189938" </w:instrText>
      </w:r>
      <w:r>
        <w:fldChar w:fldCharType="separate"/>
      </w:r>
      <w:r>
        <w:rPr>
          <w:rStyle w:val="19"/>
          <w:rFonts w:hint="eastAsia" w:ascii="仿宋" w:hAnsi="仿宋" w:eastAsia="仿宋"/>
          <w:sz w:val="30"/>
          <w:szCs w:val="30"/>
        </w:rPr>
        <w:t>六、一般公共预算财政拨款支出决算表</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_Toc146189938 \h </w:instrText>
      </w:r>
      <w:r>
        <w:rPr>
          <w:rFonts w:ascii="仿宋" w:hAnsi="仿宋" w:eastAsia="仿宋"/>
          <w:sz w:val="30"/>
          <w:szCs w:val="30"/>
        </w:rPr>
        <w:fldChar w:fldCharType="separate"/>
      </w:r>
      <w:r>
        <w:rPr>
          <w:rFonts w:ascii="仿宋" w:hAnsi="仿宋" w:eastAsia="仿宋"/>
          <w:sz w:val="30"/>
          <w:szCs w:val="30"/>
        </w:rPr>
        <w:t>56</w:t>
      </w:r>
      <w:r>
        <w:rPr>
          <w:rFonts w:ascii="仿宋" w:hAnsi="仿宋" w:eastAsia="仿宋"/>
          <w:sz w:val="30"/>
          <w:szCs w:val="30"/>
        </w:rPr>
        <w:fldChar w:fldCharType="end"/>
      </w:r>
      <w:r>
        <w:rPr>
          <w:rFonts w:ascii="仿宋" w:hAnsi="仿宋" w:eastAsia="仿宋"/>
          <w:sz w:val="30"/>
          <w:szCs w:val="30"/>
        </w:rPr>
        <w:fldChar w:fldCharType="end"/>
      </w:r>
    </w:p>
    <w:p>
      <w:pPr>
        <w:pStyle w:val="13"/>
        <w:spacing w:line="520" w:lineRule="exact"/>
        <w:rPr>
          <w:rFonts w:ascii="仿宋" w:hAnsi="仿宋" w:eastAsia="仿宋" w:cstheme="minorBidi"/>
          <w:sz w:val="30"/>
          <w:szCs w:val="30"/>
        </w:rPr>
      </w:pPr>
      <w:r>
        <w:fldChar w:fldCharType="begin"/>
      </w:r>
      <w:r>
        <w:instrText xml:space="preserve"> HYPERLINK \l "_Toc146189939" </w:instrText>
      </w:r>
      <w:r>
        <w:fldChar w:fldCharType="separate"/>
      </w:r>
      <w:r>
        <w:rPr>
          <w:rStyle w:val="19"/>
          <w:rFonts w:hint="eastAsia" w:ascii="仿宋" w:hAnsi="仿宋" w:eastAsia="仿宋"/>
          <w:sz w:val="30"/>
          <w:szCs w:val="30"/>
        </w:rPr>
        <w:t>七、一般公共预算财政拨款支出决算明细表</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_Toc146189939 \h </w:instrText>
      </w:r>
      <w:r>
        <w:rPr>
          <w:rFonts w:ascii="仿宋" w:hAnsi="仿宋" w:eastAsia="仿宋"/>
          <w:sz w:val="30"/>
          <w:szCs w:val="30"/>
        </w:rPr>
        <w:fldChar w:fldCharType="separate"/>
      </w:r>
      <w:r>
        <w:rPr>
          <w:rFonts w:ascii="仿宋" w:hAnsi="仿宋" w:eastAsia="仿宋"/>
          <w:sz w:val="30"/>
          <w:szCs w:val="30"/>
        </w:rPr>
        <w:t>56</w:t>
      </w:r>
      <w:r>
        <w:rPr>
          <w:rFonts w:ascii="仿宋" w:hAnsi="仿宋" w:eastAsia="仿宋"/>
          <w:sz w:val="30"/>
          <w:szCs w:val="30"/>
        </w:rPr>
        <w:fldChar w:fldCharType="end"/>
      </w:r>
      <w:r>
        <w:rPr>
          <w:rFonts w:ascii="仿宋" w:hAnsi="仿宋" w:eastAsia="仿宋"/>
          <w:sz w:val="30"/>
          <w:szCs w:val="30"/>
        </w:rPr>
        <w:fldChar w:fldCharType="end"/>
      </w:r>
    </w:p>
    <w:p>
      <w:pPr>
        <w:pStyle w:val="13"/>
        <w:spacing w:line="520" w:lineRule="exact"/>
        <w:rPr>
          <w:rFonts w:ascii="仿宋" w:hAnsi="仿宋" w:eastAsia="仿宋" w:cstheme="minorBidi"/>
          <w:sz w:val="30"/>
          <w:szCs w:val="30"/>
        </w:rPr>
      </w:pPr>
      <w:r>
        <w:fldChar w:fldCharType="begin"/>
      </w:r>
      <w:r>
        <w:instrText xml:space="preserve"> HYPERLINK \l "_Toc146189940" </w:instrText>
      </w:r>
      <w:r>
        <w:fldChar w:fldCharType="separate"/>
      </w:r>
      <w:r>
        <w:rPr>
          <w:rStyle w:val="19"/>
          <w:rFonts w:hint="eastAsia" w:ascii="仿宋" w:hAnsi="仿宋" w:eastAsia="仿宋"/>
          <w:sz w:val="30"/>
          <w:szCs w:val="30"/>
        </w:rPr>
        <w:t>八、一般公共预算财政拨款基本支出决算表</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_Toc146189940 \h </w:instrText>
      </w:r>
      <w:r>
        <w:rPr>
          <w:rFonts w:ascii="仿宋" w:hAnsi="仿宋" w:eastAsia="仿宋"/>
          <w:sz w:val="30"/>
          <w:szCs w:val="30"/>
        </w:rPr>
        <w:fldChar w:fldCharType="separate"/>
      </w:r>
      <w:r>
        <w:rPr>
          <w:rFonts w:ascii="仿宋" w:hAnsi="仿宋" w:eastAsia="仿宋"/>
          <w:sz w:val="30"/>
          <w:szCs w:val="30"/>
        </w:rPr>
        <w:t>56</w:t>
      </w:r>
      <w:r>
        <w:rPr>
          <w:rFonts w:ascii="仿宋" w:hAnsi="仿宋" w:eastAsia="仿宋"/>
          <w:sz w:val="30"/>
          <w:szCs w:val="30"/>
        </w:rPr>
        <w:fldChar w:fldCharType="end"/>
      </w:r>
      <w:r>
        <w:rPr>
          <w:rFonts w:ascii="仿宋" w:hAnsi="仿宋" w:eastAsia="仿宋"/>
          <w:sz w:val="30"/>
          <w:szCs w:val="30"/>
        </w:rPr>
        <w:fldChar w:fldCharType="end"/>
      </w:r>
    </w:p>
    <w:p>
      <w:pPr>
        <w:pStyle w:val="13"/>
        <w:spacing w:line="520" w:lineRule="exact"/>
        <w:rPr>
          <w:rFonts w:ascii="仿宋" w:hAnsi="仿宋" w:eastAsia="仿宋" w:cstheme="minorBidi"/>
          <w:sz w:val="30"/>
          <w:szCs w:val="30"/>
        </w:rPr>
      </w:pPr>
      <w:r>
        <w:fldChar w:fldCharType="begin"/>
      </w:r>
      <w:r>
        <w:instrText xml:space="preserve"> HYPERLINK \l "_Toc146189941" </w:instrText>
      </w:r>
      <w:r>
        <w:fldChar w:fldCharType="separate"/>
      </w:r>
      <w:r>
        <w:rPr>
          <w:rStyle w:val="19"/>
          <w:rFonts w:hint="eastAsia" w:ascii="仿宋" w:hAnsi="仿宋" w:eastAsia="仿宋"/>
          <w:sz w:val="30"/>
          <w:szCs w:val="30"/>
        </w:rPr>
        <w:t>九、一般公共预算财政拨款项目支出决算表</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_Toc146189941 \h </w:instrText>
      </w:r>
      <w:r>
        <w:rPr>
          <w:rFonts w:ascii="仿宋" w:hAnsi="仿宋" w:eastAsia="仿宋"/>
          <w:sz w:val="30"/>
          <w:szCs w:val="30"/>
        </w:rPr>
        <w:fldChar w:fldCharType="separate"/>
      </w:r>
      <w:r>
        <w:rPr>
          <w:rFonts w:ascii="仿宋" w:hAnsi="仿宋" w:eastAsia="仿宋"/>
          <w:sz w:val="30"/>
          <w:szCs w:val="30"/>
        </w:rPr>
        <w:t>56</w:t>
      </w:r>
      <w:r>
        <w:rPr>
          <w:rFonts w:ascii="仿宋" w:hAnsi="仿宋" w:eastAsia="仿宋"/>
          <w:sz w:val="30"/>
          <w:szCs w:val="30"/>
        </w:rPr>
        <w:fldChar w:fldCharType="end"/>
      </w:r>
      <w:r>
        <w:rPr>
          <w:rFonts w:ascii="仿宋" w:hAnsi="仿宋" w:eastAsia="仿宋"/>
          <w:sz w:val="30"/>
          <w:szCs w:val="30"/>
        </w:rPr>
        <w:fldChar w:fldCharType="end"/>
      </w:r>
    </w:p>
    <w:p>
      <w:pPr>
        <w:pStyle w:val="13"/>
        <w:spacing w:line="520" w:lineRule="exact"/>
        <w:rPr>
          <w:rFonts w:ascii="仿宋" w:hAnsi="仿宋" w:eastAsia="仿宋" w:cstheme="minorBidi"/>
          <w:sz w:val="30"/>
          <w:szCs w:val="30"/>
        </w:rPr>
      </w:pPr>
      <w:r>
        <w:fldChar w:fldCharType="begin"/>
      </w:r>
      <w:r>
        <w:instrText xml:space="preserve"> HYPERLINK \l "_Toc146189942" </w:instrText>
      </w:r>
      <w:r>
        <w:fldChar w:fldCharType="separate"/>
      </w:r>
      <w:r>
        <w:rPr>
          <w:rStyle w:val="19"/>
          <w:rFonts w:hint="eastAsia" w:ascii="仿宋" w:hAnsi="仿宋" w:eastAsia="仿宋"/>
          <w:sz w:val="30"/>
          <w:szCs w:val="30"/>
        </w:rPr>
        <w:t>十、政府性基金预算财政拨款收入支出决算表</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_Toc146189942 \h </w:instrText>
      </w:r>
      <w:r>
        <w:rPr>
          <w:rFonts w:ascii="仿宋" w:hAnsi="仿宋" w:eastAsia="仿宋"/>
          <w:sz w:val="30"/>
          <w:szCs w:val="30"/>
        </w:rPr>
        <w:fldChar w:fldCharType="separate"/>
      </w:r>
      <w:r>
        <w:rPr>
          <w:rFonts w:ascii="仿宋" w:hAnsi="仿宋" w:eastAsia="仿宋"/>
          <w:sz w:val="30"/>
          <w:szCs w:val="30"/>
        </w:rPr>
        <w:t>56</w:t>
      </w:r>
      <w:r>
        <w:rPr>
          <w:rFonts w:ascii="仿宋" w:hAnsi="仿宋" w:eastAsia="仿宋"/>
          <w:sz w:val="30"/>
          <w:szCs w:val="30"/>
        </w:rPr>
        <w:fldChar w:fldCharType="end"/>
      </w:r>
      <w:r>
        <w:rPr>
          <w:rFonts w:ascii="仿宋" w:hAnsi="仿宋" w:eastAsia="仿宋"/>
          <w:sz w:val="30"/>
          <w:szCs w:val="30"/>
        </w:rPr>
        <w:fldChar w:fldCharType="end"/>
      </w:r>
    </w:p>
    <w:p>
      <w:pPr>
        <w:pStyle w:val="13"/>
        <w:spacing w:line="520" w:lineRule="exact"/>
        <w:rPr>
          <w:rFonts w:ascii="仿宋" w:hAnsi="仿宋" w:eastAsia="仿宋" w:cstheme="minorBidi"/>
          <w:sz w:val="30"/>
          <w:szCs w:val="30"/>
        </w:rPr>
      </w:pPr>
      <w:r>
        <w:fldChar w:fldCharType="begin"/>
      </w:r>
      <w:r>
        <w:instrText xml:space="preserve"> HYPERLINK \l "_Toc146189943" </w:instrText>
      </w:r>
      <w:r>
        <w:fldChar w:fldCharType="separate"/>
      </w:r>
      <w:r>
        <w:rPr>
          <w:rStyle w:val="19"/>
          <w:rFonts w:hint="eastAsia" w:ascii="仿宋" w:hAnsi="仿宋" w:eastAsia="仿宋"/>
          <w:sz w:val="30"/>
          <w:szCs w:val="30"/>
        </w:rPr>
        <w:t>十一、国有资本经营预算财政拨款收入支出决算表</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_Toc146189943 \h </w:instrText>
      </w:r>
      <w:r>
        <w:rPr>
          <w:rFonts w:ascii="仿宋" w:hAnsi="仿宋" w:eastAsia="仿宋"/>
          <w:sz w:val="30"/>
          <w:szCs w:val="30"/>
        </w:rPr>
        <w:fldChar w:fldCharType="separate"/>
      </w:r>
      <w:r>
        <w:rPr>
          <w:rFonts w:ascii="仿宋" w:hAnsi="仿宋" w:eastAsia="仿宋"/>
          <w:sz w:val="30"/>
          <w:szCs w:val="30"/>
        </w:rPr>
        <w:t>56</w:t>
      </w:r>
      <w:r>
        <w:rPr>
          <w:rFonts w:ascii="仿宋" w:hAnsi="仿宋" w:eastAsia="仿宋"/>
          <w:sz w:val="30"/>
          <w:szCs w:val="30"/>
        </w:rPr>
        <w:fldChar w:fldCharType="end"/>
      </w:r>
      <w:r>
        <w:rPr>
          <w:rFonts w:ascii="仿宋" w:hAnsi="仿宋" w:eastAsia="仿宋"/>
          <w:sz w:val="30"/>
          <w:szCs w:val="30"/>
        </w:rPr>
        <w:fldChar w:fldCharType="end"/>
      </w:r>
    </w:p>
    <w:p>
      <w:pPr>
        <w:pStyle w:val="13"/>
        <w:spacing w:line="520" w:lineRule="exact"/>
        <w:rPr>
          <w:rFonts w:ascii="仿宋" w:hAnsi="仿宋" w:eastAsia="仿宋" w:cstheme="minorBidi"/>
          <w:sz w:val="30"/>
          <w:szCs w:val="30"/>
        </w:rPr>
      </w:pPr>
      <w:r>
        <w:fldChar w:fldCharType="begin"/>
      </w:r>
      <w:r>
        <w:instrText xml:space="preserve"> HYPERLINK \l "_Toc146189944" </w:instrText>
      </w:r>
      <w:r>
        <w:fldChar w:fldCharType="separate"/>
      </w:r>
      <w:r>
        <w:rPr>
          <w:rStyle w:val="19"/>
          <w:rFonts w:hint="eastAsia" w:ascii="仿宋" w:hAnsi="仿宋" w:eastAsia="仿宋"/>
          <w:sz w:val="30"/>
          <w:szCs w:val="30"/>
        </w:rPr>
        <w:t>十二、国有资本经营预算财政拨款支出决算表</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_Toc146189944 \h </w:instrText>
      </w:r>
      <w:r>
        <w:rPr>
          <w:rFonts w:ascii="仿宋" w:hAnsi="仿宋" w:eastAsia="仿宋"/>
          <w:sz w:val="30"/>
          <w:szCs w:val="30"/>
        </w:rPr>
        <w:fldChar w:fldCharType="separate"/>
      </w:r>
      <w:r>
        <w:rPr>
          <w:rFonts w:ascii="仿宋" w:hAnsi="仿宋" w:eastAsia="仿宋"/>
          <w:sz w:val="30"/>
          <w:szCs w:val="30"/>
        </w:rPr>
        <w:t>56</w:t>
      </w:r>
      <w:r>
        <w:rPr>
          <w:rFonts w:ascii="仿宋" w:hAnsi="仿宋" w:eastAsia="仿宋"/>
          <w:sz w:val="30"/>
          <w:szCs w:val="30"/>
        </w:rPr>
        <w:fldChar w:fldCharType="end"/>
      </w:r>
      <w:r>
        <w:rPr>
          <w:rFonts w:ascii="仿宋" w:hAnsi="仿宋" w:eastAsia="仿宋"/>
          <w:sz w:val="30"/>
          <w:szCs w:val="30"/>
        </w:rPr>
        <w:fldChar w:fldCharType="end"/>
      </w:r>
    </w:p>
    <w:p>
      <w:pPr>
        <w:pStyle w:val="13"/>
        <w:spacing w:line="520" w:lineRule="exact"/>
        <w:rPr>
          <w:rFonts w:ascii="仿宋" w:hAnsi="仿宋" w:eastAsia="仿宋" w:cstheme="minorBidi"/>
          <w:sz w:val="30"/>
          <w:szCs w:val="30"/>
        </w:rPr>
      </w:pPr>
      <w:r>
        <w:fldChar w:fldCharType="begin"/>
      </w:r>
      <w:r>
        <w:instrText xml:space="preserve"> HYPERLINK \l "_Toc146189945" </w:instrText>
      </w:r>
      <w:r>
        <w:fldChar w:fldCharType="separate"/>
      </w:r>
      <w:r>
        <w:rPr>
          <w:rStyle w:val="19"/>
          <w:rFonts w:hint="eastAsia" w:ascii="仿宋" w:hAnsi="仿宋" w:eastAsia="仿宋"/>
          <w:sz w:val="30"/>
          <w:szCs w:val="30"/>
        </w:rPr>
        <w:t>十三、财政拨款“三公”经费支出决算表</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_Toc146189945 \h </w:instrText>
      </w:r>
      <w:r>
        <w:rPr>
          <w:rFonts w:ascii="仿宋" w:hAnsi="仿宋" w:eastAsia="仿宋"/>
          <w:sz w:val="30"/>
          <w:szCs w:val="30"/>
        </w:rPr>
        <w:fldChar w:fldCharType="separate"/>
      </w:r>
      <w:r>
        <w:rPr>
          <w:rFonts w:ascii="仿宋" w:hAnsi="仿宋" w:eastAsia="仿宋"/>
          <w:sz w:val="30"/>
          <w:szCs w:val="30"/>
        </w:rPr>
        <w:t>56</w:t>
      </w:r>
      <w:r>
        <w:rPr>
          <w:rFonts w:ascii="仿宋" w:hAnsi="仿宋" w:eastAsia="仿宋"/>
          <w:sz w:val="30"/>
          <w:szCs w:val="30"/>
        </w:rPr>
        <w:fldChar w:fldCharType="end"/>
      </w:r>
      <w:r>
        <w:rPr>
          <w:rFonts w:ascii="仿宋" w:hAnsi="仿宋" w:eastAsia="仿宋"/>
          <w:sz w:val="30"/>
          <w:szCs w:val="30"/>
        </w:rPr>
        <w:fldChar w:fldCharType="end"/>
      </w:r>
    </w:p>
    <w:p>
      <w:pPr>
        <w:spacing w:line="520" w:lineRule="exact"/>
        <w:rPr>
          <w:rFonts w:ascii="仿宋" w:hAnsi="仿宋" w:eastAsia="仿宋"/>
          <w:sz w:val="30"/>
          <w:szCs w:val="30"/>
        </w:rPr>
      </w:pPr>
      <w:r>
        <w:rPr>
          <w:rFonts w:ascii="仿宋" w:hAnsi="仿宋" w:eastAsia="仿宋"/>
          <w:sz w:val="30"/>
          <w:szCs w:val="30"/>
        </w:rPr>
        <w:fldChar w:fldCharType="end"/>
      </w:r>
    </w:p>
    <w:p>
      <w:pPr>
        <w:pStyle w:val="3"/>
        <w:jc w:val="center"/>
        <w:rPr>
          <w:rFonts w:ascii="黑体" w:hAnsi="黑体" w:eastAsia="黑体"/>
          <w:b w:val="0"/>
        </w:rPr>
        <w:sectPr>
          <w:headerReference r:id="rId3" w:type="default"/>
          <w:pgSz w:w="11906" w:h="16838"/>
          <w:pgMar w:top="1440" w:right="1800" w:bottom="1440" w:left="1800" w:header="851" w:footer="992" w:gutter="0"/>
          <w:pgNumType w:start="1"/>
          <w:cols w:space="425" w:num="1"/>
          <w:titlePg/>
          <w:docGrid w:type="lines" w:linePitch="312" w:charSpace="0"/>
        </w:sectPr>
      </w:pPr>
      <w:bookmarkStart w:id="16" w:name="_Toc146189899"/>
    </w:p>
    <w:p>
      <w:pPr>
        <w:pStyle w:val="3"/>
        <w:jc w:val="center"/>
        <w:rPr>
          <w:rStyle w:val="20"/>
          <w:rFonts w:ascii="黑体" w:hAnsi="黑体" w:eastAsia="黑体"/>
          <w:b/>
          <w:bCs w:val="0"/>
        </w:rPr>
      </w:pPr>
      <w:r>
        <w:rPr>
          <w:rFonts w:hint="eastAsia" w:ascii="黑体" w:hAnsi="黑体" w:eastAsia="黑体"/>
          <w:b w:val="0"/>
        </w:rPr>
        <w:t>第一部分</w:t>
      </w:r>
      <w:r>
        <w:rPr>
          <w:rStyle w:val="20"/>
          <w:rFonts w:hint="eastAsia" w:ascii="黑体" w:hAnsi="黑体" w:eastAsia="黑体"/>
          <w:b w:val="0"/>
          <w:bCs w:val="0"/>
        </w:rPr>
        <w:t>部门概况</w:t>
      </w:r>
      <w:bookmarkEnd w:id="14"/>
      <w:bookmarkEnd w:id="15"/>
      <w:bookmarkEnd w:id="16"/>
    </w:p>
    <w:p>
      <w:pPr>
        <w:widowControl/>
        <w:jc w:val="left"/>
        <w:rPr>
          <w:rFonts w:ascii="黑体" w:eastAsia="黑体"/>
          <w:sz w:val="32"/>
          <w:szCs w:val="32"/>
        </w:rPr>
      </w:pPr>
    </w:p>
    <w:p>
      <w:pPr>
        <w:pStyle w:val="4"/>
        <w:numPr>
          <w:ilvl w:val="0"/>
          <w:numId w:val="1"/>
        </w:numPr>
        <w:rPr>
          <w:rFonts w:ascii="黑体" w:hAnsi="黑体" w:eastAsia="黑体"/>
          <w:b w:val="0"/>
        </w:rPr>
      </w:pPr>
      <w:bookmarkStart w:id="17" w:name="_Toc146189900"/>
      <w:r>
        <w:rPr>
          <w:rFonts w:hint="eastAsia" w:ascii="黑体" w:hAnsi="黑体" w:eastAsia="黑体"/>
          <w:b w:val="0"/>
        </w:rPr>
        <w:t>部门职责</w:t>
      </w:r>
      <w:bookmarkEnd w:id="17"/>
    </w:p>
    <w:p>
      <w:pPr>
        <w:pStyle w:val="14"/>
        <w:spacing w:before="0" w:beforeAutospacing="0" w:after="0" w:afterAutospacing="0" w:line="600" w:lineRule="exact"/>
        <w:ind w:firstLine="480" w:firstLineChars="150"/>
        <w:rPr>
          <w:rFonts w:ascii="仿宋" w:hAnsi="仿宋" w:eastAsia="仿宋" w:cs="Times New Roman"/>
          <w:bCs/>
          <w:sz w:val="32"/>
          <w:szCs w:val="32"/>
        </w:rPr>
      </w:pPr>
      <w:r>
        <w:rPr>
          <w:rFonts w:hint="eastAsia" w:ascii="仿宋" w:hAnsi="仿宋" w:eastAsia="仿宋" w:cs="Times New Roman"/>
          <w:bCs/>
          <w:sz w:val="32"/>
          <w:szCs w:val="32"/>
        </w:rPr>
        <w:t>（一）贯彻执行国家审计工作的方针政策和法律法规。拟订全市审计规范性文件，负责本系统、本部门依法行政工作，落实行政执法责任制，制订并组织实施审计工作发展规划和专业领域审计工作规划，制订并组织实施年度审计计划，组织对全市性重大投资项目、重大突发性公共事项、重要专项资金及国家、省、市重大政策措施执行情况的审计和专项审计调查，对直接审计、审计调查和核查的事项依法进行审计评价，作出审计决定或提出审计建议。</w:t>
      </w:r>
    </w:p>
    <w:p>
      <w:pPr>
        <w:pStyle w:val="14"/>
        <w:spacing w:before="0" w:beforeAutospacing="0" w:after="0" w:afterAutospacing="0" w:line="600" w:lineRule="exact"/>
        <w:ind w:firstLine="480" w:firstLineChars="150"/>
        <w:rPr>
          <w:rFonts w:ascii="仿宋" w:hAnsi="仿宋" w:eastAsia="仿宋" w:cs="Times New Roman"/>
          <w:bCs/>
          <w:sz w:val="32"/>
          <w:szCs w:val="32"/>
        </w:rPr>
      </w:pPr>
      <w:r>
        <w:rPr>
          <w:rFonts w:hint="eastAsia" w:ascii="仿宋" w:hAnsi="仿宋" w:eastAsia="仿宋" w:cs="Times New Roman"/>
          <w:bCs/>
          <w:sz w:val="32"/>
          <w:szCs w:val="32"/>
        </w:rPr>
        <w:t>（二）负责对市级财政收支和法律法规规定属审计监督范围的财务收支的真实、合法和效益进行审计监督，维护国家财政经济秩序，提高财政资金使用效益，促进廉政建设，保障国民经济和社会健康发展，对审计、专项审计调查和核查社会审计机构相关审计报告的结果承担责任并负有督促被审计单位整改的责任。</w:t>
      </w:r>
    </w:p>
    <w:p>
      <w:pPr>
        <w:pStyle w:val="14"/>
        <w:spacing w:before="0" w:beforeAutospacing="0" w:after="0" w:afterAutospacing="0" w:line="600" w:lineRule="exact"/>
        <w:ind w:firstLine="480" w:firstLineChars="150"/>
        <w:rPr>
          <w:rFonts w:ascii="仿宋" w:hAnsi="仿宋" w:eastAsia="仿宋" w:cs="Times New Roman"/>
          <w:bCs/>
          <w:sz w:val="32"/>
          <w:szCs w:val="32"/>
        </w:rPr>
      </w:pPr>
      <w:r>
        <w:rPr>
          <w:rFonts w:hint="eastAsia" w:ascii="仿宋" w:hAnsi="仿宋" w:eastAsia="仿宋" w:cs="Times New Roman"/>
          <w:bCs/>
          <w:sz w:val="32"/>
          <w:szCs w:val="32"/>
        </w:rPr>
        <w:t>（三）向市长提出市级预算执行和其他财政收支情况的审计结果报告，受市政府委托向市人大提出市级预算执行和其他财政收支情况的审计工作报告、审计发现问题的纠正和处理结果报告，向市政府报告对其他事项的审计和专项审计调查情况及结果，依法向社会公布审计结果，向市政府有关部门和县区人民政府通报审计情况和审计结果。</w:t>
      </w:r>
    </w:p>
    <w:p>
      <w:pPr>
        <w:pStyle w:val="14"/>
        <w:spacing w:before="0" w:beforeAutospacing="0" w:after="0" w:afterAutospacing="0" w:line="600" w:lineRule="exact"/>
        <w:ind w:firstLine="480" w:firstLineChars="150"/>
        <w:rPr>
          <w:rFonts w:ascii="仿宋" w:hAnsi="仿宋" w:eastAsia="仿宋" w:cs="Times New Roman"/>
          <w:bCs/>
          <w:sz w:val="32"/>
          <w:szCs w:val="32"/>
        </w:rPr>
      </w:pPr>
      <w:r>
        <w:rPr>
          <w:rFonts w:hint="eastAsia" w:ascii="仿宋" w:hAnsi="仿宋" w:eastAsia="仿宋" w:cs="Times New Roman"/>
          <w:bCs/>
          <w:sz w:val="32"/>
          <w:szCs w:val="32"/>
        </w:rPr>
        <w:t>（四）直接审计下列事项，出具审计报告，在法定职权范围内作出审计决定或向有关主管机关提出处理处罚的建议：</w:t>
      </w:r>
    </w:p>
    <w:p>
      <w:pPr>
        <w:pStyle w:val="14"/>
        <w:spacing w:before="0" w:beforeAutospacing="0" w:after="0" w:afterAutospacing="0"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1.市级财政预算执行情况和其他财政收支，市级各部门预算的执行情况、决算和其他财政收支。</w:t>
      </w:r>
    </w:p>
    <w:p>
      <w:pPr>
        <w:pStyle w:val="14"/>
        <w:spacing w:before="0" w:beforeAutospacing="0" w:after="0" w:afterAutospacing="0"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2.县区人民政府预算的执行情况及其他财政收支，非扩权强县试点地区决算，市级财政转移支付资金。</w:t>
      </w:r>
    </w:p>
    <w:p>
      <w:pPr>
        <w:pStyle w:val="14"/>
        <w:spacing w:before="0" w:beforeAutospacing="0" w:after="0" w:afterAutospacing="0"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3.使用市级财政资金的事业单位和社会团体的财务收支。</w:t>
      </w:r>
    </w:p>
    <w:p>
      <w:pPr>
        <w:pStyle w:val="14"/>
        <w:spacing w:before="0" w:beforeAutospacing="0" w:after="0" w:afterAutospacing="0"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4.市政府投资和以市政府投资为主的建设项目预算执行情况和决算。</w:t>
      </w:r>
    </w:p>
    <w:p>
      <w:pPr>
        <w:pStyle w:val="14"/>
        <w:spacing w:before="0" w:beforeAutospacing="0" w:after="0" w:afterAutospacing="0"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5.市属国有企业和地方金融机构、市属国有资本占控股或主导地位的企业和金融机构的资产、负债和损益。</w:t>
      </w:r>
    </w:p>
    <w:p>
      <w:pPr>
        <w:pStyle w:val="14"/>
        <w:spacing w:before="0" w:beforeAutospacing="0" w:after="0" w:afterAutospacing="0"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6.市政府部门以及其他单位受市政府及其部门委托管理的社会保障基金、社会捐赠资金及其他有关基金、资金的财务收支。</w:t>
      </w:r>
    </w:p>
    <w:p>
      <w:pPr>
        <w:pStyle w:val="14"/>
        <w:spacing w:before="0" w:beforeAutospacing="0" w:after="0" w:afterAutospacing="0"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7.国际组织和外国政府在广援助、贷款项目的财务收支。</w:t>
      </w:r>
    </w:p>
    <w:p>
      <w:pPr>
        <w:pStyle w:val="14"/>
        <w:spacing w:before="0" w:beforeAutospacing="0" w:after="0" w:afterAutospacing="0"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8.法律、行政法规和地方性法规、政府规章规定应由审计局审计的其他事项。</w:t>
      </w:r>
    </w:p>
    <w:p>
      <w:pPr>
        <w:pStyle w:val="14"/>
        <w:spacing w:before="0" w:beforeAutospacing="0" w:after="0" w:afterAutospacing="0" w:line="600" w:lineRule="exact"/>
        <w:ind w:firstLine="480" w:firstLineChars="150"/>
        <w:rPr>
          <w:rFonts w:ascii="仿宋" w:hAnsi="仿宋" w:eastAsia="仿宋" w:cs="Times New Roman"/>
          <w:bCs/>
          <w:sz w:val="32"/>
          <w:szCs w:val="32"/>
        </w:rPr>
      </w:pPr>
      <w:r>
        <w:rPr>
          <w:rFonts w:hint="eastAsia" w:ascii="仿宋" w:hAnsi="仿宋" w:eastAsia="仿宋" w:cs="Times New Roman"/>
          <w:bCs/>
          <w:sz w:val="32"/>
          <w:szCs w:val="32"/>
        </w:rPr>
        <w:t>（五）按规定对县级领导干部、市属国有及国有控股企业以及依法属市审计局审计监督对象的其他单位主要负责人实施经济责任审计。</w:t>
      </w:r>
    </w:p>
    <w:p>
      <w:pPr>
        <w:pStyle w:val="14"/>
        <w:spacing w:before="0" w:beforeAutospacing="0" w:after="0" w:afterAutospacing="0" w:line="600" w:lineRule="exact"/>
        <w:ind w:firstLine="480" w:firstLineChars="150"/>
        <w:rPr>
          <w:rFonts w:ascii="仿宋" w:hAnsi="仿宋" w:eastAsia="仿宋" w:cs="Times New Roman"/>
          <w:bCs/>
          <w:sz w:val="32"/>
          <w:szCs w:val="32"/>
        </w:rPr>
      </w:pPr>
      <w:r>
        <w:rPr>
          <w:rFonts w:hint="eastAsia" w:ascii="仿宋" w:hAnsi="仿宋" w:eastAsia="仿宋" w:cs="Times New Roman"/>
          <w:bCs/>
          <w:sz w:val="32"/>
          <w:szCs w:val="32"/>
        </w:rPr>
        <w:t>（六）组织实施对国家财经法律、法规、规章、政策和宏观调控措施执行情况、财政预算管理或国有资产管理使用等与市级财政收支有关的特定事项进行专项审计调查。</w:t>
      </w:r>
    </w:p>
    <w:p>
      <w:pPr>
        <w:pStyle w:val="14"/>
        <w:spacing w:before="0" w:beforeAutospacing="0" w:after="0" w:afterAutospacing="0" w:line="600" w:lineRule="exact"/>
        <w:ind w:firstLine="480" w:firstLineChars="150"/>
        <w:rPr>
          <w:rFonts w:ascii="仿宋" w:hAnsi="仿宋" w:eastAsia="仿宋" w:cs="Times New Roman"/>
          <w:bCs/>
          <w:sz w:val="32"/>
          <w:szCs w:val="32"/>
        </w:rPr>
      </w:pPr>
      <w:r>
        <w:rPr>
          <w:rFonts w:hint="eastAsia" w:ascii="仿宋" w:hAnsi="仿宋" w:eastAsia="仿宋" w:cs="Times New Roman"/>
          <w:bCs/>
          <w:sz w:val="32"/>
          <w:szCs w:val="32"/>
        </w:rPr>
        <w:t>（七）依法检查审计决定执行情况，督促纠正和处理审计发现的问题，依法办理被审计单位对审计决定提请行政复议、行政诉讼或市政府裁决中的有关事项，协助配合有关部门查处相关重大案件。</w:t>
      </w:r>
    </w:p>
    <w:p>
      <w:pPr>
        <w:pStyle w:val="14"/>
        <w:spacing w:before="0" w:beforeAutospacing="0" w:after="0" w:afterAutospacing="0" w:line="600" w:lineRule="exact"/>
        <w:ind w:firstLine="480" w:firstLineChars="150"/>
        <w:rPr>
          <w:rFonts w:ascii="仿宋" w:hAnsi="仿宋" w:eastAsia="仿宋" w:cs="Times New Roman"/>
          <w:bCs/>
          <w:sz w:val="32"/>
          <w:szCs w:val="32"/>
        </w:rPr>
      </w:pPr>
      <w:r>
        <w:rPr>
          <w:rFonts w:hint="eastAsia" w:ascii="仿宋" w:hAnsi="仿宋" w:eastAsia="仿宋" w:cs="Times New Roman"/>
          <w:bCs/>
          <w:sz w:val="32"/>
          <w:szCs w:val="32"/>
        </w:rPr>
        <w:t>（八）指导和监督内部审计工作，核查社会审计机构对依法属审计监督对象的单位出具的相关审计报告。</w:t>
      </w:r>
    </w:p>
    <w:p>
      <w:pPr>
        <w:pStyle w:val="14"/>
        <w:spacing w:before="0" w:beforeAutospacing="0" w:after="0" w:afterAutospacing="0" w:line="600" w:lineRule="exact"/>
        <w:ind w:firstLine="480" w:firstLineChars="150"/>
        <w:rPr>
          <w:rFonts w:ascii="仿宋" w:hAnsi="仿宋" w:eastAsia="仿宋" w:cs="Times New Roman"/>
          <w:bCs/>
          <w:sz w:val="32"/>
          <w:szCs w:val="32"/>
        </w:rPr>
      </w:pPr>
      <w:r>
        <w:rPr>
          <w:rFonts w:hint="eastAsia" w:ascii="仿宋" w:hAnsi="仿宋" w:eastAsia="仿宋" w:cs="Times New Roman"/>
          <w:bCs/>
          <w:sz w:val="32"/>
          <w:szCs w:val="32"/>
        </w:rPr>
        <w:t>（九）与县区人民政府共同领导县区审计机关，依法领导、指导和监督下级审计机关的业务，组织下级审计机关实施特定项目的专项审计或审计调查，纠正或责成纠正下级审计机关违反国家规定作出的审计决定，按照干部管理权限协管县区审计机关负责人。</w:t>
      </w:r>
    </w:p>
    <w:p>
      <w:pPr>
        <w:pStyle w:val="14"/>
        <w:spacing w:before="0" w:beforeAutospacing="0" w:after="0" w:afterAutospacing="0" w:line="600" w:lineRule="exact"/>
        <w:ind w:firstLine="480" w:firstLineChars="150"/>
        <w:rPr>
          <w:rFonts w:ascii="仿宋" w:hAnsi="仿宋" w:eastAsia="仿宋" w:cs="Times New Roman"/>
          <w:bCs/>
          <w:sz w:val="32"/>
          <w:szCs w:val="32"/>
        </w:rPr>
      </w:pPr>
      <w:r>
        <w:rPr>
          <w:rFonts w:hint="eastAsia" w:ascii="仿宋" w:hAnsi="仿宋" w:eastAsia="仿宋" w:cs="Times New Roman"/>
          <w:bCs/>
          <w:sz w:val="32"/>
          <w:szCs w:val="32"/>
        </w:rPr>
        <w:t>（十）组织审计市政府或市政府主管部门驻外非经营性机构的财务收支，依法通过适当方式组织审计市属国有企业和金融机构的境外资产、负债和损益。</w:t>
      </w:r>
    </w:p>
    <w:p>
      <w:pPr>
        <w:pStyle w:val="14"/>
        <w:spacing w:before="0" w:beforeAutospacing="0" w:after="0" w:afterAutospacing="0" w:line="600" w:lineRule="exact"/>
        <w:ind w:firstLine="480" w:firstLineChars="150"/>
        <w:rPr>
          <w:rFonts w:ascii="仿宋" w:hAnsi="仿宋" w:eastAsia="仿宋" w:cs="Times New Roman"/>
          <w:bCs/>
          <w:sz w:val="32"/>
          <w:szCs w:val="32"/>
        </w:rPr>
      </w:pPr>
      <w:r>
        <w:rPr>
          <w:rFonts w:hint="eastAsia" w:ascii="仿宋" w:hAnsi="仿宋" w:eastAsia="仿宋" w:cs="Times New Roman"/>
          <w:bCs/>
          <w:sz w:val="32"/>
          <w:szCs w:val="32"/>
        </w:rPr>
        <w:t>（十一）组织开展审计领域的国际交流和合作，指导和推广信息技术在审计领域的应用，组织建设广元审计信息系统。</w:t>
      </w:r>
    </w:p>
    <w:p>
      <w:pPr>
        <w:pStyle w:val="14"/>
        <w:spacing w:before="0" w:beforeAutospacing="0" w:after="0" w:afterAutospacing="0" w:line="600" w:lineRule="exact"/>
        <w:ind w:firstLine="480" w:firstLineChars="150"/>
        <w:rPr>
          <w:rFonts w:ascii="仿宋" w:hAnsi="仿宋" w:eastAsia="仿宋" w:cs="Times New Roman"/>
          <w:bCs/>
          <w:sz w:val="32"/>
          <w:szCs w:val="32"/>
        </w:rPr>
      </w:pPr>
      <w:r>
        <w:rPr>
          <w:rFonts w:hint="eastAsia" w:ascii="仿宋" w:hAnsi="仿宋" w:eastAsia="仿宋" w:cs="Times New Roman"/>
          <w:bCs/>
          <w:sz w:val="32"/>
          <w:szCs w:val="32"/>
        </w:rPr>
        <w:t>（十二）承办市政府交办的其他事项。</w:t>
      </w:r>
    </w:p>
    <w:p/>
    <w:p>
      <w:pPr>
        <w:pStyle w:val="4"/>
        <w:rPr>
          <w:rStyle w:val="21"/>
          <w:b w:val="0"/>
          <w:bCs w:val="0"/>
        </w:rPr>
      </w:pPr>
      <w:bookmarkStart w:id="18" w:name="_Toc15377200"/>
      <w:bookmarkStart w:id="19" w:name="_Toc15396601"/>
      <w:bookmarkStart w:id="20" w:name="_Toc146189901"/>
      <w:r>
        <w:rPr>
          <w:rFonts w:hint="eastAsia" w:ascii="黑体" w:eastAsia="黑体"/>
          <w:b w:val="0"/>
        </w:rPr>
        <w:t>二、</w:t>
      </w:r>
      <w:r>
        <w:rPr>
          <w:rFonts w:hint="eastAsia" w:ascii="黑体" w:hAnsi="黑体" w:eastAsia="黑体"/>
          <w:b w:val="0"/>
        </w:rPr>
        <w:t>机</w:t>
      </w:r>
      <w:r>
        <w:rPr>
          <w:rStyle w:val="21"/>
          <w:rFonts w:hint="eastAsia" w:ascii="黑体" w:hAnsi="黑体" w:eastAsia="黑体"/>
          <w:b w:val="0"/>
          <w:bCs w:val="0"/>
        </w:rPr>
        <w:t>构设置</w:t>
      </w:r>
      <w:bookmarkEnd w:id="18"/>
      <w:bookmarkEnd w:id="19"/>
      <w:bookmarkEnd w:id="20"/>
    </w:p>
    <w:p>
      <w:pPr>
        <w:ind w:firstLine="800" w:firstLineChars="250"/>
        <w:rPr>
          <w:rFonts w:ascii="仿宋" w:hAnsi="仿宋" w:eastAsia="仿宋"/>
          <w:sz w:val="32"/>
          <w:szCs w:val="32"/>
        </w:rPr>
      </w:pPr>
      <w:r>
        <w:rPr>
          <w:rFonts w:hint="eastAsia" w:ascii="仿宋" w:hAnsi="仿宋" w:eastAsia="仿宋"/>
          <w:sz w:val="32"/>
          <w:szCs w:val="32"/>
        </w:rPr>
        <w:t>广元市审计局</w:t>
      </w:r>
      <w:r>
        <w:rPr>
          <w:rFonts w:ascii="仿宋" w:hAnsi="仿宋" w:eastAsia="仿宋"/>
          <w:sz w:val="32"/>
          <w:szCs w:val="32"/>
        </w:rPr>
        <w:t>无</w:t>
      </w:r>
      <w:r>
        <w:rPr>
          <w:rFonts w:hint="eastAsia" w:ascii="仿宋" w:hAnsi="仿宋" w:eastAsia="仿宋"/>
          <w:sz w:val="32"/>
          <w:szCs w:val="32"/>
        </w:rPr>
        <w:t>下属二级预算单位</w:t>
      </w:r>
      <w:r>
        <w:rPr>
          <w:rFonts w:ascii="仿宋" w:hAnsi="仿宋" w:eastAsia="仿宋"/>
          <w:sz w:val="32"/>
          <w:szCs w:val="32"/>
        </w:rPr>
        <w:t>，独立编制机构</w:t>
      </w:r>
      <w:r>
        <w:rPr>
          <w:rFonts w:hint="eastAsia" w:ascii="仿宋" w:hAnsi="仿宋" w:eastAsia="仿宋"/>
          <w:sz w:val="32"/>
          <w:szCs w:val="32"/>
        </w:rPr>
        <w:t>4个，</w:t>
      </w:r>
      <w:r>
        <w:rPr>
          <w:rFonts w:ascii="仿宋" w:hAnsi="仿宋" w:eastAsia="仿宋"/>
          <w:sz w:val="32"/>
          <w:szCs w:val="32"/>
        </w:rPr>
        <w:t>其中</w:t>
      </w:r>
      <w:r>
        <w:rPr>
          <w:rFonts w:hint="eastAsia" w:ascii="仿宋" w:hAnsi="仿宋" w:eastAsia="仿宋"/>
          <w:sz w:val="32"/>
          <w:szCs w:val="32"/>
        </w:rPr>
        <w:t>参照公务员法管理的事业单位</w:t>
      </w:r>
      <w:r>
        <w:rPr>
          <w:rFonts w:hint="eastAsia" w:ascii="仿宋" w:hAnsi="仿宋" w:eastAsia="仿宋"/>
          <w:bCs/>
          <w:sz w:val="32"/>
          <w:szCs w:val="32"/>
        </w:rPr>
        <w:t>2</w:t>
      </w:r>
      <w:r>
        <w:rPr>
          <w:rFonts w:hint="eastAsia" w:ascii="仿宋" w:hAnsi="仿宋" w:eastAsia="仿宋"/>
          <w:sz w:val="32"/>
          <w:szCs w:val="32"/>
        </w:rPr>
        <w:t>个，其他事业单位2个，均未单独核算。</w:t>
      </w:r>
    </w:p>
    <w:p>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纳入广元市审计局2022年度部门决算编制范围的</w:t>
      </w:r>
      <w:r>
        <w:rPr>
          <w:rFonts w:ascii="仿宋" w:hAnsi="仿宋" w:eastAsia="仿宋"/>
          <w:sz w:val="32"/>
          <w:szCs w:val="32"/>
        </w:rPr>
        <w:t>独立编制机构</w:t>
      </w:r>
      <w:r>
        <w:rPr>
          <w:rFonts w:hint="eastAsia" w:ascii="仿宋" w:hAnsi="仿宋" w:eastAsia="仿宋"/>
          <w:sz w:val="32"/>
          <w:szCs w:val="32"/>
        </w:rPr>
        <w:t>包括：</w:t>
      </w:r>
    </w:p>
    <w:p>
      <w:pPr>
        <w:pStyle w:val="2"/>
        <w:numPr>
          <w:ilvl w:val="0"/>
          <w:numId w:val="2"/>
        </w:numPr>
        <w:adjustRightInd w:val="0"/>
        <w:snapToGrid w:val="0"/>
        <w:spacing w:beforeLines="0" w:line="576" w:lineRule="exact"/>
        <w:outlineLvl w:val="2"/>
        <w:rPr>
          <w:rFonts w:ascii="仿宋" w:hAnsi="仿宋" w:eastAsia="仿宋" w:cs="仿宋_GB2312"/>
          <w:kern w:val="2"/>
          <w:sz w:val="32"/>
          <w:szCs w:val="32"/>
        </w:rPr>
      </w:pPr>
      <w:bookmarkStart w:id="21" w:name="_Toc146189902"/>
      <w:bookmarkStart w:id="22" w:name="_Toc114567406"/>
      <w:r>
        <w:rPr>
          <w:rFonts w:hint="eastAsia" w:ascii="仿宋" w:hAnsi="仿宋" w:eastAsia="仿宋" w:cs="仿宋_GB2312"/>
          <w:kern w:val="2"/>
          <w:sz w:val="32"/>
          <w:szCs w:val="32"/>
        </w:rPr>
        <w:t>广元市审计局直属审计分局</w:t>
      </w:r>
      <w:bookmarkEnd w:id="21"/>
      <w:bookmarkEnd w:id="22"/>
    </w:p>
    <w:p>
      <w:pPr>
        <w:pStyle w:val="2"/>
        <w:numPr>
          <w:ilvl w:val="0"/>
          <w:numId w:val="2"/>
        </w:numPr>
        <w:adjustRightInd w:val="0"/>
        <w:snapToGrid w:val="0"/>
        <w:spacing w:beforeLines="0" w:line="576" w:lineRule="exact"/>
        <w:outlineLvl w:val="2"/>
        <w:rPr>
          <w:rFonts w:ascii="仿宋" w:hAnsi="仿宋" w:eastAsia="仿宋" w:cs="仿宋_GB2312"/>
          <w:kern w:val="2"/>
          <w:sz w:val="32"/>
          <w:szCs w:val="32"/>
        </w:rPr>
      </w:pPr>
      <w:bookmarkStart w:id="23" w:name="_Toc146189903"/>
      <w:bookmarkStart w:id="24" w:name="_Toc114567407"/>
      <w:r>
        <w:rPr>
          <w:rFonts w:hint="eastAsia" w:ascii="仿宋" w:hAnsi="仿宋" w:eastAsia="仿宋" w:cs="仿宋_GB2312"/>
          <w:kern w:val="2"/>
          <w:sz w:val="32"/>
          <w:szCs w:val="32"/>
        </w:rPr>
        <w:t>广元市财政监督检查局</w:t>
      </w:r>
      <w:bookmarkEnd w:id="23"/>
      <w:bookmarkEnd w:id="24"/>
    </w:p>
    <w:p>
      <w:pPr>
        <w:pStyle w:val="2"/>
        <w:numPr>
          <w:ilvl w:val="0"/>
          <w:numId w:val="2"/>
        </w:numPr>
        <w:adjustRightInd w:val="0"/>
        <w:snapToGrid w:val="0"/>
        <w:spacing w:beforeLines="0" w:line="576" w:lineRule="exact"/>
        <w:outlineLvl w:val="2"/>
        <w:rPr>
          <w:rFonts w:ascii="仿宋" w:hAnsi="仿宋" w:eastAsia="仿宋" w:cs="仿宋_GB2312"/>
          <w:kern w:val="2"/>
          <w:sz w:val="32"/>
          <w:szCs w:val="32"/>
        </w:rPr>
      </w:pPr>
      <w:bookmarkStart w:id="25" w:name="_Toc114567408"/>
      <w:bookmarkStart w:id="26" w:name="_Toc146189904"/>
      <w:r>
        <w:rPr>
          <w:rFonts w:hint="eastAsia" w:ascii="仿宋" w:hAnsi="仿宋" w:eastAsia="仿宋" w:cs="仿宋_GB2312"/>
          <w:kern w:val="2"/>
          <w:sz w:val="32"/>
          <w:szCs w:val="32"/>
        </w:rPr>
        <w:t>广元市固定资产投资审计中心</w:t>
      </w:r>
      <w:bookmarkEnd w:id="25"/>
      <w:bookmarkEnd w:id="26"/>
    </w:p>
    <w:p>
      <w:pPr>
        <w:pStyle w:val="2"/>
        <w:numPr>
          <w:ilvl w:val="0"/>
          <w:numId w:val="2"/>
        </w:numPr>
        <w:adjustRightInd w:val="0"/>
        <w:snapToGrid w:val="0"/>
        <w:spacing w:beforeLines="0" w:line="576" w:lineRule="exact"/>
        <w:outlineLvl w:val="2"/>
        <w:rPr>
          <w:rFonts w:ascii="仿宋" w:hAnsi="仿宋" w:eastAsia="仿宋" w:cs="仿宋_GB2312"/>
          <w:kern w:val="2"/>
          <w:sz w:val="32"/>
          <w:szCs w:val="32"/>
        </w:rPr>
      </w:pPr>
      <w:bookmarkStart w:id="27" w:name="_Toc146189905"/>
      <w:bookmarkStart w:id="28" w:name="_Toc114567409"/>
      <w:r>
        <w:rPr>
          <w:rFonts w:hint="eastAsia" w:ascii="仿宋" w:hAnsi="仿宋" w:eastAsia="仿宋" w:cs="仿宋_GB2312"/>
          <w:kern w:val="2"/>
          <w:sz w:val="32"/>
          <w:szCs w:val="32"/>
        </w:rPr>
        <w:t>广元市审计信息中心</w:t>
      </w:r>
      <w:bookmarkEnd w:id="27"/>
      <w:bookmarkEnd w:id="28"/>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0"/>
          <w:rFonts w:ascii="黑体" w:hAnsi="黑体" w:eastAsia="黑体"/>
          <w:b w:val="0"/>
          <w:bCs/>
        </w:rPr>
      </w:pPr>
      <w:bookmarkStart w:id="29" w:name="_Toc146189906"/>
      <w:bookmarkStart w:id="30" w:name="_Toc15396602"/>
      <w:bookmarkStart w:id="31" w:name="_Toc15377204"/>
      <w:r>
        <w:rPr>
          <w:rFonts w:hint="eastAsia" w:ascii="黑体" w:hAnsi="黑体" w:eastAsia="黑体"/>
          <w:b w:val="0"/>
        </w:rPr>
        <w:t>第二部分2022年度</w:t>
      </w:r>
      <w:r>
        <w:rPr>
          <w:rStyle w:val="20"/>
          <w:rFonts w:hint="eastAsia" w:ascii="黑体" w:hAnsi="黑体" w:eastAsia="黑体"/>
          <w:b w:val="0"/>
          <w:bCs/>
        </w:rPr>
        <w:t>部门决算情况说明</w:t>
      </w:r>
      <w:bookmarkEnd w:id="29"/>
      <w:bookmarkEnd w:id="30"/>
      <w:bookmarkEnd w:id="31"/>
    </w:p>
    <w:p/>
    <w:p>
      <w:pPr>
        <w:pStyle w:val="31"/>
        <w:numPr>
          <w:ilvl w:val="0"/>
          <w:numId w:val="3"/>
        </w:numPr>
        <w:spacing w:line="600" w:lineRule="exact"/>
        <w:ind w:firstLineChars="0"/>
        <w:outlineLvl w:val="1"/>
        <w:rPr>
          <w:rStyle w:val="21"/>
          <w:rFonts w:ascii="黑体" w:hAnsi="黑体" w:eastAsia="黑体"/>
          <w:b w:val="0"/>
        </w:rPr>
      </w:pPr>
      <w:bookmarkStart w:id="32" w:name="_Toc15396603"/>
      <w:bookmarkStart w:id="33" w:name="_Toc146189907"/>
      <w:bookmarkStart w:id="34" w:name="_Toc15377205"/>
      <w:r>
        <w:rPr>
          <w:rFonts w:hint="eastAsia" w:ascii="黑体" w:hAnsi="黑体" w:eastAsia="黑体"/>
          <w:sz w:val="32"/>
          <w:szCs w:val="32"/>
        </w:rPr>
        <w:t>收</w:t>
      </w:r>
      <w:r>
        <w:rPr>
          <w:rStyle w:val="21"/>
          <w:rFonts w:hint="eastAsia" w:ascii="黑体" w:hAnsi="黑体" w:eastAsia="黑体"/>
          <w:b w:val="0"/>
        </w:rPr>
        <w:t>入支出决算总体情况说明</w:t>
      </w:r>
      <w:bookmarkEnd w:id="32"/>
      <w:bookmarkEnd w:id="33"/>
      <w:bookmarkEnd w:id="34"/>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2022年度收、支总计2592.99万元。与2021年相比，收、支总计各增加131.69万元，增长5.35</w:t>
      </w:r>
      <w:r>
        <w:rPr>
          <w:rFonts w:ascii="仿宋" w:hAnsi="仿宋" w:eastAsia="仿宋"/>
          <w:sz w:val="32"/>
          <w:szCs w:val="32"/>
        </w:rPr>
        <w:t>%</w:t>
      </w:r>
      <w:r>
        <w:rPr>
          <w:rFonts w:hint="eastAsia" w:ascii="仿宋" w:hAnsi="仿宋" w:eastAsia="仿宋"/>
          <w:sz w:val="32"/>
          <w:szCs w:val="32"/>
        </w:rPr>
        <w:t>。主要变动原因是人员经费增加。</w:t>
      </w:r>
    </w:p>
    <w:p>
      <w:pPr>
        <w:pStyle w:val="2"/>
        <w:spacing w:before="93"/>
      </w:pPr>
      <w:r>
        <w:drawing>
          <wp:inline distT="0" distB="0" distL="0" distR="0">
            <wp:extent cx="5274310" cy="2504440"/>
            <wp:effectExtent l="19050" t="0" r="2159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1440" w:firstLineChars="45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
        <w:spacing w:before="93"/>
      </w:pPr>
    </w:p>
    <w:p>
      <w:pPr>
        <w:pStyle w:val="31"/>
        <w:numPr>
          <w:ilvl w:val="0"/>
          <w:numId w:val="3"/>
        </w:numPr>
        <w:spacing w:line="600" w:lineRule="exact"/>
        <w:ind w:firstLineChars="0"/>
        <w:outlineLvl w:val="1"/>
        <w:rPr>
          <w:rStyle w:val="21"/>
          <w:rFonts w:ascii="黑体" w:hAnsi="黑体" w:eastAsia="黑体"/>
          <w:b w:val="0"/>
        </w:rPr>
      </w:pPr>
      <w:bookmarkStart w:id="35" w:name="_Toc15377206"/>
      <w:bookmarkStart w:id="36" w:name="_Toc15396604"/>
      <w:bookmarkStart w:id="37" w:name="_Toc146189908"/>
      <w:r>
        <w:rPr>
          <w:rFonts w:hint="eastAsia" w:ascii="黑体" w:hAnsi="黑体" w:eastAsia="黑体"/>
          <w:sz w:val="32"/>
          <w:szCs w:val="32"/>
        </w:rPr>
        <w:t>收</w:t>
      </w:r>
      <w:r>
        <w:rPr>
          <w:rStyle w:val="21"/>
          <w:rFonts w:hint="eastAsia" w:ascii="黑体" w:hAnsi="黑体" w:eastAsia="黑体"/>
          <w:b w:val="0"/>
        </w:rPr>
        <w:t>入决算情况说明</w:t>
      </w:r>
      <w:bookmarkEnd w:id="35"/>
      <w:bookmarkEnd w:id="36"/>
      <w:bookmarkEnd w:id="37"/>
    </w:p>
    <w:p>
      <w:pPr>
        <w:spacing w:line="600" w:lineRule="exact"/>
        <w:ind w:firstLine="640" w:firstLineChars="200"/>
        <w:outlineLvl w:val="1"/>
        <w:rPr>
          <w:rFonts w:ascii="仿宋" w:hAnsi="仿宋" w:eastAsia="仿宋"/>
          <w:sz w:val="32"/>
          <w:szCs w:val="32"/>
        </w:rPr>
      </w:pPr>
      <w:bookmarkStart w:id="38" w:name="_Toc146189909"/>
      <w:r>
        <w:rPr>
          <w:rFonts w:ascii="仿宋" w:hAnsi="仿宋" w:eastAsia="仿宋"/>
          <w:sz w:val="32"/>
          <w:szCs w:val="32"/>
        </w:rPr>
        <w:t>20</w:t>
      </w:r>
      <w:r>
        <w:rPr>
          <w:rFonts w:hint="eastAsia" w:ascii="仿宋" w:hAnsi="仿宋" w:eastAsia="仿宋"/>
          <w:sz w:val="32"/>
          <w:szCs w:val="32"/>
        </w:rPr>
        <w:t>22年本年收入合计2457.11万元，其中：一般公共预算财政拨款收入2357.31万元，占95.94</w:t>
      </w:r>
      <w:r>
        <w:rPr>
          <w:rFonts w:ascii="仿宋" w:hAnsi="仿宋" w:eastAsia="仿宋"/>
          <w:sz w:val="32"/>
          <w:szCs w:val="32"/>
        </w:rPr>
        <w:t>%</w:t>
      </w:r>
      <w:r>
        <w:rPr>
          <w:rFonts w:hint="eastAsia" w:ascii="仿宋" w:hAnsi="仿宋" w:eastAsia="仿宋"/>
          <w:sz w:val="32"/>
          <w:szCs w:val="32"/>
        </w:rPr>
        <w:t>；其他收入99.8万元，占4.06</w:t>
      </w:r>
      <w:r>
        <w:rPr>
          <w:rFonts w:ascii="仿宋" w:hAnsi="仿宋" w:eastAsia="仿宋"/>
          <w:sz w:val="32"/>
          <w:szCs w:val="32"/>
        </w:rPr>
        <w:t>%</w:t>
      </w:r>
      <w:r>
        <w:rPr>
          <w:rFonts w:hint="eastAsia" w:ascii="仿宋" w:hAnsi="仿宋" w:eastAsia="仿宋"/>
          <w:sz w:val="32"/>
          <w:szCs w:val="32"/>
        </w:rPr>
        <w:t>。</w:t>
      </w:r>
      <w:bookmarkEnd w:id="38"/>
    </w:p>
    <w:p>
      <w:pPr>
        <w:pStyle w:val="2"/>
        <w:spacing w:before="93"/>
      </w:pPr>
      <w:r>
        <w:drawing>
          <wp:inline distT="0" distB="0" distL="0" distR="0">
            <wp:extent cx="5363845" cy="2432685"/>
            <wp:effectExtent l="19050" t="0" r="26808" b="5301"/>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2560" w:firstLineChars="800"/>
        <w:rPr>
          <w:rFonts w:ascii="仿宋" w:hAnsi="仿宋" w:eastAsia="仿宋"/>
          <w:sz w:val="32"/>
          <w:szCs w:val="32"/>
        </w:rPr>
      </w:pPr>
      <w:r>
        <w:rPr>
          <w:rFonts w:hint="eastAsia" w:ascii="仿宋" w:hAnsi="仿宋" w:eastAsia="仿宋"/>
          <w:sz w:val="32"/>
          <w:szCs w:val="32"/>
        </w:rPr>
        <w:t>（图2：收入决算结构图）</w:t>
      </w:r>
    </w:p>
    <w:p>
      <w:pPr>
        <w:spacing w:line="600" w:lineRule="exact"/>
        <w:ind w:firstLine="640" w:firstLineChars="200"/>
        <w:rPr>
          <w:rFonts w:ascii="仿宋_GB2312" w:eastAsia="仿宋_GB2312"/>
          <w:sz w:val="32"/>
          <w:szCs w:val="32"/>
        </w:rPr>
      </w:pPr>
    </w:p>
    <w:p>
      <w:pPr>
        <w:pStyle w:val="31"/>
        <w:numPr>
          <w:ilvl w:val="0"/>
          <w:numId w:val="3"/>
        </w:numPr>
        <w:spacing w:line="600" w:lineRule="exact"/>
        <w:ind w:firstLineChars="0"/>
        <w:outlineLvl w:val="1"/>
        <w:rPr>
          <w:rStyle w:val="21"/>
          <w:rFonts w:ascii="黑体" w:hAnsi="黑体" w:eastAsia="黑体"/>
          <w:b w:val="0"/>
        </w:rPr>
      </w:pPr>
      <w:bookmarkStart w:id="39" w:name="_Toc146189910"/>
      <w:bookmarkStart w:id="40" w:name="_Toc15377207"/>
      <w:bookmarkStart w:id="41" w:name="_Toc15396605"/>
      <w:r>
        <w:rPr>
          <w:rFonts w:hint="eastAsia" w:ascii="黑体" w:hAnsi="黑体" w:eastAsia="黑体"/>
          <w:sz w:val="32"/>
          <w:szCs w:val="32"/>
        </w:rPr>
        <w:t>支</w:t>
      </w:r>
      <w:r>
        <w:rPr>
          <w:rStyle w:val="21"/>
          <w:rFonts w:hint="eastAsia" w:ascii="黑体" w:hAnsi="黑体" w:eastAsia="黑体"/>
          <w:b w:val="0"/>
        </w:rPr>
        <w:t>出决算情况说明</w:t>
      </w:r>
      <w:bookmarkEnd w:id="39"/>
      <w:bookmarkEnd w:id="40"/>
      <w:bookmarkEnd w:id="41"/>
    </w:p>
    <w:p>
      <w:pPr>
        <w:spacing w:line="600" w:lineRule="exact"/>
        <w:ind w:firstLine="640" w:firstLineChars="200"/>
        <w:outlineLvl w:val="1"/>
        <w:rPr>
          <w:rFonts w:ascii="仿宋" w:hAnsi="仿宋" w:eastAsia="仿宋"/>
          <w:sz w:val="32"/>
          <w:szCs w:val="32"/>
        </w:rPr>
      </w:pPr>
      <w:bookmarkStart w:id="42" w:name="_Toc146189911"/>
      <w:r>
        <w:rPr>
          <w:rFonts w:ascii="仿宋" w:hAnsi="仿宋" w:eastAsia="仿宋"/>
          <w:sz w:val="32"/>
          <w:szCs w:val="32"/>
        </w:rPr>
        <w:t>20</w:t>
      </w:r>
      <w:r>
        <w:rPr>
          <w:rFonts w:hint="eastAsia" w:ascii="仿宋" w:hAnsi="仿宋" w:eastAsia="仿宋"/>
          <w:sz w:val="32"/>
          <w:szCs w:val="32"/>
        </w:rPr>
        <w:t>22年本年支出合计2490.55万元，其中：基本支出1907.23万元，占76.58</w:t>
      </w:r>
      <w:r>
        <w:rPr>
          <w:rFonts w:ascii="仿宋" w:hAnsi="仿宋" w:eastAsia="仿宋"/>
          <w:sz w:val="32"/>
          <w:szCs w:val="32"/>
        </w:rPr>
        <w:t>%</w:t>
      </w:r>
      <w:r>
        <w:rPr>
          <w:rFonts w:hint="eastAsia" w:ascii="仿宋" w:hAnsi="仿宋" w:eastAsia="仿宋"/>
          <w:sz w:val="32"/>
          <w:szCs w:val="32"/>
        </w:rPr>
        <w:t>；项目支出583.32万元，占23.42</w:t>
      </w:r>
      <w:r>
        <w:rPr>
          <w:rFonts w:ascii="仿宋" w:hAnsi="仿宋" w:eastAsia="仿宋"/>
          <w:sz w:val="32"/>
          <w:szCs w:val="32"/>
        </w:rPr>
        <w:t>%</w:t>
      </w:r>
      <w:r>
        <w:rPr>
          <w:rFonts w:hint="eastAsia" w:ascii="仿宋" w:hAnsi="仿宋" w:eastAsia="仿宋"/>
          <w:sz w:val="32"/>
          <w:szCs w:val="32"/>
        </w:rPr>
        <w:t>。</w:t>
      </w:r>
      <w:bookmarkEnd w:id="42"/>
    </w:p>
    <w:p>
      <w:pPr>
        <w:pStyle w:val="2"/>
        <w:spacing w:before="93"/>
      </w:pPr>
    </w:p>
    <w:p>
      <w:pPr>
        <w:pStyle w:val="2"/>
        <w:spacing w:before="93"/>
      </w:pPr>
      <w:r>
        <w:drawing>
          <wp:inline distT="0" distB="0" distL="0" distR="0">
            <wp:extent cx="5117465" cy="2743200"/>
            <wp:effectExtent l="19050" t="0" r="26035" b="0"/>
            <wp:docPr id="13"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2240" w:firstLineChars="700"/>
        <w:rPr>
          <w:rFonts w:ascii="仿宋" w:hAnsi="仿宋" w:eastAsia="仿宋"/>
          <w:sz w:val="32"/>
          <w:szCs w:val="32"/>
        </w:rPr>
      </w:pPr>
      <w:r>
        <w:rPr>
          <w:rFonts w:hint="eastAsia" w:ascii="仿宋" w:hAnsi="仿宋" w:eastAsia="仿宋"/>
          <w:sz w:val="32"/>
          <w:szCs w:val="32"/>
        </w:rPr>
        <w:t>（图3：支出决算结构图）</w:t>
      </w:r>
    </w:p>
    <w:p>
      <w:pPr>
        <w:pStyle w:val="2"/>
        <w:spacing w:before="93"/>
      </w:pPr>
    </w:p>
    <w:p>
      <w:pPr>
        <w:spacing w:line="600" w:lineRule="exact"/>
        <w:ind w:firstLine="640" w:firstLineChars="200"/>
        <w:outlineLvl w:val="1"/>
        <w:rPr>
          <w:rStyle w:val="21"/>
          <w:rFonts w:ascii="黑体" w:hAnsi="黑体" w:eastAsia="黑体"/>
          <w:b w:val="0"/>
        </w:rPr>
      </w:pPr>
      <w:bookmarkStart w:id="43" w:name="_Toc15396606"/>
      <w:bookmarkStart w:id="44" w:name="_Toc15377208"/>
      <w:bookmarkStart w:id="45" w:name="_Toc146189912"/>
      <w:r>
        <w:rPr>
          <w:rFonts w:hint="eastAsia" w:ascii="黑体" w:hAnsi="黑体" w:eastAsia="黑体"/>
          <w:sz w:val="32"/>
          <w:szCs w:val="32"/>
        </w:rPr>
        <w:t>四、财</w:t>
      </w:r>
      <w:r>
        <w:rPr>
          <w:rStyle w:val="21"/>
          <w:rFonts w:hint="eastAsia" w:ascii="黑体" w:hAnsi="黑体" w:eastAsia="黑体"/>
          <w:b w:val="0"/>
        </w:rPr>
        <w:t>政拨款收入支出决算总体情况说明</w:t>
      </w:r>
      <w:bookmarkEnd w:id="43"/>
      <w:bookmarkEnd w:id="44"/>
      <w:bookmarkEnd w:id="4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22年财政拨款收、支总计2369.98万元。与</w:t>
      </w:r>
      <w:r>
        <w:rPr>
          <w:rFonts w:ascii="仿宋" w:hAnsi="仿宋" w:eastAsia="仿宋"/>
          <w:sz w:val="32"/>
          <w:szCs w:val="32"/>
        </w:rPr>
        <w:t>20</w:t>
      </w:r>
      <w:r>
        <w:rPr>
          <w:rFonts w:hint="eastAsia" w:ascii="仿宋" w:hAnsi="仿宋" w:eastAsia="仿宋"/>
          <w:sz w:val="32"/>
          <w:szCs w:val="32"/>
        </w:rPr>
        <w:t>21年相比，财政拨款收、支总计各增加221.67万元，增长10.32</w:t>
      </w:r>
      <w:r>
        <w:rPr>
          <w:rFonts w:ascii="仿宋" w:hAnsi="仿宋" w:eastAsia="仿宋"/>
          <w:sz w:val="32"/>
          <w:szCs w:val="32"/>
        </w:rPr>
        <w:t>%</w:t>
      </w:r>
      <w:r>
        <w:rPr>
          <w:rFonts w:hint="eastAsia" w:ascii="仿宋" w:hAnsi="仿宋" w:eastAsia="仿宋"/>
          <w:sz w:val="32"/>
          <w:szCs w:val="32"/>
        </w:rPr>
        <w:t>。主要变动原因是人员经费增加。</w:t>
      </w:r>
    </w:p>
    <w:p>
      <w:pPr>
        <w:pStyle w:val="2"/>
        <w:spacing w:before="93"/>
      </w:pPr>
      <w:r>
        <w:drawing>
          <wp:inline distT="0" distB="0" distL="0" distR="0">
            <wp:extent cx="5270500" cy="2901950"/>
            <wp:effectExtent l="19050" t="0" r="25069" b="0"/>
            <wp:docPr id="1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1120" w:firstLineChars="350"/>
        <w:rPr>
          <w:rFonts w:ascii="仿宋" w:hAnsi="仿宋" w:eastAsia="仿宋"/>
          <w:sz w:val="32"/>
          <w:szCs w:val="32"/>
        </w:rPr>
      </w:pPr>
      <w:r>
        <w:rPr>
          <w:rFonts w:hint="eastAsia" w:ascii="仿宋" w:hAnsi="仿宋" w:eastAsia="仿宋"/>
          <w:sz w:val="32"/>
          <w:szCs w:val="32"/>
        </w:rPr>
        <w:t>（图4：财政拨款收、支决算总计变动情况）</w:t>
      </w:r>
    </w:p>
    <w:p>
      <w:pPr>
        <w:spacing w:line="600" w:lineRule="exact"/>
        <w:ind w:firstLine="640"/>
        <w:rPr>
          <w:rFonts w:ascii="仿宋" w:hAnsi="仿宋" w:eastAsia="仿宋"/>
          <w:b/>
          <w:sz w:val="32"/>
          <w:szCs w:val="32"/>
        </w:rPr>
      </w:pPr>
    </w:p>
    <w:p>
      <w:pPr>
        <w:spacing w:line="600" w:lineRule="exact"/>
        <w:ind w:firstLine="640" w:firstLineChars="200"/>
        <w:outlineLvl w:val="1"/>
        <w:rPr>
          <w:rStyle w:val="21"/>
          <w:rFonts w:ascii="黑体" w:hAnsi="黑体" w:eastAsia="黑体"/>
          <w:b w:val="0"/>
        </w:rPr>
      </w:pPr>
      <w:bookmarkStart w:id="46" w:name="_Toc146189913"/>
      <w:bookmarkStart w:id="47" w:name="_Toc15396607"/>
      <w:bookmarkStart w:id="48" w:name="_Toc15377209"/>
      <w:r>
        <w:rPr>
          <w:rFonts w:hint="eastAsia" w:ascii="黑体" w:hAnsi="黑体" w:eastAsia="黑体"/>
          <w:sz w:val="32"/>
          <w:szCs w:val="32"/>
        </w:rPr>
        <w:t>五、</w:t>
      </w:r>
      <w:r>
        <w:rPr>
          <w:rFonts w:hint="eastAsia" w:ascii="黑体" w:hAnsi="黑体" w:eastAsia="黑体"/>
          <w:b/>
          <w:sz w:val="32"/>
          <w:szCs w:val="32"/>
        </w:rPr>
        <w:t>一</w:t>
      </w:r>
      <w:r>
        <w:rPr>
          <w:rStyle w:val="21"/>
          <w:rFonts w:hint="eastAsia" w:ascii="黑体" w:hAnsi="黑体" w:eastAsia="黑体"/>
          <w:b w:val="0"/>
        </w:rPr>
        <w:t>般公共预算财政拨款支出决算情况说明</w:t>
      </w:r>
      <w:bookmarkEnd w:id="46"/>
      <w:bookmarkEnd w:id="47"/>
      <w:bookmarkEnd w:id="48"/>
    </w:p>
    <w:p>
      <w:pPr>
        <w:spacing w:line="600" w:lineRule="exact"/>
        <w:ind w:firstLine="642" w:firstLineChars="200"/>
        <w:outlineLvl w:val="2"/>
        <w:rPr>
          <w:rFonts w:ascii="仿宋" w:hAnsi="仿宋" w:eastAsia="仿宋"/>
          <w:b/>
          <w:sz w:val="32"/>
          <w:szCs w:val="32"/>
        </w:rPr>
      </w:pPr>
      <w:bookmarkStart w:id="49" w:name="_Toc146189914"/>
      <w:bookmarkStart w:id="50" w:name="_Toc15377210"/>
      <w:r>
        <w:rPr>
          <w:rFonts w:hint="eastAsia" w:ascii="仿宋" w:hAnsi="仿宋" w:eastAsia="仿宋"/>
          <w:b/>
          <w:sz w:val="32"/>
          <w:szCs w:val="32"/>
        </w:rPr>
        <w:t>（一）一般公共预算财政拨款支出决算总体情况</w:t>
      </w:r>
      <w:bookmarkEnd w:id="49"/>
      <w:bookmarkEnd w:id="50"/>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22年一般公共预算财政拨款支出2362.16万元，占本年支出合计的100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21年相比，一般公共预算财政拨款支出增加223.41万元，增长10.45</w:t>
      </w:r>
      <w:r>
        <w:rPr>
          <w:rFonts w:ascii="仿宋" w:hAnsi="仿宋" w:eastAsia="仿宋"/>
          <w:sz w:val="32"/>
          <w:szCs w:val="32"/>
        </w:rPr>
        <w:t>%</w:t>
      </w:r>
      <w:r>
        <w:rPr>
          <w:rFonts w:hint="eastAsia" w:ascii="仿宋" w:hAnsi="仿宋" w:eastAsia="仿宋"/>
          <w:sz w:val="32"/>
          <w:szCs w:val="32"/>
        </w:rPr>
        <w:t>。主要变动原因是人员经费增加。</w:t>
      </w:r>
    </w:p>
    <w:p>
      <w:pPr>
        <w:pStyle w:val="2"/>
        <w:spacing w:before="93"/>
      </w:pPr>
    </w:p>
    <w:p>
      <w:pPr>
        <w:pStyle w:val="2"/>
        <w:spacing w:before="93"/>
      </w:pPr>
    </w:p>
    <w:p>
      <w:pPr>
        <w:pStyle w:val="2"/>
        <w:spacing w:before="93"/>
      </w:pPr>
      <w:r>
        <w:drawing>
          <wp:inline distT="0" distB="0" distL="0" distR="0">
            <wp:extent cx="5270500" cy="2647315"/>
            <wp:effectExtent l="19050" t="0" r="25069" b="166"/>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pStyle w:val="2"/>
        <w:spacing w:before="93"/>
      </w:pPr>
    </w:p>
    <w:p>
      <w:pPr>
        <w:spacing w:line="600" w:lineRule="exact"/>
        <w:ind w:firstLine="642" w:firstLineChars="200"/>
        <w:outlineLvl w:val="2"/>
        <w:rPr>
          <w:rFonts w:ascii="仿宋" w:hAnsi="仿宋" w:eastAsia="仿宋"/>
          <w:b/>
          <w:sz w:val="32"/>
          <w:szCs w:val="32"/>
        </w:rPr>
      </w:pPr>
      <w:bookmarkStart w:id="51" w:name="_Toc146189915"/>
      <w:bookmarkStart w:id="52" w:name="_Toc15377211"/>
      <w:r>
        <w:rPr>
          <w:rFonts w:hint="eastAsia" w:ascii="仿宋" w:hAnsi="仿宋" w:eastAsia="仿宋"/>
          <w:b/>
          <w:sz w:val="32"/>
          <w:szCs w:val="32"/>
        </w:rPr>
        <w:t>（二）一般公共预算财政拨款支出决算结构情况</w:t>
      </w:r>
      <w:bookmarkEnd w:id="51"/>
      <w:bookmarkEnd w:id="52"/>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22年一般公共预算财政拨款支出2362.16万元，主要用于以下方面：</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2044.5万元，占86.55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148.33万元，占6.28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52.14万元，占2.21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116.92万元，占4.96</w:t>
      </w:r>
      <w:r>
        <w:rPr>
          <w:rFonts w:ascii="仿宋" w:hAnsi="仿宋" w:eastAsia="仿宋"/>
          <w:sz w:val="32"/>
          <w:szCs w:val="32"/>
        </w:rPr>
        <w:t>%</w:t>
      </w:r>
      <w:r>
        <w:rPr>
          <w:rFonts w:hint="eastAsia" w:ascii="仿宋" w:hAnsi="仿宋" w:eastAsia="仿宋"/>
          <w:sz w:val="32"/>
          <w:szCs w:val="32"/>
        </w:rPr>
        <w:t>。</w:t>
      </w:r>
    </w:p>
    <w:p>
      <w:pPr>
        <w:pStyle w:val="2"/>
        <w:spacing w:before="93"/>
      </w:pPr>
      <w:r>
        <w:drawing>
          <wp:inline distT="0" distB="0" distL="0" distR="0">
            <wp:extent cx="5264150" cy="2249805"/>
            <wp:effectExtent l="19050" t="0" r="12396" b="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960" w:firstLineChars="300"/>
        <w:rPr>
          <w:rFonts w:ascii="仿宋" w:hAnsi="仿宋" w:eastAsia="仿宋"/>
          <w:sz w:val="32"/>
          <w:szCs w:val="32"/>
        </w:rPr>
      </w:pPr>
      <w:r>
        <w:rPr>
          <w:rFonts w:hint="eastAsia" w:ascii="仿宋" w:hAnsi="仿宋" w:eastAsia="仿宋"/>
          <w:sz w:val="32"/>
          <w:szCs w:val="32"/>
        </w:rPr>
        <w:t>（图6：一般公共预算财政拨款支出决算结构）</w:t>
      </w:r>
      <w:bookmarkStart w:id="53" w:name="_Toc15377212"/>
    </w:p>
    <w:p>
      <w:pPr>
        <w:spacing w:line="600" w:lineRule="exact"/>
        <w:ind w:firstLine="642" w:firstLineChars="200"/>
        <w:outlineLvl w:val="2"/>
        <w:rPr>
          <w:rFonts w:ascii="仿宋" w:hAnsi="仿宋" w:eastAsia="仿宋"/>
          <w:b/>
          <w:sz w:val="32"/>
          <w:szCs w:val="32"/>
        </w:rPr>
      </w:pPr>
    </w:p>
    <w:p>
      <w:pPr>
        <w:spacing w:line="600" w:lineRule="exact"/>
        <w:ind w:firstLine="642" w:firstLineChars="200"/>
        <w:outlineLvl w:val="2"/>
        <w:rPr>
          <w:rFonts w:ascii="仿宋" w:hAnsi="仿宋" w:eastAsia="仿宋"/>
          <w:b/>
          <w:sz w:val="32"/>
          <w:szCs w:val="32"/>
        </w:rPr>
      </w:pPr>
      <w:bookmarkStart w:id="54" w:name="_Toc146189916"/>
      <w:r>
        <w:rPr>
          <w:rFonts w:hint="eastAsia" w:ascii="仿宋" w:hAnsi="仿宋" w:eastAsia="仿宋"/>
          <w:b/>
          <w:sz w:val="32"/>
          <w:szCs w:val="32"/>
        </w:rPr>
        <w:t>（三）一般公共预算财政拨款支出决算具体情况</w:t>
      </w:r>
      <w:bookmarkEnd w:id="53"/>
      <w:bookmarkEnd w:id="54"/>
    </w:p>
    <w:p>
      <w:pPr>
        <w:spacing w:line="600" w:lineRule="exact"/>
        <w:ind w:firstLine="642" w:firstLineChars="200"/>
        <w:outlineLvl w:val="2"/>
        <w:rPr>
          <w:rFonts w:ascii="仿宋" w:hAnsi="仿宋" w:eastAsia="仿宋"/>
          <w:sz w:val="32"/>
          <w:szCs w:val="32"/>
        </w:rPr>
      </w:pPr>
      <w:bookmarkStart w:id="55" w:name="_Toc15377444"/>
      <w:bookmarkStart w:id="56" w:name="_Toc146189917"/>
      <w:bookmarkStart w:id="57" w:name="_Toc15377213"/>
      <w:bookmarkStart w:id="58" w:name="_Toc15378460"/>
      <w:r>
        <w:rPr>
          <w:rFonts w:hint="eastAsia" w:ascii="仿宋" w:hAnsi="仿宋" w:eastAsia="仿宋"/>
          <w:b/>
          <w:sz w:val="32"/>
          <w:szCs w:val="32"/>
        </w:rPr>
        <w:t>2022年一般公共预算支出决算数为2362.16万元</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ascii="仿宋" w:hAnsi="仿宋" w:eastAsia="仿宋"/>
          <w:bCs/>
          <w:sz w:val="32"/>
          <w:szCs w:val="32"/>
        </w:rPr>
        <w:t>99.67%</w:t>
      </w:r>
      <w:r>
        <w:rPr>
          <w:rStyle w:val="18"/>
          <w:rFonts w:hint="eastAsia" w:ascii="仿宋" w:hAnsi="仿宋" w:eastAsia="仿宋"/>
          <w:bCs/>
          <w:sz w:val="32"/>
          <w:szCs w:val="32"/>
        </w:rPr>
        <w:t>。其中：</w:t>
      </w:r>
      <w:bookmarkEnd w:id="55"/>
      <w:bookmarkEnd w:id="56"/>
      <w:bookmarkEnd w:id="57"/>
      <w:bookmarkEnd w:id="58"/>
    </w:p>
    <w:p>
      <w:pPr>
        <w:spacing w:line="600" w:lineRule="exact"/>
        <w:ind w:firstLine="629" w:firstLineChars="196"/>
        <w:rPr>
          <w:rFonts w:ascii="仿宋" w:hAnsi="仿宋" w:eastAsia="仿宋"/>
          <w:bCs/>
          <w:sz w:val="32"/>
          <w:szCs w:val="32"/>
        </w:rPr>
      </w:pPr>
      <w:r>
        <w:rPr>
          <w:rStyle w:val="18"/>
          <w:rFonts w:hint="eastAsia" w:ascii="仿宋" w:hAnsi="仿宋" w:eastAsia="仿宋"/>
          <w:bCs/>
          <w:sz w:val="32"/>
          <w:szCs w:val="32"/>
        </w:rPr>
        <w:t>1.一般公共服务（类）审计事务（款）行政</w:t>
      </w:r>
      <w:r>
        <w:rPr>
          <w:rStyle w:val="18"/>
          <w:rFonts w:ascii="仿宋" w:hAnsi="仿宋" w:eastAsia="仿宋"/>
          <w:bCs/>
          <w:sz w:val="32"/>
          <w:szCs w:val="32"/>
        </w:rPr>
        <w:t>运行</w:t>
      </w:r>
      <w:r>
        <w:rPr>
          <w:rStyle w:val="18"/>
          <w:rFonts w:hint="eastAsia" w:ascii="仿宋" w:hAnsi="仿宋" w:eastAsia="仿宋"/>
          <w:bCs/>
          <w:sz w:val="32"/>
          <w:szCs w:val="32"/>
        </w:rPr>
        <w:t>（项）：</w:t>
      </w:r>
      <w:r>
        <w:rPr>
          <w:rStyle w:val="18"/>
          <w:rFonts w:hint="eastAsia" w:ascii="仿宋" w:hAnsi="仿宋" w:eastAsia="仿宋"/>
          <w:b w:val="0"/>
          <w:bCs/>
          <w:sz w:val="32"/>
          <w:szCs w:val="32"/>
        </w:rPr>
        <w:t>支出决算为1442.18万元，完成预算</w:t>
      </w:r>
      <w:r>
        <w:rPr>
          <w:rStyle w:val="18"/>
          <w:rFonts w:ascii="仿宋" w:hAnsi="仿宋" w:eastAsia="仿宋"/>
          <w:b w:val="0"/>
          <w:bCs/>
          <w:sz w:val="32"/>
          <w:szCs w:val="32"/>
        </w:rPr>
        <w:t>99.46%</w:t>
      </w:r>
      <w:r>
        <w:rPr>
          <w:rStyle w:val="18"/>
          <w:rFonts w:hint="eastAsia" w:ascii="仿宋" w:hAnsi="仿宋" w:eastAsia="仿宋"/>
          <w:b w:val="0"/>
          <w:bCs/>
          <w:sz w:val="32"/>
          <w:szCs w:val="32"/>
        </w:rPr>
        <w:t>，决算数等</w:t>
      </w:r>
      <w:r>
        <w:rPr>
          <w:rStyle w:val="18"/>
          <w:rFonts w:ascii="仿宋" w:hAnsi="仿宋" w:eastAsia="仿宋"/>
          <w:b w:val="0"/>
          <w:bCs/>
          <w:sz w:val="32"/>
          <w:szCs w:val="32"/>
        </w:rPr>
        <w:t>小于</w:t>
      </w:r>
      <w:r>
        <w:rPr>
          <w:rStyle w:val="18"/>
          <w:rFonts w:hint="eastAsia" w:ascii="仿宋" w:hAnsi="仿宋" w:eastAsia="仿宋"/>
          <w:b w:val="0"/>
          <w:bCs/>
          <w:sz w:val="32"/>
          <w:szCs w:val="32"/>
        </w:rPr>
        <w:t>预算数主要原因为代扣的保险形成结转。</w:t>
      </w:r>
    </w:p>
    <w:p>
      <w:pPr>
        <w:spacing w:line="576" w:lineRule="exact"/>
        <w:ind w:firstLine="642" w:firstLineChars="200"/>
        <w:rPr>
          <w:rFonts w:ascii="仿宋_GB2312" w:hAnsi="仿宋_GB2312" w:eastAsia="仿宋_GB2312" w:cs="仿宋_GB2312"/>
          <w:color w:val="000000"/>
          <w:sz w:val="32"/>
          <w:szCs w:val="32"/>
        </w:rPr>
      </w:pPr>
      <w:r>
        <w:rPr>
          <w:rStyle w:val="18"/>
          <w:rFonts w:hint="eastAsia" w:ascii="仿宋_GB2312" w:hAnsi="仿宋_GB2312" w:eastAsia="仿宋_GB2312" w:cs="仿宋_GB2312"/>
          <w:color w:val="000000"/>
          <w:sz w:val="32"/>
          <w:szCs w:val="32"/>
        </w:rPr>
        <w:t>2.一般公共服务支出（类）审计事务（款）一般行政管理事务（项）：</w:t>
      </w:r>
      <w:r>
        <w:rPr>
          <w:rFonts w:hint="eastAsia" w:ascii="仿宋_GB2312" w:hAnsi="仿宋_GB2312" w:eastAsia="仿宋_GB2312" w:cs="仿宋_GB2312"/>
          <w:sz w:val="32"/>
          <w:szCs w:val="32"/>
        </w:rPr>
        <w:t>支</w:t>
      </w:r>
      <w:r>
        <w:rPr>
          <w:rFonts w:hint="eastAsia" w:ascii="仿宋_GB2312" w:hAnsi="仿宋_GB2312" w:eastAsia="仿宋_GB2312" w:cs="仿宋_GB2312"/>
          <w:color w:val="000000"/>
          <w:sz w:val="32"/>
          <w:szCs w:val="32"/>
        </w:rPr>
        <w:t>出决算数为86.28万元，完成预算100%，</w:t>
      </w:r>
      <w:r>
        <w:rPr>
          <w:rStyle w:val="18"/>
          <w:rFonts w:hint="eastAsia" w:ascii="仿宋" w:hAnsi="仿宋" w:eastAsia="仿宋"/>
          <w:b w:val="0"/>
          <w:bCs/>
          <w:sz w:val="32"/>
          <w:szCs w:val="32"/>
        </w:rPr>
        <w:t>决算数等于预算数。</w:t>
      </w:r>
    </w:p>
    <w:p>
      <w:pPr>
        <w:spacing w:line="576" w:lineRule="exact"/>
        <w:ind w:firstLine="642" w:firstLineChars="200"/>
        <w:rPr>
          <w:rFonts w:ascii="仿宋_GB2312" w:hAnsi="仿宋_GB2312" w:eastAsia="仿宋_GB2312" w:cs="仿宋_GB2312"/>
          <w:color w:val="000000"/>
          <w:sz w:val="32"/>
          <w:szCs w:val="32"/>
        </w:rPr>
      </w:pPr>
      <w:r>
        <w:rPr>
          <w:rStyle w:val="18"/>
          <w:rFonts w:hint="eastAsia" w:ascii="仿宋_GB2312" w:hAnsi="仿宋_GB2312" w:eastAsia="仿宋_GB2312" w:cs="仿宋_GB2312"/>
          <w:color w:val="000000"/>
          <w:sz w:val="32"/>
          <w:szCs w:val="32"/>
        </w:rPr>
        <w:t>3.一般公共服务支出（类）审计事务（款）审计业务（项）：</w:t>
      </w:r>
      <w:r>
        <w:rPr>
          <w:rFonts w:hint="eastAsia" w:ascii="仿宋_GB2312" w:hAnsi="仿宋_GB2312" w:eastAsia="仿宋_GB2312" w:cs="仿宋_GB2312"/>
          <w:color w:val="000000"/>
          <w:sz w:val="32"/>
          <w:szCs w:val="32"/>
        </w:rPr>
        <w:t>支出决算数为247.16万元，完成预算100%，</w:t>
      </w:r>
      <w:r>
        <w:rPr>
          <w:rStyle w:val="18"/>
          <w:rFonts w:hint="eastAsia" w:ascii="仿宋" w:hAnsi="仿宋" w:eastAsia="仿宋"/>
          <w:b w:val="0"/>
          <w:bCs/>
          <w:sz w:val="32"/>
          <w:szCs w:val="32"/>
        </w:rPr>
        <w:t>决算数等于预算数。</w:t>
      </w:r>
    </w:p>
    <w:p>
      <w:pPr>
        <w:spacing w:line="576" w:lineRule="exact"/>
        <w:ind w:firstLine="642" w:firstLineChars="200"/>
        <w:rPr>
          <w:rStyle w:val="18"/>
          <w:rFonts w:ascii="仿宋" w:hAnsi="仿宋" w:eastAsia="仿宋"/>
          <w:b w:val="0"/>
          <w:bCs/>
          <w:sz w:val="32"/>
          <w:szCs w:val="32"/>
        </w:rPr>
      </w:pPr>
      <w:r>
        <w:rPr>
          <w:rStyle w:val="18"/>
          <w:rFonts w:hint="eastAsia" w:ascii="仿宋_GB2312" w:hAnsi="仿宋_GB2312" w:eastAsia="仿宋_GB2312" w:cs="仿宋_GB2312"/>
          <w:color w:val="000000"/>
          <w:sz w:val="32"/>
          <w:szCs w:val="32"/>
        </w:rPr>
        <w:t>4.一般公共服务（类）审计事务（款）信息化建设（项）：</w:t>
      </w:r>
      <w:r>
        <w:rPr>
          <w:rFonts w:hint="eastAsia" w:ascii="仿宋_GB2312" w:hAnsi="仿宋_GB2312" w:eastAsia="仿宋_GB2312" w:cs="仿宋_GB2312"/>
          <w:color w:val="000000"/>
          <w:sz w:val="32"/>
          <w:szCs w:val="32"/>
        </w:rPr>
        <w:t>支出决算数为27.09万元，完成预算100%，</w:t>
      </w:r>
      <w:r>
        <w:rPr>
          <w:rStyle w:val="18"/>
          <w:rFonts w:hint="eastAsia" w:ascii="仿宋" w:hAnsi="仿宋" w:eastAsia="仿宋"/>
          <w:b w:val="0"/>
          <w:bCs/>
          <w:sz w:val="32"/>
          <w:szCs w:val="32"/>
        </w:rPr>
        <w:t>决算数等于预算数。</w:t>
      </w:r>
    </w:p>
    <w:p>
      <w:pPr>
        <w:spacing w:line="576" w:lineRule="exact"/>
        <w:ind w:firstLine="640" w:firstLineChars="200"/>
        <w:rPr>
          <w:rFonts w:ascii="仿宋_GB2312" w:hAnsi="仿宋_GB2312" w:eastAsia="仿宋_GB2312" w:cs="仿宋_GB2312"/>
          <w:color w:val="000000"/>
          <w:sz w:val="32"/>
          <w:szCs w:val="32"/>
        </w:rPr>
      </w:pPr>
      <w:r>
        <w:rPr>
          <w:rFonts w:hint="eastAsia" w:hAnsi="仿宋_GB2312" w:cs="仿宋_GB2312"/>
          <w:color w:val="000000"/>
          <w:sz w:val="32"/>
          <w:szCs w:val="32"/>
        </w:rPr>
        <w:t>5.</w:t>
      </w:r>
      <w:r>
        <w:rPr>
          <w:rStyle w:val="18"/>
          <w:rFonts w:hint="eastAsia" w:ascii="仿宋_GB2312" w:hAnsi="仿宋_GB2312" w:eastAsia="仿宋_GB2312" w:cs="仿宋_GB2312"/>
          <w:color w:val="000000"/>
          <w:sz w:val="32"/>
          <w:szCs w:val="32"/>
        </w:rPr>
        <w:t>一般公共服务（类）审计事务（款）</w:t>
      </w:r>
      <w:r>
        <w:rPr>
          <w:rStyle w:val="18"/>
          <w:rFonts w:hint="eastAsia" w:hAnsi="仿宋_GB2312" w:cs="仿宋_GB2312"/>
          <w:color w:val="000000"/>
          <w:sz w:val="32"/>
          <w:szCs w:val="32"/>
        </w:rPr>
        <w:t>事业运行</w:t>
      </w:r>
      <w:r>
        <w:rPr>
          <w:rStyle w:val="18"/>
          <w:rFonts w:hint="eastAsia" w:ascii="仿宋_GB2312" w:hAnsi="仿宋_GB2312" w:eastAsia="仿宋_GB2312" w:cs="仿宋_GB2312"/>
          <w:color w:val="000000"/>
          <w:sz w:val="32"/>
          <w:szCs w:val="32"/>
        </w:rPr>
        <w:t>（项）</w:t>
      </w:r>
      <w:r>
        <w:rPr>
          <w:rStyle w:val="18"/>
          <w:rFonts w:hint="eastAsia" w:hAnsi="仿宋_GB2312" w:cs="仿宋_GB2312"/>
          <w:color w:val="000000"/>
          <w:sz w:val="32"/>
          <w:szCs w:val="32"/>
        </w:rPr>
        <w:t>：</w:t>
      </w:r>
      <w:r>
        <w:rPr>
          <w:rFonts w:hint="eastAsia" w:ascii="仿宋_GB2312" w:hAnsi="仿宋_GB2312" w:eastAsia="仿宋_GB2312" w:cs="仿宋_GB2312"/>
          <w:color w:val="000000"/>
          <w:sz w:val="32"/>
          <w:szCs w:val="32"/>
        </w:rPr>
        <w:t>支出决算数为123.05万元，完成预算100%，</w:t>
      </w:r>
      <w:r>
        <w:rPr>
          <w:rStyle w:val="18"/>
          <w:rFonts w:hint="eastAsia" w:ascii="仿宋" w:hAnsi="仿宋" w:eastAsia="仿宋"/>
          <w:b w:val="0"/>
          <w:bCs/>
          <w:sz w:val="32"/>
          <w:szCs w:val="32"/>
        </w:rPr>
        <w:t>决算数等于预算数。</w:t>
      </w:r>
    </w:p>
    <w:p>
      <w:pPr>
        <w:spacing w:line="576" w:lineRule="exact"/>
        <w:ind w:firstLine="640" w:firstLineChars="200"/>
        <w:rPr>
          <w:rFonts w:ascii="仿宋_GB2312" w:hAnsi="仿宋_GB2312" w:eastAsia="仿宋_GB2312" w:cs="仿宋_GB2312"/>
          <w:color w:val="000000"/>
          <w:sz w:val="32"/>
          <w:szCs w:val="32"/>
        </w:rPr>
      </w:pPr>
      <w:r>
        <w:rPr>
          <w:rFonts w:hint="eastAsia" w:hAnsi="仿宋_GB2312" w:cs="仿宋_GB2312"/>
          <w:color w:val="000000"/>
          <w:sz w:val="32"/>
          <w:szCs w:val="32"/>
        </w:rPr>
        <w:t>6.</w:t>
      </w:r>
      <w:r>
        <w:rPr>
          <w:rStyle w:val="18"/>
          <w:rFonts w:hint="eastAsia" w:ascii="仿宋_GB2312" w:hAnsi="仿宋_GB2312" w:eastAsia="仿宋_GB2312" w:cs="仿宋_GB2312"/>
          <w:color w:val="000000"/>
          <w:sz w:val="32"/>
          <w:szCs w:val="32"/>
        </w:rPr>
        <w:t>一般公共服务（类）审计事务（款）</w:t>
      </w:r>
      <w:r>
        <w:rPr>
          <w:rStyle w:val="18"/>
          <w:rFonts w:hint="eastAsia" w:hAnsi="仿宋_GB2312" w:cs="仿宋_GB2312"/>
          <w:color w:val="000000"/>
          <w:sz w:val="32"/>
          <w:szCs w:val="32"/>
        </w:rPr>
        <w:t>其他审计事务支出</w:t>
      </w:r>
      <w:r>
        <w:rPr>
          <w:rStyle w:val="18"/>
          <w:rFonts w:hint="eastAsia" w:ascii="仿宋_GB2312" w:hAnsi="仿宋_GB2312" w:eastAsia="仿宋_GB2312" w:cs="仿宋_GB2312"/>
          <w:color w:val="000000"/>
          <w:sz w:val="32"/>
          <w:szCs w:val="32"/>
        </w:rPr>
        <w:t>（项）</w:t>
      </w:r>
      <w:r>
        <w:rPr>
          <w:rStyle w:val="18"/>
          <w:rFonts w:hint="eastAsia" w:hAnsi="仿宋_GB2312" w:cs="仿宋_GB2312"/>
          <w:color w:val="000000"/>
          <w:sz w:val="32"/>
          <w:szCs w:val="32"/>
        </w:rPr>
        <w:t>：</w:t>
      </w:r>
      <w:r>
        <w:rPr>
          <w:rFonts w:hint="eastAsia" w:ascii="仿宋_GB2312" w:hAnsi="仿宋_GB2312" w:eastAsia="仿宋_GB2312" w:cs="仿宋_GB2312"/>
          <w:color w:val="000000"/>
          <w:sz w:val="32"/>
          <w:szCs w:val="32"/>
        </w:rPr>
        <w:t>支出决算数为118.74万元，完成预算100%，</w:t>
      </w:r>
      <w:r>
        <w:rPr>
          <w:rStyle w:val="18"/>
          <w:rFonts w:hint="eastAsia" w:ascii="仿宋" w:hAnsi="仿宋" w:eastAsia="仿宋"/>
          <w:b w:val="0"/>
          <w:bCs/>
          <w:sz w:val="32"/>
          <w:szCs w:val="32"/>
        </w:rPr>
        <w:t>决算数等于预算数。</w:t>
      </w:r>
    </w:p>
    <w:p>
      <w:pPr>
        <w:spacing w:line="576" w:lineRule="exact"/>
        <w:ind w:firstLine="640" w:firstLineChars="200"/>
        <w:rPr>
          <w:rFonts w:ascii="仿宋_GB2312" w:hAnsi="仿宋_GB2312" w:eastAsia="仿宋_GB2312" w:cs="仿宋_GB2312"/>
          <w:color w:val="000000"/>
          <w:sz w:val="32"/>
          <w:szCs w:val="32"/>
        </w:rPr>
      </w:pPr>
    </w:p>
    <w:p>
      <w:pPr>
        <w:pStyle w:val="2"/>
        <w:spacing w:before="93"/>
      </w:pPr>
    </w:p>
    <w:p>
      <w:pPr>
        <w:spacing w:line="576" w:lineRule="exact"/>
        <w:ind w:firstLine="640" w:firstLineChars="200"/>
        <w:rPr>
          <w:rStyle w:val="18"/>
          <w:rFonts w:ascii="仿宋" w:hAnsi="仿宋" w:eastAsia="仿宋"/>
          <w:b w:val="0"/>
          <w:bCs/>
          <w:sz w:val="32"/>
          <w:szCs w:val="32"/>
        </w:rPr>
      </w:pPr>
      <w:r>
        <w:rPr>
          <w:rFonts w:hAnsi="仿宋_GB2312" w:cs="仿宋_GB2312"/>
          <w:color w:val="000000"/>
          <w:sz w:val="32"/>
          <w:szCs w:val="32"/>
        </w:rPr>
        <w:t>7</w:t>
      </w:r>
      <w:r>
        <w:rPr>
          <w:rFonts w:hint="eastAsia" w:hAnsi="仿宋_GB2312" w:cs="仿宋_GB2312"/>
          <w:color w:val="000000"/>
          <w:sz w:val="32"/>
          <w:szCs w:val="32"/>
        </w:rPr>
        <w:t>.</w:t>
      </w:r>
      <w:r>
        <w:rPr>
          <w:rStyle w:val="18"/>
          <w:rFonts w:hint="eastAsia" w:ascii="仿宋_GB2312" w:hAnsi="仿宋_GB2312" w:eastAsia="仿宋_GB2312" w:cs="仿宋_GB2312"/>
          <w:color w:val="000000"/>
          <w:sz w:val="32"/>
          <w:szCs w:val="32"/>
        </w:rPr>
        <w:t>社会保障和就业（类）</w:t>
      </w:r>
      <w:r>
        <w:rPr>
          <w:rStyle w:val="18"/>
          <w:rFonts w:hint="eastAsia" w:hAnsi="仿宋_GB2312" w:cs="仿宋_GB2312"/>
          <w:color w:val="000000"/>
          <w:sz w:val="32"/>
          <w:szCs w:val="32"/>
        </w:rPr>
        <w:t>人力资源和社会保障管理事务</w:t>
      </w:r>
      <w:r>
        <w:rPr>
          <w:rStyle w:val="18"/>
          <w:rFonts w:hint="eastAsia" w:ascii="仿宋_GB2312" w:hAnsi="仿宋_GB2312" w:eastAsia="仿宋_GB2312" w:cs="仿宋_GB2312"/>
          <w:color w:val="000000"/>
          <w:sz w:val="32"/>
          <w:szCs w:val="32"/>
        </w:rPr>
        <w:t>（款）</w:t>
      </w:r>
      <w:r>
        <w:rPr>
          <w:rStyle w:val="18"/>
          <w:rFonts w:hint="eastAsia" w:hAnsi="仿宋_GB2312" w:cs="仿宋_GB2312"/>
          <w:color w:val="000000"/>
          <w:sz w:val="32"/>
          <w:szCs w:val="32"/>
        </w:rPr>
        <w:t>引进人才费用</w:t>
      </w:r>
      <w:r>
        <w:rPr>
          <w:rStyle w:val="18"/>
          <w:rFonts w:hint="eastAsia" w:ascii="仿宋_GB2312" w:hAnsi="仿宋_GB2312" w:eastAsia="仿宋_GB2312" w:cs="仿宋_GB2312"/>
          <w:color w:val="000000"/>
          <w:sz w:val="32"/>
          <w:szCs w:val="32"/>
        </w:rPr>
        <w:t>（项）</w:t>
      </w:r>
      <w:r>
        <w:rPr>
          <w:rStyle w:val="18"/>
          <w:rFonts w:hint="eastAsia" w:hAnsi="仿宋_GB2312" w:cs="仿宋_GB2312"/>
          <w:color w:val="000000"/>
          <w:sz w:val="32"/>
          <w:szCs w:val="32"/>
        </w:rPr>
        <w:t>：</w:t>
      </w:r>
      <w:r>
        <w:rPr>
          <w:rFonts w:hint="eastAsia" w:ascii="仿宋_GB2312" w:hAnsi="仿宋_GB2312" w:eastAsia="仿宋_GB2312" w:cs="仿宋_GB2312"/>
          <w:color w:val="000000"/>
          <w:sz w:val="32"/>
          <w:szCs w:val="32"/>
        </w:rPr>
        <w:t>支出决算数为22.3万元，完成预算100%，</w:t>
      </w:r>
      <w:r>
        <w:rPr>
          <w:rStyle w:val="18"/>
          <w:rFonts w:hint="eastAsia" w:ascii="仿宋" w:hAnsi="仿宋" w:eastAsia="仿宋"/>
          <w:b w:val="0"/>
          <w:bCs/>
          <w:sz w:val="32"/>
          <w:szCs w:val="32"/>
        </w:rPr>
        <w:t>决算数等于预算数。</w:t>
      </w:r>
    </w:p>
    <w:p>
      <w:pPr>
        <w:spacing w:line="576" w:lineRule="exact"/>
        <w:ind w:firstLine="640" w:firstLineChars="200"/>
        <w:rPr>
          <w:rStyle w:val="18"/>
          <w:rFonts w:ascii="仿宋" w:hAnsi="仿宋" w:eastAsia="仿宋"/>
          <w:b w:val="0"/>
          <w:bCs/>
          <w:sz w:val="32"/>
          <w:szCs w:val="32"/>
        </w:rPr>
      </w:pPr>
      <w:r>
        <w:rPr>
          <w:rFonts w:hAnsi="仿宋_GB2312" w:cs="仿宋_GB2312"/>
          <w:color w:val="000000"/>
          <w:sz w:val="32"/>
          <w:szCs w:val="32"/>
        </w:rPr>
        <w:t>8</w:t>
      </w:r>
      <w:r>
        <w:rPr>
          <w:rFonts w:hint="eastAsia" w:hAnsi="仿宋_GB2312" w:cs="仿宋_GB2312"/>
          <w:color w:val="000000"/>
          <w:sz w:val="32"/>
          <w:szCs w:val="32"/>
        </w:rPr>
        <w:t>.</w:t>
      </w:r>
      <w:r>
        <w:rPr>
          <w:rStyle w:val="18"/>
          <w:rFonts w:hint="eastAsia" w:ascii="仿宋_GB2312" w:hAnsi="仿宋_GB2312" w:eastAsia="仿宋_GB2312" w:cs="仿宋_GB2312"/>
          <w:color w:val="000000"/>
          <w:sz w:val="32"/>
          <w:szCs w:val="32"/>
        </w:rPr>
        <w:t>社会保障和就业（类）</w:t>
      </w:r>
      <w:r>
        <w:rPr>
          <w:rStyle w:val="18"/>
          <w:rFonts w:hint="eastAsia" w:hAnsi="仿宋_GB2312" w:cs="仿宋_GB2312"/>
          <w:color w:val="000000"/>
          <w:sz w:val="32"/>
          <w:szCs w:val="32"/>
        </w:rPr>
        <w:t>人力资源和社会保障管理事务</w:t>
      </w:r>
      <w:r>
        <w:rPr>
          <w:rStyle w:val="18"/>
          <w:rFonts w:hint="eastAsia" w:ascii="仿宋_GB2312" w:hAnsi="仿宋_GB2312" w:eastAsia="仿宋_GB2312" w:cs="仿宋_GB2312"/>
          <w:color w:val="000000"/>
          <w:sz w:val="32"/>
          <w:szCs w:val="32"/>
        </w:rPr>
        <w:t>（款）其他人力资源和社会保障管理事务支出（项）</w:t>
      </w:r>
      <w:r>
        <w:rPr>
          <w:rStyle w:val="18"/>
          <w:rFonts w:hint="eastAsia" w:hAnsi="仿宋_GB2312" w:cs="仿宋_GB2312"/>
          <w:color w:val="000000"/>
          <w:sz w:val="32"/>
          <w:szCs w:val="32"/>
        </w:rPr>
        <w:t>：</w:t>
      </w:r>
      <w:r>
        <w:rPr>
          <w:rFonts w:hint="eastAsia" w:ascii="仿宋_GB2312" w:hAnsi="仿宋_GB2312" w:eastAsia="仿宋_GB2312" w:cs="仿宋_GB2312"/>
          <w:color w:val="000000"/>
          <w:sz w:val="32"/>
          <w:szCs w:val="32"/>
        </w:rPr>
        <w:t>支出决算数为4万元，完成预算100%，</w:t>
      </w:r>
      <w:r>
        <w:rPr>
          <w:rStyle w:val="18"/>
          <w:rFonts w:hint="eastAsia" w:ascii="仿宋" w:hAnsi="仿宋" w:eastAsia="仿宋"/>
          <w:b w:val="0"/>
          <w:bCs/>
          <w:sz w:val="32"/>
          <w:szCs w:val="32"/>
        </w:rPr>
        <w:t>决算数等于预算数。</w:t>
      </w:r>
    </w:p>
    <w:p>
      <w:pPr>
        <w:spacing w:line="576" w:lineRule="exact"/>
        <w:ind w:firstLine="640" w:firstLineChars="200"/>
        <w:rPr>
          <w:rStyle w:val="18"/>
          <w:rFonts w:ascii="仿宋" w:hAnsi="仿宋" w:eastAsia="仿宋"/>
          <w:b w:val="0"/>
          <w:bCs/>
          <w:sz w:val="32"/>
          <w:szCs w:val="32"/>
        </w:rPr>
      </w:pPr>
      <w:r>
        <w:rPr>
          <w:rFonts w:hAnsi="仿宋_GB2312" w:cs="仿宋_GB2312"/>
          <w:color w:val="000000"/>
          <w:sz w:val="32"/>
          <w:szCs w:val="32"/>
        </w:rPr>
        <w:t>9</w:t>
      </w:r>
      <w:r>
        <w:rPr>
          <w:rFonts w:hint="eastAsia" w:hAnsi="仿宋_GB2312" w:cs="仿宋_GB2312"/>
          <w:color w:val="000000"/>
          <w:sz w:val="32"/>
          <w:szCs w:val="32"/>
        </w:rPr>
        <w:t>.</w:t>
      </w:r>
      <w:r>
        <w:rPr>
          <w:rStyle w:val="18"/>
          <w:rFonts w:hint="eastAsia" w:ascii="仿宋_GB2312" w:hAnsi="仿宋_GB2312" w:eastAsia="仿宋_GB2312" w:cs="仿宋_GB2312"/>
          <w:color w:val="000000"/>
          <w:sz w:val="32"/>
          <w:szCs w:val="32"/>
        </w:rPr>
        <w:t>社会保障和就业（类）</w:t>
      </w:r>
      <w:r>
        <w:rPr>
          <w:rStyle w:val="18"/>
          <w:rFonts w:hint="eastAsia" w:hAnsi="仿宋_GB2312" w:cs="仿宋_GB2312"/>
          <w:color w:val="000000"/>
          <w:sz w:val="32"/>
          <w:szCs w:val="32"/>
        </w:rPr>
        <w:t>行政事业单位养老支出</w:t>
      </w:r>
      <w:r>
        <w:rPr>
          <w:rStyle w:val="18"/>
          <w:rFonts w:hint="eastAsia" w:ascii="仿宋_GB2312" w:hAnsi="仿宋_GB2312" w:eastAsia="仿宋_GB2312" w:cs="仿宋_GB2312"/>
          <w:color w:val="000000"/>
          <w:sz w:val="32"/>
          <w:szCs w:val="32"/>
        </w:rPr>
        <w:t>（款）机关事业单位基本养老保险缴费支出（项）</w:t>
      </w:r>
      <w:r>
        <w:rPr>
          <w:rStyle w:val="18"/>
          <w:rFonts w:hint="eastAsia" w:hAnsi="仿宋_GB2312" w:cs="仿宋_GB2312"/>
          <w:color w:val="000000"/>
          <w:sz w:val="32"/>
          <w:szCs w:val="32"/>
        </w:rPr>
        <w:t>：</w:t>
      </w:r>
      <w:r>
        <w:rPr>
          <w:rFonts w:hint="eastAsia" w:ascii="仿宋_GB2312" w:hAnsi="仿宋_GB2312" w:eastAsia="仿宋_GB2312" w:cs="仿宋_GB2312"/>
          <w:color w:val="000000"/>
          <w:sz w:val="32"/>
          <w:szCs w:val="32"/>
        </w:rPr>
        <w:t>支出决算数为104.81万元，完成预算100%，</w:t>
      </w:r>
      <w:r>
        <w:rPr>
          <w:rStyle w:val="18"/>
          <w:rFonts w:hint="eastAsia" w:ascii="仿宋" w:hAnsi="仿宋" w:eastAsia="仿宋"/>
          <w:b w:val="0"/>
          <w:bCs/>
          <w:sz w:val="32"/>
          <w:szCs w:val="32"/>
        </w:rPr>
        <w:t>决算数等于预算数。</w:t>
      </w:r>
    </w:p>
    <w:p>
      <w:pPr>
        <w:spacing w:line="576" w:lineRule="exact"/>
        <w:ind w:firstLine="640" w:firstLineChars="200"/>
        <w:rPr>
          <w:rFonts w:ascii="仿宋" w:hAnsi="仿宋" w:eastAsia="仿宋"/>
          <w:bCs/>
          <w:sz w:val="32"/>
          <w:szCs w:val="32"/>
        </w:rPr>
      </w:pPr>
      <w:r>
        <w:rPr>
          <w:rFonts w:hAnsi="仿宋_GB2312" w:cs="仿宋_GB2312"/>
          <w:color w:val="000000"/>
          <w:sz w:val="32"/>
          <w:szCs w:val="32"/>
        </w:rPr>
        <w:t>10</w:t>
      </w:r>
      <w:r>
        <w:rPr>
          <w:rFonts w:hint="eastAsia" w:hAnsi="仿宋_GB2312" w:cs="仿宋_GB2312"/>
          <w:color w:val="000000"/>
          <w:sz w:val="32"/>
          <w:szCs w:val="32"/>
        </w:rPr>
        <w:t>.</w:t>
      </w:r>
      <w:r>
        <w:rPr>
          <w:rStyle w:val="18"/>
          <w:rFonts w:hint="eastAsia" w:ascii="仿宋_GB2312" w:hAnsi="仿宋_GB2312" w:eastAsia="仿宋_GB2312" w:cs="仿宋_GB2312"/>
          <w:color w:val="000000"/>
          <w:sz w:val="32"/>
          <w:szCs w:val="32"/>
        </w:rPr>
        <w:t>社会保障和就业（类）</w:t>
      </w:r>
      <w:r>
        <w:rPr>
          <w:rStyle w:val="18"/>
          <w:rFonts w:hint="eastAsia" w:hAnsi="仿宋_GB2312" w:cs="仿宋_GB2312"/>
          <w:color w:val="000000"/>
          <w:sz w:val="32"/>
          <w:szCs w:val="32"/>
        </w:rPr>
        <w:t>行政事业单位养老支出</w:t>
      </w:r>
      <w:r>
        <w:rPr>
          <w:rStyle w:val="18"/>
          <w:rFonts w:hint="eastAsia" w:ascii="仿宋_GB2312" w:hAnsi="仿宋_GB2312" w:eastAsia="仿宋_GB2312" w:cs="仿宋_GB2312"/>
          <w:color w:val="000000"/>
          <w:sz w:val="32"/>
          <w:szCs w:val="32"/>
        </w:rPr>
        <w:t>（款）机关事业单位职业年金缴费支出（项）</w:t>
      </w:r>
      <w:r>
        <w:rPr>
          <w:rStyle w:val="18"/>
          <w:rFonts w:hint="eastAsia" w:hAnsi="仿宋_GB2312" w:cs="仿宋_GB2312"/>
          <w:color w:val="000000"/>
          <w:sz w:val="32"/>
          <w:szCs w:val="32"/>
        </w:rPr>
        <w:t>：</w:t>
      </w:r>
      <w:r>
        <w:rPr>
          <w:rFonts w:hint="eastAsia" w:ascii="仿宋_GB2312" w:hAnsi="仿宋_GB2312" w:eastAsia="仿宋_GB2312" w:cs="仿宋_GB2312"/>
          <w:color w:val="000000"/>
          <w:sz w:val="32"/>
          <w:szCs w:val="32"/>
        </w:rPr>
        <w:t>支出决算数为17.22万元，完成预算100%，</w:t>
      </w:r>
      <w:r>
        <w:rPr>
          <w:rStyle w:val="18"/>
          <w:rFonts w:hint="eastAsia" w:ascii="仿宋" w:hAnsi="仿宋" w:eastAsia="仿宋"/>
          <w:b w:val="0"/>
          <w:bCs/>
          <w:sz w:val="32"/>
          <w:szCs w:val="32"/>
        </w:rPr>
        <w:t>决算数等于预算数。</w:t>
      </w:r>
    </w:p>
    <w:p>
      <w:pPr>
        <w:spacing w:line="576" w:lineRule="exact"/>
        <w:ind w:firstLine="642" w:firstLineChars="200"/>
        <w:rPr>
          <w:rFonts w:ascii="仿宋_GB2312" w:hAnsi="仿宋_GB2312" w:eastAsia="仿宋_GB2312" w:cs="仿宋_GB2312"/>
          <w:color w:val="000000"/>
          <w:sz w:val="32"/>
          <w:szCs w:val="32"/>
        </w:rPr>
      </w:pPr>
      <w:r>
        <w:rPr>
          <w:rStyle w:val="18"/>
          <w:rFonts w:hint="eastAsia" w:ascii="仿宋_GB2312" w:hAnsi="仿宋_GB2312" w:eastAsia="仿宋_GB2312" w:cs="仿宋_GB2312"/>
          <w:color w:val="000000"/>
          <w:sz w:val="32"/>
          <w:szCs w:val="32"/>
        </w:rPr>
        <w:t>1</w:t>
      </w:r>
      <w:r>
        <w:rPr>
          <w:rStyle w:val="18"/>
          <w:rFonts w:ascii="仿宋_GB2312" w:hAnsi="仿宋_GB2312" w:eastAsia="仿宋_GB2312" w:cs="仿宋_GB2312"/>
          <w:color w:val="000000"/>
          <w:sz w:val="32"/>
          <w:szCs w:val="32"/>
        </w:rPr>
        <w:t>1</w:t>
      </w:r>
      <w:r>
        <w:rPr>
          <w:rStyle w:val="18"/>
          <w:rFonts w:hint="eastAsia" w:ascii="仿宋_GB2312" w:hAnsi="仿宋_GB2312" w:eastAsia="仿宋_GB2312" w:cs="仿宋_GB2312"/>
          <w:color w:val="000000"/>
          <w:sz w:val="32"/>
          <w:szCs w:val="32"/>
        </w:rPr>
        <w:t>.卫生健康（类）行政事业单位医疗（款）行政单位医疗（项）：</w:t>
      </w:r>
      <w:r>
        <w:rPr>
          <w:rFonts w:hint="eastAsia" w:ascii="仿宋_GB2312" w:hAnsi="仿宋_GB2312" w:eastAsia="仿宋_GB2312" w:cs="仿宋_GB2312"/>
          <w:color w:val="000000"/>
          <w:sz w:val="32"/>
          <w:szCs w:val="32"/>
        </w:rPr>
        <w:t>支出决算数为52.41万元，完成预算100%，</w:t>
      </w:r>
      <w:r>
        <w:rPr>
          <w:rStyle w:val="18"/>
          <w:rFonts w:hint="eastAsia" w:ascii="仿宋" w:hAnsi="仿宋" w:eastAsia="仿宋"/>
          <w:b w:val="0"/>
          <w:bCs/>
          <w:sz w:val="32"/>
          <w:szCs w:val="32"/>
        </w:rPr>
        <w:t>决算数等于预算数</w:t>
      </w:r>
      <w:r>
        <w:rPr>
          <w:rFonts w:hint="eastAsia" w:ascii="仿宋_GB2312" w:hAnsi="仿宋_GB2312" w:eastAsia="仿宋_GB2312" w:cs="仿宋_GB2312"/>
          <w:color w:val="000000"/>
          <w:sz w:val="32"/>
          <w:szCs w:val="32"/>
        </w:rPr>
        <w:t>。</w:t>
      </w:r>
    </w:p>
    <w:p>
      <w:pPr>
        <w:spacing w:line="576" w:lineRule="exact"/>
        <w:ind w:firstLine="642" w:firstLineChars="200"/>
        <w:rPr>
          <w:rFonts w:ascii="仿宋_GB2312" w:hAnsi="仿宋_GB2312" w:eastAsia="仿宋_GB2312" w:cs="仿宋_GB2312"/>
          <w:color w:val="000000"/>
          <w:sz w:val="32"/>
          <w:szCs w:val="32"/>
        </w:rPr>
      </w:pPr>
      <w:r>
        <w:rPr>
          <w:rStyle w:val="18"/>
          <w:rFonts w:hint="eastAsia" w:ascii="仿宋_GB2312" w:hAnsi="仿宋_GB2312" w:eastAsia="仿宋_GB2312" w:cs="仿宋_GB2312"/>
          <w:color w:val="000000"/>
          <w:sz w:val="32"/>
          <w:szCs w:val="32"/>
        </w:rPr>
        <w:t>1</w:t>
      </w:r>
      <w:r>
        <w:rPr>
          <w:rStyle w:val="18"/>
          <w:rFonts w:ascii="仿宋_GB2312" w:hAnsi="仿宋_GB2312" w:eastAsia="仿宋_GB2312" w:cs="仿宋_GB2312"/>
          <w:color w:val="000000"/>
          <w:sz w:val="32"/>
          <w:szCs w:val="32"/>
        </w:rPr>
        <w:t>2</w:t>
      </w:r>
      <w:r>
        <w:rPr>
          <w:rStyle w:val="18"/>
          <w:rFonts w:hint="eastAsia" w:ascii="仿宋_GB2312" w:hAnsi="仿宋_GB2312" w:eastAsia="仿宋_GB2312" w:cs="仿宋_GB2312"/>
          <w:color w:val="000000"/>
          <w:sz w:val="32"/>
          <w:szCs w:val="32"/>
        </w:rPr>
        <w:t>.住房保障（类）住房改革支出（款）住房公积金（项）：</w:t>
      </w:r>
      <w:r>
        <w:rPr>
          <w:rFonts w:hint="eastAsia" w:ascii="仿宋_GB2312" w:hAnsi="仿宋_GB2312" w:eastAsia="仿宋_GB2312" w:cs="仿宋_GB2312"/>
          <w:color w:val="000000"/>
          <w:sz w:val="32"/>
          <w:szCs w:val="32"/>
        </w:rPr>
        <w:t>支出决算数为116.92万元，完成预算100%，</w:t>
      </w:r>
      <w:r>
        <w:rPr>
          <w:rStyle w:val="18"/>
          <w:rFonts w:hint="eastAsia" w:ascii="仿宋" w:hAnsi="仿宋" w:eastAsia="仿宋"/>
          <w:b w:val="0"/>
          <w:bCs/>
          <w:sz w:val="32"/>
          <w:szCs w:val="32"/>
        </w:rPr>
        <w:t>决算数等于预算数</w:t>
      </w:r>
      <w:r>
        <w:rPr>
          <w:rFonts w:hint="eastAsia" w:ascii="仿宋_GB2312" w:hAnsi="仿宋_GB2312" w:eastAsia="仿宋_GB2312" w:cs="仿宋_GB2312"/>
          <w:color w:val="000000"/>
          <w:sz w:val="32"/>
          <w:szCs w:val="32"/>
        </w:rPr>
        <w:t>。</w:t>
      </w:r>
    </w:p>
    <w:p>
      <w:pPr>
        <w:spacing w:line="576" w:lineRule="exact"/>
        <w:ind w:firstLine="640" w:firstLineChars="200"/>
        <w:rPr>
          <w:rFonts w:ascii="仿宋_GB2312" w:hAnsi="仿宋_GB2312" w:eastAsia="仿宋_GB2312" w:cs="仿宋_GB2312"/>
          <w:color w:val="000000"/>
          <w:sz w:val="32"/>
          <w:szCs w:val="32"/>
        </w:rPr>
      </w:pPr>
    </w:p>
    <w:p>
      <w:pPr>
        <w:spacing w:line="600" w:lineRule="exact"/>
        <w:rPr>
          <w:rFonts w:ascii="仿宋_GB2312" w:eastAsia="仿宋_GB2312"/>
          <w:kern w:val="0"/>
          <w:sz w:val="30"/>
        </w:rPr>
      </w:pPr>
    </w:p>
    <w:p>
      <w:pPr>
        <w:pStyle w:val="2"/>
        <w:spacing w:before="93"/>
      </w:pPr>
    </w:p>
    <w:p>
      <w:pPr>
        <w:tabs>
          <w:tab w:val="right" w:pos="8306"/>
        </w:tabs>
        <w:spacing w:line="600" w:lineRule="exact"/>
        <w:ind w:firstLine="640"/>
        <w:outlineLvl w:val="1"/>
        <w:rPr>
          <w:rStyle w:val="21"/>
        </w:rPr>
      </w:pPr>
      <w:bookmarkStart w:id="59" w:name="_Toc15396608"/>
      <w:bookmarkStart w:id="60" w:name="_Toc146189918"/>
      <w:bookmarkStart w:id="6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1"/>
          <w:rFonts w:hint="eastAsia" w:ascii="黑体" w:hAnsi="黑体" w:eastAsia="黑体"/>
          <w:b w:val="0"/>
        </w:rPr>
        <w:t>般公共预算财政拨款基本支出决算情况说明</w:t>
      </w:r>
      <w:bookmarkEnd w:id="59"/>
      <w:bookmarkEnd w:id="60"/>
      <w:bookmarkEnd w:id="61"/>
      <w:r>
        <w:rPr>
          <w:rStyle w:val="21"/>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22年一般公共预算财政拨款基本支出1882.89万元，其中：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1624.49万元，主要包括：基本工资、津贴补贴、奖金、绩效工资、机关事业单位基本养老保险缴费、职业年金缴费、职工基本医疗保险缴费、其他社会保障缴费、住房公积金、其他工资福利支出、生活补助、奖励金、其他对个人和家庭的补助支出等。</w:t>
      </w:r>
      <w:r>
        <w:rPr>
          <w:rFonts w:ascii="仿宋" w:hAnsi="仿宋" w:eastAsia="仿宋"/>
          <w:sz w:val="32"/>
          <w:szCs w:val="32"/>
        </w:rPr>
        <w:br w:type="textWrapping"/>
      </w:r>
      <w:r>
        <w:rPr>
          <w:rFonts w:hint="eastAsia" w:ascii="仿宋" w:hAnsi="仿宋" w:eastAsia="仿宋"/>
          <w:sz w:val="32"/>
          <w:szCs w:val="32"/>
        </w:rPr>
        <w:t>　　公用经费258.40万元，主要包括：办公费、印刷费、水费、电费、邮电费、物业管理费、差旅费、维修（护）费、会议费、培训费、公务接待费、劳务费、工会经费、福利费、公务用车运行维护费、其他交通费用、其他商品和服务支出、办公设备购置等。</w:t>
      </w:r>
      <w:bookmarkStart w:id="62" w:name="_Toc15377215"/>
      <w:bookmarkStart w:id="63" w:name="_Toc15396609"/>
    </w:p>
    <w:p>
      <w:pPr>
        <w:spacing w:line="600" w:lineRule="exact"/>
        <w:ind w:firstLine="640"/>
        <w:outlineLvl w:val="1"/>
        <w:rPr>
          <w:rStyle w:val="21"/>
          <w:rFonts w:ascii="黑体" w:hAnsi="黑体" w:eastAsia="黑体"/>
          <w:b w:val="0"/>
        </w:rPr>
      </w:pPr>
      <w:bookmarkStart w:id="64" w:name="_Toc146189919"/>
      <w:r>
        <w:rPr>
          <w:rFonts w:hint="eastAsia" w:ascii="黑体" w:eastAsia="黑体"/>
          <w:sz w:val="32"/>
          <w:szCs w:val="32"/>
        </w:rPr>
        <w:t>七、</w:t>
      </w:r>
      <w:r>
        <w:rPr>
          <w:rStyle w:val="21"/>
          <w:rFonts w:hint="eastAsia" w:ascii="黑体" w:hAnsi="黑体" w:eastAsia="黑体"/>
          <w:b w:val="0"/>
        </w:rPr>
        <w:t>财政拨款</w:t>
      </w:r>
      <w:r>
        <w:rPr>
          <w:rStyle w:val="21"/>
          <w:rFonts w:hint="eastAsia" w:ascii="黑体" w:hAnsi="黑体" w:eastAsia="黑体"/>
        </w:rPr>
        <w:t>“</w:t>
      </w:r>
      <w:r>
        <w:rPr>
          <w:rStyle w:val="21"/>
          <w:rFonts w:hint="eastAsia" w:ascii="黑体" w:hAnsi="黑体" w:eastAsia="黑体"/>
          <w:b w:val="0"/>
        </w:rPr>
        <w:t>三公”经费支出决算情况说明</w:t>
      </w:r>
      <w:bookmarkEnd w:id="62"/>
      <w:bookmarkEnd w:id="63"/>
      <w:bookmarkEnd w:id="64"/>
    </w:p>
    <w:p>
      <w:pPr>
        <w:spacing w:line="600" w:lineRule="exact"/>
        <w:ind w:firstLine="640"/>
        <w:outlineLvl w:val="2"/>
        <w:rPr>
          <w:rFonts w:ascii="仿宋" w:hAnsi="仿宋" w:eastAsia="仿宋"/>
          <w:b/>
          <w:sz w:val="32"/>
          <w:szCs w:val="32"/>
        </w:rPr>
      </w:pPr>
      <w:bookmarkStart w:id="65" w:name="_Toc15377216"/>
      <w:bookmarkStart w:id="66" w:name="_Toc146189920"/>
      <w:r>
        <w:rPr>
          <w:rFonts w:hint="eastAsia" w:ascii="仿宋" w:hAnsi="仿宋" w:eastAsia="仿宋"/>
          <w:b/>
          <w:sz w:val="32"/>
          <w:szCs w:val="32"/>
        </w:rPr>
        <w:t>（一）“三公”经费财政拨款支出决算总体情况说明</w:t>
      </w:r>
      <w:bookmarkEnd w:id="65"/>
      <w:bookmarkEnd w:id="6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22年“三公”经费财政拨款支出决算为16.89万元，完成预算98.19</w:t>
      </w:r>
      <w:r>
        <w:rPr>
          <w:rFonts w:ascii="仿宋" w:hAnsi="仿宋" w:eastAsia="仿宋"/>
          <w:sz w:val="32"/>
          <w:szCs w:val="32"/>
        </w:rPr>
        <w:t>%</w:t>
      </w:r>
      <w:r>
        <w:rPr>
          <w:rFonts w:hint="eastAsia" w:ascii="仿宋" w:hAnsi="仿宋" w:eastAsia="仿宋"/>
          <w:sz w:val="32"/>
          <w:szCs w:val="32"/>
        </w:rPr>
        <w:t>，较上年减少13.49万元，下降44.4%。决算数小于预算数的主要原因是按规定逐年压减三公经费支出。。</w:t>
      </w:r>
    </w:p>
    <w:p>
      <w:pPr>
        <w:spacing w:line="600" w:lineRule="exact"/>
        <w:ind w:firstLine="640"/>
        <w:outlineLvl w:val="2"/>
        <w:rPr>
          <w:rFonts w:ascii="仿宋" w:hAnsi="仿宋" w:eastAsia="仿宋"/>
          <w:b/>
          <w:sz w:val="32"/>
          <w:szCs w:val="32"/>
        </w:rPr>
      </w:pPr>
      <w:bookmarkStart w:id="67" w:name="_Toc15377217"/>
      <w:bookmarkStart w:id="68" w:name="_Toc146189921"/>
      <w:r>
        <w:rPr>
          <w:rFonts w:hint="eastAsia" w:ascii="仿宋" w:hAnsi="仿宋" w:eastAsia="仿宋"/>
          <w:b/>
          <w:sz w:val="32"/>
          <w:szCs w:val="32"/>
        </w:rPr>
        <w:t>（二）“三公”经费财政拨款支出决算具体情况说明</w:t>
      </w:r>
      <w:bookmarkEnd w:id="67"/>
      <w:bookmarkEnd w:id="6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；公务用车购置及运行维护费支出决算9.88万元，占58.5</w:t>
      </w:r>
      <w:r>
        <w:rPr>
          <w:rFonts w:ascii="仿宋" w:hAnsi="仿宋" w:eastAsia="仿宋"/>
          <w:sz w:val="32"/>
          <w:szCs w:val="32"/>
        </w:rPr>
        <w:t>%</w:t>
      </w:r>
      <w:r>
        <w:rPr>
          <w:rFonts w:hint="eastAsia" w:ascii="仿宋" w:hAnsi="仿宋" w:eastAsia="仿宋"/>
          <w:sz w:val="32"/>
          <w:szCs w:val="32"/>
        </w:rPr>
        <w:t>；公务接待费支出决算7.01万元，占41.5</w:t>
      </w:r>
      <w:r>
        <w:rPr>
          <w:rFonts w:ascii="仿宋" w:hAnsi="仿宋" w:eastAsia="仿宋"/>
          <w:sz w:val="32"/>
          <w:szCs w:val="32"/>
        </w:rPr>
        <w:t>%</w:t>
      </w:r>
      <w:r>
        <w:rPr>
          <w:rFonts w:hint="eastAsia" w:ascii="仿宋" w:hAnsi="仿宋" w:eastAsia="仿宋"/>
          <w:sz w:val="32"/>
          <w:szCs w:val="32"/>
        </w:rPr>
        <w:t>。具体情况如下：</w:t>
      </w:r>
    </w:p>
    <w:p>
      <w:pPr>
        <w:pStyle w:val="2"/>
        <w:spacing w:before="93"/>
      </w:pPr>
      <w:r>
        <w:drawing>
          <wp:inline distT="0" distB="0" distL="0" distR="0">
            <wp:extent cx="5149215" cy="2425065"/>
            <wp:effectExtent l="19050" t="0" r="13252" b="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1440" w:firstLineChars="450"/>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0万元，年初未安排预算。因公出国（境）支出决算较2021年无变化。</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9.88万元，</w:t>
      </w:r>
      <w:r>
        <w:rPr>
          <w:rStyle w:val="18"/>
          <w:rFonts w:hint="eastAsia" w:ascii="仿宋" w:hAnsi="仿宋" w:eastAsia="仿宋"/>
          <w:b w:val="0"/>
          <w:bCs/>
          <w:sz w:val="32"/>
          <w:szCs w:val="32"/>
        </w:rPr>
        <w:t>完成预算98.8</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21年减少5.41万元，下降35.38</w:t>
      </w:r>
      <w:r>
        <w:rPr>
          <w:rFonts w:ascii="仿宋_GB2312" w:eastAsia="仿宋_GB2312"/>
          <w:sz w:val="32"/>
          <w:szCs w:val="32"/>
        </w:rPr>
        <w:t>%</w:t>
      </w:r>
      <w:r>
        <w:rPr>
          <w:rFonts w:hint="eastAsia" w:ascii="仿宋_GB2312" w:eastAsia="仿宋_GB2312"/>
          <w:sz w:val="32"/>
          <w:szCs w:val="32"/>
        </w:rPr>
        <w:t>。主要原因是逐年压减三公经费支出。</w:t>
      </w:r>
    </w:p>
    <w:p>
      <w:pPr>
        <w:spacing w:line="576" w:lineRule="exact"/>
        <w:ind w:firstLine="640"/>
        <w:rPr>
          <w:rFonts w:ascii="仿宋_GB2312" w:hAnsi="仿宋_GB2312" w:eastAsia="仿宋_GB2312" w:cs="仿宋_GB2312"/>
          <w:color w:val="000000"/>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0万元。截至</w:t>
      </w:r>
      <w:r>
        <w:rPr>
          <w:rFonts w:ascii="仿宋_GB2312" w:eastAsia="仿宋_GB2312"/>
          <w:sz w:val="32"/>
          <w:szCs w:val="32"/>
        </w:rPr>
        <w:t>20</w:t>
      </w:r>
      <w:r>
        <w:rPr>
          <w:rFonts w:hint="eastAsia" w:ascii="仿宋_GB2312" w:eastAsia="仿宋_GB2312"/>
          <w:sz w:val="32"/>
          <w:szCs w:val="32"/>
        </w:rPr>
        <w:t>2</w:t>
      </w:r>
      <w:r>
        <w:rPr>
          <w:rFonts w:hint="default" w:ascii="仿宋_GB2312" w:eastAsia="仿宋_GB2312"/>
          <w:sz w:val="32"/>
          <w:szCs w:val="32"/>
          <w:lang w:val="en"/>
        </w:rPr>
        <w:t>2</w:t>
      </w:r>
      <w:bookmarkStart w:id="120" w:name="_GoBack"/>
      <w:bookmarkEnd w:id="120"/>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月底，单位共有公务用车1辆，其中：</w:t>
      </w:r>
      <w:r>
        <w:rPr>
          <w:rFonts w:hint="eastAsia" w:ascii="仿宋_GB2312" w:hAnsi="仿宋_GB2312" w:eastAsia="仿宋_GB2312" w:cs="仿宋_GB2312"/>
          <w:color w:val="000000"/>
          <w:sz w:val="32"/>
          <w:szCs w:val="32"/>
        </w:rPr>
        <w:t>越野车1辆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9.88万元。主要用于开展</w:t>
      </w:r>
      <w:r>
        <w:rPr>
          <w:rFonts w:ascii="仿宋_GB2312" w:eastAsia="仿宋_GB2312"/>
          <w:sz w:val="32"/>
          <w:szCs w:val="32"/>
        </w:rPr>
        <w:t>审计工作以及乡村振兴工作</w:t>
      </w:r>
      <w:r>
        <w:rPr>
          <w:rFonts w:hint="eastAsia" w:ascii="仿宋_GB2312" w:eastAsia="仿宋_GB2312"/>
          <w:sz w:val="32"/>
          <w:szCs w:val="32"/>
        </w:rPr>
        <w:t>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7.01万元，</w:t>
      </w:r>
      <w:r>
        <w:rPr>
          <w:rStyle w:val="18"/>
          <w:rFonts w:hint="eastAsia" w:ascii="仿宋" w:hAnsi="仿宋" w:eastAsia="仿宋"/>
          <w:b w:val="0"/>
          <w:bCs/>
          <w:sz w:val="32"/>
          <w:szCs w:val="32"/>
        </w:rPr>
        <w:t>完成预算97.36</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21年减少8.08万元，下降53.55</w:t>
      </w:r>
      <w:r>
        <w:rPr>
          <w:rFonts w:ascii="仿宋_GB2312" w:eastAsia="仿宋_GB2312"/>
          <w:sz w:val="32"/>
          <w:szCs w:val="32"/>
        </w:rPr>
        <w:t>%</w:t>
      </w:r>
      <w:r>
        <w:rPr>
          <w:rFonts w:hint="eastAsia" w:ascii="仿宋_GB2312" w:eastAsia="仿宋_GB2312"/>
          <w:sz w:val="32"/>
          <w:szCs w:val="32"/>
        </w:rPr>
        <w:t>。主要原因是逐年压减三公经费支出。其中：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7.01</w:t>
      </w:r>
      <w:r>
        <w:rPr>
          <w:rFonts w:hint="eastAsia" w:ascii="仿宋_GB2312" w:eastAsia="仿宋_GB2312"/>
          <w:sz w:val="32"/>
          <w:szCs w:val="32"/>
        </w:rPr>
        <w:t>万元，主要用于</w:t>
      </w:r>
      <w:r>
        <w:rPr>
          <w:rFonts w:hint="eastAsia" w:ascii="仿宋_GB2312" w:hAnsi="仿宋_GB2312" w:eastAsia="仿宋_GB2312" w:cs="仿宋_GB2312"/>
          <w:color w:val="000000"/>
          <w:sz w:val="32"/>
          <w:szCs w:val="32"/>
        </w:rPr>
        <w:t>执行公务、开展审计业务活动开支用餐费等。</w:t>
      </w:r>
      <w:r>
        <w:rPr>
          <w:rFonts w:hint="eastAsia" w:ascii="仿宋_GB2312" w:eastAsia="仿宋_GB2312"/>
          <w:sz w:val="32"/>
          <w:szCs w:val="32"/>
        </w:rPr>
        <w:t>国内公务接待45批次，630人次（不包括陪同人员），共计支出7.01万元，具体内容包括：</w:t>
      </w:r>
      <w:r>
        <w:rPr>
          <w:rFonts w:hint="eastAsia" w:ascii="仿宋_GB2312" w:hAnsi="仿宋_GB2312" w:eastAsia="仿宋_GB2312" w:cs="仿宋_GB2312"/>
          <w:color w:val="000000"/>
          <w:sz w:val="32"/>
          <w:szCs w:val="32"/>
        </w:rPr>
        <w:t>省内外各市县审计局来广考察学习接待、省厅来广调研接待及审计工作接待等。</w:t>
      </w:r>
    </w:p>
    <w:p>
      <w:pPr>
        <w:spacing w:line="600" w:lineRule="exact"/>
        <w:ind w:firstLine="642"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bookmarkStart w:id="69" w:name="_Toc15377218"/>
      <w:bookmarkStart w:id="70" w:name="_Toc15396610"/>
    </w:p>
    <w:p>
      <w:pPr>
        <w:spacing w:line="600" w:lineRule="exact"/>
        <w:ind w:firstLine="640"/>
        <w:outlineLvl w:val="1"/>
        <w:rPr>
          <w:rStyle w:val="21"/>
          <w:rFonts w:ascii="黑体" w:hAnsi="黑体" w:eastAsia="黑体"/>
        </w:rPr>
      </w:pPr>
      <w:bookmarkStart w:id="71" w:name="_Toc146189922"/>
      <w:r>
        <w:rPr>
          <w:rFonts w:hint="eastAsia" w:ascii="黑体" w:eastAsia="黑体"/>
          <w:sz w:val="32"/>
          <w:szCs w:val="32"/>
        </w:rPr>
        <w:t>八、</w:t>
      </w:r>
      <w:r>
        <w:rPr>
          <w:rStyle w:val="21"/>
          <w:rFonts w:hint="eastAsia" w:ascii="黑体" w:hAnsi="黑体" w:eastAsia="黑体"/>
          <w:b w:val="0"/>
        </w:rPr>
        <w:t>政府性基金预算支出决算情况说明</w:t>
      </w:r>
      <w:bookmarkEnd w:id="69"/>
      <w:bookmarkEnd w:id="70"/>
      <w:bookmarkEnd w:id="71"/>
    </w:p>
    <w:p>
      <w:pPr>
        <w:spacing w:line="576" w:lineRule="exact"/>
        <w:ind w:firstLine="640"/>
        <w:rPr>
          <w:rFonts w:ascii="仿宋_GB2312" w:eastAsia="仿宋_GB2312"/>
          <w:sz w:val="32"/>
          <w:szCs w:val="32"/>
        </w:rPr>
      </w:pPr>
      <w:r>
        <w:rPr>
          <w:rFonts w:hint="eastAsia" w:ascii="仿宋_GB2312" w:eastAsia="仿宋_GB2312"/>
          <w:sz w:val="32"/>
          <w:szCs w:val="32"/>
        </w:rPr>
        <w:t>2022年无政府性基金预算支出。未在政府性基金预算拨款中安排“三公经费”。</w:t>
      </w:r>
    </w:p>
    <w:p>
      <w:pPr>
        <w:numPr>
          <w:ilvl w:val="0"/>
          <w:numId w:val="4"/>
        </w:numPr>
        <w:spacing w:line="600" w:lineRule="exact"/>
        <w:ind w:firstLine="640"/>
        <w:outlineLvl w:val="1"/>
        <w:rPr>
          <w:rStyle w:val="21"/>
          <w:rFonts w:ascii="黑体" w:hAnsi="黑体" w:eastAsia="黑体"/>
          <w:b w:val="0"/>
        </w:rPr>
      </w:pPr>
      <w:bookmarkStart w:id="72" w:name="_Toc146189923"/>
      <w:bookmarkStart w:id="73" w:name="_Toc15377219"/>
      <w:bookmarkStart w:id="74" w:name="_Toc15396611"/>
      <w:r>
        <w:rPr>
          <w:rStyle w:val="21"/>
          <w:rFonts w:hint="eastAsia" w:ascii="黑体" w:hAnsi="黑体" w:eastAsia="黑体"/>
          <w:b w:val="0"/>
        </w:rPr>
        <w:t>国有资本经营预算支出决算情况说明</w:t>
      </w:r>
      <w:bookmarkEnd w:id="72"/>
      <w:bookmarkEnd w:id="73"/>
      <w:bookmarkEnd w:id="74"/>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22年无国有资本经营预算财政拨款支出。</w:t>
      </w:r>
    </w:p>
    <w:p>
      <w:pPr>
        <w:numPr>
          <w:ilvl w:val="0"/>
          <w:numId w:val="4"/>
        </w:numPr>
        <w:spacing w:line="600" w:lineRule="exact"/>
        <w:ind w:firstLine="640"/>
        <w:outlineLvl w:val="1"/>
        <w:rPr>
          <w:rStyle w:val="21"/>
          <w:rFonts w:ascii="黑体" w:hAnsi="黑体" w:eastAsia="黑体"/>
          <w:b w:val="0"/>
        </w:rPr>
      </w:pPr>
      <w:bookmarkStart w:id="75" w:name="_Toc146189924"/>
      <w:bookmarkStart w:id="76" w:name="_Toc15396612"/>
      <w:bookmarkStart w:id="77" w:name="_Toc15377221"/>
      <w:r>
        <w:rPr>
          <w:rStyle w:val="21"/>
          <w:rFonts w:hint="eastAsia" w:ascii="黑体" w:hAnsi="黑体" w:eastAsia="黑体"/>
          <w:b w:val="0"/>
        </w:rPr>
        <w:t>其他重要事项的情况说明</w:t>
      </w:r>
      <w:bookmarkEnd w:id="75"/>
      <w:bookmarkEnd w:id="76"/>
      <w:bookmarkEnd w:id="77"/>
    </w:p>
    <w:p>
      <w:pPr>
        <w:spacing w:line="600" w:lineRule="exact"/>
        <w:ind w:firstLine="642" w:firstLineChars="200"/>
        <w:outlineLvl w:val="2"/>
        <w:rPr>
          <w:rFonts w:ascii="仿宋" w:hAnsi="仿宋" w:eastAsia="仿宋"/>
          <w:sz w:val="32"/>
          <w:szCs w:val="32"/>
        </w:rPr>
      </w:pPr>
      <w:bookmarkStart w:id="78" w:name="_Toc15377222"/>
      <w:bookmarkStart w:id="79" w:name="_Toc146189925"/>
      <w:r>
        <w:rPr>
          <w:rFonts w:hint="eastAsia" w:ascii="仿宋" w:hAnsi="仿宋" w:eastAsia="仿宋"/>
          <w:b/>
          <w:sz w:val="32"/>
          <w:szCs w:val="32"/>
        </w:rPr>
        <w:t>（一）机关运行经费支出情况</w:t>
      </w:r>
      <w:bookmarkEnd w:id="78"/>
      <w:bookmarkEnd w:id="79"/>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22年，市审计局机关运行经费支出258.4万元，比</w:t>
      </w:r>
      <w:r>
        <w:rPr>
          <w:rFonts w:ascii="仿宋_GB2312" w:eastAsia="仿宋_GB2312"/>
          <w:sz w:val="32"/>
          <w:szCs w:val="32"/>
        </w:rPr>
        <w:t>20</w:t>
      </w:r>
      <w:r>
        <w:rPr>
          <w:rFonts w:hint="eastAsia" w:ascii="仿宋_GB2312" w:eastAsia="仿宋_GB2312"/>
          <w:sz w:val="32"/>
          <w:szCs w:val="32"/>
        </w:rPr>
        <w:t>21年增加19.94万元，增长8.36</w:t>
      </w:r>
      <w:r>
        <w:rPr>
          <w:rFonts w:ascii="仿宋_GB2312" w:eastAsia="仿宋_GB2312"/>
          <w:sz w:val="32"/>
          <w:szCs w:val="32"/>
        </w:rPr>
        <w:t>%</w:t>
      </w:r>
      <w:r>
        <w:rPr>
          <w:rFonts w:hint="eastAsia" w:ascii="仿宋_GB2312" w:eastAsia="仿宋_GB2312"/>
          <w:sz w:val="32"/>
          <w:szCs w:val="32"/>
        </w:rPr>
        <w:t>。主要原因是人员增加导致公用经费增加。</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80" w:name="_Toc146189926"/>
      <w:bookmarkStart w:id="81" w:name="_Toc15377223"/>
      <w:r>
        <w:rPr>
          <w:rFonts w:hint="eastAsia" w:ascii="仿宋" w:hAnsi="仿宋" w:eastAsia="仿宋"/>
          <w:b/>
          <w:sz w:val="32"/>
          <w:szCs w:val="32"/>
        </w:rPr>
        <w:t>（二）政府采购支出情况</w:t>
      </w:r>
      <w:bookmarkEnd w:id="80"/>
      <w:bookmarkEnd w:id="81"/>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22年，市审计局政府采购支出总额2.3万元，其中：政府采购货物支出2.3万元。主要用于采购</w:t>
      </w:r>
      <w:r>
        <w:rPr>
          <w:rFonts w:ascii="仿宋_GB2312" w:eastAsia="仿宋_GB2312"/>
          <w:sz w:val="32"/>
          <w:szCs w:val="32"/>
        </w:rPr>
        <w:t>打印复印纸及档案柜</w:t>
      </w:r>
      <w:r>
        <w:rPr>
          <w:rFonts w:hint="eastAsia" w:ascii="仿宋_GB2312" w:eastAsia="仿宋_GB2312"/>
          <w:sz w:val="32"/>
          <w:szCs w:val="32"/>
        </w:rPr>
        <w:t>。授予中小企业合同金额2.3万元，占政府采购支出总额的100</w:t>
      </w:r>
      <w:r>
        <w:rPr>
          <w:rFonts w:ascii="仿宋_GB2312" w:eastAsia="仿宋_GB2312"/>
          <w:sz w:val="32"/>
          <w:szCs w:val="32"/>
        </w:rPr>
        <w:t>%</w:t>
      </w:r>
      <w:r>
        <w:rPr>
          <w:rFonts w:hint="eastAsia" w:ascii="仿宋_GB2312" w:eastAsia="仿宋_GB2312"/>
          <w:sz w:val="32"/>
          <w:szCs w:val="32"/>
        </w:rPr>
        <w:t>，其中：授予小微企业合同金额2.3万元，占政府采购支出总额的100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82" w:name="_Toc146189927"/>
      <w:bookmarkStart w:id="83" w:name="_Toc15377224"/>
      <w:r>
        <w:rPr>
          <w:rFonts w:hint="eastAsia" w:ascii="仿宋" w:hAnsi="仿宋" w:eastAsia="仿宋"/>
          <w:b/>
          <w:sz w:val="32"/>
          <w:szCs w:val="32"/>
        </w:rPr>
        <w:t>（三）国有资产占有使用情况</w:t>
      </w:r>
      <w:bookmarkEnd w:id="82"/>
      <w:bookmarkEnd w:id="83"/>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日，市审计局共有车辆1辆，其中：应急保障用车1辆，无单价</w:t>
      </w:r>
      <w:r>
        <w:rPr>
          <w:rFonts w:ascii="仿宋_GB2312" w:eastAsia="仿宋_GB2312"/>
          <w:sz w:val="32"/>
          <w:szCs w:val="32"/>
        </w:rPr>
        <w:t>50</w:t>
      </w:r>
      <w:r>
        <w:rPr>
          <w:rFonts w:hint="eastAsia" w:ascii="仿宋_GB2312" w:eastAsia="仿宋_GB2312"/>
          <w:sz w:val="32"/>
          <w:szCs w:val="32"/>
        </w:rPr>
        <w:t>万元以上通用设备，无单价</w:t>
      </w:r>
      <w:r>
        <w:rPr>
          <w:rFonts w:ascii="仿宋_GB2312" w:eastAsia="仿宋_GB2312"/>
          <w:sz w:val="32"/>
          <w:szCs w:val="32"/>
        </w:rPr>
        <w:t>100</w:t>
      </w:r>
      <w:r>
        <w:rPr>
          <w:rFonts w:hint="eastAsia" w:ascii="仿宋_GB2312" w:eastAsia="仿宋_GB2312"/>
          <w:sz w:val="32"/>
          <w:szCs w:val="32"/>
        </w:rPr>
        <w:t>万元以上专用设备。</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84" w:name="_Toc146189928"/>
      <w:r>
        <w:rPr>
          <w:rFonts w:hint="eastAsia" w:ascii="仿宋" w:hAnsi="仿宋" w:eastAsia="仿宋"/>
          <w:b/>
          <w:sz w:val="32"/>
          <w:szCs w:val="32"/>
        </w:rPr>
        <w:t>（四）预算绩效管理情况</w:t>
      </w:r>
      <w:bookmarkEnd w:id="84"/>
    </w:p>
    <w:p>
      <w:pPr>
        <w:widowControl/>
        <w:ind w:firstLine="640" w:firstLineChars="200"/>
        <w:jc w:val="left"/>
        <w:rPr>
          <w:rFonts w:ascii="仿宋_GB2312" w:eastAsia="仿宋_GB2312"/>
          <w:sz w:val="32"/>
          <w:szCs w:val="32"/>
        </w:rPr>
      </w:pPr>
      <w:r>
        <w:rPr>
          <w:rFonts w:hint="eastAsia" w:ascii="仿宋_GB2312" w:eastAsia="仿宋_GB2312"/>
          <w:sz w:val="32"/>
          <w:szCs w:val="32"/>
        </w:rPr>
        <w:t>根据预算绩效管理要求，本部门在2022年度预算编制阶段，组织对经责审计项目经费项目、民生类审计项目经费、财政类审计项目经费、投资类审计项目经费、大数据审计经费、乡村振兴工作经费、政府向社会购买审计服务、广元市投资审计项目信息化管理软件、信息化建设、办公家用家具精密空调等12个项目开展了预算事前绩效评估，对12个项目编制了绩效目标，预算执行过程中，12个项目均开展了绩效监控。</w:t>
      </w:r>
    </w:p>
    <w:p>
      <w:pPr>
        <w:widowControl/>
        <w:ind w:firstLine="640" w:firstLineChars="200"/>
        <w:jc w:val="left"/>
        <w:rPr>
          <w:rFonts w:ascii="仿宋_GB2312" w:eastAsia="仿宋_GB2312"/>
          <w:sz w:val="32"/>
          <w:szCs w:val="32"/>
        </w:rPr>
      </w:pPr>
      <w:r>
        <w:rPr>
          <w:rFonts w:hint="eastAsia" w:ascii="仿宋_GB2312" w:eastAsia="仿宋_GB2312"/>
          <w:sz w:val="32"/>
          <w:szCs w:val="32"/>
        </w:rPr>
        <w:t>组织对2022年度一般公共预算</w:t>
      </w:r>
      <w:r>
        <w:rPr>
          <w:rFonts w:ascii="仿宋_GB2312" w:eastAsia="仿宋_GB2312"/>
          <w:sz w:val="32"/>
          <w:szCs w:val="32"/>
        </w:rPr>
        <w:t>资金</w:t>
      </w:r>
      <w:r>
        <w:rPr>
          <w:rFonts w:hint="eastAsia" w:ascii="仿宋_GB2312" w:eastAsia="仿宋_GB2312"/>
          <w:sz w:val="32"/>
          <w:szCs w:val="32"/>
        </w:rPr>
        <w:t>等全面开展绩效自评，形成广元市审计局部门整体（含部门预算项目）绩效自评报告，广元市审计局部门整体（含部门预算项目）绩效自评得分为97分，绩效自评综述：市审计局年度目标任务完成良好，严格按照财政绩效管理要求制定并执行绩效目标，且绩效目标真实、可行、科学。预算编制规范合理，预算执行收支平衡，项目资金管理合法合规，专款专用，并保障了审计工作高效完成，全年无违规支付行为。绩效自评表详见附件。</w:t>
      </w:r>
      <w:r>
        <w:rPr>
          <w:rFonts w:ascii="仿宋_GB2312" w:eastAsia="仿宋_GB2312"/>
          <w:sz w:val="32"/>
          <w:szCs w:val="32"/>
        </w:rPr>
        <w:br w:type="page"/>
      </w:r>
    </w:p>
    <w:p>
      <w:pPr>
        <w:numPr>
          <w:ilvl w:val="0"/>
          <w:numId w:val="5"/>
        </w:numPr>
        <w:spacing w:line="600" w:lineRule="exact"/>
        <w:ind w:firstLine="660" w:firstLineChars="150"/>
        <w:jc w:val="center"/>
        <w:outlineLvl w:val="0"/>
        <w:rPr>
          <w:rStyle w:val="20"/>
          <w:rFonts w:ascii="黑体" w:hAnsi="黑体" w:eastAsia="黑体"/>
          <w:b w:val="0"/>
        </w:rPr>
      </w:pPr>
      <w:bookmarkStart w:id="85" w:name="_Toc15377225"/>
      <w:bookmarkStart w:id="86" w:name="_Toc15396613"/>
      <w:bookmarkStart w:id="87" w:name="_Toc146189929"/>
      <w:r>
        <w:rPr>
          <w:rFonts w:hint="eastAsia" w:ascii="黑体" w:hAnsi="黑体" w:eastAsia="黑体"/>
          <w:sz w:val="44"/>
          <w:szCs w:val="44"/>
        </w:rPr>
        <w:t>名</w:t>
      </w:r>
      <w:r>
        <w:rPr>
          <w:rStyle w:val="20"/>
          <w:rFonts w:hint="eastAsia" w:ascii="黑体" w:hAnsi="黑体" w:eastAsia="黑体"/>
          <w:b w:val="0"/>
        </w:rPr>
        <w:t>词解释</w:t>
      </w:r>
      <w:bookmarkEnd w:id="85"/>
      <w:bookmarkEnd w:id="86"/>
      <w:bookmarkEnd w:id="87"/>
    </w:p>
    <w:p>
      <w:pPr>
        <w:spacing w:line="600" w:lineRule="exact"/>
        <w:jc w:val="left"/>
        <w:rPr>
          <w:rFonts w:ascii="宋体"/>
          <w:b/>
          <w:sz w:val="44"/>
          <w:szCs w:val="44"/>
        </w:rPr>
      </w:pPr>
    </w:p>
    <w:p>
      <w:pPr>
        <w:pStyle w:val="30"/>
        <w:numPr>
          <w:ilvl w:val="0"/>
          <w:numId w:val="6"/>
        </w:numPr>
        <w:spacing w:line="560" w:lineRule="exact"/>
        <w:rPr>
          <w:rFonts w:ascii="仿宋_GB2312" w:eastAsia="仿宋_GB2312"/>
          <w:color w:val="auto"/>
          <w:sz w:val="32"/>
          <w:szCs w:val="32"/>
        </w:rPr>
      </w:pPr>
      <w:bookmarkStart w:id="88" w:name="_Toc15377226"/>
      <w:r>
        <w:rPr>
          <w:rFonts w:hint="eastAsia" w:ascii="仿宋_GB2312" w:eastAsia="仿宋_GB2312"/>
          <w:color w:val="auto"/>
          <w:sz w:val="32"/>
          <w:szCs w:val="32"/>
        </w:rPr>
        <w:t>财政拨款收入：指单位从同级财政部门取得的财政预算资金。</w:t>
      </w:r>
    </w:p>
    <w:p>
      <w:pPr>
        <w:pStyle w:val="30"/>
        <w:numPr>
          <w:ilvl w:val="0"/>
          <w:numId w:val="6"/>
        </w:numPr>
        <w:spacing w:line="560" w:lineRule="exact"/>
        <w:rPr>
          <w:rFonts w:ascii="仿宋_GB2312" w:eastAsia="仿宋_GB2312"/>
          <w:color w:val="auto"/>
          <w:sz w:val="32"/>
          <w:szCs w:val="32"/>
        </w:rPr>
      </w:pPr>
      <w:r>
        <w:rPr>
          <w:rFonts w:hint="eastAsia" w:ascii="仿宋_GB2312" w:eastAsia="仿宋_GB2312"/>
          <w:color w:val="auto"/>
          <w:sz w:val="32"/>
          <w:szCs w:val="32"/>
        </w:rPr>
        <w:t>其他收入：指单位取得的除上述收入以外的各项收入。主要是上级部门下拨的审计经费及</w:t>
      </w:r>
      <w:r>
        <w:rPr>
          <w:rFonts w:hint="eastAsia" w:ascii="仿宋_GB2312" w:hAnsi="仿宋_GB2312" w:eastAsia="仿宋_GB2312" w:cs="仿宋_GB2312"/>
          <w:sz w:val="32"/>
          <w:szCs w:val="32"/>
        </w:rPr>
        <w:t>银行存款的利息收入</w:t>
      </w:r>
      <w:r>
        <w:rPr>
          <w:rFonts w:hint="eastAsia" w:ascii="仿宋_GB2312" w:eastAsia="仿宋_GB2312"/>
          <w:color w:val="auto"/>
          <w:sz w:val="32"/>
          <w:szCs w:val="32"/>
        </w:rPr>
        <w:t>等。</w:t>
      </w:r>
    </w:p>
    <w:p>
      <w:pPr>
        <w:pStyle w:val="30"/>
        <w:numPr>
          <w:ilvl w:val="0"/>
          <w:numId w:val="6"/>
        </w:numPr>
        <w:spacing w:line="560" w:lineRule="exact"/>
        <w:rPr>
          <w:rFonts w:ascii="仿宋_GB2312" w:eastAsia="仿宋_GB2312"/>
          <w:color w:val="auto"/>
          <w:sz w:val="32"/>
          <w:szCs w:val="32"/>
        </w:rPr>
      </w:pPr>
      <w:r>
        <w:rPr>
          <w:rFonts w:hint="eastAsia" w:ascii="仿宋_GB2312" w:eastAsia="仿宋_GB2312"/>
          <w:color w:val="auto"/>
          <w:sz w:val="32"/>
          <w:szCs w:val="32"/>
        </w:rPr>
        <w:t>年初结转和结余：指以前年度尚未完成、结转到本年按有关规定继续使用的资金。</w:t>
      </w:r>
    </w:p>
    <w:p>
      <w:pPr>
        <w:pStyle w:val="30"/>
        <w:numPr>
          <w:ilvl w:val="0"/>
          <w:numId w:val="6"/>
        </w:numPr>
        <w:spacing w:line="560" w:lineRule="exact"/>
        <w:rPr>
          <w:rFonts w:ascii="仿宋_GB2312" w:eastAsia="仿宋_GB2312"/>
          <w:color w:val="auto"/>
          <w:sz w:val="32"/>
          <w:szCs w:val="32"/>
        </w:rPr>
      </w:pPr>
      <w:r>
        <w:rPr>
          <w:rFonts w:hint="eastAsia" w:ascii="仿宋_GB2312" w:eastAsia="仿宋_GB2312"/>
          <w:color w:val="auto"/>
          <w:sz w:val="32"/>
          <w:szCs w:val="32"/>
        </w:rPr>
        <w:t>年末结转和结余：指单位按有关规定结转到下年或以后年度继续使用的资金。</w:t>
      </w:r>
    </w:p>
    <w:p>
      <w:pPr>
        <w:numPr>
          <w:ilvl w:val="0"/>
          <w:numId w:val="6"/>
        </w:numPr>
        <w:spacing w:line="576"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一般公共服务（类）审计事务（款）行政运行（项）：反映行政单位（包括实行公务员管理的事业单位）的基本支出。</w:t>
      </w:r>
    </w:p>
    <w:p>
      <w:pPr>
        <w:numPr>
          <w:ilvl w:val="0"/>
          <w:numId w:val="6"/>
        </w:numPr>
        <w:spacing w:line="576"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一般公共服务（类）审计事务（款）一般行政管理事务（项）：反映乡村振兴工作经费。</w:t>
      </w:r>
    </w:p>
    <w:p>
      <w:pPr>
        <w:numPr>
          <w:ilvl w:val="0"/>
          <w:numId w:val="6"/>
        </w:numPr>
        <w:spacing w:line="576"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一般公共服务（类）审计事务（款）审计业务（项）：反映审计部门开展审计项目业务经费支出。</w:t>
      </w:r>
    </w:p>
    <w:p>
      <w:pPr>
        <w:pStyle w:val="2"/>
        <w:numPr>
          <w:ilvl w:val="0"/>
          <w:numId w:val="6"/>
        </w:numPr>
        <w:spacing w:before="93"/>
        <w:rPr>
          <w:rFonts w:hAnsi="仿宋_GB2312" w:cs="仿宋_GB2312"/>
          <w:color w:val="000000"/>
          <w:sz w:val="32"/>
          <w:szCs w:val="32"/>
        </w:rPr>
      </w:pPr>
      <w:r>
        <w:rPr>
          <w:rFonts w:hint="eastAsia" w:hAnsi="仿宋_GB2312" w:cs="仿宋_GB2312"/>
          <w:color w:val="000000"/>
          <w:sz w:val="32"/>
          <w:szCs w:val="32"/>
        </w:rPr>
        <w:t>一般公共服务（类）审计事务（款）信息化建设（项）：反映审计部门采购电脑、打印机、办公设备等支出。</w:t>
      </w:r>
    </w:p>
    <w:p>
      <w:pPr>
        <w:numPr>
          <w:ilvl w:val="0"/>
          <w:numId w:val="6"/>
        </w:numPr>
        <w:spacing w:line="576"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一般公共服务（类）审计事务（款）事业运行（项）：</w:t>
      </w:r>
      <w:r>
        <w:rPr>
          <w:rFonts w:hint="eastAsia" w:ascii="仿宋_GB2312" w:hAnsi="仿宋_GB2312" w:eastAsia="仿宋_GB2312" w:cs="仿宋_GB2312"/>
          <w:color w:val="000000"/>
          <w:kern w:val="0"/>
          <w:sz w:val="32"/>
          <w:szCs w:val="32"/>
        </w:rPr>
        <w:t>反映事业单位的基本支出。</w:t>
      </w:r>
    </w:p>
    <w:p>
      <w:pPr>
        <w:numPr>
          <w:ilvl w:val="0"/>
          <w:numId w:val="6"/>
        </w:numPr>
        <w:spacing w:line="576"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一般公共服务（类）</w:t>
      </w:r>
      <w:r>
        <w:rPr>
          <w:rFonts w:hint="eastAsia" w:hAnsi="仿宋_GB2312" w:cs="仿宋_GB2312"/>
          <w:color w:val="000000"/>
          <w:sz w:val="32"/>
          <w:szCs w:val="32"/>
        </w:rPr>
        <w:t>审计事务</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kern w:val="0"/>
          <w:sz w:val="32"/>
          <w:szCs w:val="32"/>
        </w:rPr>
        <w:t>其他审计事务支出</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kern w:val="0"/>
          <w:sz w:val="32"/>
          <w:szCs w:val="32"/>
        </w:rPr>
        <w:t>反映审计机关聘请中介机构需要支付的中介审计服务费。</w:t>
      </w:r>
    </w:p>
    <w:p>
      <w:pPr>
        <w:numPr>
          <w:ilvl w:val="0"/>
          <w:numId w:val="6"/>
        </w:numPr>
        <w:spacing w:line="576"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社会保障和就业（类）人力资源和社会保障管理事务（款）引进人才费用（项）：指引进人才安家补助费及工作补助。</w:t>
      </w:r>
    </w:p>
    <w:p>
      <w:pPr>
        <w:numPr>
          <w:ilvl w:val="0"/>
          <w:numId w:val="6"/>
        </w:numPr>
        <w:spacing w:line="576"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社会保障和就业（类）人力资源和社会保障管理事务（款）其他人力资源和社会保障管理事务支出（项）：指机关事业单位实施工伤失业保险制度由单位缴纳的工伤失业保险支出。</w:t>
      </w:r>
    </w:p>
    <w:p>
      <w:pPr>
        <w:numPr>
          <w:ilvl w:val="0"/>
          <w:numId w:val="6"/>
        </w:numPr>
        <w:spacing w:line="576"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社会保障和就业（类）</w:t>
      </w:r>
      <w:r>
        <w:rPr>
          <w:rFonts w:hint="eastAsia" w:ascii="仿宋_GB2312" w:hAnsi="Calibri" w:eastAsia="仿宋_GB2312" w:cs="仿宋"/>
          <w:kern w:val="0"/>
          <w:sz w:val="32"/>
          <w:szCs w:val="32"/>
        </w:rPr>
        <w:t>行政事业单位养老支出</w:t>
      </w:r>
      <w:r>
        <w:rPr>
          <w:rFonts w:hint="eastAsia" w:ascii="仿宋_GB2312" w:hAnsi="仿宋_GB2312" w:eastAsia="仿宋_GB2312" w:cs="仿宋_GB2312"/>
          <w:color w:val="000000"/>
          <w:kern w:val="0"/>
          <w:sz w:val="32"/>
          <w:szCs w:val="32"/>
        </w:rPr>
        <w:t>（款）机关事业单位基本养老保险缴费支出（项）：指机关事业单位实施养老保险制度由单位缴纳的基本养老保险费支出。</w:t>
      </w:r>
    </w:p>
    <w:p>
      <w:pPr>
        <w:numPr>
          <w:ilvl w:val="0"/>
          <w:numId w:val="6"/>
        </w:numPr>
        <w:rPr>
          <w:rFonts w:ascii="仿宋_GB2312" w:hAnsi="Calibri" w:eastAsia="仿宋_GB2312" w:cs="仿宋"/>
          <w:kern w:val="0"/>
          <w:sz w:val="32"/>
          <w:szCs w:val="32"/>
        </w:rPr>
      </w:pPr>
      <w:r>
        <w:rPr>
          <w:rFonts w:hint="eastAsia" w:ascii="仿宋_GB2312" w:hAnsi="Calibri" w:eastAsia="仿宋_GB2312" w:cs="仿宋"/>
          <w:kern w:val="0"/>
          <w:sz w:val="32"/>
          <w:szCs w:val="32"/>
        </w:rPr>
        <w:t>社会保障和就业（类）行政事业单位养老支出（款）机关事业单位职业年金缴费支出（项）：指</w:t>
      </w:r>
      <w:r>
        <w:rPr>
          <w:rFonts w:hint="eastAsia" w:ascii="仿宋_GB2312" w:hAnsi="仿宋_GB2312" w:eastAsia="仿宋_GB2312" w:cs="仿宋_GB2312"/>
          <w:color w:val="000000"/>
          <w:kern w:val="0"/>
          <w:sz w:val="32"/>
          <w:szCs w:val="32"/>
        </w:rPr>
        <w:t>机关事业单位</w:t>
      </w:r>
      <w:r>
        <w:rPr>
          <w:rFonts w:hint="eastAsia" w:ascii="仿宋_GB2312" w:hAnsi="Calibri" w:eastAsia="仿宋_GB2312" w:cs="仿宋"/>
          <w:kern w:val="0"/>
          <w:sz w:val="32"/>
          <w:szCs w:val="32"/>
        </w:rPr>
        <w:t>退休或者调出人员职业年金坐实支出。</w:t>
      </w:r>
    </w:p>
    <w:p>
      <w:pPr>
        <w:numPr>
          <w:ilvl w:val="0"/>
          <w:numId w:val="6"/>
        </w:numPr>
        <w:spacing w:line="576"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卫生健康（类）行政事业单位医疗（款）行政单位医疗（项）：反映财政部门集中安排的行政单位基本医疗保险缴费经费。</w:t>
      </w:r>
    </w:p>
    <w:p>
      <w:pPr>
        <w:numPr>
          <w:ilvl w:val="0"/>
          <w:numId w:val="6"/>
        </w:numPr>
        <w:spacing w:line="576"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住房保障（类）住房改革支出（款）住房公积金（项）：反映行政事业单位按人力资源和社会保障部、财政部规定的基本工资和津贴补贴以及规定比例为职工缴纳的住房公积金。</w:t>
      </w:r>
    </w:p>
    <w:p>
      <w:pPr>
        <w:numPr>
          <w:ilvl w:val="0"/>
          <w:numId w:val="6"/>
        </w:numPr>
        <w:rPr>
          <w:rFonts w:ascii="仿宋_GB2312" w:eastAsia="仿宋_GB2312"/>
          <w:sz w:val="32"/>
          <w:szCs w:val="32"/>
        </w:rPr>
      </w:pPr>
      <w:r>
        <w:rPr>
          <w:rFonts w:hint="eastAsia" w:ascii="仿宋_GB2312" w:eastAsia="仿宋_GB2312"/>
          <w:sz w:val="32"/>
          <w:szCs w:val="32"/>
        </w:rPr>
        <w:t>基本支出：指为保障机构正常运转、完成日常工作任务而发生的人员支出和公用支出。</w:t>
      </w:r>
    </w:p>
    <w:p>
      <w:pPr>
        <w:numPr>
          <w:ilvl w:val="0"/>
          <w:numId w:val="6"/>
        </w:numPr>
        <w:rPr>
          <w:rFonts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p>
    <w:p>
      <w:pPr>
        <w:pStyle w:val="30"/>
        <w:numPr>
          <w:ilvl w:val="0"/>
          <w:numId w:val="6"/>
        </w:numPr>
        <w:spacing w:line="560" w:lineRule="exact"/>
        <w:rPr>
          <w:rFonts w:ascii="仿宋_GB2312" w:eastAsia="仿宋_GB2312"/>
          <w:color w:val="auto"/>
          <w:sz w:val="32"/>
          <w:szCs w:val="32"/>
        </w:rPr>
      </w:pP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numPr>
          <w:ilvl w:val="0"/>
          <w:numId w:val="6"/>
        </w:numPr>
        <w:spacing w:line="560" w:lineRule="exact"/>
        <w:rPr>
          <w:rFonts w:ascii="仿宋_GB2312" w:eastAsia="仿宋_GB2312"/>
          <w:color w:val="auto"/>
          <w:sz w:val="32"/>
          <w:szCs w:val="32"/>
        </w:rPr>
      </w:pP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0"/>
          <w:rFonts w:ascii="黑体" w:hAnsi="黑体" w:eastAsia="黑体"/>
          <w:b w:val="0"/>
        </w:rPr>
      </w:pPr>
      <w:r>
        <w:rPr>
          <w:rFonts w:ascii="宋体"/>
          <w:b/>
          <w:sz w:val="44"/>
          <w:szCs w:val="44"/>
        </w:rPr>
        <w:br w:type="page"/>
      </w:r>
      <w:bookmarkStart w:id="89" w:name="_Toc146189930"/>
      <w:bookmarkStart w:id="90" w:name="_Toc15396614"/>
      <w:r>
        <w:rPr>
          <w:rFonts w:hint="eastAsia" w:ascii="黑体" w:hAnsi="黑体" w:eastAsia="黑体"/>
          <w:sz w:val="44"/>
          <w:szCs w:val="44"/>
        </w:rPr>
        <w:t>第</w:t>
      </w:r>
      <w:r>
        <w:rPr>
          <w:rStyle w:val="20"/>
          <w:rFonts w:hint="eastAsia" w:ascii="黑体" w:hAnsi="黑体" w:eastAsia="黑体"/>
          <w:b w:val="0"/>
        </w:rPr>
        <w:t>四部分附件</w:t>
      </w:r>
      <w:bookmarkEnd w:id="89"/>
      <w:bookmarkEnd w:id="90"/>
    </w:p>
    <w:p>
      <w:pPr>
        <w:spacing w:line="572" w:lineRule="exact"/>
        <w:jc w:val="left"/>
        <w:outlineLvl w:val="0"/>
        <w:rPr>
          <w:rFonts w:ascii="方正小标宋简体" w:hAnsi="方正小标宋简体" w:eastAsia="方正小标宋简体" w:cs="方正小标宋简体"/>
          <w:sz w:val="44"/>
          <w:szCs w:val="44"/>
        </w:rPr>
      </w:pPr>
      <w:bookmarkStart w:id="91" w:name="_Toc146189931"/>
      <w:r>
        <w:rPr>
          <w:rFonts w:hint="eastAsia" w:ascii="黑体" w:hAnsi="黑体" w:eastAsia="黑体" w:cs="黑体"/>
          <w:sz w:val="32"/>
          <w:szCs w:val="32"/>
        </w:rPr>
        <w:t>附件</w:t>
      </w:r>
      <w:bookmarkEnd w:id="91"/>
    </w:p>
    <w:p>
      <w:pPr>
        <w:widowControl/>
        <w:spacing w:line="560" w:lineRule="exact"/>
        <w:contextualSpacing/>
        <w:jc w:val="center"/>
        <w:rPr>
          <w:rFonts w:ascii="宋体" w:hAnsi="宋体"/>
          <w:b/>
          <w:sz w:val="44"/>
          <w:szCs w:val="44"/>
          <w:shd w:val="clear" w:color="auto" w:fill="FFFFFF"/>
        </w:rPr>
      </w:pPr>
      <w:r>
        <w:rPr>
          <w:rFonts w:hint="eastAsia" w:ascii="宋体" w:hAnsi="宋体"/>
          <w:b/>
          <w:sz w:val="44"/>
          <w:szCs w:val="44"/>
          <w:shd w:val="clear" w:color="auto" w:fill="FFFFFF"/>
        </w:rPr>
        <w:t>2022年广元市审计局</w:t>
      </w:r>
    </w:p>
    <w:p>
      <w:pPr>
        <w:widowControl/>
        <w:spacing w:line="560" w:lineRule="exact"/>
        <w:contextualSpacing/>
        <w:jc w:val="center"/>
        <w:rPr>
          <w:rFonts w:ascii="仿宋_GB2312" w:hAnsi="仿宋_GB2312" w:eastAsia="仿宋_GB2312" w:cs="仿宋_GB2312"/>
          <w:sz w:val="44"/>
          <w:szCs w:val="44"/>
          <w:shd w:val="clear" w:color="auto" w:fill="FFFFFF"/>
        </w:rPr>
      </w:pPr>
      <w:r>
        <w:rPr>
          <w:rFonts w:hint="eastAsia" w:ascii="宋体" w:hAnsi="宋体"/>
          <w:b/>
          <w:sz w:val="44"/>
          <w:szCs w:val="44"/>
          <w:shd w:val="clear" w:color="auto" w:fill="FFFFFF"/>
        </w:rPr>
        <w:t>部门整体绩效评价报告</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pPr>
        <w:widowControl/>
        <w:numPr>
          <w:ilvl w:val="0"/>
          <w:numId w:val="7"/>
        </w:numPr>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部门（单位）基本情况</w:t>
      </w:r>
    </w:p>
    <w:p>
      <w:pPr>
        <w:widowControl/>
        <w:spacing w:line="576" w:lineRule="exact"/>
        <w:ind w:firstLine="642" w:firstLineChars="200"/>
        <w:jc w:val="left"/>
        <w:rPr>
          <w:rFonts w:ascii="仿宋_GB2312" w:hAnsi="宋体" w:cs="宋体"/>
          <w:color w:val="000000"/>
          <w:kern w:val="0"/>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（一）机构组成。</w:t>
      </w:r>
      <w:r>
        <w:rPr>
          <w:rFonts w:hint="eastAsia" w:ascii="仿宋_GB2312" w:hAnsi="仿宋_GB2312" w:eastAsia="仿宋_GB2312" w:cs="仿宋_GB2312"/>
          <w:kern w:val="0"/>
          <w:sz w:val="32"/>
          <w:szCs w:val="32"/>
          <w:shd w:val="clear" w:color="auto" w:fill="FFFFFF"/>
        </w:rPr>
        <w:t>市审计局为一级预算单位，下属参公管理单位2个，即广元市审计局直属审计分局、广元市财政监督检查局，全额拨款的事业单位2个，即广元市审计信息中心、广元市固定资产投资审计中心。</w:t>
      </w:r>
    </w:p>
    <w:p>
      <w:pPr>
        <w:adjustRightInd w:val="0"/>
        <w:snapToGrid w:val="0"/>
        <w:spacing w:line="576" w:lineRule="exact"/>
        <w:ind w:firstLine="642" w:firstLineChars="200"/>
        <w:rPr>
          <w:rFonts w:ascii="仿宋_GB2312" w:hAnsi="仿宋_GB2312" w:eastAsia="仿宋_GB2312" w:cs="仿宋_GB2312"/>
          <w:kern w:val="0"/>
          <w:sz w:val="32"/>
          <w:szCs w:val="32"/>
          <w:shd w:val="clear" w:color="auto" w:fill="FFFFFF"/>
        </w:rPr>
      </w:pPr>
      <w:r>
        <w:rPr>
          <w:rFonts w:hint="eastAsia" w:ascii="楷体_GB2312" w:hAnsi="楷体_GB2312" w:eastAsia="楷体_GB2312" w:cs="楷体_GB2312"/>
          <w:b/>
          <w:bCs/>
          <w:kern w:val="0"/>
          <w:sz w:val="32"/>
          <w:szCs w:val="32"/>
          <w:shd w:val="clear" w:color="auto" w:fill="FFFFFF"/>
          <w:lang w:val="zh-CN"/>
        </w:rPr>
        <w:t>（二）机构职能和人员概况。</w:t>
      </w:r>
      <w:r>
        <w:rPr>
          <w:rFonts w:hint="eastAsia" w:ascii="仿宋_GB2312" w:hAnsi="仿宋_GB2312" w:eastAsia="仿宋_GB2312" w:cs="仿宋_GB2312"/>
          <w:kern w:val="0"/>
          <w:sz w:val="32"/>
          <w:szCs w:val="32"/>
          <w:shd w:val="clear" w:color="auto" w:fill="FFFFFF"/>
        </w:rPr>
        <w:t>广元市审计局是广元市依法独立行使审计监督权的审计机关，在市委市政府和省审计厅的领导下，负责广元市的审计监督工作。主管全市审计工作；贯彻执行国家有关审计工作的方针政策和法律法规；向市委审计委员会提出年度市级预算执行和其他财政支出情况审计报告；向市政府和省审计厅提出年度市级预算执行和其他财政收支情况的审计结果报告；受市政府委托向市人大常委会提出市级预算执行和其他财政收支情况的审计工作报告、审计查出问题整改情况报告；向市委、市政府报告对其他事项的审计和专项审计调查情况及结果；依法向社会公布审计结果；直接审计下列事项，出具审计报告，在法定职权范围内作出审计决定，包括国家、省、市有关重大政策措施贯彻落实情况、市级预算执行情况和其他财政收支、市直各部门（含直属单位）预算执行情况、决算草案和其他财政收支等；按规定对市管党政主要领导干部及其他单位主要负责人实施经济责任审计和自然资源资产离任（任中）审计，对市出资企业领导干部经济责任审计；组织对与市级财政收支有关的特定事项进行专项审计调查；依法检查审计决定执行情况、督促整改审计查出的问题等；指导和监督内部审计工作，核查社会审计机构对依法属于审计监督对象的单位出具的相关审计报告；与县市区党委、政府共同领导县市区审计机关；指导和推广信息技术在全市审计领域的应用，组织建设和维护全市审计信息系统；承担经市政府批准保留的行政审批事项等。</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市审计局总编制90个，其中</w:t>
      </w:r>
      <w:r>
        <w:rPr>
          <w:rFonts w:hint="eastAsia" w:ascii="仿宋_GB2312" w:hAnsi="仿宋_GB2312" w:eastAsia="仿宋_GB2312" w:cs="仿宋_GB2312"/>
          <w:kern w:val="0"/>
          <w:sz w:val="32"/>
          <w:szCs w:val="32"/>
          <w:shd w:val="clear" w:color="auto" w:fill="FFFFFF"/>
        </w:rPr>
        <w:t>：</w:t>
      </w:r>
      <w:r>
        <w:rPr>
          <w:rFonts w:ascii="仿宋_GB2312" w:hAnsi="仿宋_GB2312" w:eastAsia="仿宋_GB2312" w:cs="仿宋_GB2312"/>
          <w:kern w:val="0"/>
          <w:sz w:val="32"/>
          <w:szCs w:val="32"/>
          <w:shd w:val="clear" w:color="auto" w:fill="FFFFFF"/>
        </w:rPr>
        <w:t>行政编制45个，事业编制40个（含参公20个），工勤编制5个。截至</w:t>
      </w:r>
      <w:r>
        <w:rPr>
          <w:rFonts w:hint="eastAsia" w:ascii="仿宋_GB2312" w:hAnsi="仿宋_GB2312" w:eastAsia="仿宋_GB2312" w:cs="仿宋_GB2312"/>
          <w:kern w:val="0"/>
          <w:sz w:val="32"/>
          <w:szCs w:val="32"/>
          <w:shd w:val="clear" w:color="auto" w:fill="FFFFFF"/>
        </w:rPr>
        <w:t>2022年12月31日</w:t>
      </w:r>
      <w:r>
        <w:rPr>
          <w:rFonts w:ascii="仿宋_GB2312" w:hAnsi="仿宋_GB2312" w:eastAsia="仿宋_GB2312" w:cs="仿宋_GB2312"/>
          <w:kern w:val="0"/>
          <w:sz w:val="32"/>
          <w:szCs w:val="32"/>
          <w:shd w:val="clear" w:color="auto" w:fill="FFFFFF"/>
        </w:rPr>
        <w:t>在职人员86人，其中</w:t>
      </w:r>
      <w:r>
        <w:rPr>
          <w:rFonts w:hint="eastAsia" w:ascii="仿宋_GB2312" w:hAnsi="仿宋_GB2312" w:eastAsia="仿宋_GB2312" w:cs="仿宋_GB2312"/>
          <w:kern w:val="0"/>
          <w:sz w:val="32"/>
          <w:szCs w:val="32"/>
          <w:shd w:val="clear" w:color="auto" w:fill="FFFFFF"/>
        </w:rPr>
        <w:t>：</w:t>
      </w:r>
      <w:r>
        <w:rPr>
          <w:rFonts w:ascii="仿宋_GB2312" w:hAnsi="仿宋_GB2312" w:eastAsia="仿宋_GB2312" w:cs="仿宋_GB2312"/>
          <w:kern w:val="0"/>
          <w:sz w:val="32"/>
          <w:szCs w:val="32"/>
          <w:shd w:val="clear" w:color="auto" w:fill="FFFFFF"/>
        </w:rPr>
        <w:t>行政人员44人，事业人员37人（含参公16人），工勤人员5人；退休人员44人。</w:t>
      </w:r>
    </w:p>
    <w:p>
      <w:pPr>
        <w:spacing w:line="576" w:lineRule="exact"/>
        <w:ind w:firstLine="642" w:firstLineChars="200"/>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（三）年度主要工作任务。</w:t>
      </w:r>
    </w:p>
    <w:p>
      <w:pPr>
        <w:spacing w:line="576"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1.聚焦主责主业，聚力服务广元经济高质量发展。</w:t>
      </w:r>
    </w:p>
    <w:p>
      <w:pPr>
        <w:spacing w:line="576"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切实把准审计机关是“政治机关”“经济监督部门”“宏观管理部门”的角色定位，认真思考和谋划明年工作，重点在深入推进审计监督全覆盖、着力揭示“四大经济”“四大工程”落实过程中的难点和堵点问题等方面下功夫，奋力争先创优，推动广元审计工作再上新台阶，全力服务川陕甘结合现代化中心城市发展战略。</w:t>
      </w:r>
    </w:p>
    <w:p>
      <w:pPr>
        <w:spacing w:line="576"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2.夯实审计工作基础，提升审计监督服务保障能力。</w:t>
      </w:r>
    </w:p>
    <w:p>
      <w:pPr>
        <w:spacing w:line="576"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一是开展“基层基础规范建设年”活动，进一步夯实制度基础，通过“废止一批、重申一批、修订一批、建立一批”的方式，加强审计机关依法行政能力建设，重点是公共投资领域审计相关制度，形成“靠制度管人、用制度管权、按制度办事”的长效机制，提升全市审计监督服务质效。二是进一步夯实干部队伍基础。围绕夯实综合能力、实战能力、审计科研能力三大基础，着力培养一批具备较强政治能力、专业能力、宏观政策研究能力、审计信息化能力和讲演能力的复合型审计人才，努力建设信念坚定、业务精通、作风务实、清正廉洁的高素质专业化审计铁军。三是进一步夯实信息化审计基础。加快信息化基础建设，提升大数据真实性、准确性、完整性；提升大数据审计技能基础，将大数据审计作为全体审计业务人员必备技能进行培训和提升；在投资审计领域大力推动智慧审计。四是进一步夯实内部审计基础。从规范工作流程、强化业务指导、加大实战练兵等方面，提升内审工作能力，夯实内部审计预防保护、服务促进、评论签证等作用。</w:t>
      </w:r>
    </w:p>
    <w:p>
      <w:pPr>
        <w:spacing w:line="576"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3.坚持全面从严正风肃纪，扎实抓好干部队伍和作风纪律建设。</w:t>
      </w:r>
    </w:p>
    <w:p>
      <w:pPr>
        <w:spacing w:line="576"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始终坚持将建设高素质专业化审计队伍作为长期重大战略，持之以恒、持续用力，既在人才引进、干部培养、队伍提能、职工关怀等方面创新方式方法，又在推进作风纪律建设方面持续用力，扎实抓好全市审计系统党风廉政建设，全力维护广元审计队伍形象。</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rPr>
      </w:pPr>
    </w:p>
    <w:p>
      <w:pPr>
        <w:pStyle w:val="2"/>
        <w:spacing w:before="93"/>
      </w:pP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（四）部门整体支出绩效目标。</w:t>
      </w:r>
    </w:p>
    <w:p>
      <w:pPr>
        <w:spacing w:line="576"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坚持和加强党对审计工作的集中统一领导，在推动构建集中统一、全面覆盖、权威高效的审计监督体系方面取得新进展。坚持围绕中心服务大局，在聚焦主责主业依法履行监督职责方面取得新成效。坚持健全机制深化整改，在深化审计成果利用促进行业治理方面取得新突破。坚持高素质专业化要求，在增强专业能力塑造审计职业精神方面取得新提升。严格落实市委市政府关于全面实施预算绩效管理的实施意见，着力提升财政资金绩效，以绩效目标实现为导向，以财政支出绩效评价为手段，以评价结果应用为保障，建立完善预算绩效管理体系。进一步发挥预算绩效激励约束作用，积极推进市审计局预算绩效管理工作。</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1.部门总体收入情况</w:t>
      </w:r>
    </w:p>
    <w:p>
      <w:pPr>
        <w:widowControl/>
        <w:spacing w:line="576"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2022年，市审计局的总收入为2592.98万元，其中：一般公共预算拨款收入2357.3万元、其他收入99.8万元、上年结转135.87万元。</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2.部门总体支出情况</w:t>
      </w:r>
    </w:p>
    <w:p>
      <w:pPr>
        <w:widowControl/>
        <w:spacing w:line="576"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2022年，市审计局财政资金支出2490.54万元，主要用于保障我局机构正常运转、完成审计项目工作。</w:t>
      </w:r>
    </w:p>
    <w:p>
      <w:pPr>
        <w:widowControl/>
        <w:spacing w:line="576"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基本支出1907.23万元，用于单位机构正常运转的日常支出，包括基本工资、保险类、绩效工资等人员经费以及办公费、印刷费、水电费、差旅费等日常公用经费。</w:t>
      </w:r>
    </w:p>
    <w:p>
      <w:pPr>
        <w:widowControl/>
        <w:spacing w:line="576"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项目支出583.31万元，用于开展审计项目，贯彻执行国家审计工作的方针政策和法律法规。</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3.部门总体结转结余情况</w:t>
      </w:r>
    </w:p>
    <w:p>
      <w:pPr>
        <w:pStyle w:val="15"/>
        <w:spacing w:before="93" w:line="576" w:lineRule="exact"/>
        <w:ind w:left="130" w:leftChars="62" w:firstLine="419" w:firstLineChars="131"/>
        <w:rPr>
          <w:rFonts w:hAnsi="仿宋_GB2312" w:eastAsia="仿宋_GB2312" w:cs="仿宋_GB2312"/>
          <w:kern w:val="0"/>
          <w:sz w:val="32"/>
          <w:shd w:val="clear" w:color="auto" w:fill="FFFFFF"/>
        </w:rPr>
      </w:pPr>
      <w:r>
        <w:rPr>
          <w:rFonts w:hint="eastAsia" w:hAnsi="仿宋_GB2312" w:eastAsia="仿宋_GB2312" w:cs="仿宋_GB2312"/>
          <w:kern w:val="0"/>
          <w:sz w:val="32"/>
          <w:shd w:val="clear" w:color="auto" w:fill="FFFFFF"/>
        </w:rPr>
        <w:t>2022年结余资金为102.44万元。</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（二）部门财政拨款收支情况。</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1.部门财政拨款收入情况</w:t>
      </w:r>
    </w:p>
    <w:p>
      <w:pPr>
        <w:widowControl/>
        <w:spacing w:line="576"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2022年，市审计局的财政拨款收入为2369.98万元，其中：一般公共预算拨款收入2357.31万元、上年结转12.67万元。</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2.部门财政拨款支出情况</w:t>
      </w:r>
    </w:p>
    <w:p>
      <w:pPr>
        <w:widowControl/>
        <w:spacing w:line="576"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2022年，市审计局财政资金支出2369.98万元，主要用于保障我局机构正常运转、完成审计项目工作。</w:t>
      </w:r>
    </w:p>
    <w:p>
      <w:pPr>
        <w:widowControl/>
        <w:spacing w:line="576"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基本支出1890.71万元，用于单位机构正常运转的日常支出，包括基本工资、保险类、绩效工资等人员经费以及办公费、印刷费、水电费、差旅费等日常公用经费。</w:t>
      </w:r>
    </w:p>
    <w:p>
      <w:pPr>
        <w:widowControl/>
        <w:spacing w:line="576"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项目支出479.27万元，用于开展审计工作，贯彻执行国家审计工作的方针政策和法律法规。</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3.部门财政拨款结转结余情况</w:t>
      </w:r>
    </w:p>
    <w:p>
      <w:pPr>
        <w:pStyle w:val="15"/>
        <w:spacing w:before="93" w:line="576" w:lineRule="exact"/>
        <w:ind w:left="0" w:leftChars="0" w:firstLine="640"/>
        <w:rPr>
          <w:rFonts w:hAnsi="仿宋_GB2312" w:eastAsia="仿宋_GB2312" w:cs="仿宋_GB2312"/>
          <w:kern w:val="0"/>
          <w:sz w:val="32"/>
          <w:shd w:val="clear" w:color="auto" w:fill="FFFFFF"/>
        </w:rPr>
      </w:pPr>
      <w:r>
        <w:rPr>
          <w:rFonts w:hint="eastAsia" w:hAnsi="仿宋_GB2312" w:eastAsia="仿宋_GB2312" w:cs="仿宋_GB2312"/>
          <w:kern w:val="0"/>
          <w:sz w:val="32"/>
          <w:shd w:val="clear" w:color="auto" w:fill="FFFFFF"/>
        </w:rPr>
        <w:t>市审计局2022年无结转结余。</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w:t>
      </w:r>
    </w:p>
    <w:p>
      <w:pPr>
        <w:widowControl/>
        <w:adjustRightInd w:val="0"/>
        <w:snapToGrid w:val="0"/>
        <w:spacing w:line="560" w:lineRule="exact"/>
        <w:ind w:firstLine="642"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r>
        <w:rPr>
          <w:rFonts w:hint="eastAsia" w:ascii="仿宋_GB2312" w:hAnsi="仿宋_GB2312" w:eastAsia="仿宋_GB2312" w:cs="仿宋_GB2312"/>
          <w:kern w:val="0"/>
          <w:sz w:val="32"/>
          <w:szCs w:val="32"/>
          <w:shd w:val="clear" w:color="auto" w:fill="FFFFFF"/>
          <w:lang w:val="zh-CN"/>
        </w:rPr>
        <w:t>（分段表述人员类、运转类、特定目标类项目绩效情况和存在问题）</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1.人员类项目绩效分析</w:t>
      </w:r>
    </w:p>
    <w:p>
      <w:pPr>
        <w:adjustRightInd w:val="0"/>
        <w:snapToGrid w:val="0"/>
        <w:spacing w:line="576"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（1）绩效目标制定</w:t>
      </w:r>
    </w:p>
    <w:p>
      <w:pPr>
        <w:widowControl/>
        <w:spacing w:line="576" w:lineRule="exact"/>
        <w:ind w:firstLine="640" w:firstLineChars="200"/>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2022年预算编制严格按照市财政局预算编制口径及有关要求，依据我局202年工作任务测算化预算，按时完成人员预算草案的报审工作。同时在规定时间细内，保质保量地完成绩效目标的编报，绩效目标要素完整，指标细化量化。</w:t>
      </w:r>
    </w:p>
    <w:p>
      <w:pPr>
        <w:pStyle w:val="15"/>
        <w:spacing w:line="576" w:lineRule="exact"/>
        <w:ind w:left="130" w:leftChars="62" w:firstLine="419" w:firstLineChars="131"/>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（2）目标实现</w:t>
      </w:r>
    </w:p>
    <w:p>
      <w:pPr>
        <w:pStyle w:val="15"/>
        <w:spacing w:line="576" w:lineRule="exact"/>
        <w:ind w:left="130" w:leftChars="62" w:firstLine="419" w:firstLineChars="131"/>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2022年人员类经费目标实现情况较好。完成了所有人员类经费的预算绩效编报，绩效目标要素完整，指标细化量化，人员类经费在规定时间全部支付完毕。</w:t>
      </w:r>
    </w:p>
    <w:p>
      <w:pPr>
        <w:pStyle w:val="15"/>
        <w:tabs>
          <w:tab w:val="left" w:pos="3225"/>
        </w:tabs>
        <w:spacing w:line="576" w:lineRule="exact"/>
        <w:ind w:left="130" w:leftChars="62" w:firstLine="419" w:firstLineChars="131"/>
        <w:rPr>
          <w:rFonts w:hAnsi="仿宋_GB2312" w:eastAsia="仿宋_GB2312" w:cs="仿宋_GB2312"/>
          <w:kern w:val="0"/>
          <w:sz w:val="32"/>
          <w:shd w:val="clear" w:color="auto" w:fill="FFFFFF"/>
          <w:lang w:val="zh-CN"/>
        </w:rPr>
      </w:pPr>
      <w:r>
        <w:rPr>
          <w:rFonts w:hAnsi="仿宋_GB2312" w:eastAsia="仿宋_GB2312" w:cs="仿宋_GB2312"/>
          <w:kern w:val="0"/>
          <w:sz w:val="32"/>
          <w:shd w:val="clear" w:color="auto" w:fill="FFFFFF"/>
          <w:lang w:val="zh-CN"/>
        </w:rPr>
        <w:t>（</w:t>
      </w:r>
      <w:r>
        <w:rPr>
          <w:rFonts w:hint="eastAsia" w:hAnsi="仿宋_GB2312" w:eastAsia="仿宋_GB2312" w:cs="仿宋_GB2312"/>
          <w:kern w:val="0"/>
          <w:sz w:val="32"/>
          <w:shd w:val="clear" w:color="auto" w:fill="FFFFFF"/>
          <w:lang w:val="zh-CN"/>
        </w:rPr>
        <w:t>3</w:t>
      </w:r>
      <w:r>
        <w:rPr>
          <w:rFonts w:hAnsi="仿宋_GB2312" w:eastAsia="仿宋_GB2312" w:cs="仿宋_GB2312"/>
          <w:kern w:val="0"/>
          <w:sz w:val="32"/>
          <w:shd w:val="clear" w:color="auto" w:fill="FFFFFF"/>
          <w:lang w:val="zh-CN"/>
        </w:rPr>
        <w:t>）</w:t>
      </w:r>
      <w:r>
        <w:rPr>
          <w:rFonts w:hint="eastAsia" w:hAnsi="仿宋_GB2312" w:eastAsia="仿宋_GB2312" w:cs="仿宋_GB2312"/>
          <w:kern w:val="0"/>
          <w:sz w:val="32"/>
          <w:shd w:val="clear" w:color="auto" w:fill="FFFFFF"/>
          <w:lang w:val="zh-CN"/>
        </w:rPr>
        <w:t>支出控制</w:t>
      </w:r>
      <w:r>
        <w:rPr>
          <w:rFonts w:hAnsi="仿宋_GB2312" w:eastAsia="仿宋_GB2312" w:cs="仿宋_GB2312"/>
          <w:kern w:val="0"/>
          <w:sz w:val="32"/>
          <w:shd w:val="clear" w:color="auto" w:fill="FFFFFF"/>
          <w:lang w:val="zh-CN"/>
        </w:rPr>
        <w:tab/>
      </w:r>
    </w:p>
    <w:p>
      <w:pPr>
        <w:pStyle w:val="15"/>
        <w:tabs>
          <w:tab w:val="left" w:pos="3225"/>
        </w:tabs>
        <w:spacing w:line="576" w:lineRule="exact"/>
        <w:ind w:left="130" w:leftChars="62" w:firstLine="576" w:firstLineChars="180"/>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市审计局严格控制2022年的人员经费支出，专款专用，用于保障人员工资、绩效、公积金以及保险类。</w:t>
      </w:r>
    </w:p>
    <w:p>
      <w:pPr>
        <w:pStyle w:val="15"/>
        <w:spacing w:line="576" w:lineRule="exact"/>
        <w:ind w:left="130" w:leftChars="62" w:firstLine="419" w:firstLineChars="131"/>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（4）及时处置</w:t>
      </w:r>
    </w:p>
    <w:p>
      <w:pPr>
        <w:pStyle w:val="15"/>
        <w:spacing w:line="576" w:lineRule="exact"/>
        <w:ind w:left="130" w:leftChars="62" w:firstLine="419" w:firstLineChars="131"/>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2022年人员类经费都是按规定时间支付完成，不存在拖延或者超时支付。</w:t>
      </w:r>
    </w:p>
    <w:p>
      <w:pPr>
        <w:pStyle w:val="15"/>
        <w:spacing w:line="576" w:lineRule="exact"/>
        <w:ind w:left="130" w:leftChars="62" w:firstLine="419" w:firstLineChars="131"/>
        <w:rPr>
          <w:rFonts w:hAnsi="仿宋_GB2312" w:eastAsia="仿宋_GB2312" w:cs="仿宋_GB2312"/>
          <w:kern w:val="0"/>
          <w:sz w:val="32"/>
          <w:shd w:val="clear" w:color="auto" w:fill="FFFFFF"/>
          <w:lang w:val="zh-CN"/>
        </w:rPr>
      </w:pPr>
      <w:r>
        <w:rPr>
          <w:rFonts w:hAnsi="仿宋_GB2312" w:eastAsia="仿宋_GB2312" w:cs="仿宋_GB2312"/>
          <w:kern w:val="0"/>
          <w:sz w:val="32"/>
          <w:shd w:val="clear" w:color="auto" w:fill="FFFFFF"/>
          <w:lang w:val="zh-CN"/>
        </w:rPr>
        <w:t>（</w:t>
      </w:r>
      <w:r>
        <w:rPr>
          <w:rFonts w:hint="eastAsia" w:hAnsi="仿宋_GB2312" w:eastAsia="仿宋_GB2312" w:cs="仿宋_GB2312"/>
          <w:kern w:val="0"/>
          <w:sz w:val="32"/>
          <w:shd w:val="clear" w:color="auto" w:fill="FFFFFF"/>
          <w:lang w:val="zh-CN"/>
        </w:rPr>
        <w:t>5</w:t>
      </w:r>
      <w:r>
        <w:rPr>
          <w:rFonts w:hAnsi="仿宋_GB2312" w:eastAsia="仿宋_GB2312" w:cs="仿宋_GB2312"/>
          <w:kern w:val="0"/>
          <w:sz w:val="32"/>
          <w:shd w:val="clear" w:color="auto" w:fill="FFFFFF"/>
          <w:lang w:val="zh-CN"/>
        </w:rPr>
        <w:t>）</w:t>
      </w:r>
      <w:r>
        <w:rPr>
          <w:rFonts w:hint="eastAsia" w:hAnsi="仿宋_GB2312" w:eastAsia="仿宋_GB2312" w:cs="仿宋_GB2312"/>
          <w:kern w:val="0"/>
          <w:sz w:val="32"/>
          <w:shd w:val="clear" w:color="auto" w:fill="FFFFFF"/>
          <w:lang w:val="zh-CN"/>
        </w:rPr>
        <w:t>执行进度</w:t>
      </w:r>
    </w:p>
    <w:p>
      <w:pPr>
        <w:pStyle w:val="15"/>
        <w:spacing w:line="576" w:lineRule="exact"/>
        <w:ind w:left="130" w:leftChars="62" w:firstLine="419" w:firstLineChars="131"/>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2022年按要求严格预算执行管理，合规使用资金的前提下加快预算执行，在6月、9月、11月的预算执行进度达到50%、75%、95%的标准。同时我局按规定开展了绩效监控工作，及时向归口业务科室报告了监控情况报告。</w:t>
      </w:r>
    </w:p>
    <w:p>
      <w:pPr>
        <w:pStyle w:val="15"/>
        <w:ind w:left="130" w:leftChars="62" w:firstLine="419" w:firstLineChars="131"/>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（6）预算完成情况</w:t>
      </w:r>
    </w:p>
    <w:p>
      <w:pPr>
        <w:pStyle w:val="15"/>
        <w:ind w:left="130" w:leftChars="62" w:firstLine="419" w:firstLineChars="131"/>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2022年人员类预算资金全部支付完成。</w:t>
      </w:r>
    </w:p>
    <w:p>
      <w:pPr>
        <w:pStyle w:val="15"/>
        <w:tabs>
          <w:tab w:val="left" w:pos="3915"/>
        </w:tabs>
        <w:ind w:left="130" w:leftChars="62" w:firstLine="419" w:firstLineChars="131"/>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（7）资金结余率</w:t>
      </w:r>
      <w:r>
        <w:rPr>
          <w:rFonts w:hAnsi="仿宋_GB2312" w:eastAsia="仿宋_GB2312" w:cs="仿宋_GB2312"/>
          <w:kern w:val="0"/>
          <w:sz w:val="32"/>
          <w:shd w:val="clear" w:color="auto" w:fill="FFFFFF"/>
          <w:lang w:val="zh-CN"/>
        </w:rPr>
        <w:tab/>
      </w:r>
    </w:p>
    <w:p>
      <w:pPr>
        <w:pStyle w:val="15"/>
        <w:tabs>
          <w:tab w:val="left" w:pos="3915"/>
        </w:tabs>
        <w:ind w:left="130" w:leftChars="62" w:firstLine="419" w:firstLineChars="131"/>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2022年无人员经费类结余资金，也不存在低效无效率资金。</w:t>
      </w:r>
    </w:p>
    <w:p>
      <w:pPr>
        <w:pStyle w:val="15"/>
        <w:ind w:left="130" w:leftChars="62" w:firstLine="419" w:firstLineChars="131"/>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（8）违规记录</w:t>
      </w:r>
    </w:p>
    <w:p>
      <w:pPr>
        <w:pStyle w:val="15"/>
        <w:spacing w:before="93"/>
        <w:ind w:left="130" w:leftChars="62" w:firstLine="419" w:firstLineChars="131"/>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2022年无任何违规记录。</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2.运转类项目绩效分析</w:t>
      </w:r>
    </w:p>
    <w:p>
      <w:pPr>
        <w:adjustRightInd w:val="0"/>
        <w:snapToGrid w:val="0"/>
        <w:spacing w:line="576"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（1）绩效目标制定</w:t>
      </w:r>
    </w:p>
    <w:p>
      <w:pPr>
        <w:widowControl/>
        <w:spacing w:line="576" w:lineRule="exact"/>
        <w:ind w:firstLine="640" w:firstLineChars="200"/>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2022年预算编制严格按照市财政局预算编制口径及有关要求，依据我局202年工作任务测算化预算，按时完成运转类预算草案的报审工作。同时在规定时间细内，要保质保量地完成绩效目标的编报，绩效目标要素完整，指标细化量化。</w:t>
      </w:r>
    </w:p>
    <w:p>
      <w:pPr>
        <w:pStyle w:val="15"/>
        <w:spacing w:line="576" w:lineRule="exact"/>
        <w:ind w:left="130" w:leftChars="62" w:firstLine="419" w:firstLineChars="131"/>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（2）目标实现</w:t>
      </w:r>
    </w:p>
    <w:p>
      <w:pPr>
        <w:pStyle w:val="15"/>
        <w:spacing w:line="576" w:lineRule="exact"/>
        <w:ind w:left="130" w:leftChars="62" w:firstLine="419" w:firstLineChars="131"/>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2022年运转类经费目标实现情况较好。完成了所有运转类类经费的预算绩效编报，绩效目标要素完整，指标细化量化，运转类经费在规定时间全部支付完毕。</w:t>
      </w:r>
    </w:p>
    <w:p>
      <w:pPr>
        <w:pStyle w:val="15"/>
        <w:tabs>
          <w:tab w:val="left" w:pos="3225"/>
        </w:tabs>
        <w:spacing w:line="576" w:lineRule="exact"/>
        <w:ind w:left="130" w:leftChars="62" w:firstLine="419" w:firstLineChars="131"/>
        <w:rPr>
          <w:rFonts w:hAnsi="仿宋_GB2312" w:eastAsia="仿宋_GB2312" w:cs="仿宋_GB2312"/>
          <w:kern w:val="0"/>
          <w:sz w:val="32"/>
          <w:shd w:val="clear" w:color="auto" w:fill="FFFFFF"/>
          <w:lang w:val="zh-CN"/>
        </w:rPr>
      </w:pPr>
      <w:r>
        <w:rPr>
          <w:rFonts w:hAnsi="仿宋_GB2312" w:eastAsia="仿宋_GB2312" w:cs="仿宋_GB2312"/>
          <w:kern w:val="0"/>
          <w:sz w:val="32"/>
          <w:shd w:val="clear" w:color="auto" w:fill="FFFFFF"/>
          <w:lang w:val="zh-CN"/>
        </w:rPr>
        <w:t>（</w:t>
      </w:r>
      <w:r>
        <w:rPr>
          <w:rFonts w:hint="eastAsia" w:hAnsi="仿宋_GB2312" w:eastAsia="仿宋_GB2312" w:cs="仿宋_GB2312"/>
          <w:kern w:val="0"/>
          <w:sz w:val="32"/>
          <w:shd w:val="clear" w:color="auto" w:fill="FFFFFF"/>
          <w:lang w:val="zh-CN"/>
        </w:rPr>
        <w:t>3</w:t>
      </w:r>
      <w:r>
        <w:rPr>
          <w:rFonts w:hAnsi="仿宋_GB2312" w:eastAsia="仿宋_GB2312" w:cs="仿宋_GB2312"/>
          <w:kern w:val="0"/>
          <w:sz w:val="32"/>
          <w:shd w:val="clear" w:color="auto" w:fill="FFFFFF"/>
          <w:lang w:val="zh-CN"/>
        </w:rPr>
        <w:t>）</w:t>
      </w:r>
      <w:r>
        <w:rPr>
          <w:rFonts w:hint="eastAsia" w:hAnsi="仿宋_GB2312" w:eastAsia="仿宋_GB2312" w:cs="仿宋_GB2312"/>
          <w:kern w:val="0"/>
          <w:sz w:val="32"/>
          <w:shd w:val="clear" w:color="auto" w:fill="FFFFFF"/>
          <w:lang w:val="zh-CN"/>
        </w:rPr>
        <w:t>支出控制</w:t>
      </w:r>
      <w:r>
        <w:rPr>
          <w:rFonts w:hAnsi="仿宋_GB2312" w:eastAsia="仿宋_GB2312" w:cs="仿宋_GB2312"/>
          <w:kern w:val="0"/>
          <w:sz w:val="32"/>
          <w:shd w:val="clear" w:color="auto" w:fill="FFFFFF"/>
          <w:lang w:val="zh-CN"/>
        </w:rPr>
        <w:tab/>
      </w:r>
    </w:p>
    <w:p>
      <w:pPr>
        <w:widowControl/>
        <w:spacing w:line="576" w:lineRule="exact"/>
        <w:ind w:firstLine="640" w:firstLineChars="200"/>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市审计局严格控制2022年的运转经费支出，专款专用，用于保障单位正常运转，包含办公费、印刷费、水电费、差旅费等日常公用经费支出。</w:t>
      </w:r>
    </w:p>
    <w:p>
      <w:pPr>
        <w:pStyle w:val="15"/>
        <w:spacing w:line="576" w:lineRule="exact"/>
        <w:ind w:left="130" w:leftChars="62" w:firstLine="419" w:firstLineChars="131"/>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（4）及时处置</w:t>
      </w:r>
    </w:p>
    <w:p>
      <w:pPr>
        <w:pStyle w:val="15"/>
        <w:spacing w:line="576" w:lineRule="exact"/>
        <w:ind w:left="130" w:leftChars="62" w:firstLine="419" w:firstLineChars="131"/>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2022年运转类经费都是按规定时间支付完成，不存在拖延或者超时支付。</w:t>
      </w:r>
    </w:p>
    <w:p>
      <w:pPr>
        <w:pStyle w:val="15"/>
        <w:spacing w:line="576" w:lineRule="exact"/>
        <w:ind w:left="130" w:leftChars="62" w:firstLine="419" w:firstLineChars="131"/>
        <w:rPr>
          <w:rFonts w:hAnsi="仿宋_GB2312" w:eastAsia="仿宋_GB2312" w:cs="仿宋_GB2312"/>
          <w:kern w:val="0"/>
          <w:sz w:val="32"/>
          <w:shd w:val="clear" w:color="auto" w:fill="FFFFFF"/>
          <w:lang w:val="zh-CN"/>
        </w:rPr>
      </w:pPr>
      <w:r>
        <w:rPr>
          <w:rFonts w:hAnsi="仿宋_GB2312" w:eastAsia="仿宋_GB2312" w:cs="仿宋_GB2312"/>
          <w:kern w:val="0"/>
          <w:sz w:val="32"/>
          <w:shd w:val="clear" w:color="auto" w:fill="FFFFFF"/>
          <w:lang w:val="zh-CN"/>
        </w:rPr>
        <w:t>（</w:t>
      </w:r>
      <w:r>
        <w:rPr>
          <w:rFonts w:hint="eastAsia" w:hAnsi="仿宋_GB2312" w:eastAsia="仿宋_GB2312" w:cs="仿宋_GB2312"/>
          <w:kern w:val="0"/>
          <w:sz w:val="32"/>
          <w:shd w:val="clear" w:color="auto" w:fill="FFFFFF"/>
          <w:lang w:val="zh-CN"/>
        </w:rPr>
        <w:t>5</w:t>
      </w:r>
      <w:r>
        <w:rPr>
          <w:rFonts w:hAnsi="仿宋_GB2312" w:eastAsia="仿宋_GB2312" w:cs="仿宋_GB2312"/>
          <w:kern w:val="0"/>
          <w:sz w:val="32"/>
          <w:shd w:val="clear" w:color="auto" w:fill="FFFFFF"/>
          <w:lang w:val="zh-CN"/>
        </w:rPr>
        <w:t>）</w:t>
      </w:r>
      <w:r>
        <w:rPr>
          <w:rFonts w:hint="eastAsia" w:hAnsi="仿宋_GB2312" w:eastAsia="仿宋_GB2312" w:cs="仿宋_GB2312"/>
          <w:kern w:val="0"/>
          <w:sz w:val="32"/>
          <w:shd w:val="clear" w:color="auto" w:fill="FFFFFF"/>
          <w:lang w:val="zh-CN"/>
        </w:rPr>
        <w:t>执行进度</w:t>
      </w:r>
    </w:p>
    <w:p>
      <w:pPr>
        <w:pStyle w:val="15"/>
        <w:spacing w:line="576" w:lineRule="exact"/>
        <w:ind w:left="130" w:leftChars="62" w:firstLine="419" w:firstLineChars="131"/>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2022年按要求严格预算执行管理，合规使用资金的前提下加快预算执行，在6月、9月、11月的预算执行进度达到55%、80%、96%的标准。同时我局按规定开展了绩效监控工作，及时向归口业务科室报告了监控情况报告。</w:t>
      </w:r>
    </w:p>
    <w:p>
      <w:pPr>
        <w:pStyle w:val="15"/>
        <w:ind w:left="130" w:leftChars="62" w:firstLine="419" w:firstLineChars="131"/>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（6）预算完成情况</w:t>
      </w:r>
    </w:p>
    <w:p>
      <w:pPr>
        <w:pStyle w:val="15"/>
        <w:ind w:left="130" w:leftChars="62" w:firstLine="419" w:firstLineChars="131"/>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2022年运转类预算资金全部支付完成。</w:t>
      </w:r>
    </w:p>
    <w:p>
      <w:pPr>
        <w:pStyle w:val="15"/>
        <w:tabs>
          <w:tab w:val="left" w:pos="3915"/>
        </w:tabs>
        <w:ind w:left="130" w:leftChars="62" w:firstLine="419" w:firstLineChars="131"/>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（7）资金结余率</w:t>
      </w:r>
      <w:r>
        <w:rPr>
          <w:rFonts w:hAnsi="仿宋_GB2312" w:eastAsia="仿宋_GB2312" w:cs="仿宋_GB2312"/>
          <w:kern w:val="0"/>
          <w:sz w:val="32"/>
          <w:shd w:val="clear" w:color="auto" w:fill="FFFFFF"/>
          <w:lang w:val="zh-CN"/>
        </w:rPr>
        <w:tab/>
      </w:r>
    </w:p>
    <w:p>
      <w:pPr>
        <w:pStyle w:val="15"/>
        <w:tabs>
          <w:tab w:val="left" w:pos="3915"/>
        </w:tabs>
        <w:ind w:left="130" w:leftChars="62" w:firstLine="419" w:firstLineChars="131"/>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2022年无运转类经费类结余资金，也不存在低效无效率资金。</w:t>
      </w:r>
    </w:p>
    <w:p>
      <w:pPr>
        <w:pStyle w:val="15"/>
        <w:ind w:left="130" w:leftChars="62" w:firstLine="419" w:firstLineChars="131"/>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（8）违规记录</w:t>
      </w:r>
    </w:p>
    <w:p>
      <w:pPr>
        <w:pStyle w:val="15"/>
        <w:spacing w:before="93"/>
        <w:ind w:left="130" w:leftChars="62" w:firstLine="419" w:firstLineChars="131"/>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2022年无任何违规记录。</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3.特定目标类项目绩效分析</w:t>
      </w:r>
    </w:p>
    <w:p>
      <w:pPr>
        <w:adjustRightInd w:val="0"/>
        <w:snapToGrid w:val="0"/>
        <w:spacing w:line="576"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（1）绩效目标制定</w:t>
      </w:r>
    </w:p>
    <w:p>
      <w:pPr>
        <w:widowControl/>
        <w:spacing w:line="576"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2022年预算编制严格按照市财政局预算编制口径及有关要求，依据我局202年工作任务测算化预算，按时完成运转类预算草案的报审工作。同时在规定时间细内，要保质保量地完成绩效目标的编报，绩效目标要素完整，指标细化量化。</w:t>
      </w:r>
    </w:p>
    <w:p>
      <w:pPr>
        <w:pStyle w:val="15"/>
        <w:spacing w:line="576" w:lineRule="exact"/>
        <w:ind w:left="130" w:leftChars="62" w:firstLine="419" w:firstLineChars="131"/>
        <w:rPr>
          <w:rFonts w:hAnsi="仿宋_GB2312" w:eastAsia="仿宋_GB2312" w:cs="仿宋_GB2312"/>
          <w:kern w:val="0"/>
          <w:sz w:val="32"/>
          <w:shd w:val="clear" w:color="auto" w:fill="FFFFFF"/>
        </w:rPr>
      </w:pPr>
      <w:r>
        <w:rPr>
          <w:rFonts w:hint="eastAsia" w:hAnsi="仿宋_GB2312" w:eastAsia="仿宋_GB2312" w:cs="仿宋_GB2312"/>
          <w:kern w:val="0"/>
          <w:sz w:val="32"/>
          <w:shd w:val="clear" w:color="auto" w:fill="FFFFFF"/>
        </w:rPr>
        <w:t>（2）目标实现</w:t>
      </w:r>
    </w:p>
    <w:p>
      <w:pPr>
        <w:pStyle w:val="15"/>
        <w:spacing w:line="576" w:lineRule="exact"/>
        <w:ind w:left="130" w:leftChars="62" w:firstLine="419" w:firstLineChars="131"/>
        <w:rPr>
          <w:rFonts w:hAnsi="仿宋_GB2312" w:eastAsia="仿宋_GB2312" w:cs="仿宋_GB2312"/>
          <w:kern w:val="0"/>
          <w:sz w:val="32"/>
          <w:shd w:val="clear" w:color="auto" w:fill="FFFFFF"/>
        </w:rPr>
      </w:pPr>
      <w:r>
        <w:rPr>
          <w:rFonts w:hint="eastAsia" w:hAnsi="仿宋_GB2312" w:eastAsia="仿宋_GB2312" w:cs="仿宋_GB2312"/>
          <w:kern w:val="0"/>
          <w:sz w:val="32"/>
          <w:shd w:val="clear" w:color="auto" w:fill="FFFFFF"/>
        </w:rPr>
        <w:t>2022年特定目标类类经费目标实现情况较好。完成了所有运转类类经费的预算绩效编报，绩效目标要素完整，指标细化量化，运转类经费在规定时间全部支付完毕。</w:t>
      </w:r>
    </w:p>
    <w:p>
      <w:pPr>
        <w:pStyle w:val="15"/>
        <w:tabs>
          <w:tab w:val="left" w:pos="3225"/>
        </w:tabs>
        <w:spacing w:line="576" w:lineRule="exact"/>
        <w:ind w:left="130" w:leftChars="62" w:firstLine="419" w:firstLineChars="131"/>
        <w:rPr>
          <w:rFonts w:hAnsi="仿宋_GB2312" w:eastAsia="仿宋_GB2312" w:cs="仿宋_GB2312"/>
          <w:kern w:val="0"/>
          <w:sz w:val="32"/>
          <w:shd w:val="clear" w:color="auto" w:fill="FFFFFF"/>
        </w:rPr>
      </w:pPr>
      <w:r>
        <w:rPr>
          <w:rFonts w:hAnsi="仿宋_GB2312" w:eastAsia="仿宋_GB2312" w:cs="仿宋_GB2312"/>
          <w:kern w:val="0"/>
          <w:sz w:val="32"/>
          <w:shd w:val="clear" w:color="auto" w:fill="FFFFFF"/>
        </w:rPr>
        <w:t>（</w:t>
      </w:r>
      <w:r>
        <w:rPr>
          <w:rFonts w:hint="eastAsia" w:hAnsi="仿宋_GB2312" w:eastAsia="仿宋_GB2312" w:cs="仿宋_GB2312"/>
          <w:kern w:val="0"/>
          <w:sz w:val="32"/>
          <w:shd w:val="clear" w:color="auto" w:fill="FFFFFF"/>
        </w:rPr>
        <w:t>3</w:t>
      </w:r>
      <w:r>
        <w:rPr>
          <w:rFonts w:hAnsi="仿宋_GB2312" w:eastAsia="仿宋_GB2312" w:cs="仿宋_GB2312"/>
          <w:kern w:val="0"/>
          <w:sz w:val="32"/>
          <w:shd w:val="clear" w:color="auto" w:fill="FFFFFF"/>
        </w:rPr>
        <w:t>）</w:t>
      </w:r>
      <w:r>
        <w:rPr>
          <w:rFonts w:hint="eastAsia" w:hAnsi="仿宋_GB2312" w:eastAsia="仿宋_GB2312" w:cs="仿宋_GB2312"/>
          <w:kern w:val="0"/>
          <w:sz w:val="32"/>
          <w:shd w:val="clear" w:color="auto" w:fill="FFFFFF"/>
        </w:rPr>
        <w:t>支出控制</w:t>
      </w:r>
      <w:r>
        <w:rPr>
          <w:rFonts w:hAnsi="仿宋_GB2312" w:eastAsia="仿宋_GB2312" w:cs="仿宋_GB2312"/>
          <w:kern w:val="0"/>
          <w:sz w:val="32"/>
          <w:shd w:val="clear" w:color="auto" w:fill="FFFFFF"/>
        </w:rPr>
        <w:tab/>
      </w:r>
    </w:p>
    <w:p>
      <w:pPr>
        <w:widowControl/>
        <w:spacing w:line="576"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市审计局严格控制2022年的特定目标类经费支出，专款专用，用于开展审计项目，贯彻执行国家审计工作的方针政策和法律法规。</w:t>
      </w:r>
    </w:p>
    <w:p>
      <w:pPr>
        <w:pStyle w:val="15"/>
        <w:spacing w:line="576" w:lineRule="exact"/>
        <w:ind w:left="130" w:leftChars="62" w:firstLine="419" w:firstLineChars="131"/>
        <w:rPr>
          <w:rFonts w:hAnsi="仿宋_GB2312" w:eastAsia="仿宋_GB2312" w:cs="仿宋_GB2312"/>
          <w:kern w:val="0"/>
          <w:sz w:val="32"/>
          <w:shd w:val="clear" w:color="auto" w:fill="FFFFFF"/>
        </w:rPr>
      </w:pPr>
      <w:r>
        <w:rPr>
          <w:rFonts w:hint="eastAsia" w:hAnsi="仿宋_GB2312" w:eastAsia="仿宋_GB2312" w:cs="仿宋_GB2312"/>
          <w:kern w:val="0"/>
          <w:sz w:val="32"/>
          <w:shd w:val="clear" w:color="auto" w:fill="FFFFFF"/>
        </w:rPr>
        <w:t>（4）及时处置</w:t>
      </w:r>
    </w:p>
    <w:p>
      <w:pPr>
        <w:pStyle w:val="15"/>
        <w:spacing w:line="576" w:lineRule="exact"/>
        <w:ind w:left="130" w:leftChars="62" w:firstLine="419" w:firstLineChars="131"/>
        <w:rPr>
          <w:rFonts w:hAnsi="仿宋_GB2312" w:eastAsia="仿宋_GB2312" w:cs="仿宋_GB2312"/>
          <w:kern w:val="0"/>
          <w:sz w:val="32"/>
          <w:shd w:val="clear" w:color="auto" w:fill="FFFFFF"/>
        </w:rPr>
      </w:pPr>
      <w:r>
        <w:rPr>
          <w:rFonts w:hint="eastAsia" w:hAnsi="仿宋_GB2312" w:eastAsia="仿宋_GB2312" w:cs="仿宋_GB2312"/>
          <w:kern w:val="0"/>
          <w:sz w:val="32"/>
          <w:shd w:val="clear" w:color="auto" w:fill="FFFFFF"/>
        </w:rPr>
        <w:t>2022年特定目标类经费都是按规定时间支付完成，不存在拖延或者超时支付。</w:t>
      </w:r>
    </w:p>
    <w:p>
      <w:pPr>
        <w:pStyle w:val="15"/>
        <w:spacing w:line="576" w:lineRule="exact"/>
        <w:ind w:left="130" w:leftChars="62" w:firstLine="419" w:firstLineChars="131"/>
        <w:rPr>
          <w:rFonts w:hAnsi="仿宋_GB2312" w:eastAsia="仿宋_GB2312" w:cs="仿宋_GB2312"/>
          <w:kern w:val="0"/>
          <w:sz w:val="32"/>
          <w:shd w:val="clear" w:color="auto" w:fill="FFFFFF"/>
        </w:rPr>
      </w:pPr>
      <w:r>
        <w:rPr>
          <w:rFonts w:hAnsi="仿宋_GB2312" w:eastAsia="仿宋_GB2312" w:cs="仿宋_GB2312"/>
          <w:kern w:val="0"/>
          <w:sz w:val="32"/>
          <w:shd w:val="clear" w:color="auto" w:fill="FFFFFF"/>
        </w:rPr>
        <w:t>（</w:t>
      </w:r>
      <w:r>
        <w:rPr>
          <w:rFonts w:hint="eastAsia" w:hAnsi="仿宋_GB2312" w:eastAsia="仿宋_GB2312" w:cs="仿宋_GB2312"/>
          <w:kern w:val="0"/>
          <w:sz w:val="32"/>
          <w:shd w:val="clear" w:color="auto" w:fill="FFFFFF"/>
        </w:rPr>
        <w:t>5</w:t>
      </w:r>
      <w:r>
        <w:rPr>
          <w:rFonts w:hAnsi="仿宋_GB2312" w:eastAsia="仿宋_GB2312" w:cs="仿宋_GB2312"/>
          <w:kern w:val="0"/>
          <w:sz w:val="32"/>
          <w:shd w:val="clear" w:color="auto" w:fill="FFFFFF"/>
        </w:rPr>
        <w:t>）</w:t>
      </w:r>
      <w:r>
        <w:rPr>
          <w:rFonts w:hint="eastAsia" w:hAnsi="仿宋_GB2312" w:eastAsia="仿宋_GB2312" w:cs="仿宋_GB2312"/>
          <w:kern w:val="0"/>
          <w:sz w:val="32"/>
          <w:shd w:val="clear" w:color="auto" w:fill="FFFFFF"/>
        </w:rPr>
        <w:t>执行进度</w:t>
      </w:r>
    </w:p>
    <w:p>
      <w:pPr>
        <w:pStyle w:val="15"/>
        <w:spacing w:line="576" w:lineRule="exact"/>
        <w:ind w:left="130" w:leftChars="62" w:firstLine="419" w:firstLineChars="131"/>
        <w:rPr>
          <w:rFonts w:hAnsi="仿宋_GB2312" w:eastAsia="仿宋_GB2312" w:cs="仿宋_GB2312"/>
          <w:kern w:val="0"/>
          <w:sz w:val="32"/>
          <w:shd w:val="clear" w:color="auto" w:fill="FFFFFF"/>
        </w:rPr>
      </w:pPr>
      <w:r>
        <w:rPr>
          <w:rFonts w:hint="eastAsia" w:hAnsi="仿宋_GB2312" w:eastAsia="仿宋_GB2312" w:cs="仿宋_GB2312"/>
          <w:kern w:val="0"/>
          <w:sz w:val="32"/>
          <w:shd w:val="clear" w:color="auto" w:fill="FFFFFF"/>
        </w:rPr>
        <w:t>2022年按要求严格预算执行管理，合规使用资金的前提下加快预算执行，在6月、9月、11月的预算执行进度达到40%、60%、75%的标准。同时我局按规定开展了绩效监控工作，及时向归口业务科室报告了监控情况报告。</w:t>
      </w:r>
    </w:p>
    <w:p>
      <w:pPr>
        <w:pStyle w:val="15"/>
        <w:ind w:left="130" w:leftChars="62" w:firstLine="419" w:firstLineChars="131"/>
        <w:rPr>
          <w:rFonts w:hAnsi="仿宋_GB2312" w:eastAsia="仿宋_GB2312" w:cs="仿宋_GB2312"/>
          <w:kern w:val="0"/>
          <w:sz w:val="32"/>
          <w:shd w:val="clear" w:color="auto" w:fill="FFFFFF"/>
        </w:rPr>
      </w:pPr>
      <w:r>
        <w:rPr>
          <w:rFonts w:hint="eastAsia" w:hAnsi="仿宋_GB2312" w:eastAsia="仿宋_GB2312" w:cs="仿宋_GB2312"/>
          <w:kern w:val="0"/>
          <w:sz w:val="32"/>
          <w:shd w:val="clear" w:color="auto" w:fill="FFFFFF"/>
        </w:rPr>
        <w:t>（6）预算完成情况</w:t>
      </w:r>
    </w:p>
    <w:p>
      <w:pPr>
        <w:pStyle w:val="15"/>
        <w:spacing w:line="576" w:lineRule="exact"/>
        <w:ind w:left="130" w:leftChars="62" w:firstLine="736" w:firstLineChars="230"/>
        <w:rPr>
          <w:rFonts w:hAnsi="仿宋_GB2312" w:eastAsia="仿宋_GB2312" w:cs="仿宋_GB2312"/>
          <w:kern w:val="0"/>
          <w:sz w:val="32"/>
          <w:shd w:val="clear" w:color="auto" w:fill="FFFFFF"/>
        </w:rPr>
      </w:pPr>
      <w:r>
        <w:rPr>
          <w:rFonts w:hint="eastAsia" w:hAnsi="仿宋_GB2312" w:eastAsia="仿宋_GB2312" w:cs="仿宋_GB2312"/>
          <w:kern w:val="0"/>
          <w:sz w:val="32"/>
          <w:shd w:val="clear" w:color="auto" w:fill="FFFFFF"/>
        </w:rPr>
        <w:t>2022年政府向社会力量购买审计服务项目预算为221.3万元，通过竞争性磋商的方式采购中介审计服务，由于去年疫情影响，致使采购进度滞后，2022年该项目未采购完成，采购资金未支付。投资审计项目信息化管理软件预算为28.7万元，由于疫情影响导致采购时间一再被延迟，最终到年底才完成采购完成。该采购属于软件开发类，开发需要一定的时间，在签合同的时候也是约定按照40%、50%、10%的分三次付款，去年12月采购完成，按照合同约定支付了价款的40%，剩下的60%根据开发进度在2023年陆续支付。2022年其他特定类预算资金全部支付完成。</w:t>
      </w:r>
    </w:p>
    <w:p>
      <w:pPr>
        <w:pStyle w:val="15"/>
        <w:tabs>
          <w:tab w:val="left" w:pos="3915"/>
        </w:tabs>
        <w:ind w:left="130" w:leftChars="62" w:firstLine="419" w:firstLineChars="131"/>
        <w:rPr>
          <w:rFonts w:hAnsi="仿宋_GB2312" w:eastAsia="仿宋_GB2312" w:cs="仿宋_GB2312"/>
          <w:kern w:val="0"/>
          <w:sz w:val="32"/>
          <w:shd w:val="clear" w:color="auto" w:fill="FFFFFF"/>
        </w:rPr>
      </w:pPr>
      <w:r>
        <w:rPr>
          <w:rFonts w:hint="eastAsia" w:hAnsi="仿宋_GB2312" w:eastAsia="仿宋_GB2312" w:cs="仿宋_GB2312"/>
          <w:kern w:val="0"/>
          <w:sz w:val="32"/>
          <w:shd w:val="clear" w:color="auto" w:fill="FFFFFF"/>
        </w:rPr>
        <w:t>（7）资金结余率</w:t>
      </w:r>
      <w:r>
        <w:rPr>
          <w:rFonts w:hAnsi="仿宋_GB2312" w:eastAsia="仿宋_GB2312" w:cs="仿宋_GB2312"/>
          <w:kern w:val="0"/>
          <w:sz w:val="32"/>
          <w:shd w:val="clear" w:color="auto" w:fill="FFFFFF"/>
        </w:rPr>
        <w:tab/>
      </w:r>
    </w:p>
    <w:p>
      <w:pPr>
        <w:pStyle w:val="15"/>
        <w:tabs>
          <w:tab w:val="left" w:pos="3915"/>
        </w:tabs>
        <w:ind w:left="130" w:leftChars="62" w:firstLine="419" w:firstLineChars="131"/>
        <w:rPr>
          <w:rFonts w:hAnsi="仿宋_GB2312" w:eastAsia="仿宋_GB2312" w:cs="仿宋_GB2312"/>
          <w:kern w:val="0"/>
          <w:sz w:val="32"/>
          <w:shd w:val="clear" w:color="auto" w:fill="FFFFFF"/>
        </w:rPr>
      </w:pPr>
      <w:r>
        <w:rPr>
          <w:rFonts w:hint="eastAsia" w:hAnsi="仿宋_GB2312" w:eastAsia="仿宋_GB2312" w:cs="仿宋_GB2312"/>
          <w:kern w:val="0"/>
          <w:sz w:val="32"/>
          <w:shd w:val="clear" w:color="auto" w:fill="FFFFFF"/>
        </w:rPr>
        <w:t>2022年无特定项目类经费类结余资金，也不存在低效无效率资金。</w:t>
      </w:r>
    </w:p>
    <w:p>
      <w:pPr>
        <w:pStyle w:val="15"/>
        <w:ind w:left="130" w:leftChars="62" w:firstLine="419" w:firstLineChars="131"/>
        <w:rPr>
          <w:rFonts w:hAnsi="仿宋_GB2312" w:eastAsia="仿宋_GB2312" w:cs="仿宋_GB2312"/>
          <w:kern w:val="0"/>
          <w:sz w:val="32"/>
          <w:shd w:val="clear" w:color="auto" w:fill="FFFFFF"/>
        </w:rPr>
      </w:pPr>
      <w:r>
        <w:rPr>
          <w:rFonts w:hint="eastAsia" w:hAnsi="仿宋_GB2312" w:eastAsia="仿宋_GB2312" w:cs="仿宋_GB2312"/>
          <w:kern w:val="0"/>
          <w:sz w:val="32"/>
          <w:shd w:val="clear" w:color="auto" w:fill="FFFFFF"/>
        </w:rPr>
        <w:t>（8）违规记录</w:t>
      </w:r>
    </w:p>
    <w:p>
      <w:pPr>
        <w:pStyle w:val="15"/>
        <w:spacing w:before="93"/>
        <w:ind w:left="130" w:leftChars="62" w:firstLine="419" w:firstLineChars="131"/>
        <w:rPr>
          <w:rFonts w:hAnsi="仿宋_GB2312" w:eastAsia="仿宋_GB2312" w:cs="仿宋_GB2312"/>
          <w:kern w:val="0"/>
          <w:sz w:val="32"/>
          <w:shd w:val="clear" w:color="auto" w:fill="FFFFFF"/>
        </w:rPr>
      </w:pPr>
      <w:r>
        <w:rPr>
          <w:rFonts w:hint="eastAsia" w:hAnsi="仿宋_GB2312" w:eastAsia="仿宋_GB2312" w:cs="仿宋_GB2312"/>
          <w:kern w:val="0"/>
          <w:sz w:val="32"/>
          <w:shd w:val="clear" w:color="auto" w:fill="FFFFFF"/>
        </w:rPr>
        <w:t>2022年无任何违规记录。</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（二）部门整体履职绩效分析。</w:t>
      </w:r>
    </w:p>
    <w:p>
      <w:pPr>
        <w:pStyle w:val="36"/>
        <w:pBdr>
          <w:top w:val="single" w:color="FFFFFF" w:sz="4" w:space="0"/>
          <w:left w:val="single" w:color="FFFFFF" w:sz="4" w:space="30"/>
          <w:bottom w:val="single" w:color="FFFFFF" w:sz="4" w:space="31"/>
          <w:right w:val="single" w:color="FFFFFF" w:sz="4" w:space="14"/>
        </w:pBdr>
        <w:spacing w:line="576" w:lineRule="exact"/>
        <w:ind w:firstLine="640" w:firstLineChars="200"/>
        <w:contextualSpacing/>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rPr>
        <w:t>2022年，面对更趋严峻复杂的外部环境和艰巨繁重发展任务，广元市审计局立足经济体检、聚焦主责主业，站位两个大局，时刻把全面从严治党和党风廉政建设作为审计工作的“生命线”和“高压线”，在扛牢审计工作主体责任和抓紧党风廉政建设上同安排、同部署。</w:t>
      </w:r>
      <w:r>
        <w:rPr>
          <w:rFonts w:hint="eastAsia" w:ascii="仿宋_GB2312" w:hAnsi="仿宋_GB2312" w:eastAsia="仿宋_GB2312" w:cs="仿宋_GB2312"/>
          <w:sz w:val="32"/>
          <w:szCs w:val="32"/>
        </w:rPr>
        <w:t>2022年，全市计划项目227个全年计划实施项目227个，其中：上级审计机关安排项目38个，自定项目189个。审计查出主要问题金额253785万元，其中违规金额25069万元、损失浪费金额105万元、管理不规范金额228610万元；审计移送处理事项37件，提出审计建议604条，被采纳审计建议566条。得到市委市政府和审计厅领导批示件38件次，在审计署、审计厅管理媒体刊发反映广元审计工作成效、经验、举措的信息和理论文章近200篇（条）。</w:t>
      </w:r>
    </w:p>
    <w:p>
      <w:pPr>
        <w:pStyle w:val="36"/>
        <w:pBdr>
          <w:top w:val="single" w:color="FFFFFF" w:sz="4" w:space="0"/>
          <w:left w:val="single" w:color="FFFFFF" w:sz="4" w:space="30"/>
          <w:bottom w:val="single" w:color="FFFFFF" w:sz="4" w:space="31"/>
          <w:right w:val="single" w:color="FFFFFF" w:sz="4" w:space="14"/>
        </w:pBdr>
        <w:spacing w:line="576"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市审计局严格落实市关于全面实施预算绩效管理的要求，着力提升财政资金绩效，以绩效目标实现为导向，以财政支出绩效评价为手段，以评价结果应用为保障，建立完善预算绩效管理体系。将2022年的预算资金全面纳入绩效管理，从数量、质量、时效、成本、效益等方面，综合衡量政策和项目预算资金使用效果。建立健全专项资金管理使用绩效定期报告制度，有关科室不定期向绩效评价小组报告项目的实施情况及资金使用绩效。绩效指标体系量化、细化了三级以上的指标体系，设置了开展项目个数、参加项目人数、项目开展时长，参加项目人员成本，项目完成满意度等一系列指标。在预算执行中全过程监督，保证资金专款专用以及预算执行进度。</w:t>
      </w:r>
    </w:p>
    <w:p>
      <w:pPr>
        <w:pStyle w:val="6"/>
        <w:spacing w:line="576" w:lineRule="exact"/>
        <w:ind w:firstLine="642" w:firstLineChars="200"/>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（三）结果应用情况。</w:t>
      </w:r>
    </w:p>
    <w:p>
      <w:pPr>
        <w:pStyle w:val="6"/>
        <w:spacing w:line="576"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内部应用。市审计局高度重视绩效评价结果的运用，将成本效益分析方法运用到全过程预算绩效管理，把绩效评价结果作为编制部门下一年度预算的重要依据，应用于下一年度项目改进管理。在推进全面实施预算绩效管理过程中出台了《广元市审计局预算绩效管理内部规程》《专项资金管理使用制度》等相关制度。</w:t>
      </w:r>
    </w:p>
    <w:p>
      <w:pPr>
        <w:widowControl/>
        <w:spacing w:line="576" w:lineRule="exact"/>
        <w:ind w:firstLine="640" w:firstLineChars="200"/>
        <w:jc w:val="left"/>
        <w:rPr>
          <w:rFonts w:ascii="仿宋_GB2312" w:eastAsia="仿宋_GB2312"/>
          <w:sz w:val="32"/>
          <w:szCs w:val="32"/>
        </w:rPr>
      </w:pPr>
      <w:r>
        <w:rPr>
          <w:rFonts w:hint="eastAsia" w:ascii="仿宋_GB2312" w:eastAsia="仿宋_GB2312"/>
          <w:sz w:val="32"/>
          <w:szCs w:val="32"/>
        </w:rPr>
        <w:t>2.自评公开。2022年，我局按照市财政局统一时间、统一口径、统一格式在广元市人民政府和局官方网站上向社会公开了2022年部门预算及财政资金安排的“三公”经费预算及其他按要求应公开的绩效信息。</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3.问题整改。市审计局不存在被人大、审计部门、财政部驻川监管局或巡视巡察、财政监督检查等发现反映有关预算绩效管理方面的问题。</w:t>
      </w:r>
    </w:p>
    <w:p>
      <w:pPr>
        <w:widowControl/>
        <w:spacing w:line="576" w:lineRule="exact"/>
        <w:ind w:firstLine="640" w:firstLineChars="200"/>
        <w:jc w:val="left"/>
        <w:rPr>
          <w:rFonts w:ascii="仿宋_GB2312" w:eastAsia="仿宋_GB2312"/>
          <w:sz w:val="32"/>
          <w:szCs w:val="32"/>
        </w:rPr>
      </w:pPr>
      <w:r>
        <w:rPr>
          <w:rFonts w:hint="eastAsia" w:ascii="仿宋_GB2312" w:eastAsia="仿宋_GB2312"/>
          <w:sz w:val="32"/>
          <w:szCs w:val="32"/>
        </w:rPr>
        <w:t>4.应用反馈。我局积极运用绩效结果，将绩效管理结果与预算安排进行挂钩。根据上年度单位整体支出绩效目标和项目绩效目标完成情况，在安排预算时对相应项目的预算进行相应调整，调整项目预算后资金使用效益更高。</w:t>
      </w:r>
    </w:p>
    <w:p>
      <w:pPr>
        <w:rPr>
          <w:lang w:val="zh-CN"/>
        </w:rPr>
      </w:pPr>
    </w:p>
    <w:p>
      <w:pPr>
        <w:widowControl/>
        <w:numPr>
          <w:ilvl w:val="0"/>
          <w:numId w:val="8"/>
        </w:numPr>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自评质量。</w:t>
      </w:r>
    </w:p>
    <w:p>
      <w:pPr>
        <w:widowControl/>
        <w:spacing w:line="576" w:lineRule="exact"/>
        <w:ind w:firstLine="640" w:firstLineChars="200"/>
        <w:jc w:val="left"/>
        <w:rPr>
          <w:rFonts w:ascii="仿宋_GB2312" w:eastAsia="仿宋_GB2312"/>
          <w:sz w:val="32"/>
          <w:szCs w:val="32"/>
        </w:rPr>
      </w:pPr>
      <w:r>
        <w:rPr>
          <w:rFonts w:hint="eastAsia" w:ascii="仿宋_GB2312" w:eastAsia="仿宋_GB2312"/>
          <w:sz w:val="32"/>
          <w:szCs w:val="32"/>
        </w:rPr>
        <w:t>预算编制完整无漏项，基础信息和科目使用准确，单位编制、人员情况与供养人员横向联网系统数据相符，项目名称、绩效指标、项目内容说明等合符规范。绩效评价领导小组学习了文件要求，以相关资料为基础，经过认真审核和核对，分析得出自评结果，形成自评结论，结论公开公正。</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pPr>
        <w:widowControl/>
        <w:spacing w:line="576" w:lineRule="exact"/>
        <w:ind w:firstLine="640" w:firstLineChars="200"/>
        <w:jc w:val="left"/>
        <w:rPr>
          <w:rFonts w:ascii="仿宋_GB2312" w:eastAsia="仿宋_GB2312"/>
          <w:sz w:val="32"/>
          <w:szCs w:val="32"/>
        </w:rPr>
      </w:pPr>
      <w:r>
        <w:rPr>
          <w:rFonts w:hint="eastAsia" w:ascii="仿宋_GB2312" w:eastAsia="仿宋_GB2312"/>
          <w:sz w:val="32"/>
          <w:szCs w:val="32"/>
        </w:rPr>
        <w:t>市审计局年度目标任务完成良好，严格按照财政绩效管理要求制定并执行绩效目标，且绩效目标真实、可行、科学。预算编制规范合理，预算执行收支平衡，项目资金管理合法合规，专款专用，并保障了审计工作高效完成，全年无违规支付行为，目标执行良好，自评得分97分。</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（二）存在问题。</w:t>
      </w:r>
    </w:p>
    <w:p>
      <w:pPr>
        <w:widowControl/>
        <w:spacing w:line="576" w:lineRule="exact"/>
        <w:ind w:firstLine="640" w:firstLineChars="200"/>
        <w:jc w:val="left"/>
        <w:rPr>
          <w:rFonts w:ascii="仿宋_GB2312" w:eastAsia="仿宋_GB2312"/>
          <w:sz w:val="32"/>
          <w:szCs w:val="32"/>
        </w:rPr>
      </w:pPr>
      <w:r>
        <w:rPr>
          <w:rFonts w:hint="eastAsia" w:ascii="仿宋_GB2312" w:eastAsia="仿宋_GB2312"/>
          <w:sz w:val="32"/>
          <w:szCs w:val="32"/>
        </w:rPr>
        <w:t>市审计局按要求对2022年部门整体支出开展绩效自评，经自评表明，年度目标任务完成良好，预算编制规范合理，预算执行收支平衡，财政资金管理合法合规。从评价情况来看项目执行良好，预算与实际结合贴切，但项目绩效管理水平还有待提高，制度建设方面有待加强。</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（三）改进建议。</w:t>
      </w:r>
    </w:p>
    <w:p>
      <w:pPr>
        <w:widowControl/>
        <w:spacing w:line="576" w:lineRule="exact"/>
        <w:ind w:firstLine="640" w:firstLineChars="200"/>
        <w:jc w:val="left"/>
        <w:rPr>
          <w:rFonts w:ascii="仿宋_GB2312" w:eastAsia="仿宋_GB2312"/>
          <w:sz w:val="32"/>
          <w:szCs w:val="32"/>
        </w:rPr>
      </w:pPr>
      <w:r>
        <w:rPr>
          <w:rFonts w:hint="eastAsia" w:ascii="仿宋_GB2312" w:eastAsia="仿宋_GB2312"/>
          <w:sz w:val="32"/>
          <w:szCs w:val="32"/>
        </w:rPr>
        <w:t>1.把廉政建设贯穿于财务工作始终。一是按照中央八项规定、省委十项规定的要求，制订了相应的财务管理制度，通过建章立制，做到了有章可循，把廉政建设的要求落实到管理制度中。二是认真执行“三重一大”的要求，落实了集体决策、民主决策，财务公开的要求。三是严格执行财经纪律和财务制度。</w:t>
      </w:r>
    </w:p>
    <w:p>
      <w:pPr>
        <w:widowControl/>
        <w:spacing w:line="576" w:lineRule="exact"/>
        <w:ind w:firstLine="640" w:firstLineChars="200"/>
        <w:jc w:val="left"/>
        <w:rPr>
          <w:rFonts w:ascii="仿宋_GB2312" w:eastAsia="仿宋_GB2312"/>
          <w:sz w:val="32"/>
          <w:szCs w:val="32"/>
        </w:rPr>
      </w:pPr>
      <w:r>
        <w:rPr>
          <w:rFonts w:hint="eastAsia" w:ascii="仿宋_GB2312" w:eastAsia="仿宋_GB2312"/>
          <w:sz w:val="32"/>
          <w:szCs w:val="32"/>
        </w:rPr>
        <w:t>2.项目绩效管理机制不断加强。一是抓建章立制，按照局党组关于完善项目绩效管理制度的要求，从制度上进一步强化全过程预算绩效管理；二是抓责任落实，局办公室牵头制定审计项目绩效管理完成责任清单，责任分解落实到具体科室，明确科室年度绩效管理目标任务；三是抓项目预算绩效编报质量，将预算指标编制的更加精细化、实际化、更加贴合审计工作，用更多量化指标代替定性指标。</w:t>
      </w:r>
    </w:p>
    <w:p>
      <w:pPr>
        <w:pStyle w:val="15"/>
        <w:spacing w:before="93" w:line="576" w:lineRule="exact"/>
        <w:ind w:left="0" w:leftChars="0" w:firstLine="640"/>
        <w:rPr>
          <w:rFonts w:eastAsia="仿宋_GB2312"/>
          <w:sz w:val="32"/>
        </w:rPr>
      </w:pPr>
      <w:r>
        <w:rPr>
          <w:rFonts w:hint="eastAsia" w:eastAsia="仿宋_GB2312"/>
          <w:sz w:val="32"/>
        </w:rPr>
        <w:t>3.加强绩效管理培训。为进一步提升科室人员素质和绩效管理水平，不断适应新时期绩效管理工作需要，积极组织参加各类培训，并及时宣传绩效管理新政策、新规定，树立“用钱必问效，无效必问责”的理念。</w:t>
      </w: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widowControl/>
        <w:spacing w:line="560" w:lineRule="exact"/>
        <w:jc w:val="center"/>
        <w:textAlignment w:val="center"/>
        <w:rPr>
          <w:rFonts w:ascii="仿宋_GB2312" w:hAnsi="宋体" w:eastAsia="仿宋_GB2312" w:cs="宋体"/>
          <w:kern w:val="0"/>
          <w:sz w:val="32"/>
          <w:szCs w:val="32"/>
          <w:shd w:val="clear" w:color="auto" w:fill="FFFFFF"/>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r>
        <w:rPr>
          <w:rFonts w:hint="eastAsia"/>
          <w:lang w:val="zh-CN"/>
        </w:rPr>
        <w:t>附表：</w:t>
      </w:r>
    </w:p>
    <w:p>
      <w:pPr>
        <w:widowControl/>
        <w:spacing w:line="560" w:lineRule="exact"/>
        <w:jc w:val="center"/>
        <w:textAlignment w:val="center"/>
        <w:rPr>
          <w:lang w:val="zh-CN"/>
        </w:rPr>
      </w:pPr>
      <w:r>
        <w:rPr>
          <w:rFonts w:hint="eastAsia" w:ascii="方正小标宋简体" w:hAnsi="方正小标宋简体" w:eastAsia="方正小标宋简体" w:cs="方正小标宋简体"/>
          <w:b/>
          <w:color w:val="000000"/>
          <w:kern w:val="0"/>
          <w:sz w:val="44"/>
          <w:szCs w:val="44"/>
        </w:rPr>
        <w:t>2022年部门预算项目支出绩效自评表</w:t>
      </w:r>
    </w:p>
    <w:tbl>
      <w:tblPr>
        <w:tblStyle w:val="16"/>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290"/>
        <w:gridCol w:w="1013"/>
        <w:gridCol w:w="1243"/>
        <w:gridCol w:w="937"/>
        <w:gridCol w:w="576"/>
        <w:gridCol w:w="397"/>
        <w:gridCol w:w="756"/>
        <w:gridCol w:w="488"/>
        <w:gridCol w:w="397"/>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532" w:type="dxa"/>
            <w:gridSpan w:val="2"/>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项目名称</w:t>
            </w:r>
          </w:p>
        </w:tc>
        <w:tc>
          <w:tcPr>
            <w:tcW w:w="7958" w:type="dxa"/>
            <w:gridSpan w:val="9"/>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政府向社会购买审计服务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532" w:type="dxa"/>
            <w:gridSpan w:val="2"/>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主管部门（盖章）</w:t>
            </w:r>
          </w:p>
        </w:tc>
        <w:tc>
          <w:tcPr>
            <w:tcW w:w="4161"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广元市审计局</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实施单位（盖章）</w:t>
            </w:r>
          </w:p>
        </w:tc>
        <w:tc>
          <w:tcPr>
            <w:tcW w:w="3041" w:type="dxa"/>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41" w:type="dxa"/>
            <w:vMerge w:val="restart"/>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项目基本情况</w:t>
            </w:r>
          </w:p>
        </w:tc>
        <w:tc>
          <w:tcPr>
            <w:tcW w:w="1291" w:type="dxa"/>
            <w:vMerge w:val="restart"/>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1.项目年度目标完成情况</w:t>
            </w:r>
          </w:p>
        </w:tc>
        <w:tc>
          <w:tcPr>
            <w:tcW w:w="4161" w:type="dxa"/>
            <w:gridSpan w:val="5"/>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项目年度目标</w:t>
            </w:r>
          </w:p>
        </w:tc>
        <w:tc>
          <w:tcPr>
            <w:tcW w:w="3797" w:type="dxa"/>
            <w:gridSpan w:val="4"/>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241" w:type="dxa"/>
            <w:vMerge w:val="continue"/>
            <w:vAlign w:val="center"/>
          </w:tcPr>
          <w:p>
            <w:pPr>
              <w:widowControl/>
              <w:jc w:val="left"/>
              <w:rPr>
                <w:rFonts w:ascii="宋体" w:hAnsi="宋体" w:cs="宋体"/>
                <w:b/>
                <w:bCs/>
                <w:color w:val="000000"/>
                <w:kern w:val="0"/>
                <w:sz w:val="18"/>
                <w:szCs w:val="18"/>
              </w:rPr>
            </w:pPr>
          </w:p>
        </w:tc>
        <w:tc>
          <w:tcPr>
            <w:tcW w:w="1291" w:type="dxa"/>
            <w:vMerge w:val="continue"/>
            <w:vAlign w:val="center"/>
          </w:tcPr>
          <w:p>
            <w:pPr>
              <w:widowControl/>
              <w:jc w:val="left"/>
              <w:rPr>
                <w:rFonts w:ascii="宋体" w:hAnsi="宋体" w:cs="宋体"/>
                <w:b/>
                <w:bCs/>
                <w:color w:val="000000"/>
                <w:kern w:val="0"/>
                <w:sz w:val="18"/>
                <w:szCs w:val="18"/>
              </w:rPr>
            </w:pPr>
          </w:p>
        </w:tc>
        <w:tc>
          <w:tcPr>
            <w:tcW w:w="4161"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聘请社会中介机构参与审计项目，完成项目个数大于等于20个。</w:t>
            </w:r>
          </w:p>
        </w:tc>
        <w:tc>
          <w:tcPr>
            <w:tcW w:w="3797" w:type="dxa"/>
            <w:gridSpan w:val="4"/>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聘请社会中介机构参与审计项目，2022年中介机构参与完成项目个数为24个。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41" w:type="dxa"/>
            <w:vMerge w:val="continue"/>
            <w:vAlign w:val="center"/>
          </w:tcPr>
          <w:p>
            <w:pPr>
              <w:widowControl/>
              <w:jc w:val="left"/>
              <w:rPr>
                <w:rFonts w:ascii="宋体" w:hAnsi="宋体" w:cs="宋体"/>
                <w:b/>
                <w:bCs/>
                <w:color w:val="000000"/>
                <w:kern w:val="0"/>
                <w:sz w:val="18"/>
                <w:szCs w:val="18"/>
              </w:rPr>
            </w:pPr>
          </w:p>
        </w:tc>
        <w:tc>
          <w:tcPr>
            <w:tcW w:w="1291" w:type="dxa"/>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2.项目实施内容及过程概述</w:t>
            </w:r>
          </w:p>
        </w:tc>
        <w:tc>
          <w:tcPr>
            <w:tcW w:w="7958" w:type="dxa"/>
            <w:gridSpan w:val="9"/>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为了充分履行审计职责，规范委托社会中介组织参与审计工作的行为，根据审计署《聘请外部人员参与审计工作管理办法（试行）》、审计厅《委托社会中介组织、聘请外部专业人员参与审计工作管理暂行办法（试行）》，结合广元实际，聘请社会中介机构参与审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41" w:type="dxa"/>
            <w:vMerge w:val="restart"/>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预算执行情况（10分）</w:t>
            </w:r>
          </w:p>
        </w:tc>
        <w:tc>
          <w:tcPr>
            <w:tcW w:w="1291"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年度预算数（万元）</w:t>
            </w:r>
          </w:p>
        </w:tc>
        <w:tc>
          <w:tcPr>
            <w:tcW w:w="1013"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年初预算</w:t>
            </w:r>
          </w:p>
        </w:tc>
        <w:tc>
          <w:tcPr>
            <w:tcW w:w="1244"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调整后预算数</w:t>
            </w:r>
          </w:p>
        </w:tc>
        <w:tc>
          <w:tcPr>
            <w:tcW w:w="0" w:type="auto"/>
            <w:gridSpan w:val="3"/>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预算执行数</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预算执行率</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2156"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41" w:type="dxa"/>
            <w:vMerge w:val="continue"/>
            <w:vAlign w:val="center"/>
          </w:tcPr>
          <w:p>
            <w:pPr>
              <w:widowControl/>
              <w:jc w:val="left"/>
              <w:rPr>
                <w:rFonts w:ascii="宋体" w:hAnsi="宋体" w:cs="宋体"/>
                <w:b/>
                <w:bCs/>
                <w:color w:val="000000"/>
                <w:kern w:val="0"/>
                <w:sz w:val="18"/>
                <w:szCs w:val="18"/>
              </w:rPr>
            </w:pPr>
          </w:p>
        </w:tc>
        <w:tc>
          <w:tcPr>
            <w:tcW w:w="1291"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总额</w:t>
            </w:r>
          </w:p>
        </w:tc>
        <w:tc>
          <w:tcPr>
            <w:tcW w:w="101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221.30</w:t>
            </w:r>
          </w:p>
        </w:tc>
        <w:tc>
          <w:tcPr>
            <w:tcW w:w="124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221.30</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118.74</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53.66%</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156" w:type="dxa"/>
            <w:vMerge w:val="restar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2022年通过竞争性磋商的方式采购中介审计服务，由于去年疫情影响，致使采购进度滞后，2022年该项目未采购完成，所以采购资金未支付完成。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41" w:type="dxa"/>
            <w:vMerge w:val="continue"/>
            <w:vAlign w:val="center"/>
          </w:tcPr>
          <w:p>
            <w:pPr>
              <w:widowControl/>
              <w:jc w:val="left"/>
              <w:rPr>
                <w:rFonts w:ascii="宋体" w:hAnsi="宋体" w:cs="宋体"/>
                <w:b/>
                <w:bCs/>
                <w:color w:val="000000"/>
                <w:kern w:val="0"/>
                <w:sz w:val="18"/>
                <w:szCs w:val="18"/>
              </w:rPr>
            </w:pPr>
          </w:p>
        </w:tc>
        <w:tc>
          <w:tcPr>
            <w:tcW w:w="1291"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其中：财政资金</w:t>
            </w:r>
          </w:p>
        </w:tc>
        <w:tc>
          <w:tcPr>
            <w:tcW w:w="101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221.30</w:t>
            </w:r>
          </w:p>
        </w:tc>
        <w:tc>
          <w:tcPr>
            <w:tcW w:w="124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221.30</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118.74</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53.66%</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56"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41" w:type="dxa"/>
            <w:vMerge w:val="continue"/>
            <w:vAlign w:val="center"/>
          </w:tcPr>
          <w:p>
            <w:pPr>
              <w:widowControl/>
              <w:jc w:val="left"/>
              <w:rPr>
                <w:rFonts w:ascii="宋体" w:hAnsi="宋体" w:cs="宋体"/>
                <w:b/>
                <w:bCs/>
                <w:color w:val="000000"/>
                <w:kern w:val="0"/>
                <w:sz w:val="18"/>
                <w:szCs w:val="18"/>
              </w:rPr>
            </w:pPr>
          </w:p>
        </w:tc>
        <w:tc>
          <w:tcPr>
            <w:tcW w:w="1291"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财政专户管理资金</w:t>
            </w:r>
          </w:p>
        </w:tc>
        <w:tc>
          <w:tcPr>
            <w:tcW w:w="101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4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56"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41" w:type="dxa"/>
            <w:vMerge w:val="continue"/>
            <w:vAlign w:val="center"/>
          </w:tcPr>
          <w:p>
            <w:pPr>
              <w:widowControl/>
              <w:jc w:val="left"/>
              <w:rPr>
                <w:rFonts w:ascii="宋体" w:hAnsi="宋体" w:cs="宋体"/>
                <w:b/>
                <w:bCs/>
                <w:color w:val="000000"/>
                <w:kern w:val="0"/>
                <w:sz w:val="18"/>
                <w:szCs w:val="18"/>
              </w:rPr>
            </w:pPr>
          </w:p>
        </w:tc>
        <w:tc>
          <w:tcPr>
            <w:tcW w:w="1291"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单位资金</w:t>
            </w:r>
          </w:p>
        </w:tc>
        <w:tc>
          <w:tcPr>
            <w:tcW w:w="101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4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56"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41" w:type="dxa"/>
            <w:vMerge w:val="continue"/>
            <w:vAlign w:val="center"/>
          </w:tcPr>
          <w:p>
            <w:pPr>
              <w:widowControl/>
              <w:jc w:val="left"/>
              <w:rPr>
                <w:rFonts w:ascii="宋体" w:hAnsi="宋体" w:cs="宋体"/>
                <w:b/>
                <w:bCs/>
                <w:color w:val="000000"/>
                <w:kern w:val="0"/>
                <w:sz w:val="18"/>
                <w:szCs w:val="18"/>
              </w:rPr>
            </w:pPr>
          </w:p>
        </w:tc>
        <w:tc>
          <w:tcPr>
            <w:tcW w:w="1291"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其他资金</w:t>
            </w:r>
          </w:p>
        </w:tc>
        <w:tc>
          <w:tcPr>
            <w:tcW w:w="1013" w:type="dxa"/>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244" w:type="dxa"/>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gridSpan w:val="3"/>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56"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41" w:type="dxa"/>
            <w:vMerge w:val="restart"/>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绩效指标（90分）</w:t>
            </w:r>
          </w:p>
        </w:tc>
        <w:tc>
          <w:tcPr>
            <w:tcW w:w="1291"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一级指标</w:t>
            </w:r>
          </w:p>
        </w:tc>
        <w:tc>
          <w:tcPr>
            <w:tcW w:w="1013"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244"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指标性质</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指标值</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度量单位</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完成值</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2156"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1" w:type="dxa"/>
            <w:vMerge w:val="continue"/>
            <w:vAlign w:val="center"/>
          </w:tcPr>
          <w:p>
            <w:pPr>
              <w:widowControl/>
              <w:jc w:val="left"/>
              <w:rPr>
                <w:rFonts w:ascii="宋体" w:hAnsi="宋体" w:cs="宋体"/>
                <w:b/>
                <w:bCs/>
                <w:color w:val="000000"/>
                <w:kern w:val="0"/>
                <w:sz w:val="18"/>
                <w:szCs w:val="18"/>
              </w:rPr>
            </w:pPr>
          </w:p>
        </w:tc>
        <w:tc>
          <w:tcPr>
            <w:tcW w:w="1291"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01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24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参与审计的人数</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5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1" w:type="dxa"/>
            <w:vMerge w:val="continue"/>
            <w:vAlign w:val="center"/>
          </w:tcPr>
          <w:p>
            <w:pPr>
              <w:widowControl/>
              <w:jc w:val="left"/>
              <w:rPr>
                <w:rFonts w:ascii="宋体" w:hAnsi="宋体" w:cs="宋体"/>
                <w:b/>
                <w:bCs/>
                <w:color w:val="000000"/>
                <w:kern w:val="0"/>
                <w:sz w:val="18"/>
                <w:szCs w:val="18"/>
              </w:rPr>
            </w:pPr>
          </w:p>
        </w:tc>
        <w:tc>
          <w:tcPr>
            <w:tcW w:w="1291"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1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4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开展审计项目个数</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15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1" w:type="dxa"/>
            <w:vMerge w:val="continue"/>
            <w:vAlign w:val="center"/>
          </w:tcPr>
          <w:p>
            <w:pPr>
              <w:widowControl/>
              <w:jc w:val="left"/>
              <w:rPr>
                <w:rFonts w:ascii="宋体" w:hAnsi="宋体" w:cs="宋体"/>
                <w:b/>
                <w:bCs/>
                <w:color w:val="000000"/>
                <w:kern w:val="0"/>
                <w:sz w:val="18"/>
                <w:szCs w:val="18"/>
              </w:rPr>
            </w:pPr>
          </w:p>
        </w:tc>
        <w:tc>
          <w:tcPr>
            <w:tcW w:w="1291"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1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4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审计报告质量</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5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1" w:type="dxa"/>
            <w:vMerge w:val="continue"/>
            <w:vAlign w:val="center"/>
          </w:tcPr>
          <w:p>
            <w:pPr>
              <w:widowControl/>
              <w:jc w:val="left"/>
              <w:rPr>
                <w:rFonts w:ascii="宋体" w:hAnsi="宋体" w:cs="宋体"/>
                <w:b/>
                <w:bCs/>
                <w:color w:val="000000"/>
                <w:kern w:val="0"/>
                <w:sz w:val="18"/>
                <w:szCs w:val="18"/>
              </w:rPr>
            </w:pPr>
          </w:p>
        </w:tc>
        <w:tc>
          <w:tcPr>
            <w:tcW w:w="1291"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1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4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审减率</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5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1" w:type="dxa"/>
            <w:vMerge w:val="continue"/>
            <w:vAlign w:val="center"/>
          </w:tcPr>
          <w:p>
            <w:pPr>
              <w:widowControl/>
              <w:jc w:val="left"/>
              <w:rPr>
                <w:rFonts w:ascii="宋体" w:hAnsi="宋体" w:cs="宋体"/>
                <w:b/>
                <w:bCs/>
                <w:color w:val="000000"/>
                <w:kern w:val="0"/>
                <w:sz w:val="18"/>
                <w:szCs w:val="18"/>
              </w:rPr>
            </w:pPr>
          </w:p>
        </w:tc>
        <w:tc>
          <w:tcPr>
            <w:tcW w:w="1291"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1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生态效益指标</w:t>
            </w:r>
          </w:p>
        </w:tc>
        <w:tc>
          <w:tcPr>
            <w:tcW w:w="124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开展生态类审计项目个数</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5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1" w:type="dxa"/>
            <w:vMerge w:val="continue"/>
            <w:vAlign w:val="center"/>
          </w:tcPr>
          <w:p>
            <w:pPr>
              <w:widowControl/>
              <w:jc w:val="left"/>
              <w:rPr>
                <w:rFonts w:ascii="宋体" w:hAnsi="宋体" w:cs="宋体"/>
                <w:b/>
                <w:bCs/>
                <w:color w:val="000000"/>
                <w:kern w:val="0"/>
                <w:sz w:val="18"/>
                <w:szCs w:val="18"/>
              </w:rPr>
            </w:pPr>
          </w:p>
        </w:tc>
        <w:tc>
          <w:tcPr>
            <w:tcW w:w="1291"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1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124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促进建设单位建章立数量</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5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1" w:type="dxa"/>
            <w:vMerge w:val="continue"/>
            <w:vAlign w:val="center"/>
          </w:tcPr>
          <w:p>
            <w:pPr>
              <w:widowControl/>
              <w:jc w:val="left"/>
              <w:rPr>
                <w:rFonts w:ascii="宋体" w:hAnsi="宋体" w:cs="宋体"/>
                <w:b/>
                <w:bCs/>
                <w:color w:val="000000"/>
                <w:kern w:val="0"/>
                <w:sz w:val="18"/>
                <w:szCs w:val="18"/>
              </w:rPr>
            </w:pPr>
          </w:p>
        </w:tc>
        <w:tc>
          <w:tcPr>
            <w:tcW w:w="1291"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1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4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节约财政资金</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5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41" w:type="dxa"/>
            <w:vMerge w:val="continue"/>
            <w:vAlign w:val="center"/>
          </w:tcPr>
          <w:p>
            <w:pPr>
              <w:widowControl/>
              <w:jc w:val="left"/>
              <w:rPr>
                <w:rFonts w:ascii="宋体" w:hAnsi="宋体" w:cs="宋体"/>
                <w:b/>
                <w:bCs/>
                <w:color w:val="000000"/>
                <w:kern w:val="0"/>
                <w:sz w:val="18"/>
                <w:szCs w:val="18"/>
              </w:rPr>
            </w:pPr>
          </w:p>
        </w:tc>
        <w:tc>
          <w:tcPr>
            <w:tcW w:w="1291"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1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24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审计组档案归档要求及资料完整度</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5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49" w:type="dxa"/>
            <w:gridSpan w:val="8"/>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0" w:type="auto"/>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90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156"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241"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部门（单位）自评结论</w:t>
            </w:r>
          </w:p>
        </w:tc>
        <w:tc>
          <w:tcPr>
            <w:tcW w:w="9249"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完成情况良好，自评得分95分。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241"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部门（单位）自评存在问题</w:t>
            </w:r>
          </w:p>
        </w:tc>
        <w:tc>
          <w:tcPr>
            <w:tcW w:w="9249"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2022年通过竞争性磋商的方式采购中介审计服务，由于去年疫情影响，致使采购进度滞后，2022年该项目未采购完成，所以采购资金未支付完成。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41"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部门（单位）自评改进措施</w:t>
            </w:r>
          </w:p>
        </w:tc>
        <w:tc>
          <w:tcPr>
            <w:tcW w:w="9249"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以后年度，提前采购时间，加快采购进度，确保预算执行进度。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0"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项目负责人：费田志</w:t>
            </w:r>
          </w:p>
        </w:tc>
        <w:tc>
          <w:tcPr>
            <w:tcW w:w="4770" w:type="dxa"/>
            <w:gridSpan w:val="6"/>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财务负责人：杨田</w:t>
            </w:r>
          </w:p>
        </w:tc>
      </w:tr>
    </w:tbl>
    <w:p>
      <w:pPr>
        <w:pStyle w:val="2"/>
        <w:spacing w:before="93"/>
        <w:rPr>
          <w:rFonts w:hAnsi="宋体" w:cs="宋体"/>
          <w:sz w:val="32"/>
          <w:szCs w:val="32"/>
          <w:shd w:val="clear" w:color="auto" w:fill="FFFFFF"/>
          <w:lang w:val="zh-CN"/>
        </w:rPr>
      </w:pPr>
    </w:p>
    <w:tbl>
      <w:tblPr>
        <w:tblStyle w:val="16"/>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9"/>
        <w:gridCol w:w="1134"/>
        <w:gridCol w:w="1560"/>
        <w:gridCol w:w="676"/>
        <w:gridCol w:w="576"/>
        <w:gridCol w:w="397"/>
        <w:gridCol w:w="756"/>
        <w:gridCol w:w="488"/>
        <w:gridCol w:w="397"/>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552" w:type="dxa"/>
            <w:gridSpan w:val="2"/>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项目名称</w:t>
            </w:r>
          </w:p>
        </w:tc>
        <w:tc>
          <w:tcPr>
            <w:tcW w:w="7938" w:type="dxa"/>
            <w:gridSpan w:val="9"/>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广元市投资审计项目信息化管理软件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trPr>
        <w:tc>
          <w:tcPr>
            <w:tcW w:w="2552" w:type="dxa"/>
            <w:gridSpan w:val="2"/>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主管部门（盖章）</w:t>
            </w:r>
          </w:p>
        </w:tc>
        <w:tc>
          <w:tcPr>
            <w:tcW w:w="4343"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广元市审计局</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实施单位（盖章）</w:t>
            </w:r>
          </w:p>
        </w:tc>
        <w:tc>
          <w:tcPr>
            <w:tcW w:w="2839" w:type="dxa"/>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13" w:type="dxa"/>
            <w:vMerge w:val="restart"/>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项目基本情况</w:t>
            </w:r>
          </w:p>
        </w:tc>
        <w:tc>
          <w:tcPr>
            <w:tcW w:w="1139" w:type="dxa"/>
            <w:vMerge w:val="restart"/>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1.项目年度目标完成情况</w:t>
            </w:r>
          </w:p>
        </w:tc>
        <w:tc>
          <w:tcPr>
            <w:tcW w:w="4343" w:type="dxa"/>
            <w:gridSpan w:val="5"/>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项目年度目标</w:t>
            </w:r>
          </w:p>
        </w:tc>
        <w:tc>
          <w:tcPr>
            <w:tcW w:w="3595" w:type="dxa"/>
            <w:gridSpan w:val="4"/>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413" w:type="dxa"/>
            <w:vMerge w:val="continue"/>
            <w:vAlign w:val="center"/>
          </w:tcPr>
          <w:p>
            <w:pPr>
              <w:widowControl/>
              <w:jc w:val="left"/>
              <w:rPr>
                <w:rFonts w:ascii="宋体" w:hAnsi="宋体" w:cs="宋体"/>
                <w:b/>
                <w:bCs/>
                <w:color w:val="000000"/>
                <w:kern w:val="0"/>
                <w:sz w:val="18"/>
                <w:szCs w:val="18"/>
              </w:rPr>
            </w:pPr>
          </w:p>
        </w:tc>
        <w:tc>
          <w:tcPr>
            <w:tcW w:w="1139" w:type="dxa"/>
            <w:vMerge w:val="continue"/>
            <w:vAlign w:val="center"/>
          </w:tcPr>
          <w:p>
            <w:pPr>
              <w:widowControl/>
              <w:jc w:val="left"/>
              <w:rPr>
                <w:rFonts w:ascii="宋体" w:hAnsi="宋体" w:cs="宋体"/>
                <w:b/>
                <w:bCs/>
                <w:color w:val="000000"/>
                <w:kern w:val="0"/>
                <w:sz w:val="18"/>
                <w:szCs w:val="18"/>
              </w:rPr>
            </w:pPr>
          </w:p>
        </w:tc>
        <w:tc>
          <w:tcPr>
            <w:tcW w:w="4343"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采购投资审计项目信息化管理软件</w:t>
            </w:r>
          </w:p>
        </w:tc>
        <w:tc>
          <w:tcPr>
            <w:tcW w:w="3595" w:type="dxa"/>
            <w:gridSpan w:val="4"/>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采购并开发了投资审计项目信息化管理软件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13" w:type="dxa"/>
            <w:vMerge w:val="continue"/>
            <w:vAlign w:val="center"/>
          </w:tcPr>
          <w:p>
            <w:pPr>
              <w:widowControl/>
              <w:jc w:val="left"/>
              <w:rPr>
                <w:rFonts w:ascii="宋体" w:hAnsi="宋体" w:cs="宋体"/>
                <w:b/>
                <w:bCs/>
                <w:color w:val="000000"/>
                <w:kern w:val="0"/>
                <w:sz w:val="18"/>
                <w:szCs w:val="18"/>
              </w:rPr>
            </w:pPr>
          </w:p>
        </w:tc>
        <w:tc>
          <w:tcPr>
            <w:tcW w:w="1139" w:type="dxa"/>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2.项目实施内容及过程概述</w:t>
            </w:r>
          </w:p>
        </w:tc>
        <w:tc>
          <w:tcPr>
            <w:tcW w:w="7938" w:type="dxa"/>
            <w:gridSpan w:val="9"/>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三五”国家审计信息化发展指导意见》中明确指出，应加快推进以大数据为核心的审计信息化建设工作。审计机关应顺应国务院、省、市对构建大数据审计模式的新趋势，在政府投资项目审计中完善、深化信息技术的运用，与时俱进的开展大数据收集、分析、应用，更好的提升审计的效率和质量，让投资审计工作全面迈向大数据时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2" w:hRule="atLeast"/>
        </w:trPr>
        <w:tc>
          <w:tcPr>
            <w:tcW w:w="1413" w:type="dxa"/>
            <w:vMerge w:val="restart"/>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预算执行情况（10分）</w:t>
            </w:r>
          </w:p>
        </w:tc>
        <w:tc>
          <w:tcPr>
            <w:tcW w:w="1139"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年度预算数（万元）</w:t>
            </w:r>
          </w:p>
        </w:tc>
        <w:tc>
          <w:tcPr>
            <w:tcW w:w="1134"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年初预算</w:t>
            </w:r>
          </w:p>
        </w:tc>
        <w:tc>
          <w:tcPr>
            <w:tcW w:w="1560"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调整后预算数</w:t>
            </w:r>
          </w:p>
        </w:tc>
        <w:tc>
          <w:tcPr>
            <w:tcW w:w="1649" w:type="dxa"/>
            <w:gridSpan w:val="3"/>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预算执行数</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预算执行率</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1954"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13" w:type="dxa"/>
            <w:vMerge w:val="continue"/>
            <w:vAlign w:val="center"/>
          </w:tcPr>
          <w:p>
            <w:pPr>
              <w:widowControl/>
              <w:jc w:val="left"/>
              <w:rPr>
                <w:rFonts w:ascii="宋体" w:hAnsi="宋体" w:cs="宋体"/>
                <w:b/>
                <w:bCs/>
                <w:color w:val="000000"/>
                <w:kern w:val="0"/>
                <w:sz w:val="18"/>
                <w:szCs w:val="18"/>
              </w:rPr>
            </w:pPr>
          </w:p>
        </w:tc>
        <w:tc>
          <w:tcPr>
            <w:tcW w:w="1139"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总额</w:t>
            </w:r>
          </w:p>
        </w:tc>
        <w:tc>
          <w:tcPr>
            <w:tcW w:w="113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28.70</w:t>
            </w:r>
          </w:p>
        </w:tc>
        <w:tc>
          <w:tcPr>
            <w:tcW w:w="156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28.70</w:t>
            </w:r>
          </w:p>
        </w:tc>
        <w:tc>
          <w:tcPr>
            <w:tcW w:w="1649" w:type="dxa"/>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11.28</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39.30%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954" w:type="dxa"/>
            <w:vMerge w:val="restar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由于疫情影响导致采购时间一再被延迟，最终到年底才完成采购完成。2.由于此次采购属于软件开发类，开发需要一定的时间，在签合同的时候也是约定按照40%、50%、10%的分三次付款，去年12月采购完成，按照合同约定支付了价款的40%，剩下的60%根据开发进度在2023年陆续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1413" w:type="dxa"/>
            <w:vMerge w:val="continue"/>
            <w:vAlign w:val="center"/>
          </w:tcPr>
          <w:p>
            <w:pPr>
              <w:widowControl/>
              <w:jc w:val="left"/>
              <w:rPr>
                <w:rFonts w:ascii="宋体" w:hAnsi="宋体" w:cs="宋体"/>
                <w:b/>
                <w:bCs/>
                <w:color w:val="000000"/>
                <w:kern w:val="0"/>
                <w:sz w:val="18"/>
                <w:szCs w:val="18"/>
              </w:rPr>
            </w:pPr>
          </w:p>
        </w:tc>
        <w:tc>
          <w:tcPr>
            <w:tcW w:w="1139"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其中：财政资金</w:t>
            </w:r>
          </w:p>
        </w:tc>
        <w:tc>
          <w:tcPr>
            <w:tcW w:w="113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28.70</w:t>
            </w:r>
          </w:p>
        </w:tc>
        <w:tc>
          <w:tcPr>
            <w:tcW w:w="156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28.70</w:t>
            </w:r>
          </w:p>
        </w:tc>
        <w:tc>
          <w:tcPr>
            <w:tcW w:w="1649" w:type="dxa"/>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11.28</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39.30%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13" w:type="dxa"/>
            <w:vMerge w:val="continue"/>
            <w:vAlign w:val="center"/>
          </w:tcPr>
          <w:p>
            <w:pPr>
              <w:widowControl/>
              <w:jc w:val="left"/>
              <w:rPr>
                <w:rFonts w:ascii="宋体" w:hAnsi="宋体" w:cs="宋体"/>
                <w:b/>
                <w:bCs/>
                <w:color w:val="000000"/>
                <w:kern w:val="0"/>
                <w:sz w:val="18"/>
                <w:szCs w:val="18"/>
              </w:rPr>
            </w:pPr>
          </w:p>
        </w:tc>
        <w:tc>
          <w:tcPr>
            <w:tcW w:w="1139"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财政专户管理资金</w:t>
            </w:r>
          </w:p>
        </w:tc>
        <w:tc>
          <w:tcPr>
            <w:tcW w:w="113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6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9" w:type="dxa"/>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1413" w:type="dxa"/>
            <w:vMerge w:val="continue"/>
            <w:vAlign w:val="center"/>
          </w:tcPr>
          <w:p>
            <w:pPr>
              <w:widowControl/>
              <w:jc w:val="left"/>
              <w:rPr>
                <w:rFonts w:ascii="宋体" w:hAnsi="宋体" w:cs="宋体"/>
                <w:b/>
                <w:bCs/>
                <w:color w:val="000000"/>
                <w:kern w:val="0"/>
                <w:sz w:val="18"/>
                <w:szCs w:val="18"/>
              </w:rPr>
            </w:pPr>
          </w:p>
        </w:tc>
        <w:tc>
          <w:tcPr>
            <w:tcW w:w="1139"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单位资金</w:t>
            </w:r>
          </w:p>
        </w:tc>
        <w:tc>
          <w:tcPr>
            <w:tcW w:w="113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6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9" w:type="dxa"/>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13" w:type="dxa"/>
            <w:vMerge w:val="continue"/>
            <w:vAlign w:val="center"/>
          </w:tcPr>
          <w:p>
            <w:pPr>
              <w:widowControl/>
              <w:jc w:val="left"/>
              <w:rPr>
                <w:rFonts w:ascii="宋体" w:hAnsi="宋体" w:cs="宋体"/>
                <w:b/>
                <w:bCs/>
                <w:color w:val="000000"/>
                <w:kern w:val="0"/>
                <w:sz w:val="18"/>
                <w:szCs w:val="18"/>
              </w:rPr>
            </w:pPr>
          </w:p>
        </w:tc>
        <w:tc>
          <w:tcPr>
            <w:tcW w:w="1139"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其他资金</w:t>
            </w:r>
          </w:p>
        </w:tc>
        <w:tc>
          <w:tcPr>
            <w:tcW w:w="1134" w:type="dxa"/>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60" w:type="dxa"/>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649" w:type="dxa"/>
            <w:gridSpan w:val="3"/>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413" w:type="dxa"/>
            <w:vMerge w:val="restart"/>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绩效指标（90分）</w:t>
            </w:r>
          </w:p>
        </w:tc>
        <w:tc>
          <w:tcPr>
            <w:tcW w:w="1139"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一级指标</w:t>
            </w:r>
          </w:p>
        </w:tc>
        <w:tc>
          <w:tcPr>
            <w:tcW w:w="1134"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560"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676"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指标性质</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指标值</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度量单位</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完成值</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1954"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13" w:type="dxa"/>
            <w:vMerge w:val="continue"/>
            <w:vAlign w:val="center"/>
          </w:tcPr>
          <w:p>
            <w:pPr>
              <w:widowControl/>
              <w:jc w:val="left"/>
              <w:rPr>
                <w:rFonts w:ascii="宋体" w:hAnsi="宋体" w:cs="宋体"/>
                <w:b/>
                <w:bCs/>
                <w:color w:val="000000"/>
                <w:kern w:val="0"/>
                <w:sz w:val="18"/>
                <w:szCs w:val="18"/>
              </w:rPr>
            </w:pPr>
          </w:p>
        </w:tc>
        <w:tc>
          <w:tcPr>
            <w:tcW w:w="113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3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56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采购项目完成时间</w:t>
            </w:r>
          </w:p>
        </w:tc>
        <w:tc>
          <w:tcPr>
            <w:tcW w:w="6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月</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95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413" w:type="dxa"/>
            <w:vMerge w:val="continue"/>
            <w:vAlign w:val="center"/>
          </w:tcPr>
          <w:p>
            <w:pPr>
              <w:widowControl/>
              <w:jc w:val="left"/>
              <w:rPr>
                <w:rFonts w:ascii="宋体" w:hAnsi="宋体" w:cs="宋体"/>
                <w:b/>
                <w:bCs/>
                <w:color w:val="000000"/>
                <w:kern w:val="0"/>
                <w:sz w:val="18"/>
                <w:szCs w:val="18"/>
              </w:rPr>
            </w:pPr>
          </w:p>
        </w:tc>
        <w:tc>
          <w:tcPr>
            <w:tcW w:w="113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3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56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一套系统</w:t>
            </w:r>
          </w:p>
        </w:tc>
        <w:tc>
          <w:tcPr>
            <w:tcW w:w="6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1套</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95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13" w:type="dxa"/>
            <w:vMerge w:val="continue"/>
            <w:vAlign w:val="center"/>
          </w:tcPr>
          <w:p>
            <w:pPr>
              <w:widowControl/>
              <w:jc w:val="left"/>
              <w:rPr>
                <w:rFonts w:ascii="宋体" w:hAnsi="宋体" w:cs="宋体"/>
                <w:b/>
                <w:bCs/>
                <w:color w:val="000000"/>
                <w:kern w:val="0"/>
                <w:sz w:val="18"/>
                <w:szCs w:val="18"/>
              </w:rPr>
            </w:pPr>
          </w:p>
        </w:tc>
        <w:tc>
          <w:tcPr>
            <w:tcW w:w="113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13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56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集成WBE端系统、审计项目数据库、签证变更审计模块、三算对比分析模块、各类工程指标分析模块、审结项目数据库、其他必要的模块</w:t>
            </w:r>
          </w:p>
        </w:tc>
        <w:tc>
          <w:tcPr>
            <w:tcW w:w="6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28.7</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28.2万元</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95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413" w:type="dxa"/>
            <w:vMerge w:val="continue"/>
            <w:vAlign w:val="center"/>
          </w:tcPr>
          <w:p>
            <w:pPr>
              <w:widowControl/>
              <w:jc w:val="left"/>
              <w:rPr>
                <w:rFonts w:ascii="宋体" w:hAnsi="宋体" w:cs="宋体"/>
                <w:b/>
                <w:bCs/>
                <w:color w:val="000000"/>
                <w:kern w:val="0"/>
                <w:sz w:val="18"/>
                <w:szCs w:val="18"/>
              </w:rPr>
            </w:pPr>
          </w:p>
        </w:tc>
        <w:tc>
          <w:tcPr>
            <w:tcW w:w="113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3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56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系统的兼容性</w:t>
            </w:r>
          </w:p>
        </w:tc>
        <w:tc>
          <w:tcPr>
            <w:tcW w:w="6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95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13" w:type="dxa"/>
            <w:vMerge w:val="continue"/>
            <w:vAlign w:val="center"/>
          </w:tcPr>
          <w:p>
            <w:pPr>
              <w:widowControl/>
              <w:jc w:val="left"/>
              <w:rPr>
                <w:rFonts w:ascii="宋体" w:hAnsi="宋体" w:cs="宋体"/>
                <w:b/>
                <w:bCs/>
                <w:color w:val="000000"/>
                <w:kern w:val="0"/>
                <w:sz w:val="18"/>
                <w:szCs w:val="18"/>
              </w:rPr>
            </w:pPr>
          </w:p>
        </w:tc>
        <w:tc>
          <w:tcPr>
            <w:tcW w:w="113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3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56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系统安全性</w:t>
            </w:r>
          </w:p>
        </w:tc>
        <w:tc>
          <w:tcPr>
            <w:tcW w:w="6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95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413" w:type="dxa"/>
            <w:vMerge w:val="continue"/>
            <w:vAlign w:val="center"/>
          </w:tcPr>
          <w:p>
            <w:pPr>
              <w:widowControl/>
              <w:jc w:val="left"/>
              <w:rPr>
                <w:rFonts w:ascii="宋体" w:hAnsi="宋体" w:cs="宋体"/>
                <w:b/>
                <w:bCs/>
                <w:color w:val="000000"/>
                <w:kern w:val="0"/>
                <w:sz w:val="18"/>
                <w:szCs w:val="18"/>
              </w:rPr>
            </w:pPr>
          </w:p>
        </w:tc>
        <w:tc>
          <w:tcPr>
            <w:tcW w:w="113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3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56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系统的稳定性</w:t>
            </w:r>
          </w:p>
        </w:tc>
        <w:tc>
          <w:tcPr>
            <w:tcW w:w="6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95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13" w:type="dxa"/>
            <w:vMerge w:val="continue"/>
            <w:vAlign w:val="center"/>
          </w:tcPr>
          <w:p>
            <w:pPr>
              <w:widowControl/>
              <w:jc w:val="left"/>
              <w:rPr>
                <w:rFonts w:ascii="宋体" w:hAnsi="宋体" w:cs="宋体"/>
                <w:b/>
                <w:bCs/>
                <w:color w:val="000000"/>
                <w:kern w:val="0"/>
                <w:sz w:val="18"/>
                <w:szCs w:val="18"/>
              </w:rPr>
            </w:pPr>
          </w:p>
        </w:tc>
        <w:tc>
          <w:tcPr>
            <w:tcW w:w="113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3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生态效益指标</w:t>
            </w:r>
          </w:p>
        </w:tc>
        <w:tc>
          <w:tcPr>
            <w:tcW w:w="156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加强对黑臭水体治理等生态建设项目的结算审计个数</w:t>
            </w:r>
          </w:p>
        </w:tc>
        <w:tc>
          <w:tcPr>
            <w:tcW w:w="6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2个</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95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1413" w:type="dxa"/>
            <w:vMerge w:val="continue"/>
            <w:vAlign w:val="center"/>
          </w:tcPr>
          <w:p>
            <w:pPr>
              <w:widowControl/>
              <w:jc w:val="left"/>
              <w:rPr>
                <w:rFonts w:ascii="宋体" w:hAnsi="宋体" w:cs="宋体"/>
                <w:b/>
                <w:bCs/>
                <w:color w:val="000000"/>
                <w:kern w:val="0"/>
                <w:sz w:val="18"/>
                <w:szCs w:val="18"/>
              </w:rPr>
            </w:pPr>
          </w:p>
        </w:tc>
        <w:tc>
          <w:tcPr>
            <w:tcW w:w="113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3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56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规范建设项目管理，促进单位简章立制</w:t>
            </w:r>
          </w:p>
        </w:tc>
        <w:tc>
          <w:tcPr>
            <w:tcW w:w="6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95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13" w:type="dxa"/>
            <w:vMerge w:val="continue"/>
            <w:vAlign w:val="center"/>
          </w:tcPr>
          <w:p>
            <w:pPr>
              <w:widowControl/>
              <w:jc w:val="left"/>
              <w:rPr>
                <w:rFonts w:ascii="宋体" w:hAnsi="宋体" w:cs="宋体"/>
                <w:b/>
                <w:bCs/>
                <w:color w:val="000000"/>
                <w:kern w:val="0"/>
                <w:sz w:val="18"/>
                <w:szCs w:val="18"/>
              </w:rPr>
            </w:pPr>
          </w:p>
        </w:tc>
        <w:tc>
          <w:tcPr>
            <w:tcW w:w="113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3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56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审计项目提速</w:t>
            </w:r>
          </w:p>
        </w:tc>
        <w:tc>
          <w:tcPr>
            <w:tcW w:w="6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95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1413" w:type="dxa"/>
            <w:vMerge w:val="continue"/>
            <w:vAlign w:val="center"/>
          </w:tcPr>
          <w:p>
            <w:pPr>
              <w:widowControl/>
              <w:jc w:val="left"/>
              <w:rPr>
                <w:rFonts w:ascii="宋体" w:hAnsi="宋体" w:cs="宋体"/>
                <w:b/>
                <w:bCs/>
                <w:color w:val="000000"/>
                <w:kern w:val="0"/>
                <w:sz w:val="18"/>
                <w:szCs w:val="18"/>
              </w:rPr>
            </w:pPr>
          </w:p>
        </w:tc>
        <w:tc>
          <w:tcPr>
            <w:tcW w:w="113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13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56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审计使用满意度</w:t>
            </w:r>
          </w:p>
        </w:tc>
        <w:tc>
          <w:tcPr>
            <w:tcW w:w="6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98%</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95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51" w:type="dxa"/>
            <w:gridSpan w:val="8"/>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0" w:type="auto"/>
            <w:shd w:val="clear" w:color="auto" w:fill="auto"/>
            <w:vAlign w:val="center"/>
          </w:tcPr>
          <w:p>
            <w:pPr>
              <w:widowControl/>
              <w:jc w:val="right"/>
              <w:rPr>
                <w:rFonts w:ascii="宋体" w:hAnsi="宋体" w:cs="宋体"/>
                <w:color w:val="000000"/>
                <w:kern w:val="0"/>
                <w:sz w:val="18"/>
                <w:szCs w:val="18"/>
              </w:rPr>
            </w:pPr>
            <w:r>
              <w:rPr>
                <w:rFonts w:ascii="宋体" w:hAnsi="宋体" w:cs="宋体"/>
                <w:color w:val="000000"/>
                <w:kern w:val="0"/>
                <w:sz w:val="18"/>
                <w:szCs w:val="18"/>
              </w:rPr>
              <w:t>100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r>
              <w:rPr>
                <w:rFonts w:ascii="宋体" w:hAnsi="宋体" w:cs="宋体"/>
                <w:color w:val="000000"/>
                <w:kern w:val="0"/>
                <w:sz w:val="18"/>
                <w:szCs w:val="18"/>
              </w:rPr>
              <w:t>3</w:t>
            </w:r>
          </w:p>
        </w:tc>
        <w:tc>
          <w:tcPr>
            <w:tcW w:w="1954"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9" w:hRule="atLeast"/>
        </w:trPr>
        <w:tc>
          <w:tcPr>
            <w:tcW w:w="1413"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部门（单位）自评结论</w:t>
            </w:r>
          </w:p>
        </w:tc>
        <w:tc>
          <w:tcPr>
            <w:tcW w:w="9077"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完成情况较好，自评得分93分。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413"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部门（单位）自评存在问题</w:t>
            </w:r>
          </w:p>
        </w:tc>
        <w:tc>
          <w:tcPr>
            <w:tcW w:w="9077"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1.由于疫情影响导致采购时间一再被延迟，最终到年底才完成采购完成。2.由于此次采购属于软件开发类，开发需要一定的时间，在签合同的时候也是约定按照40%、50%、10%的分三次付款，去年12月采购完成，按照合同约定支付了价款的40%，剩下的60%根据开发进度在2023年陆续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9" w:hRule="atLeast"/>
        </w:trPr>
        <w:tc>
          <w:tcPr>
            <w:tcW w:w="1413"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部门（单位）自评改进措施</w:t>
            </w:r>
          </w:p>
        </w:tc>
        <w:tc>
          <w:tcPr>
            <w:tcW w:w="9077"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以后年度，提前采购时间，加快采购进度，确保预算执行进度。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922"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项目负责人：杨芳</w:t>
            </w:r>
          </w:p>
        </w:tc>
        <w:tc>
          <w:tcPr>
            <w:tcW w:w="4568" w:type="dxa"/>
            <w:gridSpan w:val="6"/>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财务负责人：杨田</w:t>
            </w:r>
          </w:p>
        </w:tc>
      </w:tr>
    </w:tbl>
    <w:p>
      <w:pPr>
        <w:pStyle w:val="2"/>
        <w:spacing w:before="93"/>
        <w:rPr>
          <w:rFonts w:hAnsi="宋体" w:cs="宋体"/>
          <w:sz w:val="32"/>
          <w:szCs w:val="32"/>
          <w:shd w:val="clear" w:color="auto" w:fill="FFFFFF"/>
          <w:lang w:val="zh-CN"/>
        </w:rPr>
      </w:pPr>
    </w:p>
    <w:tbl>
      <w:tblPr>
        <w:tblStyle w:val="16"/>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403"/>
        <w:gridCol w:w="880"/>
        <w:gridCol w:w="1276"/>
        <w:gridCol w:w="1267"/>
        <w:gridCol w:w="939"/>
        <w:gridCol w:w="576"/>
        <w:gridCol w:w="397"/>
        <w:gridCol w:w="846"/>
        <w:gridCol w:w="488"/>
        <w:gridCol w:w="397"/>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552" w:type="dxa"/>
            <w:gridSpan w:val="3"/>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项目名称</w:t>
            </w:r>
          </w:p>
        </w:tc>
        <w:tc>
          <w:tcPr>
            <w:tcW w:w="7938" w:type="dxa"/>
            <w:gridSpan w:val="9"/>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信息化建设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552" w:type="dxa"/>
            <w:gridSpan w:val="3"/>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主管部门（盖章）</w:t>
            </w:r>
          </w:p>
        </w:tc>
        <w:tc>
          <w:tcPr>
            <w:tcW w:w="4455"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广元市审计局</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实施单位（盖章）</w:t>
            </w:r>
          </w:p>
        </w:tc>
        <w:tc>
          <w:tcPr>
            <w:tcW w:w="2637" w:type="dxa"/>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9" w:type="dxa"/>
            <w:vMerge w:val="restart"/>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项目基本情况</w:t>
            </w:r>
          </w:p>
        </w:tc>
        <w:tc>
          <w:tcPr>
            <w:tcW w:w="1283" w:type="dxa"/>
            <w:gridSpan w:val="2"/>
            <w:vMerge w:val="restart"/>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1.项目年度目标完成情况</w:t>
            </w:r>
          </w:p>
        </w:tc>
        <w:tc>
          <w:tcPr>
            <w:tcW w:w="4455" w:type="dxa"/>
            <w:gridSpan w:val="5"/>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项目年度目标</w:t>
            </w:r>
          </w:p>
        </w:tc>
        <w:tc>
          <w:tcPr>
            <w:tcW w:w="3483" w:type="dxa"/>
            <w:gridSpan w:val="4"/>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9" w:type="dxa"/>
            <w:vMerge w:val="continue"/>
            <w:vAlign w:val="center"/>
          </w:tcPr>
          <w:p>
            <w:pPr>
              <w:widowControl/>
              <w:jc w:val="left"/>
              <w:rPr>
                <w:rFonts w:ascii="宋体" w:hAnsi="宋体" w:cs="宋体"/>
                <w:b/>
                <w:bCs/>
                <w:color w:val="000000"/>
                <w:kern w:val="0"/>
                <w:sz w:val="18"/>
                <w:szCs w:val="18"/>
              </w:rPr>
            </w:pPr>
          </w:p>
        </w:tc>
        <w:tc>
          <w:tcPr>
            <w:tcW w:w="1283" w:type="dxa"/>
            <w:gridSpan w:val="2"/>
            <w:vMerge w:val="continue"/>
            <w:vAlign w:val="center"/>
          </w:tcPr>
          <w:p>
            <w:pPr>
              <w:widowControl/>
              <w:jc w:val="left"/>
              <w:rPr>
                <w:rFonts w:ascii="宋体" w:hAnsi="宋体" w:cs="宋体"/>
                <w:b/>
                <w:bCs/>
                <w:color w:val="000000"/>
                <w:kern w:val="0"/>
                <w:sz w:val="18"/>
                <w:szCs w:val="18"/>
              </w:rPr>
            </w:pPr>
          </w:p>
        </w:tc>
        <w:tc>
          <w:tcPr>
            <w:tcW w:w="4455"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用于采购电脑以及打印机，为保障审计工作正常有序开展</w:t>
            </w:r>
          </w:p>
        </w:tc>
        <w:tc>
          <w:tcPr>
            <w:tcW w:w="3483" w:type="dxa"/>
            <w:gridSpan w:val="4"/>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采购16台电脑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9" w:type="dxa"/>
            <w:vMerge w:val="continue"/>
            <w:vAlign w:val="center"/>
          </w:tcPr>
          <w:p>
            <w:pPr>
              <w:widowControl/>
              <w:jc w:val="left"/>
              <w:rPr>
                <w:rFonts w:ascii="宋体" w:hAnsi="宋体" w:cs="宋体"/>
                <w:b/>
                <w:bCs/>
                <w:color w:val="000000"/>
                <w:kern w:val="0"/>
                <w:sz w:val="18"/>
                <w:szCs w:val="18"/>
              </w:rPr>
            </w:pPr>
          </w:p>
        </w:tc>
        <w:tc>
          <w:tcPr>
            <w:tcW w:w="1283" w:type="dxa"/>
            <w:gridSpan w:val="2"/>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2.项目实施内容及过程概述</w:t>
            </w:r>
          </w:p>
        </w:tc>
        <w:tc>
          <w:tcPr>
            <w:tcW w:w="7938" w:type="dxa"/>
            <w:gridSpan w:val="9"/>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用于采购电脑以及打印机经费，为保障审计工作正常有序开展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69" w:type="dxa"/>
            <w:vMerge w:val="restart"/>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预算执行情况（10分）</w:t>
            </w:r>
          </w:p>
        </w:tc>
        <w:tc>
          <w:tcPr>
            <w:tcW w:w="1283"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年度预算数（万元）</w:t>
            </w:r>
          </w:p>
        </w:tc>
        <w:tc>
          <w:tcPr>
            <w:tcW w:w="1276"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年初预算</w:t>
            </w:r>
          </w:p>
        </w:tc>
        <w:tc>
          <w:tcPr>
            <w:tcW w:w="1267"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调整后预算数</w:t>
            </w:r>
          </w:p>
        </w:tc>
        <w:tc>
          <w:tcPr>
            <w:tcW w:w="0" w:type="auto"/>
            <w:gridSpan w:val="3"/>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预算执行数</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预算执行率</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175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69" w:type="dxa"/>
            <w:vMerge w:val="continue"/>
            <w:vAlign w:val="center"/>
          </w:tcPr>
          <w:p>
            <w:pPr>
              <w:widowControl/>
              <w:jc w:val="left"/>
              <w:rPr>
                <w:rFonts w:ascii="宋体" w:hAnsi="宋体" w:cs="宋体"/>
                <w:b/>
                <w:bCs/>
                <w:color w:val="000000"/>
                <w:kern w:val="0"/>
                <w:sz w:val="18"/>
                <w:szCs w:val="18"/>
              </w:rPr>
            </w:pPr>
          </w:p>
        </w:tc>
        <w:tc>
          <w:tcPr>
            <w:tcW w:w="1283"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总额</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7.00</w:t>
            </w:r>
          </w:p>
        </w:tc>
        <w:tc>
          <w:tcPr>
            <w:tcW w:w="126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7.00</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52" w:type="dxa"/>
            <w:vMerge w:val="restar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69" w:type="dxa"/>
            <w:vMerge w:val="continue"/>
            <w:vAlign w:val="center"/>
          </w:tcPr>
          <w:p>
            <w:pPr>
              <w:widowControl/>
              <w:jc w:val="left"/>
              <w:rPr>
                <w:rFonts w:ascii="宋体" w:hAnsi="宋体" w:cs="宋体"/>
                <w:b/>
                <w:bCs/>
                <w:color w:val="000000"/>
                <w:kern w:val="0"/>
                <w:sz w:val="18"/>
                <w:szCs w:val="18"/>
              </w:rPr>
            </w:pPr>
          </w:p>
        </w:tc>
        <w:tc>
          <w:tcPr>
            <w:tcW w:w="1283"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其中：财政资金</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7.00</w:t>
            </w:r>
          </w:p>
        </w:tc>
        <w:tc>
          <w:tcPr>
            <w:tcW w:w="126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7.00</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52"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69" w:type="dxa"/>
            <w:vMerge w:val="continue"/>
            <w:vAlign w:val="center"/>
          </w:tcPr>
          <w:p>
            <w:pPr>
              <w:widowControl/>
              <w:jc w:val="left"/>
              <w:rPr>
                <w:rFonts w:ascii="宋体" w:hAnsi="宋体" w:cs="宋体"/>
                <w:b/>
                <w:bCs/>
                <w:color w:val="000000"/>
                <w:kern w:val="0"/>
                <w:sz w:val="18"/>
                <w:szCs w:val="18"/>
              </w:rPr>
            </w:pPr>
          </w:p>
        </w:tc>
        <w:tc>
          <w:tcPr>
            <w:tcW w:w="1283"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财政专户管理资金</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6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52"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69" w:type="dxa"/>
            <w:vMerge w:val="continue"/>
            <w:vAlign w:val="center"/>
          </w:tcPr>
          <w:p>
            <w:pPr>
              <w:widowControl/>
              <w:jc w:val="left"/>
              <w:rPr>
                <w:rFonts w:ascii="宋体" w:hAnsi="宋体" w:cs="宋体"/>
                <w:b/>
                <w:bCs/>
                <w:color w:val="000000"/>
                <w:kern w:val="0"/>
                <w:sz w:val="18"/>
                <w:szCs w:val="18"/>
              </w:rPr>
            </w:pPr>
          </w:p>
        </w:tc>
        <w:tc>
          <w:tcPr>
            <w:tcW w:w="1283"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单位资金</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6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52"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69" w:type="dxa"/>
            <w:vMerge w:val="continue"/>
            <w:vAlign w:val="center"/>
          </w:tcPr>
          <w:p>
            <w:pPr>
              <w:widowControl/>
              <w:jc w:val="left"/>
              <w:rPr>
                <w:rFonts w:ascii="宋体" w:hAnsi="宋体" w:cs="宋体"/>
                <w:b/>
                <w:bCs/>
                <w:color w:val="000000"/>
                <w:kern w:val="0"/>
                <w:sz w:val="18"/>
                <w:szCs w:val="18"/>
              </w:rPr>
            </w:pPr>
          </w:p>
        </w:tc>
        <w:tc>
          <w:tcPr>
            <w:tcW w:w="1283"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其他资金</w:t>
            </w:r>
          </w:p>
        </w:tc>
        <w:tc>
          <w:tcPr>
            <w:tcW w:w="1276" w:type="dxa"/>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267" w:type="dxa"/>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gridSpan w:val="3"/>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52"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69" w:type="dxa"/>
            <w:vMerge w:val="restart"/>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绩效指标（90分）</w:t>
            </w:r>
          </w:p>
        </w:tc>
        <w:tc>
          <w:tcPr>
            <w:tcW w:w="1283"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一级指标</w:t>
            </w:r>
          </w:p>
        </w:tc>
        <w:tc>
          <w:tcPr>
            <w:tcW w:w="1276"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267"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指标性质</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指标值</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度量单位</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完成值</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175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9" w:type="dxa"/>
            <w:vMerge w:val="continue"/>
            <w:vAlign w:val="center"/>
          </w:tcPr>
          <w:p>
            <w:pPr>
              <w:widowControl/>
              <w:jc w:val="left"/>
              <w:rPr>
                <w:rFonts w:ascii="宋体" w:hAnsi="宋体" w:cs="宋体"/>
                <w:b/>
                <w:bCs/>
                <w:color w:val="000000"/>
                <w:kern w:val="0"/>
                <w:sz w:val="18"/>
                <w:szCs w:val="18"/>
              </w:rPr>
            </w:pPr>
          </w:p>
        </w:tc>
        <w:tc>
          <w:tcPr>
            <w:tcW w:w="1283"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6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使用年限</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5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9" w:type="dxa"/>
            <w:vMerge w:val="continue"/>
            <w:vAlign w:val="center"/>
          </w:tcPr>
          <w:p>
            <w:pPr>
              <w:widowControl/>
              <w:jc w:val="left"/>
              <w:rPr>
                <w:rFonts w:ascii="宋体" w:hAnsi="宋体" w:cs="宋体"/>
                <w:b/>
                <w:bCs/>
                <w:color w:val="000000"/>
                <w:kern w:val="0"/>
                <w:sz w:val="18"/>
                <w:szCs w:val="18"/>
              </w:rPr>
            </w:pPr>
          </w:p>
        </w:tc>
        <w:tc>
          <w:tcPr>
            <w:tcW w:w="1283"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6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打印一体机</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75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根据预算资金安排，2022先采购电脑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9" w:type="dxa"/>
            <w:vMerge w:val="continue"/>
            <w:vAlign w:val="center"/>
          </w:tcPr>
          <w:p>
            <w:pPr>
              <w:widowControl/>
              <w:jc w:val="left"/>
              <w:rPr>
                <w:rFonts w:ascii="宋体" w:hAnsi="宋体" w:cs="宋体"/>
                <w:b/>
                <w:bCs/>
                <w:color w:val="000000"/>
                <w:kern w:val="0"/>
                <w:sz w:val="18"/>
                <w:szCs w:val="18"/>
              </w:rPr>
            </w:pPr>
          </w:p>
        </w:tc>
        <w:tc>
          <w:tcPr>
            <w:tcW w:w="1283"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26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电脑单价</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元</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5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9" w:type="dxa"/>
            <w:vMerge w:val="continue"/>
            <w:vAlign w:val="center"/>
          </w:tcPr>
          <w:p>
            <w:pPr>
              <w:widowControl/>
              <w:jc w:val="left"/>
              <w:rPr>
                <w:rFonts w:ascii="宋体" w:hAnsi="宋体" w:cs="宋体"/>
                <w:b/>
                <w:bCs/>
                <w:color w:val="000000"/>
                <w:kern w:val="0"/>
                <w:sz w:val="18"/>
                <w:szCs w:val="18"/>
              </w:rPr>
            </w:pPr>
          </w:p>
        </w:tc>
        <w:tc>
          <w:tcPr>
            <w:tcW w:w="1283"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26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打印机单价</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元</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5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9" w:type="dxa"/>
            <w:vMerge w:val="continue"/>
            <w:vAlign w:val="center"/>
          </w:tcPr>
          <w:p>
            <w:pPr>
              <w:widowControl/>
              <w:jc w:val="left"/>
              <w:rPr>
                <w:rFonts w:ascii="宋体" w:hAnsi="宋体" w:cs="宋体"/>
                <w:b/>
                <w:bCs/>
                <w:color w:val="000000"/>
                <w:kern w:val="0"/>
                <w:sz w:val="18"/>
                <w:szCs w:val="18"/>
              </w:rPr>
            </w:pPr>
          </w:p>
        </w:tc>
        <w:tc>
          <w:tcPr>
            <w:tcW w:w="1283"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6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电脑</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5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9" w:type="dxa"/>
            <w:vMerge w:val="continue"/>
            <w:vAlign w:val="center"/>
          </w:tcPr>
          <w:p>
            <w:pPr>
              <w:widowControl/>
              <w:jc w:val="left"/>
              <w:rPr>
                <w:rFonts w:ascii="宋体" w:hAnsi="宋体" w:cs="宋体"/>
                <w:b/>
                <w:bCs/>
                <w:color w:val="000000"/>
                <w:kern w:val="0"/>
                <w:sz w:val="18"/>
                <w:szCs w:val="18"/>
              </w:rPr>
            </w:pPr>
          </w:p>
        </w:tc>
        <w:tc>
          <w:tcPr>
            <w:tcW w:w="1283"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6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采购安装时限</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月</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5天</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5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9" w:type="dxa"/>
            <w:vMerge w:val="continue"/>
            <w:vAlign w:val="center"/>
          </w:tcPr>
          <w:p>
            <w:pPr>
              <w:widowControl/>
              <w:jc w:val="left"/>
              <w:rPr>
                <w:rFonts w:ascii="宋体" w:hAnsi="宋体" w:cs="宋体"/>
                <w:b/>
                <w:bCs/>
                <w:color w:val="000000"/>
                <w:kern w:val="0"/>
                <w:sz w:val="18"/>
                <w:szCs w:val="18"/>
              </w:rPr>
            </w:pPr>
          </w:p>
        </w:tc>
        <w:tc>
          <w:tcPr>
            <w:tcW w:w="1283"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26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持续使用年限</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5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9" w:type="dxa"/>
            <w:vMerge w:val="continue"/>
            <w:vAlign w:val="center"/>
          </w:tcPr>
          <w:p>
            <w:pPr>
              <w:widowControl/>
              <w:jc w:val="left"/>
              <w:rPr>
                <w:rFonts w:ascii="宋体" w:hAnsi="宋体" w:cs="宋体"/>
                <w:b/>
                <w:bCs/>
                <w:color w:val="000000"/>
                <w:kern w:val="0"/>
                <w:sz w:val="18"/>
                <w:szCs w:val="18"/>
              </w:rPr>
            </w:pPr>
          </w:p>
        </w:tc>
        <w:tc>
          <w:tcPr>
            <w:tcW w:w="1283"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6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竞价节约成本</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元</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5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9" w:type="dxa"/>
            <w:vMerge w:val="continue"/>
            <w:vAlign w:val="center"/>
          </w:tcPr>
          <w:p>
            <w:pPr>
              <w:widowControl/>
              <w:jc w:val="left"/>
              <w:rPr>
                <w:rFonts w:ascii="宋体" w:hAnsi="宋体" w:cs="宋体"/>
                <w:b/>
                <w:bCs/>
                <w:color w:val="000000"/>
                <w:kern w:val="0"/>
                <w:sz w:val="18"/>
                <w:szCs w:val="18"/>
              </w:rPr>
            </w:pPr>
          </w:p>
        </w:tc>
        <w:tc>
          <w:tcPr>
            <w:tcW w:w="1283"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26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使用者的满意程度</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96%</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5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53" w:type="dxa"/>
            <w:gridSpan w:val="9"/>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0" w:type="auto"/>
            <w:shd w:val="clear" w:color="auto" w:fill="auto"/>
            <w:vAlign w:val="center"/>
          </w:tcPr>
          <w:p>
            <w:pPr>
              <w:widowControl/>
              <w:jc w:val="right"/>
              <w:rPr>
                <w:rFonts w:ascii="宋体" w:hAnsi="宋体" w:cs="宋体"/>
                <w:color w:val="000000"/>
                <w:kern w:val="0"/>
                <w:sz w:val="18"/>
                <w:szCs w:val="18"/>
              </w:rPr>
            </w:pPr>
            <w:r>
              <w:rPr>
                <w:rFonts w:ascii="宋体" w:hAnsi="宋体" w:cs="宋体"/>
                <w:color w:val="000000"/>
                <w:kern w:val="0"/>
                <w:sz w:val="18"/>
                <w:szCs w:val="18"/>
              </w:rPr>
              <w:t>100</w:t>
            </w:r>
          </w:p>
        </w:tc>
        <w:tc>
          <w:tcPr>
            <w:tcW w:w="0" w:type="auto"/>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r>
              <w:rPr>
                <w:rFonts w:hint="eastAsia" w:ascii="宋体" w:hAnsi="宋体" w:cs="宋体"/>
                <w:color w:val="000000"/>
                <w:kern w:val="0"/>
                <w:sz w:val="18"/>
                <w:szCs w:val="18"/>
              </w:rPr>
              <w:t>9</w:t>
            </w:r>
          </w:p>
        </w:tc>
        <w:tc>
          <w:tcPr>
            <w:tcW w:w="1752"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672"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部门（单位）自评结论</w:t>
            </w:r>
          </w:p>
        </w:tc>
        <w:tc>
          <w:tcPr>
            <w:tcW w:w="8818"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完成情况较好，自评得分99分。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672"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部门（单位）自评存在问题</w:t>
            </w:r>
          </w:p>
        </w:tc>
        <w:tc>
          <w:tcPr>
            <w:tcW w:w="8818"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根据预算资金安排，2022只采购电脑，未采购打印机。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672"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部门（单位）自评改进措施</w:t>
            </w:r>
          </w:p>
        </w:tc>
        <w:tc>
          <w:tcPr>
            <w:tcW w:w="8818"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加强预算编制的精确性。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34" w:type="dxa"/>
            <w:gridSpan w:val="6"/>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项目负责人：吕鑫</w:t>
            </w:r>
          </w:p>
        </w:tc>
        <w:tc>
          <w:tcPr>
            <w:tcW w:w="4456" w:type="dxa"/>
            <w:gridSpan w:val="6"/>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单位财务负责人：杨田</w:t>
            </w:r>
          </w:p>
        </w:tc>
      </w:tr>
    </w:tbl>
    <w:p>
      <w:pPr>
        <w:pStyle w:val="2"/>
        <w:spacing w:before="93"/>
        <w:rPr>
          <w:rFonts w:hAnsi="宋体" w:cs="宋体"/>
          <w:sz w:val="32"/>
          <w:szCs w:val="32"/>
          <w:shd w:val="clear" w:color="auto" w:fill="FFFFFF"/>
        </w:rPr>
      </w:pPr>
    </w:p>
    <w:tbl>
      <w:tblPr>
        <w:tblStyle w:val="16"/>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1342"/>
        <w:gridCol w:w="1134"/>
        <w:gridCol w:w="1346"/>
        <w:gridCol w:w="939"/>
        <w:gridCol w:w="486"/>
        <w:gridCol w:w="397"/>
        <w:gridCol w:w="756"/>
        <w:gridCol w:w="488"/>
        <w:gridCol w:w="397"/>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694" w:type="dxa"/>
            <w:gridSpan w:val="2"/>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项目名称</w:t>
            </w:r>
          </w:p>
        </w:tc>
        <w:tc>
          <w:tcPr>
            <w:tcW w:w="7796" w:type="dxa"/>
            <w:gridSpan w:val="9"/>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办公用家用家具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trPr>
        <w:tc>
          <w:tcPr>
            <w:tcW w:w="2694" w:type="dxa"/>
            <w:gridSpan w:val="2"/>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主管部门（盖章）</w:t>
            </w:r>
          </w:p>
        </w:tc>
        <w:tc>
          <w:tcPr>
            <w:tcW w:w="4302"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实施单位（盖章）</w:t>
            </w:r>
          </w:p>
        </w:tc>
        <w:tc>
          <w:tcPr>
            <w:tcW w:w="2738" w:type="dxa"/>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52" w:type="dxa"/>
            <w:vMerge w:val="restart"/>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项目基本情况</w:t>
            </w:r>
          </w:p>
        </w:tc>
        <w:tc>
          <w:tcPr>
            <w:tcW w:w="1342" w:type="dxa"/>
            <w:vMerge w:val="restart"/>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1.项目年度目标完成情况</w:t>
            </w:r>
          </w:p>
        </w:tc>
        <w:tc>
          <w:tcPr>
            <w:tcW w:w="4302" w:type="dxa"/>
            <w:gridSpan w:val="5"/>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项目年度目标</w:t>
            </w:r>
          </w:p>
        </w:tc>
        <w:tc>
          <w:tcPr>
            <w:tcW w:w="3494" w:type="dxa"/>
            <w:gridSpan w:val="4"/>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352" w:type="dxa"/>
            <w:vMerge w:val="continue"/>
            <w:vAlign w:val="center"/>
          </w:tcPr>
          <w:p>
            <w:pPr>
              <w:widowControl/>
              <w:jc w:val="left"/>
              <w:rPr>
                <w:rFonts w:ascii="宋体" w:hAnsi="宋体" w:cs="宋体"/>
                <w:b/>
                <w:bCs/>
                <w:color w:val="000000"/>
                <w:kern w:val="0"/>
                <w:sz w:val="18"/>
                <w:szCs w:val="18"/>
              </w:rPr>
            </w:pPr>
          </w:p>
        </w:tc>
        <w:tc>
          <w:tcPr>
            <w:tcW w:w="1342" w:type="dxa"/>
            <w:vMerge w:val="continue"/>
            <w:vAlign w:val="center"/>
          </w:tcPr>
          <w:p>
            <w:pPr>
              <w:widowControl/>
              <w:jc w:val="left"/>
              <w:rPr>
                <w:rFonts w:ascii="宋体" w:hAnsi="宋体" w:cs="宋体"/>
                <w:b/>
                <w:bCs/>
                <w:color w:val="000000"/>
                <w:kern w:val="0"/>
                <w:sz w:val="18"/>
                <w:szCs w:val="18"/>
              </w:rPr>
            </w:pPr>
          </w:p>
        </w:tc>
        <w:tc>
          <w:tcPr>
            <w:tcW w:w="4302"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购买办公用家用家具包括食堂餐桌椅、办公桌椅以及文件柜等，以保障审计工作正常有序的开展。</w:t>
            </w:r>
          </w:p>
        </w:tc>
        <w:tc>
          <w:tcPr>
            <w:tcW w:w="3494" w:type="dxa"/>
            <w:gridSpan w:val="4"/>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采购10组档案柜及100箱复印纸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52" w:type="dxa"/>
            <w:vMerge w:val="continue"/>
            <w:vAlign w:val="center"/>
          </w:tcPr>
          <w:p>
            <w:pPr>
              <w:widowControl/>
              <w:jc w:val="left"/>
              <w:rPr>
                <w:rFonts w:ascii="宋体" w:hAnsi="宋体" w:cs="宋体"/>
                <w:b/>
                <w:bCs/>
                <w:color w:val="000000"/>
                <w:kern w:val="0"/>
                <w:sz w:val="18"/>
                <w:szCs w:val="18"/>
              </w:rPr>
            </w:pPr>
          </w:p>
        </w:tc>
        <w:tc>
          <w:tcPr>
            <w:tcW w:w="1342" w:type="dxa"/>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2.项目实施内容及过程概述</w:t>
            </w:r>
          </w:p>
        </w:tc>
        <w:tc>
          <w:tcPr>
            <w:tcW w:w="7796" w:type="dxa"/>
            <w:gridSpan w:val="9"/>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购买办公用家用家具包括食堂餐桌椅、办公桌椅以及文件柜等，以保障审计工作正常有序的开展。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2" w:hRule="atLeast"/>
        </w:trPr>
        <w:tc>
          <w:tcPr>
            <w:tcW w:w="1352" w:type="dxa"/>
            <w:vMerge w:val="restart"/>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预算执行情况（10分）</w:t>
            </w:r>
          </w:p>
        </w:tc>
        <w:tc>
          <w:tcPr>
            <w:tcW w:w="134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年度预算数（万元）</w:t>
            </w:r>
          </w:p>
        </w:tc>
        <w:tc>
          <w:tcPr>
            <w:tcW w:w="1134"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年初预算</w:t>
            </w:r>
          </w:p>
        </w:tc>
        <w:tc>
          <w:tcPr>
            <w:tcW w:w="1346"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调整后预算数</w:t>
            </w:r>
          </w:p>
        </w:tc>
        <w:tc>
          <w:tcPr>
            <w:tcW w:w="0" w:type="auto"/>
            <w:gridSpan w:val="3"/>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预算执行数</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预算执行率</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1853"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52" w:type="dxa"/>
            <w:vMerge w:val="continue"/>
            <w:vAlign w:val="center"/>
          </w:tcPr>
          <w:p>
            <w:pPr>
              <w:widowControl/>
              <w:jc w:val="left"/>
              <w:rPr>
                <w:rFonts w:ascii="宋体" w:hAnsi="宋体" w:cs="宋体"/>
                <w:b/>
                <w:bCs/>
                <w:color w:val="000000"/>
                <w:kern w:val="0"/>
                <w:sz w:val="18"/>
                <w:szCs w:val="18"/>
              </w:rPr>
            </w:pPr>
          </w:p>
        </w:tc>
        <w:tc>
          <w:tcPr>
            <w:tcW w:w="134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总额</w:t>
            </w:r>
          </w:p>
        </w:tc>
        <w:tc>
          <w:tcPr>
            <w:tcW w:w="113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134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76.67%</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853" w:type="dxa"/>
            <w:vMerge w:val="restar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采购预算大于实际采购的金额，采购款专款专用。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1352" w:type="dxa"/>
            <w:vMerge w:val="continue"/>
            <w:vAlign w:val="center"/>
          </w:tcPr>
          <w:p>
            <w:pPr>
              <w:widowControl/>
              <w:jc w:val="left"/>
              <w:rPr>
                <w:rFonts w:ascii="宋体" w:hAnsi="宋体" w:cs="宋体"/>
                <w:b/>
                <w:bCs/>
                <w:color w:val="000000"/>
                <w:kern w:val="0"/>
                <w:sz w:val="18"/>
                <w:szCs w:val="18"/>
              </w:rPr>
            </w:pPr>
          </w:p>
        </w:tc>
        <w:tc>
          <w:tcPr>
            <w:tcW w:w="134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其中：财政资金</w:t>
            </w:r>
          </w:p>
        </w:tc>
        <w:tc>
          <w:tcPr>
            <w:tcW w:w="113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134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76.67%</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53"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52" w:type="dxa"/>
            <w:vMerge w:val="continue"/>
            <w:vAlign w:val="center"/>
          </w:tcPr>
          <w:p>
            <w:pPr>
              <w:widowControl/>
              <w:jc w:val="left"/>
              <w:rPr>
                <w:rFonts w:ascii="宋体" w:hAnsi="宋体" w:cs="宋体"/>
                <w:b/>
                <w:bCs/>
                <w:color w:val="000000"/>
                <w:kern w:val="0"/>
                <w:sz w:val="18"/>
                <w:szCs w:val="18"/>
              </w:rPr>
            </w:pPr>
          </w:p>
        </w:tc>
        <w:tc>
          <w:tcPr>
            <w:tcW w:w="134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财政专户管理资金</w:t>
            </w:r>
          </w:p>
        </w:tc>
        <w:tc>
          <w:tcPr>
            <w:tcW w:w="113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4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53"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1352" w:type="dxa"/>
            <w:vMerge w:val="continue"/>
            <w:vAlign w:val="center"/>
          </w:tcPr>
          <w:p>
            <w:pPr>
              <w:widowControl/>
              <w:jc w:val="left"/>
              <w:rPr>
                <w:rFonts w:ascii="宋体" w:hAnsi="宋体" w:cs="宋体"/>
                <w:b/>
                <w:bCs/>
                <w:color w:val="000000"/>
                <w:kern w:val="0"/>
                <w:sz w:val="18"/>
                <w:szCs w:val="18"/>
              </w:rPr>
            </w:pPr>
          </w:p>
        </w:tc>
        <w:tc>
          <w:tcPr>
            <w:tcW w:w="134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单位资金</w:t>
            </w:r>
          </w:p>
        </w:tc>
        <w:tc>
          <w:tcPr>
            <w:tcW w:w="113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4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53"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52" w:type="dxa"/>
            <w:vMerge w:val="continue"/>
            <w:vAlign w:val="center"/>
          </w:tcPr>
          <w:p>
            <w:pPr>
              <w:widowControl/>
              <w:jc w:val="left"/>
              <w:rPr>
                <w:rFonts w:ascii="宋体" w:hAnsi="宋体" w:cs="宋体"/>
                <w:b/>
                <w:bCs/>
                <w:color w:val="000000"/>
                <w:kern w:val="0"/>
                <w:sz w:val="18"/>
                <w:szCs w:val="18"/>
              </w:rPr>
            </w:pPr>
          </w:p>
        </w:tc>
        <w:tc>
          <w:tcPr>
            <w:tcW w:w="134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其他资金</w:t>
            </w:r>
          </w:p>
        </w:tc>
        <w:tc>
          <w:tcPr>
            <w:tcW w:w="1134" w:type="dxa"/>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346" w:type="dxa"/>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gridSpan w:val="3"/>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53"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352" w:type="dxa"/>
            <w:vMerge w:val="restart"/>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绩效指标（90分）</w:t>
            </w:r>
          </w:p>
        </w:tc>
        <w:tc>
          <w:tcPr>
            <w:tcW w:w="134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一级指标</w:t>
            </w:r>
          </w:p>
        </w:tc>
        <w:tc>
          <w:tcPr>
            <w:tcW w:w="1134"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346"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指标性质</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指标值</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度量单位</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完成值</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1853"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52" w:type="dxa"/>
            <w:vMerge w:val="continue"/>
            <w:vAlign w:val="center"/>
          </w:tcPr>
          <w:p>
            <w:pPr>
              <w:widowControl/>
              <w:jc w:val="left"/>
              <w:rPr>
                <w:rFonts w:ascii="宋体" w:hAnsi="宋体" w:cs="宋体"/>
                <w:b/>
                <w:bCs/>
                <w:color w:val="000000"/>
                <w:kern w:val="0"/>
                <w:sz w:val="18"/>
                <w:szCs w:val="18"/>
              </w:rPr>
            </w:pPr>
          </w:p>
        </w:tc>
        <w:tc>
          <w:tcPr>
            <w:tcW w:w="13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3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34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购买安装使用时间</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月</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85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352" w:type="dxa"/>
            <w:vMerge w:val="continue"/>
            <w:vAlign w:val="center"/>
          </w:tcPr>
          <w:p>
            <w:pPr>
              <w:widowControl/>
              <w:jc w:val="left"/>
              <w:rPr>
                <w:rFonts w:ascii="宋体" w:hAnsi="宋体" w:cs="宋体"/>
                <w:b/>
                <w:bCs/>
                <w:color w:val="000000"/>
                <w:kern w:val="0"/>
                <w:sz w:val="18"/>
                <w:szCs w:val="18"/>
              </w:rPr>
            </w:pPr>
          </w:p>
        </w:tc>
        <w:tc>
          <w:tcPr>
            <w:tcW w:w="13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3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34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购买档案柜</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组</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85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52" w:type="dxa"/>
            <w:vMerge w:val="continue"/>
            <w:vAlign w:val="center"/>
          </w:tcPr>
          <w:p>
            <w:pPr>
              <w:widowControl/>
              <w:jc w:val="left"/>
              <w:rPr>
                <w:rFonts w:ascii="宋体" w:hAnsi="宋体" w:cs="宋体"/>
                <w:b/>
                <w:bCs/>
                <w:color w:val="000000"/>
                <w:kern w:val="0"/>
                <w:sz w:val="18"/>
                <w:szCs w:val="18"/>
              </w:rPr>
            </w:pPr>
          </w:p>
        </w:tc>
        <w:tc>
          <w:tcPr>
            <w:tcW w:w="13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3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34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购买食堂餐桌数量</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85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因办公需求，采购100箱复印纸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352" w:type="dxa"/>
            <w:vMerge w:val="continue"/>
            <w:vAlign w:val="center"/>
          </w:tcPr>
          <w:p>
            <w:pPr>
              <w:widowControl/>
              <w:jc w:val="left"/>
              <w:rPr>
                <w:rFonts w:ascii="宋体" w:hAnsi="宋体" w:cs="宋体"/>
                <w:b/>
                <w:bCs/>
                <w:color w:val="000000"/>
                <w:kern w:val="0"/>
                <w:sz w:val="18"/>
                <w:szCs w:val="18"/>
              </w:rPr>
            </w:pPr>
          </w:p>
        </w:tc>
        <w:tc>
          <w:tcPr>
            <w:tcW w:w="13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3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34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安全性</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85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52" w:type="dxa"/>
            <w:vMerge w:val="continue"/>
            <w:vAlign w:val="center"/>
          </w:tcPr>
          <w:p>
            <w:pPr>
              <w:widowControl/>
              <w:jc w:val="left"/>
              <w:rPr>
                <w:rFonts w:ascii="宋体" w:hAnsi="宋体" w:cs="宋体"/>
                <w:b/>
                <w:bCs/>
                <w:color w:val="000000"/>
                <w:kern w:val="0"/>
                <w:sz w:val="18"/>
                <w:szCs w:val="18"/>
              </w:rPr>
            </w:pPr>
          </w:p>
        </w:tc>
        <w:tc>
          <w:tcPr>
            <w:tcW w:w="13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13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34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购买安装费用</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85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352" w:type="dxa"/>
            <w:vMerge w:val="continue"/>
            <w:vAlign w:val="center"/>
          </w:tcPr>
          <w:p>
            <w:pPr>
              <w:widowControl/>
              <w:jc w:val="left"/>
              <w:rPr>
                <w:rFonts w:ascii="宋体" w:hAnsi="宋体" w:cs="宋体"/>
                <w:b/>
                <w:bCs/>
                <w:color w:val="000000"/>
                <w:kern w:val="0"/>
                <w:sz w:val="18"/>
                <w:szCs w:val="18"/>
              </w:rPr>
            </w:pPr>
          </w:p>
        </w:tc>
        <w:tc>
          <w:tcPr>
            <w:tcW w:w="13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3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34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网上竞价节约成本</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元</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7000元</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85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52" w:type="dxa"/>
            <w:vMerge w:val="continue"/>
            <w:vAlign w:val="center"/>
          </w:tcPr>
          <w:p>
            <w:pPr>
              <w:widowControl/>
              <w:jc w:val="left"/>
              <w:rPr>
                <w:rFonts w:ascii="宋体" w:hAnsi="宋体" w:cs="宋体"/>
                <w:b/>
                <w:bCs/>
                <w:color w:val="000000"/>
                <w:kern w:val="0"/>
                <w:sz w:val="18"/>
                <w:szCs w:val="18"/>
              </w:rPr>
            </w:pPr>
          </w:p>
        </w:tc>
        <w:tc>
          <w:tcPr>
            <w:tcW w:w="13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13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34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使用满意度</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85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7752" w:type="dxa"/>
            <w:gridSpan w:val="8"/>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0" w:type="auto"/>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96</w:t>
            </w:r>
          </w:p>
        </w:tc>
        <w:tc>
          <w:tcPr>
            <w:tcW w:w="1853"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35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部门（单位）自评结论</w:t>
            </w:r>
          </w:p>
        </w:tc>
        <w:tc>
          <w:tcPr>
            <w:tcW w:w="9138"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完成情况较好，自评得分96分。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9" w:hRule="atLeast"/>
        </w:trPr>
        <w:tc>
          <w:tcPr>
            <w:tcW w:w="135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部门（单位）自评存在问题</w:t>
            </w:r>
          </w:p>
        </w:tc>
        <w:tc>
          <w:tcPr>
            <w:tcW w:w="9138"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因办公需要及预算资金安排，2022年采购100箱复印纸，未采购食堂餐桌。另外采购预算大于实际采购的金额，采购款专款专用，预算执行率未达到100%。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35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部门（单位）自评改进措施</w:t>
            </w:r>
          </w:p>
        </w:tc>
        <w:tc>
          <w:tcPr>
            <w:tcW w:w="9138"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加强预算编制的精确性。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6113"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项目负责人：吕鑫</w:t>
            </w:r>
          </w:p>
        </w:tc>
        <w:tc>
          <w:tcPr>
            <w:tcW w:w="4377" w:type="dxa"/>
            <w:gridSpan w:val="6"/>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财务负责人：杨田</w:t>
            </w:r>
          </w:p>
        </w:tc>
      </w:tr>
    </w:tbl>
    <w:p>
      <w:pPr>
        <w:pStyle w:val="2"/>
        <w:spacing w:before="93"/>
        <w:rPr>
          <w:rFonts w:hAnsi="宋体" w:cs="宋体"/>
          <w:sz w:val="32"/>
          <w:szCs w:val="32"/>
          <w:shd w:val="clear" w:color="auto" w:fill="FFFFFF"/>
          <w:lang w:val="zh-CN"/>
        </w:rPr>
      </w:pPr>
    </w:p>
    <w:tbl>
      <w:tblPr>
        <w:tblStyle w:val="16"/>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629"/>
        <w:gridCol w:w="812"/>
        <w:gridCol w:w="1139"/>
        <w:gridCol w:w="1370"/>
        <w:gridCol w:w="926"/>
        <w:gridCol w:w="486"/>
        <w:gridCol w:w="756"/>
        <w:gridCol w:w="846"/>
        <w:gridCol w:w="488"/>
        <w:gridCol w:w="486"/>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535" w:type="dxa"/>
            <w:gridSpan w:val="3"/>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项目名称</w:t>
            </w:r>
          </w:p>
        </w:tc>
        <w:tc>
          <w:tcPr>
            <w:tcW w:w="7955" w:type="dxa"/>
            <w:gridSpan w:val="9"/>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精密空调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535" w:type="dxa"/>
            <w:gridSpan w:val="3"/>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主管部门（盖章）</w:t>
            </w:r>
          </w:p>
        </w:tc>
        <w:tc>
          <w:tcPr>
            <w:tcW w:w="4713"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广元市审计局</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实施单位（盖章）</w:t>
            </w:r>
          </w:p>
        </w:tc>
        <w:tc>
          <w:tcPr>
            <w:tcW w:w="2396" w:type="dxa"/>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75" w:type="dxa"/>
            <w:vMerge w:val="restart"/>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项目基本情况</w:t>
            </w:r>
          </w:p>
        </w:tc>
        <w:tc>
          <w:tcPr>
            <w:tcW w:w="1460" w:type="dxa"/>
            <w:gridSpan w:val="2"/>
            <w:vMerge w:val="restart"/>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1.项目年度目标完成情况</w:t>
            </w:r>
          </w:p>
        </w:tc>
        <w:tc>
          <w:tcPr>
            <w:tcW w:w="4713" w:type="dxa"/>
            <w:gridSpan w:val="5"/>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项目年度目标</w:t>
            </w:r>
          </w:p>
        </w:tc>
        <w:tc>
          <w:tcPr>
            <w:tcW w:w="3242" w:type="dxa"/>
            <w:gridSpan w:val="4"/>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075" w:type="dxa"/>
            <w:vMerge w:val="continue"/>
            <w:vAlign w:val="center"/>
          </w:tcPr>
          <w:p>
            <w:pPr>
              <w:widowControl/>
              <w:jc w:val="left"/>
              <w:rPr>
                <w:rFonts w:ascii="宋体" w:hAnsi="宋体" w:cs="宋体"/>
                <w:b/>
                <w:bCs/>
                <w:color w:val="000000"/>
                <w:kern w:val="0"/>
                <w:sz w:val="18"/>
                <w:szCs w:val="18"/>
              </w:rPr>
            </w:pPr>
          </w:p>
        </w:tc>
        <w:tc>
          <w:tcPr>
            <w:tcW w:w="1460" w:type="dxa"/>
            <w:gridSpan w:val="2"/>
            <w:vMerge w:val="continue"/>
            <w:vAlign w:val="center"/>
          </w:tcPr>
          <w:p>
            <w:pPr>
              <w:widowControl/>
              <w:jc w:val="left"/>
              <w:rPr>
                <w:rFonts w:ascii="宋体" w:hAnsi="宋体" w:cs="宋体"/>
                <w:b/>
                <w:bCs/>
                <w:color w:val="000000"/>
                <w:kern w:val="0"/>
                <w:sz w:val="18"/>
                <w:szCs w:val="18"/>
              </w:rPr>
            </w:pPr>
          </w:p>
        </w:tc>
        <w:tc>
          <w:tcPr>
            <w:tcW w:w="4713"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采购精密空调一台</w:t>
            </w:r>
          </w:p>
        </w:tc>
        <w:tc>
          <w:tcPr>
            <w:tcW w:w="3242" w:type="dxa"/>
            <w:gridSpan w:val="4"/>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采购精密空调一台，并安装完成投入使用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75" w:type="dxa"/>
            <w:vMerge w:val="continue"/>
            <w:vAlign w:val="center"/>
          </w:tcPr>
          <w:p>
            <w:pPr>
              <w:widowControl/>
              <w:jc w:val="left"/>
              <w:rPr>
                <w:rFonts w:ascii="宋体" w:hAnsi="宋体" w:cs="宋体"/>
                <w:b/>
                <w:bCs/>
                <w:color w:val="000000"/>
                <w:kern w:val="0"/>
                <w:sz w:val="18"/>
                <w:szCs w:val="18"/>
              </w:rPr>
            </w:pPr>
          </w:p>
        </w:tc>
        <w:tc>
          <w:tcPr>
            <w:tcW w:w="1460" w:type="dxa"/>
            <w:gridSpan w:val="2"/>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2.项目实施内容及过程概述</w:t>
            </w:r>
          </w:p>
        </w:tc>
        <w:tc>
          <w:tcPr>
            <w:tcW w:w="7955" w:type="dxa"/>
            <w:gridSpan w:val="9"/>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按照《四川省数字化市级审计机关建设标准要求》，市级审计机关应当建设专业机房，并配备相应的硬件设施设备，保障机房环境正常运行。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075" w:type="dxa"/>
            <w:vMerge w:val="restart"/>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预算执行情况（10分）</w:t>
            </w:r>
          </w:p>
        </w:tc>
        <w:tc>
          <w:tcPr>
            <w:tcW w:w="1460"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年度预算数（万元）</w:t>
            </w:r>
          </w:p>
        </w:tc>
        <w:tc>
          <w:tcPr>
            <w:tcW w:w="1151"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年初预算</w:t>
            </w:r>
          </w:p>
        </w:tc>
        <w:tc>
          <w:tcPr>
            <w:tcW w:w="1387"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调整后预算数</w:t>
            </w:r>
          </w:p>
        </w:tc>
        <w:tc>
          <w:tcPr>
            <w:tcW w:w="0" w:type="auto"/>
            <w:gridSpan w:val="3"/>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预算执行数</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预算执行率</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1511"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75" w:type="dxa"/>
            <w:vMerge w:val="continue"/>
            <w:vAlign w:val="center"/>
          </w:tcPr>
          <w:p>
            <w:pPr>
              <w:widowControl/>
              <w:jc w:val="left"/>
              <w:rPr>
                <w:rFonts w:ascii="宋体" w:hAnsi="宋体" w:cs="宋体"/>
                <w:b/>
                <w:bCs/>
                <w:color w:val="000000"/>
                <w:kern w:val="0"/>
                <w:sz w:val="18"/>
                <w:szCs w:val="18"/>
              </w:rPr>
            </w:pPr>
          </w:p>
        </w:tc>
        <w:tc>
          <w:tcPr>
            <w:tcW w:w="1460"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总额</w:t>
            </w:r>
          </w:p>
        </w:tc>
        <w:tc>
          <w:tcPr>
            <w:tcW w:w="1151"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4.00</w:t>
            </w:r>
          </w:p>
        </w:tc>
        <w:tc>
          <w:tcPr>
            <w:tcW w:w="138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4.00</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511" w:type="dxa"/>
            <w:vMerge w:val="restar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1075" w:type="dxa"/>
            <w:vMerge w:val="continue"/>
            <w:vAlign w:val="center"/>
          </w:tcPr>
          <w:p>
            <w:pPr>
              <w:widowControl/>
              <w:jc w:val="left"/>
              <w:rPr>
                <w:rFonts w:ascii="宋体" w:hAnsi="宋体" w:cs="宋体"/>
                <w:b/>
                <w:bCs/>
                <w:color w:val="000000"/>
                <w:kern w:val="0"/>
                <w:sz w:val="18"/>
                <w:szCs w:val="18"/>
              </w:rPr>
            </w:pPr>
          </w:p>
        </w:tc>
        <w:tc>
          <w:tcPr>
            <w:tcW w:w="1460"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其中：财政资金</w:t>
            </w:r>
          </w:p>
        </w:tc>
        <w:tc>
          <w:tcPr>
            <w:tcW w:w="1151"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4.00</w:t>
            </w:r>
          </w:p>
        </w:tc>
        <w:tc>
          <w:tcPr>
            <w:tcW w:w="138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4.00</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11"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75" w:type="dxa"/>
            <w:vMerge w:val="continue"/>
            <w:vAlign w:val="center"/>
          </w:tcPr>
          <w:p>
            <w:pPr>
              <w:widowControl/>
              <w:jc w:val="left"/>
              <w:rPr>
                <w:rFonts w:ascii="宋体" w:hAnsi="宋体" w:cs="宋体"/>
                <w:b/>
                <w:bCs/>
                <w:color w:val="000000"/>
                <w:kern w:val="0"/>
                <w:sz w:val="18"/>
                <w:szCs w:val="18"/>
              </w:rPr>
            </w:pPr>
          </w:p>
        </w:tc>
        <w:tc>
          <w:tcPr>
            <w:tcW w:w="1460"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财政专户管理资金</w:t>
            </w:r>
          </w:p>
        </w:tc>
        <w:tc>
          <w:tcPr>
            <w:tcW w:w="1151"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8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11"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75" w:type="dxa"/>
            <w:vMerge w:val="continue"/>
            <w:vAlign w:val="center"/>
          </w:tcPr>
          <w:p>
            <w:pPr>
              <w:widowControl/>
              <w:jc w:val="left"/>
              <w:rPr>
                <w:rFonts w:ascii="宋体" w:hAnsi="宋体" w:cs="宋体"/>
                <w:b/>
                <w:bCs/>
                <w:color w:val="000000"/>
                <w:kern w:val="0"/>
                <w:sz w:val="18"/>
                <w:szCs w:val="18"/>
              </w:rPr>
            </w:pPr>
          </w:p>
        </w:tc>
        <w:tc>
          <w:tcPr>
            <w:tcW w:w="1460"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单位资金</w:t>
            </w:r>
          </w:p>
        </w:tc>
        <w:tc>
          <w:tcPr>
            <w:tcW w:w="1151"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8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11"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75" w:type="dxa"/>
            <w:vMerge w:val="continue"/>
            <w:vAlign w:val="center"/>
          </w:tcPr>
          <w:p>
            <w:pPr>
              <w:widowControl/>
              <w:jc w:val="left"/>
              <w:rPr>
                <w:rFonts w:ascii="宋体" w:hAnsi="宋体" w:cs="宋体"/>
                <w:b/>
                <w:bCs/>
                <w:color w:val="000000"/>
                <w:kern w:val="0"/>
                <w:sz w:val="18"/>
                <w:szCs w:val="18"/>
              </w:rPr>
            </w:pPr>
          </w:p>
        </w:tc>
        <w:tc>
          <w:tcPr>
            <w:tcW w:w="1460"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其他资金</w:t>
            </w:r>
          </w:p>
        </w:tc>
        <w:tc>
          <w:tcPr>
            <w:tcW w:w="1151" w:type="dxa"/>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387" w:type="dxa"/>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gridSpan w:val="3"/>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11"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075" w:type="dxa"/>
            <w:vMerge w:val="restart"/>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绩效指标（90分）</w:t>
            </w:r>
          </w:p>
        </w:tc>
        <w:tc>
          <w:tcPr>
            <w:tcW w:w="1460"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一级指标</w:t>
            </w:r>
          </w:p>
        </w:tc>
        <w:tc>
          <w:tcPr>
            <w:tcW w:w="1151"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387"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指标性质</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指标值</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度量单位</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完成值</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1511"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5" w:type="dxa"/>
            <w:vMerge w:val="continue"/>
            <w:vAlign w:val="center"/>
          </w:tcPr>
          <w:p>
            <w:pPr>
              <w:widowControl/>
              <w:jc w:val="left"/>
              <w:rPr>
                <w:rFonts w:ascii="宋体" w:hAnsi="宋体" w:cs="宋体"/>
                <w:b/>
                <w:bCs/>
                <w:color w:val="000000"/>
                <w:kern w:val="0"/>
                <w:sz w:val="18"/>
                <w:szCs w:val="18"/>
              </w:rPr>
            </w:pPr>
          </w:p>
        </w:tc>
        <w:tc>
          <w:tcPr>
            <w:tcW w:w="1460"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51"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38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采购数量</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台（套）</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511"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5" w:type="dxa"/>
            <w:vMerge w:val="continue"/>
            <w:vAlign w:val="center"/>
          </w:tcPr>
          <w:p>
            <w:pPr>
              <w:widowControl/>
              <w:jc w:val="left"/>
              <w:rPr>
                <w:rFonts w:ascii="宋体" w:hAnsi="宋体" w:cs="宋体"/>
                <w:b/>
                <w:bCs/>
                <w:color w:val="000000"/>
                <w:kern w:val="0"/>
                <w:sz w:val="18"/>
                <w:szCs w:val="18"/>
              </w:rPr>
            </w:pPr>
          </w:p>
        </w:tc>
        <w:tc>
          <w:tcPr>
            <w:tcW w:w="1460"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51"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38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安装费用</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0.2</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511"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5" w:type="dxa"/>
            <w:vMerge w:val="continue"/>
            <w:vAlign w:val="center"/>
          </w:tcPr>
          <w:p>
            <w:pPr>
              <w:widowControl/>
              <w:jc w:val="left"/>
              <w:rPr>
                <w:rFonts w:ascii="宋体" w:hAnsi="宋体" w:cs="宋体"/>
                <w:b/>
                <w:bCs/>
                <w:color w:val="000000"/>
                <w:kern w:val="0"/>
                <w:sz w:val="18"/>
                <w:szCs w:val="18"/>
              </w:rPr>
            </w:pPr>
          </w:p>
        </w:tc>
        <w:tc>
          <w:tcPr>
            <w:tcW w:w="1460"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51"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38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使用年限</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511"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075" w:type="dxa"/>
            <w:vMerge w:val="continue"/>
            <w:vAlign w:val="center"/>
          </w:tcPr>
          <w:p>
            <w:pPr>
              <w:widowControl/>
              <w:jc w:val="left"/>
              <w:rPr>
                <w:rFonts w:ascii="宋体" w:hAnsi="宋体" w:cs="宋体"/>
                <w:b/>
                <w:bCs/>
                <w:color w:val="000000"/>
                <w:kern w:val="0"/>
                <w:sz w:val="18"/>
                <w:szCs w:val="18"/>
              </w:rPr>
            </w:pPr>
          </w:p>
        </w:tc>
        <w:tc>
          <w:tcPr>
            <w:tcW w:w="1460"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151"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38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空调价格</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3.86</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511"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5" w:type="dxa"/>
            <w:vMerge w:val="continue"/>
            <w:vAlign w:val="center"/>
          </w:tcPr>
          <w:p>
            <w:pPr>
              <w:widowControl/>
              <w:jc w:val="left"/>
              <w:rPr>
                <w:rFonts w:ascii="宋体" w:hAnsi="宋体" w:cs="宋体"/>
                <w:b/>
                <w:bCs/>
                <w:color w:val="000000"/>
                <w:kern w:val="0"/>
                <w:sz w:val="18"/>
                <w:szCs w:val="18"/>
              </w:rPr>
            </w:pPr>
          </w:p>
        </w:tc>
        <w:tc>
          <w:tcPr>
            <w:tcW w:w="1460"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51"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38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保持机房适应温度</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511"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5" w:type="dxa"/>
            <w:vMerge w:val="continue"/>
            <w:vAlign w:val="center"/>
          </w:tcPr>
          <w:p>
            <w:pPr>
              <w:widowControl/>
              <w:jc w:val="left"/>
              <w:rPr>
                <w:rFonts w:ascii="宋体" w:hAnsi="宋体" w:cs="宋体"/>
                <w:b/>
                <w:bCs/>
                <w:color w:val="000000"/>
                <w:kern w:val="0"/>
                <w:sz w:val="18"/>
                <w:szCs w:val="18"/>
              </w:rPr>
            </w:pPr>
          </w:p>
        </w:tc>
        <w:tc>
          <w:tcPr>
            <w:tcW w:w="1460"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51"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38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节约机房维修次数</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频率（频道）次</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511"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5" w:type="dxa"/>
            <w:vMerge w:val="continue"/>
            <w:vAlign w:val="center"/>
          </w:tcPr>
          <w:p>
            <w:pPr>
              <w:widowControl/>
              <w:jc w:val="left"/>
              <w:rPr>
                <w:rFonts w:ascii="宋体" w:hAnsi="宋体" w:cs="宋体"/>
                <w:b/>
                <w:bCs/>
                <w:color w:val="000000"/>
                <w:kern w:val="0"/>
                <w:sz w:val="18"/>
                <w:szCs w:val="18"/>
              </w:rPr>
            </w:pPr>
          </w:p>
        </w:tc>
        <w:tc>
          <w:tcPr>
            <w:tcW w:w="1460"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151"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38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使用满意度</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96</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98</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511"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8094" w:type="dxa"/>
            <w:gridSpan w:val="9"/>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0" w:type="auto"/>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100</w:t>
            </w:r>
          </w:p>
        </w:tc>
        <w:tc>
          <w:tcPr>
            <w:tcW w:w="1511"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711"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部门（单位）自评结论</w:t>
            </w:r>
          </w:p>
        </w:tc>
        <w:tc>
          <w:tcPr>
            <w:tcW w:w="8779"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完成情况较好，自评得分100分。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711"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部门（单位）自评存在问题</w:t>
            </w:r>
          </w:p>
        </w:tc>
        <w:tc>
          <w:tcPr>
            <w:tcW w:w="8779"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711"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部门（单位）自评改进措施</w:t>
            </w:r>
          </w:p>
        </w:tc>
        <w:tc>
          <w:tcPr>
            <w:tcW w:w="8779"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6006" w:type="dxa"/>
            <w:gridSpan w:val="6"/>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项目负责人：陈晓</w:t>
            </w:r>
          </w:p>
        </w:tc>
        <w:tc>
          <w:tcPr>
            <w:tcW w:w="4484" w:type="dxa"/>
            <w:gridSpan w:val="6"/>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单位财务负责人：杨田</w:t>
            </w:r>
          </w:p>
        </w:tc>
      </w:tr>
    </w:tbl>
    <w:p>
      <w:pPr>
        <w:pStyle w:val="2"/>
        <w:spacing w:before="93"/>
        <w:rPr>
          <w:rFonts w:hAnsi="宋体" w:cs="宋体"/>
          <w:sz w:val="32"/>
          <w:szCs w:val="32"/>
          <w:shd w:val="clear" w:color="auto" w:fill="FFFFFF"/>
        </w:rPr>
      </w:pPr>
    </w:p>
    <w:tbl>
      <w:tblPr>
        <w:tblStyle w:val="16"/>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403"/>
        <w:gridCol w:w="950"/>
        <w:gridCol w:w="1230"/>
        <w:gridCol w:w="1482"/>
        <w:gridCol w:w="826"/>
        <w:gridCol w:w="576"/>
        <w:gridCol w:w="397"/>
        <w:gridCol w:w="846"/>
        <w:gridCol w:w="488"/>
        <w:gridCol w:w="397"/>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552" w:type="dxa"/>
            <w:gridSpan w:val="3"/>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项目名称</w:t>
            </w:r>
          </w:p>
        </w:tc>
        <w:tc>
          <w:tcPr>
            <w:tcW w:w="7938" w:type="dxa"/>
            <w:gridSpan w:val="9"/>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经责审计项目经费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552" w:type="dxa"/>
            <w:gridSpan w:val="3"/>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主管部门（盖章）</w:t>
            </w:r>
          </w:p>
        </w:tc>
        <w:tc>
          <w:tcPr>
            <w:tcW w:w="4237"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广元市审计局</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实施单位（盖章）</w:t>
            </w:r>
          </w:p>
        </w:tc>
        <w:tc>
          <w:tcPr>
            <w:tcW w:w="2825" w:type="dxa"/>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vMerge w:val="restart"/>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项目基本情况</w:t>
            </w:r>
          </w:p>
        </w:tc>
        <w:tc>
          <w:tcPr>
            <w:tcW w:w="1417" w:type="dxa"/>
            <w:gridSpan w:val="2"/>
            <w:vMerge w:val="restart"/>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1.项目年度目标完成情况</w:t>
            </w:r>
          </w:p>
        </w:tc>
        <w:tc>
          <w:tcPr>
            <w:tcW w:w="4237" w:type="dxa"/>
            <w:gridSpan w:val="5"/>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项目年度目标</w:t>
            </w:r>
          </w:p>
        </w:tc>
        <w:tc>
          <w:tcPr>
            <w:tcW w:w="3701" w:type="dxa"/>
            <w:gridSpan w:val="4"/>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417" w:type="dxa"/>
            <w:gridSpan w:val="2"/>
            <w:vMerge w:val="continue"/>
            <w:vAlign w:val="center"/>
          </w:tcPr>
          <w:p>
            <w:pPr>
              <w:widowControl/>
              <w:jc w:val="left"/>
              <w:rPr>
                <w:rFonts w:ascii="宋体" w:hAnsi="宋体" w:cs="宋体"/>
                <w:b/>
                <w:bCs/>
                <w:color w:val="000000"/>
                <w:kern w:val="0"/>
                <w:sz w:val="18"/>
                <w:szCs w:val="18"/>
              </w:rPr>
            </w:pPr>
          </w:p>
        </w:tc>
        <w:tc>
          <w:tcPr>
            <w:tcW w:w="4237"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组织开展12名市管领导干部经济责任审计项目</w:t>
            </w:r>
          </w:p>
        </w:tc>
        <w:tc>
          <w:tcPr>
            <w:tcW w:w="3701" w:type="dxa"/>
            <w:gridSpan w:val="4"/>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2022年开展审计经责项目13个。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417" w:type="dxa"/>
            <w:gridSpan w:val="2"/>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2.项目实施内容及过程概述</w:t>
            </w:r>
          </w:p>
        </w:tc>
        <w:tc>
          <w:tcPr>
            <w:tcW w:w="7938" w:type="dxa"/>
            <w:gridSpan w:val="9"/>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组织开展12名市管领导干部经济责任审计项目，重点关注领导干部贯彻执行国家重大经济方针政策和决策部署及推动相关行业事业科学发展、重大经济事项决策、执行和效果、财政财务管理和经济风险防范、在经济活动中落实有关党风廉政建设责任和遵守廉洁从政规定、以往审计发现问题的整改方面的情况，揭示和查处各种行权用权，履职不力等问题；2、省厅授权经济责任审计项目1个。按照省厅要求及工作方案，根据审前调查情况，完成对县区党政领导干部的经责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135" w:type="dxa"/>
            <w:vMerge w:val="restart"/>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预算执行情况（10分）</w:t>
            </w:r>
          </w:p>
        </w:tc>
        <w:tc>
          <w:tcPr>
            <w:tcW w:w="1417"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年度预算数（万元）</w:t>
            </w:r>
          </w:p>
        </w:tc>
        <w:tc>
          <w:tcPr>
            <w:tcW w:w="1276"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年初预算</w:t>
            </w:r>
          </w:p>
        </w:tc>
        <w:tc>
          <w:tcPr>
            <w:tcW w:w="1549"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调整后预算数</w:t>
            </w:r>
          </w:p>
        </w:tc>
        <w:tc>
          <w:tcPr>
            <w:tcW w:w="0" w:type="auto"/>
            <w:gridSpan w:val="3"/>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预算执行数</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预算执行率</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1904"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417"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总额</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40.00</w:t>
            </w:r>
          </w:p>
        </w:tc>
        <w:tc>
          <w:tcPr>
            <w:tcW w:w="154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40.00</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904" w:type="dxa"/>
            <w:vMerge w:val="restar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417"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其中：财政资金</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40.00</w:t>
            </w:r>
          </w:p>
        </w:tc>
        <w:tc>
          <w:tcPr>
            <w:tcW w:w="154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40.00</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4"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417"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财政专户管理资金</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4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4"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417"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单位资金</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4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4"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417"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其他资金</w:t>
            </w:r>
          </w:p>
        </w:tc>
        <w:tc>
          <w:tcPr>
            <w:tcW w:w="1276" w:type="dxa"/>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49" w:type="dxa"/>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gridSpan w:val="3"/>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4"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35" w:type="dxa"/>
            <w:vMerge w:val="restart"/>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绩效指标（90分）</w:t>
            </w:r>
          </w:p>
        </w:tc>
        <w:tc>
          <w:tcPr>
            <w:tcW w:w="1417"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一级指标</w:t>
            </w:r>
          </w:p>
        </w:tc>
        <w:tc>
          <w:tcPr>
            <w:tcW w:w="1276"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549"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指标性质</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指标值</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度量单位</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完成值</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1904"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417"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54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参与经责审计项目人数</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人次</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90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417"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54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开展省厅授权交叉审计项目个数</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90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省厅2022年未安排广元市审计局参加授权交叉项目。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417"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54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开展市内经责审计项目个数</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12个月</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90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417"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54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每个审计项目完成时间</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月</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≤3月</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90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417"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54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审计发现问题整改率</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0.95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90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417"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54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审计报告和审计结果报告质量</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90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417"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54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促进出台政策制度</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5条</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90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417"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54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增收节支财政资金</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90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417"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54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被审计单位满意度</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96%</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90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5" w:type="dxa"/>
            <w:gridSpan w:val="9"/>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0" w:type="auto"/>
            <w:shd w:val="clear" w:color="auto" w:fill="auto"/>
            <w:vAlign w:val="center"/>
          </w:tcPr>
          <w:p>
            <w:pPr>
              <w:widowControl/>
              <w:jc w:val="right"/>
              <w:rPr>
                <w:rFonts w:ascii="宋体" w:hAnsi="宋体" w:cs="宋体"/>
                <w:color w:val="000000"/>
                <w:kern w:val="0"/>
                <w:sz w:val="18"/>
                <w:szCs w:val="18"/>
              </w:rPr>
            </w:pPr>
            <w:r>
              <w:rPr>
                <w:rFonts w:ascii="宋体" w:hAnsi="宋体" w:cs="宋体"/>
                <w:color w:val="000000"/>
                <w:kern w:val="0"/>
                <w:sz w:val="18"/>
                <w:szCs w:val="18"/>
              </w:rPr>
              <w:t>100</w:t>
            </w:r>
          </w:p>
        </w:tc>
        <w:tc>
          <w:tcPr>
            <w:tcW w:w="0" w:type="auto"/>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99</w:t>
            </w:r>
          </w:p>
        </w:tc>
        <w:tc>
          <w:tcPr>
            <w:tcW w:w="1904"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551"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部门（单位）自评结论</w:t>
            </w:r>
          </w:p>
        </w:tc>
        <w:tc>
          <w:tcPr>
            <w:tcW w:w="8939"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完成情况较好，自评得分99分。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551"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部门（单位）自评存在问题</w:t>
            </w:r>
          </w:p>
        </w:tc>
        <w:tc>
          <w:tcPr>
            <w:tcW w:w="8939"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省厅2022年未安排广元市审计局参加授权交叉项目。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551"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部门（单位）自评改进措施</w:t>
            </w:r>
          </w:p>
        </w:tc>
        <w:tc>
          <w:tcPr>
            <w:tcW w:w="8939"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加强预算编制，使其更加精准。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92" w:type="dxa"/>
            <w:gridSpan w:val="6"/>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项目负责人：何登群</w:t>
            </w:r>
          </w:p>
        </w:tc>
        <w:tc>
          <w:tcPr>
            <w:tcW w:w="4698" w:type="dxa"/>
            <w:gridSpan w:val="6"/>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财务负责人：杨田</w:t>
            </w:r>
          </w:p>
        </w:tc>
      </w:tr>
    </w:tbl>
    <w:p>
      <w:pPr>
        <w:pStyle w:val="2"/>
        <w:spacing w:before="93"/>
        <w:rPr>
          <w:rFonts w:hAnsi="宋体" w:cs="宋体"/>
          <w:sz w:val="32"/>
          <w:szCs w:val="32"/>
          <w:shd w:val="clear" w:color="auto" w:fill="FFFFFF"/>
        </w:rPr>
      </w:pPr>
    </w:p>
    <w:tbl>
      <w:tblPr>
        <w:tblStyle w:val="16"/>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331"/>
        <w:gridCol w:w="1477"/>
        <w:gridCol w:w="1489"/>
        <w:gridCol w:w="926"/>
        <w:gridCol w:w="666"/>
        <w:gridCol w:w="397"/>
        <w:gridCol w:w="846"/>
        <w:gridCol w:w="488"/>
        <w:gridCol w:w="514"/>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293" w:type="dxa"/>
            <w:gridSpan w:val="2"/>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项目名称</w:t>
            </w:r>
          </w:p>
        </w:tc>
        <w:tc>
          <w:tcPr>
            <w:tcW w:w="8197" w:type="dxa"/>
            <w:gridSpan w:val="9"/>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民生类审计项目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trPr>
        <w:tc>
          <w:tcPr>
            <w:tcW w:w="2293" w:type="dxa"/>
            <w:gridSpan w:val="2"/>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主管部门（盖章）</w:t>
            </w:r>
          </w:p>
        </w:tc>
        <w:tc>
          <w:tcPr>
            <w:tcW w:w="4932"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广元市审计局</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实施单位（盖章）</w:t>
            </w:r>
          </w:p>
        </w:tc>
        <w:tc>
          <w:tcPr>
            <w:tcW w:w="2419" w:type="dxa"/>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4" w:type="dxa"/>
            <w:vMerge w:val="restart"/>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项目基本情况</w:t>
            </w:r>
          </w:p>
        </w:tc>
        <w:tc>
          <w:tcPr>
            <w:tcW w:w="1339" w:type="dxa"/>
            <w:vMerge w:val="restart"/>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1.项目年度目标完成情况</w:t>
            </w:r>
          </w:p>
        </w:tc>
        <w:tc>
          <w:tcPr>
            <w:tcW w:w="4932" w:type="dxa"/>
            <w:gridSpan w:val="5"/>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项目年度目标</w:t>
            </w:r>
          </w:p>
        </w:tc>
        <w:tc>
          <w:tcPr>
            <w:tcW w:w="3265" w:type="dxa"/>
            <w:gridSpan w:val="4"/>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954" w:type="dxa"/>
            <w:vMerge w:val="continue"/>
            <w:vAlign w:val="center"/>
          </w:tcPr>
          <w:p>
            <w:pPr>
              <w:widowControl/>
              <w:jc w:val="left"/>
              <w:rPr>
                <w:rFonts w:ascii="宋体" w:hAnsi="宋体" w:cs="宋体"/>
                <w:b/>
                <w:bCs/>
                <w:color w:val="000000"/>
                <w:kern w:val="0"/>
                <w:sz w:val="18"/>
                <w:szCs w:val="18"/>
              </w:rPr>
            </w:pPr>
          </w:p>
        </w:tc>
        <w:tc>
          <w:tcPr>
            <w:tcW w:w="1339" w:type="dxa"/>
            <w:vMerge w:val="continue"/>
            <w:vAlign w:val="center"/>
          </w:tcPr>
          <w:p>
            <w:pPr>
              <w:widowControl/>
              <w:jc w:val="left"/>
              <w:rPr>
                <w:rFonts w:ascii="宋体" w:hAnsi="宋体" w:cs="宋体"/>
                <w:b/>
                <w:bCs/>
                <w:color w:val="000000"/>
                <w:kern w:val="0"/>
                <w:sz w:val="18"/>
                <w:szCs w:val="18"/>
              </w:rPr>
            </w:pPr>
          </w:p>
        </w:tc>
        <w:tc>
          <w:tcPr>
            <w:tcW w:w="4932"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计划开展民生类项目7个</w:t>
            </w:r>
          </w:p>
        </w:tc>
        <w:tc>
          <w:tcPr>
            <w:tcW w:w="3265" w:type="dxa"/>
            <w:gridSpan w:val="4"/>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2022年完成民生类项目10个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4" w:type="dxa"/>
            <w:vMerge w:val="continue"/>
            <w:vAlign w:val="center"/>
          </w:tcPr>
          <w:p>
            <w:pPr>
              <w:widowControl/>
              <w:jc w:val="left"/>
              <w:rPr>
                <w:rFonts w:ascii="宋体" w:hAnsi="宋体" w:cs="宋体"/>
                <w:b/>
                <w:bCs/>
                <w:color w:val="000000"/>
                <w:kern w:val="0"/>
                <w:sz w:val="18"/>
                <w:szCs w:val="18"/>
              </w:rPr>
            </w:pPr>
          </w:p>
        </w:tc>
        <w:tc>
          <w:tcPr>
            <w:tcW w:w="1339" w:type="dxa"/>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2.项目实施内容及过程概述</w:t>
            </w:r>
          </w:p>
        </w:tc>
        <w:tc>
          <w:tcPr>
            <w:tcW w:w="8197" w:type="dxa"/>
            <w:gridSpan w:val="9"/>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民生类审计坚持以习近平新时代中国特色社会主义思想为指导，按照高质量发展要求，坚持新发展理念，聚焦“三农”和民生，紧扣巩固拓展脱贫攻坚成果同乡村振兴有效衔接，对乡村振兴等涉农专项资金分配、管理、使用，涉农项目实施、绩效和重点目标任务完成情况进行全流程、全链条审计，以审计监督维护人民群众根本利益、护航乡村振兴战略和“三农”工作高质量发展。按照“揭示问题、规范管理、促进改革、精准高效”的总体思路，全面摸清“三医”联动改革工作进展情况，揭示改革中的突出问题和风险隐患，推动重大改革措施贯彻实施，促进更好实现民生改善与经济发展良性循环，推进国家治理体系和治理能力现代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2" w:hRule="atLeast"/>
        </w:trPr>
        <w:tc>
          <w:tcPr>
            <w:tcW w:w="954" w:type="dxa"/>
            <w:vMerge w:val="restart"/>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预算执行情况（10分）</w:t>
            </w:r>
          </w:p>
        </w:tc>
        <w:tc>
          <w:tcPr>
            <w:tcW w:w="1339"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年度预算数（万元）</w:t>
            </w:r>
          </w:p>
        </w:tc>
        <w:tc>
          <w:tcPr>
            <w:tcW w:w="1484"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年初预算</w:t>
            </w:r>
          </w:p>
        </w:tc>
        <w:tc>
          <w:tcPr>
            <w:tcW w:w="1497"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调整后预算数</w:t>
            </w:r>
          </w:p>
        </w:tc>
        <w:tc>
          <w:tcPr>
            <w:tcW w:w="0" w:type="auto"/>
            <w:gridSpan w:val="3"/>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预算执行数</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预算执行率</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514"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1417"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54" w:type="dxa"/>
            <w:vMerge w:val="continue"/>
            <w:vAlign w:val="center"/>
          </w:tcPr>
          <w:p>
            <w:pPr>
              <w:widowControl/>
              <w:jc w:val="left"/>
              <w:rPr>
                <w:rFonts w:ascii="宋体" w:hAnsi="宋体" w:cs="宋体"/>
                <w:b/>
                <w:bCs/>
                <w:color w:val="000000"/>
                <w:kern w:val="0"/>
                <w:sz w:val="18"/>
                <w:szCs w:val="18"/>
              </w:rPr>
            </w:pPr>
          </w:p>
        </w:tc>
        <w:tc>
          <w:tcPr>
            <w:tcW w:w="1339"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总额</w:t>
            </w:r>
          </w:p>
        </w:tc>
        <w:tc>
          <w:tcPr>
            <w:tcW w:w="148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109.00</w:t>
            </w:r>
          </w:p>
        </w:tc>
        <w:tc>
          <w:tcPr>
            <w:tcW w:w="1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109.00</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109.00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1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vMerge w:val="restar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954" w:type="dxa"/>
            <w:vMerge w:val="continue"/>
            <w:vAlign w:val="center"/>
          </w:tcPr>
          <w:p>
            <w:pPr>
              <w:widowControl/>
              <w:jc w:val="left"/>
              <w:rPr>
                <w:rFonts w:ascii="宋体" w:hAnsi="宋体" w:cs="宋体"/>
                <w:b/>
                <w:bCs/>
                <w:color w:val="000000"/>
                <w:kern w:val="0"/>
                <w:sz w:val="18"/>
                <w:szCs w:val="18"/>
              </w:rPr>
            </w:pPr>
          </w:p>
        </w:tc>
        <w:tc>
          <w:tcPr>
            <w:tcW w:w="1339"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其中：财政资金</w:t>
            </w:r>
          </w:p>
        </w:tc>
        <w:tc>
          <w:tcPr>
            <w:tcW w:w="148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109.00</w:t>
            </w:r>
          </w:p>
        </w:tc>
        <w:tc>
          <w:tcPr>
            <w:tcW w:w="1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109.00</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109.00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1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17"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54" w:type="dxa"/>
            <w:vMerge w:val="continue"/>
            <w:vAlign w:val="center"/>
          </w:tcPr>
          <w:p>
            <w:pPr>
              <w:widowControl/>
              <w:jc w:val="left"/>
              <w:rPr>
                <w:rFonts w:ascii="宋体" w:hAnsi="宋体" w:cs="宋体"/>
                <w:b/>
                <w:bCs/>
                <w:color w:val="000000"/>
                <w:kern w:val="0"/>
                <w:sz w:val="18"/>
                <w:szCs w:val="18"/>
              </w:rPr>
            </w:pPr>
          </w:p>
        </w:tc>
        <w:tc>
          <w:tcPr>
            <w:tcW w:w="1339"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财政专户管理资金</w:t>
            </w:r>
          </w:p>
        </w:tc>
        <w:tc>
          <w:tcPr>
            <w:tcW w:w="148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1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17"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954" w:type="dxa"/>
            <w:vMerge w:val="continue"/>
            <w:vAlign w:val="center"/>
          </w:tcPr>
          <w:p>
            <w:pPr>
              <w:widowControl/>
              <w:jc w:val="left"/>
              <w:rPr>
                <w:rFonts w:ascii="宋体" w:hAnsi="宋体" w:cs="宋体"/>
                <w:b/>
                <w:bCs/>
                <w:color w:val="000000"/>
                <w:kern w:val="0"/>
                <w:sz w:val="18"/>
                <w:szCs w:val="18"/>
              </w:rPr>
            </w:pPr>
          </w:p>
        </w:tc>
        <w:tc>
          <w:tcPr>
            <w:tcW w:w="1339"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单位资金</w:t>
            </w:r>
          </w:p>
        </w:tc>
        <w:tc>
          <w:tcPr>
            <w:tcW w:w="148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1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17"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54" w:type="dxa"/>
            <w:vMerge w:val="continue"/>
            <w:vAlign w:val="center"/>
          </w:tcPr>
          <w:p>
            <w:pPr>
              <w:widowControl/>
              <w:jc w:val="left"/>
              <w:rPr>
                <w:rFonts w:ascii="宋体" w:hAnsi="宋体" w:cs="宋体"/>
                <w:b/>
                <w:bCs/>
                <w:color w:val="000000"/>
                <w:kern w:val="0"/>
                <w:sz w:val="18"/>
                <w:szCs w:val="18"/>
              </w:rPr>
            </w:pPr>
          </w:p>
        </w:tc>
        <w:tc>
          <w:tcPr>
            <w:tcW w:w="1339"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其他资金</w:t>
            </w:r>
          </w:p>
        </w:tc>
        <w:tc>
          <w:tcPr>
            <w:tcW w:w="1484" w:type="dxa"/>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497" w:type="dxa"/>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gridSpan w:val="3"/>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1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17"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954" w:type="dxa"/>
            <w:vMerge w:val="restart"/>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绩效指标（90分）</w:t>
            </w:r>
          </w:p>
        </w:tc>
        <w:tc>
          <w:tcPr>
            <w:tcW w:w="1339"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一级指标</w:t>
            </w:r>
          </w:p>
        </w:tc>
        <w:tc>
          <w:tcPr>
            <w:tcW w:w="1484"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497"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一级指标</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度量单位</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完成值</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514"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1417"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4" w:type="dxa"/>
            <w:vMerge w:val="continue"/>
            <w:vAlign w:val="center"/>
          </w:tcPr>
          <w:p>
            <w:pPr>
              <w:widowControl/>
              <w:jc w:val="left"/>
              <w:rPr>
                <w:rFonts w:ascii="宋体" w:hAnsi="宋体" w:cs="宋体"/>
                <w:b/>
                <w:bCs/>
                <w:color w:val="000000"/>
                <w:kern w:val="0"/>
                <w:sz w:val="18"/>
                <w:szCs w:val="18"/>
              </w:rPr>
            </w:pPr>
          </w:p>
        </w:tc>
        <w:tc>
          <w:tcPr>
            <w:tcW w:w="133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48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参加审计项目人数</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1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54" w:type="dxa"/>
            <w:vMerge w:val="continue"/>
            <w:vAlign w:val="center"/>
          </w:tcPr>
          <w:p>
            <w:pPr>
              <w:widowControl/>
              <w:jc w:val="left"/>
              <w:rPr>
                <w:rFonts w:ascii="宋体" w:hAnsi="宋体" w:cs="宋体"/>
                <w:b/>
                <w:bCs/>
                <w:color w:val="000000"/>
                <w:kern w:val="0"/>
                <w:sz w:val="18"/>
                <w:szCs w:val="18"/>
              </w:rPr>
            </w:pPr>
          </w:p>
        </w:tc>
        <w:tc>
          <w:tcPr>
            <w:tcW w:w="133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48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每个审计项目开展现场审计时间</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月</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1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4" w:type="dxa"/>
            <w:vMerge w:val="continue"/>
            <w:vAlign w:val="center"/>
          </w:tcPr>
          <w:p>
            <w:pPr>
              <w:widowControl/>
              <w:jc w:val="left"/>
              <w:rPr>
                <w:rFonts w:ascii="宋体" w:hAnsi="宋体" w:cs="宋体"/>
                <w:b/>
                <w:bCs/>
                <w:color w:val="000000"/>
                <w:kern w:val="0"/>
                <w:sz w:val="18"/>
                <w:szCs w:val="18"/>
              </w:rPr>
            </w:pPr>
          </w:p>
        </w:tc>
        <w:tc>
          <w:tcPr>
            <w:tcW w:w="133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48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审计报告质量</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1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54" w:type="dxa"/>
            <w:vMerge w:val="continue"/>
            <w:vAlign w:val="center"/>
          </w:tcPr>
          <w:p>
            <w:pPr>
              <w:widowControl/>
              <w:jc w:val="left"/>
              <w:rPr>
                <w:rFonts w:ascii="宋体" w:hAnsi="宋体" w:cs="宋体"/>
                <w:b/>
                <w:bCs/>
                <w:color w:val="000000"/>
                <w:kern w:val="0"/>
                <w:sz w:val="18"/>
                <w:szCs w:val="18"/>
              </w:rPr>
            </w:pPr>
          </w:p>
        </w:tc>
        <w:tc>
          <w:tcPr>
            <w:tcW w:w="133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48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开展审计民生类审计项目个数</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10个</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1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4" w:type="dxa"/>
            <w:vMerge w:val="continue"/>
            <w:vAlign w:val="center"/>
          </w:tcPr>
          <w:p>
            <w:pPr>
              <w:widowControl/>
              <w:jc w:val="left"/>
              <w:rPr>
                <w:rFonts w:ascii="宋体" w:hAnsi="宋体" w:cs="宋体"/>
                <w:b/>
                <w:bCs/>
                <w:color w:val="000000"/>
                <w:kern w:val="0"/>
                <w:sz w:val="18"/>
                <w:szCs w:val="18"/>
              </w:rPr>
            </w:pPr>
          </w:p>
        </w:tc>
        <w:tc>
          <w:tcPr>
            <w:tcW w:w="133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48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规范资源环境相关财政资金</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500万元</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1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54" w:type="dxa"/>
            <w:vMerge w:val="continue"/>
            <w:vAlign w:val="center"/>
          </w:tcPr>
          <w:p>
            <w:pPr>
              <w:widowControl/>
              <w:jc w:val="left"/>
              <w:rPr>
                <w:rFonts w:ascii="宋体" w:hAnsi="宋体" w:cs="宋体"/>
                <w:b/>
                <w:bCs/>
                <w:color w:val="000000"/>
                <w:kern w:val="0"/>
                <w:sz w:val="18"/>
                <w:szCs w:val="18"/>
              </w:rPr>
            </w:pPr>
          </w:p>
        </w:tc>
        <w:tc>
          <w:tcPr>
            <w:tcW w:w="133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48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生态效益指标</w:t>
            </w:r>
          </w:p>
        </w:tc>
        <w:tc>
          <w:tcPr>
            <w:tcW w:w="1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促进全市森林覆盖连续增长率</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1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4" w:type="dxa"/>
            <w:vMerge w:val="continue"/>
            <w:vAlign w:val="center"/>
          </w:tcPr>
          <w:p>
            <w:pPr>
              <w:widowControl/>
              <w:jc w:val="left"/>
              <w:rPr>
                <w:rFonts w:ascii="宋体" w:hAnsi="宋体" w:cs="宋体"/>
                <w:b/>
                <w:bCs/>
                <w:color w:val="000000"/>
                <w:kern w:val="0"/>
                <w:sz w:val="18"/>
                <w:szCs w:val="18"/>
              </w:rPr>
            </w:pPr>
          </w:p>
        </w:tc>
        <w:tc>
          <w:tcPr>
            <w:tcW w:w="133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48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促进社保资金拨付进度</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1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954" w:type="dxa"/>
            <w:vMerge w:val="continue"/>
            <w:vAlign w:val="center"/>
          </w:tcPr>
          <w:p>
            <w:pPr>
              <w:widowControl/>
              <w:jc w:val="left"/>
              <w:rPr>
                <w:rFonts w:ascii="宋体" w:hAnsi="宋体" w:cs="宋体"/>
                <w:b/>
                <w:bCs/>
                <w:color w:val="000000"/>
                <w:kern w:val="0"/>
                <w:sz w:val="18"/>
                <w:szCs w:val="18"/>
              </w:rPr>
            </w:pPr>
          </w:p>
        </w:tc>
        <w:tc>
          <w:tcPr>
            <w:tcW w:w="133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48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农业审计促进挽回损失等整改资金</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1000万</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1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4" w:type="dxa"/>
            <w:vMerge w:val="continue"/>
            <w:vAlign w:val="center"/>
          </w:tcPr>
          <w:p>
            <w:pPr>
              <w:widowControl/>
              <w:jc w:val="left"/>
              <w:rPr>
                <w:rFonts w:ascii="宋体" w:hAnsi="宋体" w:cs="宋体"/>
                <w:b/>
                <w:bCs/>
                <w:color w:val="000000"/>
                <w:kern w:val="0"/>
                <w:sz w:val="18"/>
                <w:szCs w:val="18"/>
              </w:rPr>
            </w:pPr>
          </w:p>
        </w:tc>
        <w:tc>
          <w:tcPr>
            <w:tcW w:w="133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48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促进完善规章制度</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5条%</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1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954" w:type="dxa"/>
            <w:vMerge w:val="continue"/>
            <w:vAlign w:val="center"/>
          </w:tcPr>
          <w:p>
            <w:pPr>
              <w:widowControl/>
              <w:jc w:val="left"/>
              <w:rPr>
                <w:rFonts w:ascii="宋体" w:hAnsi="宋体" w:cs="宋体"/>
                <w:b/>
                <w:bCs/>
                <w:color w:val="000000"/>
                <w:kern w:val="0"/>
                <w:sz w:val="18"/>
                <w:szCs w:val="18"/>
              </w:rPr>
            </w:pPr>
          </w:p>
        </w:tc>
        <w:tc>
          <w:tcPr>
            <w:tcW w:w="133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48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被审计单位满意度</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1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071" w:type="dxa"/>
            <w:gridSpan w:val="8"/>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0" w:type="auto"/>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4"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100</w:t>
            </w:r>
          </w:p>
        </w:tc>
        <w:tc>
          <w:tcPr>
            <w:tcW w:w="141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9" w:hRule="atLeast"/>
        </w:trPr>
        <w:tc>
          <w:tcPr>
            <w:tcW w:w="954"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部门（单位）自评结论</w:t>
            </w:r>
          </w:p>
        </w:tc>
        <w:tc>
          <w:tcPr>
            <w:tcW w:w="9536"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完成情况较好，自评得分100分。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54"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部门（单位）自评存在问题</w:t>
            </w:r>
          </w:p>
        </w:tc>
        <w:tc>
          <w:tcPr>
            <w:tcW w:w="9536"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9" w:hRule="atLeast"/>
        </w:trPr>
        <w:tc>
          <w:tcPr>
            <w:tcW w:w="954"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部门（单位）自评改进措施</w:t>
            </w:r>
          </w:p>
        </w:tc>
        <w:tc>
          <w:tcPr>
            <w:tcW w:w="9536"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62"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项目负责人：黄梅</w:t>
            </w:r>
          </w:p>
        </w:tc>
        <w:tc>
          <w:tcPr>
            <w:tcW w:w="4328" w:type="dxa"/>
            <w:gridSpan w:val="6"/>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财务负责人：杨田</w:t>
            </w:r>
          </w:p>
        </w:tc>
      </w:tr>
    </w:tbl>
    <w:p>
      <w:pPr>
        <w:pStyle w:val="2"/>
        <w:spacing w:before="93"/>
        <w:rPr>
          <w:rFonts w:hAnsi="宋体" w:cs="宋体"/>
          <w:sz w:val="32"/>
          <w:szCs w:val="32"/>
          <w:shd w:val="clear" w:color="auto" w:fill="FFFFFF"/>
        </w:rPr>
      </w:pPr>
    </w:p>
    <w:tbl>
      <w:tblPr>
        <w:tblStyle w:val="16"/>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497"/>
        <w:gridCol w:w="1237"/>
        <w:gridCol w:w="1592"/>
        <w:gridCol w:w="837"/>
        <w:gridCol w:w="397"/>
        <w:gridCol w:w="397"/>
        <w:gridCol w:w="846"/>
        <w:gridCol w:w="488"/>
        <w:gridCol w:w="486"/>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694" w:type="dxa"/>
            <w:gridSpan w:val="2"/>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项目名称</w:t>
            </w:r>
          </w:p>
        </w:tc>
        <w:tc>
          <w:tcPr>
            <w:tcW w:w="7796" w:type="dxa"/>
            <w:gridSpan w:val="9"/>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投资类审计项目经费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694" w:type="dxa"/>
            <w:gridSpan w:val="2"/>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主管部门（盖章）</w:t>
            </w:r>
          </w:p>
        </w:tc>
        <w:tc>
          <w:tcPr>
            <w:tcW w:w="4225"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广元市审计局</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实施单位（盖章）</w:t>
            </w:r>
          </w:p>
        </w:tc>
        <w:tc>
          <w:tcPr>
            <w:tcW w:w="2659" w:type="dxa"/>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vMerge w:val="restart"/>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项目基本情况</w:t>
            </w:r>
          </w:p>
        </w:tc>
        <w:tc>
          <w:tcPr>
            <w:tcW w:w="1559" w:type="dxa"/>
            <w:vMerge w:val="restart"/>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1.项目年度目标完成情况</w:t>
            </w:r>
          </w:p>
        </w:tc>
        <w:tc>
          <w:tcPr>
            <w:tcW w:w="4225" w:type="dxa"/>
            <w:gridSpan w:val="5"/>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项目年度目标</w:t>
            </w:r>
          </w:p>
        </w:tc>
        <w:tc>
          <w:tcPr>
            <w:tcW w:w="3571" w:type="dxa"/>
            <w:gridSpan w:val="4"/>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559" w:type="dxa"/>
            <w:vMerge w:val="continue"/>
            <w:vAlign w:val="center"/>
          </w:tcPr>
          <w:p>
            <w:pPr>
              <w:widowControl/>
              <w:jc w:val="left"/>
              <w:rPr>
                <w:rFonts w:ascii="宋体" w:hAnsi="宋体" w:cs="宋体"/>
                <w:b/>
                <w:bCs/>
                <w:color w:val="000000"/>
                <w:kern w:val="0"/>
                <w:sz w:val="18"/>
                <w:szCs w:val="18"/>
              </w:rPr>
            </w:pPr>
          </w:p>
        </w:tc>
        <w:tc>
          <w:tcPr>
            <w:tcW w:w="4225"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开展投资类审计项目23个</w:t>
            </w:r>
          </w:p>
        </w:tc>
        <w:tc>
          <w:tcPr>
            <w:tcW w:w="3571" w:type="dxa"/>
            <w:gridSpan w:val="4"/>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2022年总共开展投资类审计项目24个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559" w:type="dxa"/>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2.项目实施内容及过程概述</w:t>
            </w:r>
          </w:p>
        </w:tc>
        <w:tc>
          <w:tcPr>
            <w:tcW w:w="7796" w:type="dxa"/>
            <w:gridSpan w:val="9"/>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根据《审计署关于进一步完善和规范投资审计工作的意见》加强对政府投资为主，关系全局性、战略性、基础性的重大公共基础设施工程的审计监督，紧紧围绕重大项目审批、征地拆迁、环境保护、工程招投标、物资采购、工程结算、资金管理等关键环节，合理确定审计重点，运用先进技术方法，提高审计工作质量和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135" w:type="dxa"/>
            <w:vMerge w:val="restart"/>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预算执行情况（10分）</w:t>
            </w:r>
          </w:p>
        </w:tc>
        <w:tc>
          <w:tcPr>
            <w:tcW w:w="1559"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年度预算数（万元）</w:t>
            </w:r>
          </w:p>
        </w:tc>
        <w:tc>
          <w:tcPr>
            <w:tcW w:w="1276"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年初预算</w:t>
            </w:r>
          </w:p>
        </w:tc>
        <w:tc>
          <w:tcPr>
            <w:tcW w:w="1654"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调整后预算数</w:t>
            </w:r>
          </w:p>
        </w:tc>
        <w:tc>
          <w:tcPr>
            <w:tcW w:w="0" w:type="auto"/>
            <w:gridSpan w:val="3"/>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预算执行数</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预算执行率</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1695"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559"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总额</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30.00</w:t>
            </w:r>
          </w:p>
        </w:tc>
        <w:tc>
          <w:tcPr>
            <w:tcW w:w="165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30.00</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695" w:type="dxa"/>
            <w:vMerge w:val="restar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559"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其中：财政资金</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30.00</w:t>
            </w:r>
          </w:p>
        </w:tc>
        <w:tc>
          <w:tcPr>
            <w:tcW w:w="165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30.00</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95"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559"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财政专户管理资金</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5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95"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559"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单位资金</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5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95"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559"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其他资金</w:t>
            </w:r>
          </w:p>
        </w:tc>
        <w:tc>
          <w:tcPr>
            <w:tcW w:w="1276" w:type="dxa"/>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654" w:type="dxa"/>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gridSpan w:val="3"/>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95"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35" w:type="dxa"/>
            <w:vMerge w:val="restart"/>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绩效指标（90分）</w:t>
            </w:r>
          </w:p>
        </w:tc>
        <w:tc>
          <w:tcPr>
            <w:tcW w:w="1559"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一级指标</w:t>
            </w:r>
          </w:p>
        </w:tc>
        <w:tc>
          <w:tcPr>
            <w:tcW w:w="1276"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654"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指标性质</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指标值</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度量单位</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完成值</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1695"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55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65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审计项目开展时间</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月</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1年</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695"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55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65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审计报告质量</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695"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55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65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参与审计项目人员数量</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8人</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695"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55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65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开展投资审计项目个数</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24个</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695"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55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65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促进建设单位简章立制</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695"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55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生态效益指标</w:t>
            </w:r>
          </w:p>
        </w:tc>
        <w:tc>
          <w:tcPr>
            <w:tcW w:w="165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加强生态建设项目结算审计个数</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695"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55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65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审减率</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695"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55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65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被审计单位满意度</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695"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55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65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投资审计项目差旅住宿费及交通费</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695"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55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65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参加投资审计项目人员每人每年审计差旅费</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695"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35" w:type="dxa"/>
            <w:vMerge w:val="continue"/>
            <w:vAlign w:val="center"/>
          </w:tcPr>
          <w:p>
            <w:pPr>
              <w:widowControl/>
              <w:jc w:val="left"/>
              <w:rPr>
                <w:rFonts w:ascii="宋体" w:hAnsi="宋体" w:cs="宋体"/>
                <w:b/>
                <w:bCs/>
                <w:color w:val="000000"/>
                <w:kern w:val="0"/>
                <w:sz w:val="18"/>
                <w:szCs w:val="18"/>
              </w:rPr>
            </w:pPr>
          </w:p>
        </w:tc>
        <w:tc>
          <w:tcPr>
            <w:tcW w:w="155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27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65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借调或抽调参与投资审计项目人员数量</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695"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31" w:type="dxa"/>
            <w:gridSpan w:val="8"/>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0" w:type="auto"/>
            <w:shd w:val="clear" w:color="auto" w:fill="auto"/>
            <w:vAlign w:val="center"/>
          </w:tcPr>
          <w:p>
            <w:pPr>
              <w:widowControl/>
              <w:jc w:val="right"/>
              <w:rPr>
                <w:rFonts w:ascii="宋体" w:hAnsi="宋体" w:cs="宋体"/>
                <w:color w:val="000000"/>
                <w:kern w:val="0"/>
                <w:sz w:val="18"/>
                <w:szCs w:val="18"/>
              </w:rPr>
            </w:pPr>
            <w:r>
              <w:rPr>
                <w:rFonts w:ascii="宋体" w:hAnsi="宋体" w:cs="宋体"/>
                <w:color w:val="000000"/>
                <w:kern w:val="0"/>
                <w:sz w:val="18"/>
                <w:szCs w:val="18"/>
              </w:rPr>
              <w:t>100</w:t>
            </w:r>
          </w:p>
        </w:tc>
        <w:tc>
          <w:tcPr>
            <w:tcW w:w="0" w:type="auto"/>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100</w:t>
            </w:r>
          </w:p>
        </w:tc>
        <w:tc>
          <w:tcPr>
            <w:tcW w:w="1695"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135"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部门（单位）自评结论</w:t>
            </w:r>
          </w:p>
        </w:tc>
        <w:tc>
          <w:tcPr>
            <w:tcW w:w="9355"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完成情况较好，自评得分100分。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135"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部门（单位）自评存在问题</w:t>
            </w:r>
          </w:p>
        </w:tc>
        <w:tc>
          <w:tcPr>
            <w:tcW w:w="9355"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135"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部门（单位）自评改进措施</w:t>
            </w:r>
          </w:p>
        </w:tc>
        <w:tc>
          <w:tcPr>
            <w:tcW w:w="9355"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60"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项目负责人：杨芳</w:t>
            </w:r>
          </w:p>
        </w:tc>
        <w:tc>
          <w:tcPr>
            <w:tcW w:w="4430" w:type="dxa"/>
            <w:gridSpan w:val="6"/>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财务负责人：杨田</w:t>
            </w:r>
          </w:p>
        </w:tc>
      </w:tr>
    </w:tbl>
    <w:p>
      <w:pPr>
        <w:pStyle w:val="2"/>
        <w:spacing w:before="93"/>
        <w:rPr>
          <w:rFonts w:hAnsi="宋体" w:cs="宋体"/>
          <w:sz w:val="32"/>
          <w:szCs w:val="32"/>
          <w:shd w:val="clear" w:color="auto" w:fill="FFFFFF"/>
          <w:lang w:val="zh-CN"/>
        </w:rPr>
      </w:pPr>
    </w:p>
    <w:tbl>
      <w:tblPr>
        <w:tblStyle w:val="16"/>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1356"/>
        <w:gridCol w:w="1082"/>
        <w:gridCol w:w="1809"/>
        <w:gridCol w:w="938"/>
        <w:gridCol w:w="486"/>
        <w:gridCol w:w="397"/>
        <w:gridCol w:w="846"/>
        <w:gridCol w:w="488"/>
        <w:gridCol w:w="57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50" w:type="dxa"/>
            <w:gridSpan w:val="2"/>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项目名称</w:t>
            </w:r>
          </w:p>
        </w:tc>
        <w:tc>
          <w:tcPr>
            <w:tcW w:w="8040" w:type="dxa"/>
            <w:gridSpan w:val="9"/>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财政类审计项目经费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8" w:hRule="atLeast"/>
        </w:trPr>
        <w:tc>
          <w:tcPr>
            <w:tcW w:w="2450" w:type="dxa"/>
            <w:gridSpan w:val="2"/>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主管部门（盖章）</w:t>
            </w:r>
          </w:p>
        </w:tc>
        <w:tc>
          <w:tcPr>
            <w:tcW w:w="4710"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广元市审计局</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实施单位（盖章）</w:t>
            </w:r>
          </w:p>
        </w:tc>
        <w:tc>
          <w:tcPr>
            <w:tcW w:w="2484" w:type="dxa"/>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93" w:type="dxa"/>
            <w:vMerge w:val="restart"/>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项目基本情况</w:t>
            </w:r>
          </w:p>
        </w:tc>
        <w:tc>
          <w:tcPr>
            <w:tcW w:w="1357" w:type="dxa"/>
            <w:vMerge w:val="restart"/>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1.项目年度目标完成情况</w:t>
            </w:r>
          </w:p>
        </w:tc>
        <w:tc>
          <w:tcPr>
            <w:tcW w:w="4710" w:type="dxa"/>
            <w:gridSpan w:val="5"/>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项目年度目标</w:t>
            </w:r>
          </w:p>
        </w:tc>
        <w:tc>
          <w:tcPr>
            <w:tcW w:w="3330" w:type="dxa"/>
            <w:gridSpan w:val="4"/>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093" w:type="dxa"/>
            <w:vMerge w:val="continue"/>
            <w:vAlign w:val="center"/>
          </w:tcPr>
          <w:p>
            <w:pPr>
              <w:widowControl/>
              <w:jc w:val="left"/>
              <w:rPr>
                <w:rFonts w:ascii="宋体" w:hAnsi="宋体" w:cs="宋体"/>
                <w:b/>
                <w:bCs/>
                <w:color w:val="000000"/>
                <w:kern w:val="0"/>
                <w:sz w:val="18"/>
                <w:szCs w:val="18"/>
              </w:rPr>
            </w:pPr>
          </w:p>
        </w:tc>
        <w:tc>
          <w:tcPr>
            <w:tcW w:w="1357" w:type="dxa"/>
            <w:vMerge w:val="continue"/>
            <w:vAlign w:val="center"/>
          </w:tcPr>
          <w:p>
            <w:pPr>
              <w:widowControl/>
              <w:jc w:val="left"/>
              <w:rPr>
                <w:rFonts w:ascii="宋体" w:hAnsi="宋体" w:cs="宋体"/>
                <w:b/>
                <w:bCs/>
                <w:color w:val="000000"/>
                <w:kern w:val="0"/>
                <w:sz w:val="18"/>
                <w:szCs w:val="18"/>
              </w:rPr>
            </w:pPr>
          </w:p>
        </w:tc>
        <w:tc>
          <w:tcPr>
            <w:tcW w:w="4710"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开展财政类审计项目4个</w:t>
            </w:r>
          </w:p>
        </w:tc>
        <w:tc>
          <w:tcPr>
            <w:tcW w:w="3330" w:type="dxa"/>
            <w:gridSpan w:val="4"/>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2022年开展市内财政类审计项目4个，开展省厅授权交叉项目1个。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1093" w:type="dxa"/>
            <w:vMerge w:val="continue"/>
            <w:vAlign w:val="center"/>
          </w:tcPr>
          <w:p>
            <w:pPr>
              <w:widowControl/>
              <w:jc w:val="left"/>
              <w:rPr>
                <w:rFonts w:ascii="宋体" w:hAnsi="宋体" w:cs="宋体"/>
                <w:b/>
                <w:bCs/>
                <w:color w:val="000000"/>
                <w:kern w:val="0"/>
                <w:sz w:val="18"/>
                <w:szCs w:val="18"/>
              </w:rPr>
            </w:pPr>
          </w:p>
        </w:tc>
        <w:tc>
          <w:tcPr>
            <w:tcW w:w="1357" w:type="dxa"/>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2.项目实施内容及过程概述</w:t>
            </w:r>
          </w:p>
        </w:tc>
        <w:tc>
          <w:tcPr>
            <w:tcW w:w="8040" w:type="dxa"/>
            <w:gridSpan w:val="9"/>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政类审计包含预算执行审计、财政审计、跟踪审计，以习近平新时代中国特色社会主义思想为指导，全面贯彻省、市经济工作会议精神，按照高质量发展要求，坚持新发展理念，促进构建新发展格局，持续关注国家重大战略和重大政策措施落实情况、公共财政运行中的风险隐患和体制机制性问题，加大对财政政策落实、重点项目推进、重点资金使用、重大风险防控的审计力度，充分发挥审计在党和国家监督体系中的重要作用，促进党的路线方针政策和中央、省、市重大决策部署落地见效，推动进一步做好“六稳”工作和落实“六保”任务，推进国家治理体系和治理能力现代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2" w:hRule="atLeast"/>
        </w:trPr>
        <w:tc>
          <w:tcPr>
            <w:tcW w:w="1093" w:type="dxa"/>
            <w:vMerge w:val="restart"/>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预算执行情况（10分）</w:t>
            </w:r>
          </w:p>
        </w:tc>
        <w:tc>
          <w:tcPr>
            <w:tcW w:w="1357"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年度预算数（万元）</w:t>
            </w:r>
          </w:p>
        </w:tc>
        <w:tc>
          <w:tcPr>
            <w:tcW w:w="108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年初预算</w:t>
            </w:r>
          </w:p>
        </w:tc>
        <w:tc>
          <w:tcPr>
            <w:tcW w:w="1810"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调整后预算数</w:t>
            </w:r>
          </w:p>
        </w:tc>
        <w:tc>
          <w:tcPr>
            <w:tcW w:w="0" w:type="auto"/>
            <w:gridSpan w:val="3"/>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预算执行数</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预算执行率</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579"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1417"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93" w:type="dxa"/>
            <w:vMerge w:val="continue"/>
            <w:vAlign w:val="center"/>
          </w:tcPr>
          <w:p>
            <w:pPr>
              <w:widowControl/>
              <w:jc w:val="left"/>
              <w:rPr>
                <w:rFonts w:ascii="宋体" w:hAnsi="宋体" w:cs="宋体"/>
                <w:b/>
                <w:bCs/>
                <w:color w:val="000000"/>
                <w:kern w:val="0"/>
                <w:sz w:val="18"/>
                <w:szCs w:val="18"/>
              </w:rPr>
            </w:pPr>
          </w:p>
        </w:tc>
        <w:tc>
          <w:tcPr>
            <w:tcW w:w="1357"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总额</w:t>
            </w:r>
          </w:p>
        </w:tc>
        <w:tc>
          <w:tcPr>
            <w:tcW w:w="10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51.00</w:t>
            </w:r>
          </w:p>
        </w:tc>
        <w:tc>
          <w:tcPr>
            <w:tcW w:w="181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51.00</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51.00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vMerge w:val="restar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1093" w:type="dxa"/>
            <w:vMerge w:val="continue"/>
            <w:vAlign w:val="center"/>
          </w:tcPr>
          <w:p>
            <w:pPr>
              <w:widowControl/>
              <w:jc w:val="left"/>
              <w:rPr>
                <w:rFonts w:ascii="宋体" w:hAnsi="宋体" w:cs="宋体"/>
                <w:b/>
                <w:bCs/>
                <w:color w:val="000000"/>
                <w:kern w:val="0"/>
                <w:sz w:val="18"/>
                <w:szCs w:val="18"/>
              </w:rPr>
            </w:pPr>
          </w:p>
        </w:tc>
        <w:tc>
          <w:tcPr>
            <w:tcW w:w="1357"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其中：财政资金</w:t>
            </w:r>
          </w:p>
        </w:tc>
        <w:tc>
          <w:tcPr>
            <w:tcW w:w="10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51.00</w:t>
            </w:r>
          </w:p>
        </w:tc>
        <w:tc>
          <w:tcPr>
            <w:tcW w:w="181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51.00</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51.00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17"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93" w:type="dxa"/>
            <w:vMerge w:val="continue"/>
            <w:vAlign w:val="center"/>
          </w:tcPr>
          <w:p>
            <w:pPr>
              <w:widowControl/>
              <w:jc w:val="left"/>
              <w:rPr>
                <w:rFonts w:ascii="宋体" w:hAnsi="宋体" w:cs="宋体"/>
                <w:b/>
                <w:bCs/>
                <w:color w:val="000000"/>
                <w:kern w:val="0"/>
                <w:sz w:val="18"/>
                <w:szCs w:val="18"/>
              </w:rPr>
            </w:pPr>
          </w:p>
        </w:tc>
        <w:tc>
          <w:tcPr>
            <w:tcW w:w="1357"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财政专户管理资金</w:t>
            </w:r>
          </w:p>
        </w:tc>
        <w:tc>
          <w:tcPr>
            <w:tcW w:w="10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1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17"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1093" w:type="dxa"/>
            <w:vMerge w:val="continue"/>
            <w:vAlign w:val="center"/>
          </w:tcPr>
          <w:p>
            <w:pPr>
              <w:widowControl/>
              <w:jc w:val="left"/>
              <w:rPr>
                <w:rFonts w:ascii="宋体" w:hAnsi="宋体" w:cs="宋体"/>
                <w:b/>
                <w:bCs/>
                <w:color w:val="000000"/>
                <w:kern w:val="0"/>
                <w:sz w:val="18"/>
                <w:szCs w:val="18"/>
              </w:rPr>
            </w:pPr>
          </w:p>
        </w:tc>
        <w:tc>
          <w:tcPr>
            <w:tcW w:w="1357"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单位资金</w:t>
            </w:r>
          </w:p>
        </w:tc>
        <w:tc>
          <w:tcPr>
            <w:tcW w:w="10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1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17"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93" w:type="dxa"/>
            <w:vMerge w:val="continue"/>
            <w:vAlign w:val="center"/>
          </w:tcPr>
          <w:p>
            <w:pPr>
              <w:widowControl/>
              <w:jc w:val="left"/>
              <w:rPr>
                <w:rFonts w:ascii="宋体" w:hAnsi="宋体" w:cs="宋体"/>
                <w:b/>
                <w:bCs/>
                <w:color w:val="000000"/>
                <w:kern w:val="0"/>
                <w:sz w:val="18"/>
                <w:szCs w:val="18"/>
              </w:rPr>
            </w:pPr>
          </w:p>
        </w:tc>
        <w:tc>
          <w:tcPr>
            <w:tcW w:w="1357"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其他资金</w:t>
            </w:r>
          </w:p>
        </w:tc>
        <w:tc>
          <w:tcPr>
            <w:tcW w:w="1082" w:type="dxa"/>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810" w:type="dxa"/>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gridSpan w:val="3"/>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17"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7" w:hRule="atLeast"/>
        </w:trPr>
        <w:tc>
          <w:tcPr>
            <w:tcW w:w="1093" w:type="dxa"/>
            <w:vMerge w:val="restart"/>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绩效指标（90分）</w:t>
            </w:r>
          </w:p>
        </w:tc>
        <w:tc>
          <w:tcPr>
            <w:tcW w:w="1357"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一级指标</w:t>
            </w:r>
          </w:p>
        </w:tc>
        <w:tc>
          <w:tcPr>
            <w:tcW w:w="108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810"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指标性质</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指标值</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度量单位</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完成值</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579"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1417"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93" w:type="dxa"/>
            <w:vMerge w:val="continue"/>
            <w:vAlign w:val="center"/>
          </w:tcPr>
          <w:p>
            <w:pPr>
              <w:widowControl/>
              <w:jc w:val="left"/>
              <w:rPr>
                <w:rFonts w:ascii="宋体" w:hAnsi="宋体" w:cs="宋体"/>
                <w:b/>
                <w:bCs/>
                <w:color w:val="000000"/>
                <w:kern w:val="0"/>
                <w:sz w:val="18"/>
                <w:szCs w:val="18"/>
              </w:rPr>
            </w:pPr>
          </w:p>
        </w:tc>
        <w:tc>
          <w:tcPr>
            <w:tcW w:w="135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0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81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参与财政类审计项目人数</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55人</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093" w:type="dxa"/>
            <w:vMerge w:val="continue"/>
            <w:vAlign w:val="center"/>
          </w:tcPr>
          <w:p>
            <w:pPr>
              <w:widowControl/>
              <w:jc w:val="left"/>
              <w:rPr>
                <w:rFonts w:ascii="宋体" w:hAnsi="宋体" w:cs="宋体"/>
                <w:b/>
                <w:bCs/>
                <w:color w:val="000000"/>
                <w:kern w:val="0"/>
                <w:sz w:val="18"/>
                <w:szCs w:val="18"/>
              </w:rPr>
            </w:pPr>
          </w:p>
        </w:tc>
        <w:tc>
          <w:tcPr>
            <w:tcW w:w="135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81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完成跟踪审计项目个数</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93" w:type="dxa"/>
            <w:vMerge w:val="continue"/>
            <w:vAlign w:val="center"/>
          </w:tcPr>
          <w:p>
            <w:pPr>
              <w:widowControl/>
              <w:jc w:val="left"/>
              <w:rPr>
                <w:rFonts w:ascii="宋体" w:hAnsi="宋体" w:cs="宋体"/>
                <w:b/>
                <w:bCs/>
                <w:color w:val="000000"/>
                <w:kern w:val="0"/>
                <w:sz w:val="18"/>
                <w:szCs w:val="18"/>
              </w:rPr>
            </w:pPr>
          </w:p>
        </w:tc>
        <w:tc>
          <w:tcPr>
            <w:tcW w:w="135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81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疑点核查单位数量</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093" w:type="dxa"/>
            <w:vMerge w:val="continue"/>
            <w:vAlign w:val="center"/>
          </w:tcPr>
          <w:p>
            <w:pPr>
              <w:widowControl/>
              <w:jc w:val="left"/>
              <w:rPr>
                <w:rFonts w:ascii="宋体" w:hAnsi="宋体" w:cs="宋体"/>
                <w:b/>
                <w:bCs/>
                <w:color w:val="000000"/>
                <w:kern w:val="0"/>
                <w:sz w:val="18"/>
                <w:szCs w:val="18"/>
              </w:rPr>
            </w:pPr>
          </w:p>
        </w:tc>
        <w:tc>
          <w:tcPr>
            <w:tcW w:w="135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81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完成预算执行现场审计项目个数</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15个</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93" w:type="dxa"/>
            <w:vMerge w:val="continue"/>
            <w:vAlign w:val="center"/>
          </w:tcPr>
          <w:p>
            <w:pPr>
              <w:widowControl/>
              <w:jc w:val="left"/>
              <w:rPr>
                <w:rFonts w:ascii="宋体" w:hAnsi="宋体" w:cs="宋体"/>
                <w:b/>
                <w:bCs/>
                <w:color w:val="000000"/>
                <w:kern w:val="0"/>
                <w:sz w:val="18"/>
                <w:szCs w:val="18"/>
              </w:rPr>
            </w:pPr>
          </w:p>
        </w:tc>
        <w:tc>
          <w:tcPr>
            <w:tcW w:w="135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81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审计报告质量</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093" w:type="dxa"/>
            <w:vMerge w:val="continue"/>
            <w:vAlign w:val="center"/>
          </w:tcPr>
          <w:p>
            <w:pPr>
              <w:widowControl/>
              <w:jc w:val="left"/>
              <w:rPr>
                <w:rFonts w:ascii="宋体" w:hAnsi="宋体" w:cs="宋体"/>
                <w:b/>
                <w:bCs/>
                <w:color w:val="000000"/>
                <w:kern w:val="0"/>
                <w:sz w:val="18"/>
                <w:szCs w:val="18"/>
              </w:rPr>
            </w:pPr>
          </w:p>
        </w:tc>
        <w:tc>
          <w:tcPr>
            <w:tcW w:w="135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81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完成每个审计项目现场审计时间</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月</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93" w:type="dxa"/>
            <w:vMerge w:val="continue"/>
            <w:vAlign w:val="center"/>
          </w:tcPr>
          <w:p>
            <w:pPr>
              <w:widowControl/>
              <w:jc w:val="left"/>
              <w:rPr>
                <w:rFonts w:ascii="宋体" w:hAnsi="宋体" w:cs="宋体"/>
                <w:b/>
                <w:bCs/>
                <w:color w:val="000000"/>
                <w:kern w:val="0"/>
                <w:sz w:val="18"/>
                <w:szCs w:val="18"/>
              </w:rPr>
            </w:pPr>
          </w:p>
        </w:tc>
        <w:tc>
          <w:tcPr>
            <w:tcW w:w="135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81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开展财政类审计项目时间</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月</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12月</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093" w:type="dxa"/>
            <w:vMerge w:val="continue"/>
            <w:vAlign w:val="center"/>
          </w:tcPr>
          <w:p>
            <w:pPr>
              <w:widowControl/>
              <w:jc w:val="left"/>
              <w:rPr>
                <w:rFonts w:ascii="宋体" w:hAnsi="宋体" w:cs="宋体"/>
                <w:b/>
                <w:bCs/>
                <w:color w:val="000000"/>
                <w:kern w:val="0"/>
                <w:sz w:val="18"/>
                <w:szCs w:val="18"/>
              </w:rPr>
            </w:pPr>
          </w:p>
        </w:tc>
        <w:tc>
          <w:tcPr>
            <w:tcW w:w="135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生态效益指标</w:t>
            </w:r>
          </w:p>
        </w:tc>
        <w:tc>
          <w:tcPr>
            <w:tcW w:w="181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抽查生态环境相关审计项目</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93" w:type="dxa"/>
            <w:vMerge w:val="continue"/>
            <w:vAlign w:val="center"/>
          </w:tcPr>
          <w:p>
            <w:pPr>
              <w:widowControl/>
              <w:jc w:val="left"/>
              <w:rPr>
                <w:rFonts w:ascii="宋体" w:hAnsi="宋体" w:cs="宋体"/>
                <w:b/>
                <w:bCs/>
                <w:color w:val="000000"/>
                <w:kern w:val="0"/>
                <w:sz w:val="18"/>
                <w:szCs w:val="18"/>
              </w:rPr>
            </w:pPr>
          </w:p>
        </w:tc>
        <w:tc>
          <w:tcPr>
            <w:tcW w:w="135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81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审计促进制度出台</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093" w:type="dxa"/>
            <w:vMerge w:val="continue"/>
            <w:vAlign w:val="center"/>
          </w:tcPr>
          <w:p>
            <w:pPr>
              <w:widowControl/>
              <w:jc w:val="left"/>
              <w:rPr>
                <w:rFonts w:ascii="宋体" w:hAnsi="宋体" w:cs="宋体"/>
                <w:b/>
                <w:bCs/>
                <w:color w:val="000000"/>
                <w:kern w:val="0"/>
                <w:sz w:val="18"/>
                <w:szCs w:val="18"/>
              </w:rPr>
            </w:pPr>
          </w:p>
        </w:tc>
        <w:tc>
          <w:tcPr>
            <w:tcW w:w="135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81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规范财政资金金额</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93" w:type="dxa"/>
            <w:vMerge w:val="continue"/>
            <w:vAlign w:val="center"/>
          </w:tcPr>
          <w:p>
            <w:pPr>
              <w:widowControl/>
              <w:jc w:val="left"/>
              <w:rPr>
                <w:rFonts w:ascii="宋体" w:hAnsi="宋体" w:cs="宋体"/>
                <w:b/>
                <w:bCs/>
                <w:color w:val="000000"/>
                <w:kern w:val="0"/>
                <w:sz w:val="18"/>
                <w:szCs w:val="18"/>
              </w:rPr>
            </w:pPr>
          </w:p>
        </w:tc>
        <w:tc>
          <w:tcPr>
            <w:tcW w:w="135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81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被审计单位满意度</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093" w:type="dxa"/>
            <w:vMerge w:val="continue"/>
            <w:vAlign w:val="center"/>
          </w:tcPr>
          <w:p>
            <w:pPr>
              <w:widowControl/>
              <w:jc w:val="left"/>
              <w:rPr>
                <w:rFonts w:ascii="宋体" w:hAnsi="宋体" w:cs="宋体"/>
                <w:b/>
                <w:bCs/>
                <w:color w:val="000000"/>
                <w:kern w:val="0"/>
                <w:sz w:val="18"/>
                <w:szCs w:val="18"/>
              </w:rPr>
            </w:pPr>
          </w:p>
        </w:tc>
        <w:tc>
          <w:tcPr>
            <w:tcW w:w="135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0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81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参与财政类审计项目人员每人每年审计差旅费</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21万</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93" w:type="dxa"/>
            <w:vMerge w:val="continue"/>
            <w:vAlign w:val="center"/>
          </w:tcPr>
          <w:p>
            <w:pPr>
              <w:widowControl/>
              <w:jc w:val="left"/>
              <w:rPr>
                <w:rFonts w:ascii="宋体" w:hAnsi="宋体" w:cs="宋体"/>
                <w:b/>
                <w:bCs/>
                <w:color w:val="000000"/>
                <w:kern w:val="0"/>
                <w:sz w:val="18"/>
                <w:szCs w:val="18"/>
              </w:rPr>
            </w:pPr>
          </w:p>
        </w:tc>
        <w:tc>
          <w:tcPr>
            <w:tcW w:w="135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0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810"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开展财政类审计项目人均差旅住宿及交通费</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30万</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8006" w:type="dxa"/>
            <w:gridSpan w:val="8"/>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0" w:type="auto"/>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100</w:t>
            </w:r>
          </w:p>
        </w:tc>
        <w:tc>
          <w:tcPr>
            <w:tcW w:w="579"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100</w:t>
            </w:r>
          </w:p>
        </w:tc>
        <w:tc>
          <w:tcPr>
            <w:tcW w:w="141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093"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部门（单位）自评结论</w:t>
            </w:r>
          </w:p>
        </w:tc>
        <w:tc>
          <w:tcPr>
            <w:tcW w:w="9397"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完成情况较好，自评得分100分。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2" w:hRule="atLeast"/>
        </w:trPr>
        <w:tc>
          <w:tcPr>
            <w:tcW w:w="1093"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部门（单位）自评存在问题</w:t>
            </w:r>
          </w:p>
        </w:tc>
        <w:tc>
          <w:tcPr>
            <w:tcW w:w="9397"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093"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部门（单位）自评改进措施</w:t>
            </w:r>
          </w:p>
        </w:tc>
        <w:tc>
          <w:tcPr>
            <w:tcW w:w="9397"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6277"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项目负责人：李明</w:t>
            </w:r>
          </w:p>
        </w:tc>
        <w:tc>
          <w:tcPr>
            <w:tcW w:w="4213" w:type="dxa"/>
            <w:gridSpan w:val="6"/>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财务负责人：杨田</w:t>
            </w:r>
          </w:p>
        </w:tc>
      </w:tr>
    </w:tbl>
    <w:p>
      <w:pPr>
        <w:pStyle w:val="2"/>
        <w:spacing w:before="93"/>
        <w:rPr>
          <w:rFonts w:hAnsi="宋体" w:cs="宋体"/>
          <w:sz w:val="32"/>
          <w:szCs w:val="32"/>
          <w:shd w:val="clear" w:color="auto" w:fill="FFFFFF"/>
          <w:lang w:val="zh-CN"/>
        </w:rPr>
      </w:pPr>
    </w:p>
    <w:tbl>
      <w:tblPr>
        <w:tblStyle w:val="16"/>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594"/>
        <w:gridCol w:w="1155"/>
        <w:gridCol w:w="1099"/>
        <w:gridCol w:w="1547"/>
        <w:gridCol w:w="929"/>
        <w:gridCol w:w="486"/>
        <w:gridCol w:w="397"/>
        <w:gridCol w:w="846"/>
        <w:gridCol w:w="488"/>
        <w:gridCol w:w="576"/>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722" w:type="dxa"/>
            <w:gridSpan w:val="3"/>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项目名称</w:t>
            </w:r>
          </w:p>
        </w:tc>
        <w:tc>
          <w:tcPr>
            <w:tcW w:w="7768" w:type="dxa"/>
            <w:gridSpan w:val="9"/>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大数据审计项目经费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722" w:type="dxa"/>
            <w:gridSpan w:val="3"/>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主管部门（盖章）</w:t>
            </w:r>
          </w:p>
        </w:tc>
        <w:tc>
          <w:tcPr>
            <w:tcW w:w="4440"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广元市审计局</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实施单位（盖章）</w:t>
            </w:r>
          </w:p>
        </w:tc>
        <w:tc>
          <w:tcPr>
            <w:tcW w:w="2482" w:type="dxa"/>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65" w:type="dxa"/>
            <w:vMerge w:val="restart"/>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项目基本情况</w:t>
            </w:r>
          </w:p>
        </w:tc>
        <w:tc>
          <w:tcPr>
            <w:tcW w:w="1757" w:type="dxa"/>
            <w:gridSpan w:val="2"/>
            <w:vMerge w:val="restart"/>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1.项目年度目标完成情况</w:t>
            </w:r>
          </w:p>
        </w:tc>
        <w:tc>
          <w:tcPr>
            <w:tcW w:w="4440" w:type="dxa"/>
            <w:gridSpan w:val="5"/>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项目年度目标</w:t>
            </w:r>
          </w:p>
        </w:tc>
        <w:tc>
          <w:tcPr>
            <w:tcW w:w="3328" w:type="dxa"/>
            <w:gridSpan w:val="4"/>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965" w:type="dxa"/>
            <w:vMerge w:val="continue"/>
            <w:vAlign w:val="center"/>
          </w:tcPr>
          <w:p>
            <w:pPr>
              <w:widowControl/>
              <w:jc w:val="left"/>
              <w:rPr>
                <w:rFonts w:ascii="宋体" w:hAnsi="宋体" w:cs="宋体"/>
                <w:b/>
                <w:bCs/>
                <w:color w:val="000000"/>
                <w:kern w:val="0"/>
                <w:sz w:val="18"/>
                <w:szCs w:val="18"/>
              </w:rPr>
            </w:pPr>
          </w:p>
        </w:tc>
        <w:tc>
          <w:tcPr>
            <w:tcW w:w="1757" w:type="dxa"/>
            <w:gridSpan w:val="2"/>
            <w:vMerge w:val="continue"/>
            <w:vAlign w:val="center"/>
          </w:tcPr>
          <w:p>
            <w:pPr>
              <w:widowControl/>
              <w:jc w:val="left"/>
              <w:rPr>
                <w:rFonts w:ascii="宋体" w:hAnsi="宋体" w:cs="宋体"/>
                <w:b/>
                <w:bCs/>
                <w:color w:val="000000"/>
                <w:kern w:val="0"/>
                <w:sz w:val="18"/>
                <w:szCs w:val="18"/>
              </w:rPr>
            </w:pPr>
          </w:p>
        </w:tc>
        <w:tc>
          <w:tcPr>
            <w:tcW w:w="4440"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运用大数据技术参与审计项目3个</w:t>
            </w:r>
          </w:p>
        </w:tc>
        <w:tc>
          <w:tcPr>
            <w:tcW w:w="3328" w:type="dxa"/>
            <w:gridSpan w:val="4"/>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2022年开展运用大数据参与审计项目4个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65" w:type="dxa"/>
            <w:vMerge w:val="continue"/>
            <w:vAlign w:val="center"/>
          </w:tcPr>
          <w:p>
            <w:pPr>
              <w:widowControl/>
              <w:jc w:val="left"/>
              <w:rPr>
                <w:rFonts w:ascii="宋体" w:hAnsi="宋体" w:cs="宋体"/>
                <w:b/>
                <w:bCs/>
                <w:color w:val="000000"/>
                <w:kern w:val="0"/>
                <w:sz w:val="18"/>
                <w:szCs w:val="18"/>
              </w:rPr>
            </w:pPr>
          </w:p>
        </w:tc>
        <w:tc>
          <w:tcPr>
            <w:tcW w:w="1757" w:type="dxa"/>
            <w:gridSpan w:val="2"/>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2.项目实施内容及过程概述</w:t>
            </w:r>
          </w:p>
        </w:tc>
        <w:tc>
          <w:tcPr>
            <w:tcW w:w="7768" w:type="dxa"/>
            <w:gridSpan w:val="9"/>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开展大数据和信息系统审计工作，对依法属于审计监督对象的部门和单位信息系统的安全性、可靠性和经济性进行监督检查，揭示信息系统规划、建设和运行管理中存在的突出问题和重大风险隐患，提出审计意见建议，推动完善相关制度，促进提高资金使用绩效，保障信息系统安全、可靠和高效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965" w:type="dxa"/>
            <w:vMerge w:val="restart"/>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预算执行情况（10分）</w:t>
            </w:r>
          </w:p>
        </w:tc>
        <w:tc>
          <w:tcPr>
            <w:tcW w:w="1757"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年度预算数（万元）</w:t>
            </w:r>
          </w:p>
        </w:tc>
        <w:tc>
          <w:tcPr>
            <w:tcW w:w="110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年初预算</w:t>
            </w:r>
          </w:p>
        </w:tc>
        <w:tc>
          <w:tcPr>
            <w:tcW w:w="1553"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调整后预算数</w:t>
            </w:r>
          </w:p>
        </w:tc>
        <w:tc>
          <w:tcPr>
            <w:tcW w:w="0" w:type="auto"/>
            <w:gridSpan w:val="3"/>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预算执行数</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预算执行率</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577"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1417"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65" w:type="dxa"/>
            <w:vMerge w:val="continue"/>
            <w:vAlign w:val="center"/>
          </w:tcPr>
          <w:p>
            <w:pPr>
              <w:widowControl/>
              <w:jc w:val="left"/>
              <w:rPr>
                <w:rFonts w:ascii="宋体" w:hAnsi="宋体" w:cs="宋体"/>
                <w:b/>
                <w:bCs/>
                <w:color w:val="000000"/>
                <w:kern w:val="0"/>
                <w:sz w:val="18"/>
                <w:szCs w:val="18"/>
              </w:rPr>
            </w:pPr>
          </w:p>
        </w:tc>
        <w:tc>
          <w:tcPr>
            <w:tcW w:w="1757"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总额</w:t>
            </w:r>
          </w:p>
        </w:tc>
        <w:tc>
          <w:tcPr>
            <w:tcW w:w="110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17.16</w:t>
            </w:r>
          </w:p>
        </w:tc>
        <w:tc>
          <w:tcPr>
            <w:tcW w:w="155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17.16</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17.16</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vMerge w:val="restar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965" w:type="dxa"/>
            <w:vMerge w:val="continue"/>
            <w:vAlign w:val="center"/>
          </w:tcPr>
          <w:p>
            <w:pPr>
              <w:widowControl/>
              <w:jc w:val="left"/>
              <w:rPr>
                <w:rFonts w:ascii="宋体" w:hAnsi="宋体" w:cs="宋体"/>
                <w:b/>
                <w:bCs/>
                <w:color w:val="000000"/>
                <w:kern w:val="0"/>
                <w:sz w:val="18"/>
                <w:szCs w:val="18"/>
              </w:rPr>
            </w:pPr>
          </w:p>
        </w:tc>
        <w:tc>
          <w:tcPr>
            <w:tcW w:w="1757"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其中：财政资金</w:t>
            </w:r>
          </w:p>
        </w:tc>
        <w:tc>
          <w:tcPr>
            <w:tcW w:w="110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17.16</w:t>
            </w:r>
          </w:p>
        </w:tc>
        <w:tc>
          <w:tcPr>
            <w:tcW w:w="155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17.16</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17.16</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17"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65" w:type="dxa"/>
            <w:vMerge w:val="continue"/>
            <w:vAlign w:val="center"/>
          </w:tcPr>
          <w:p>
            <w:pPr>
              <w:widowControl/>
              <w:jc w:val="left"/>
              <w:rPr>
                <w:rFonts w:ascii="宋体" w:hAnsi="宋体" w:cs="宋体"/>
                <w:b/>
                <w:bCs/>
                <w:color w:val="000000"/>
                <w:kern w:val="0"/>
                <w:sz w:val="18"/>
                <w:szCs w:val="18"/>
              </w:rPr>
            </w:pPr>
          </w:p>
        </w:tc>
        <w:tc>
          <w:tcPr>
            <w:tcW w:w="1757"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财政专户管理资金</w:t>
            </w:r>
          </w:p>
        </w:tc>
        <w:tc>
          <w:tcPr>
            <w:tcW w:w="110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17"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65" w:type="dxa"/>
            <w:vMerge w:val="continue"/>
            <w:vAlign w:val="center"/>
          </w:tcPr>
          <w:p>
            <w:pPr>
              <w:widowControl/>
              <w:jc w:val="left"/>
              <w:rPr>
                <w:rFonts w:ascii="宋体" w:hAnsi="宋体" w:cs="宋体"/>
                <w:b/>
                <w:bCs/>
                <w:color w:val="000000"/>
                <w:kern w:val="0"/>
                <w:sz w:val="18"/>
                <w:szCs w:val="18"/>
              </w:rPr>
            </w:pPr>
          </w:p>
        </w:tc>
        <w:tc>
          <w:tcPr>
            <w:tcW w:w="1757"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单位资金</w:t>
            </w:r>
          </w:p>
        </w:tc>
        <w:tc>
          <w:tcPr>
            <w:tcW w:w="110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17"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65" w:type="dxa"/>
            <w:vMerge w:val="continue"/>
            <w:vAlign w:val="center"/>
          </w:tcPr>
          <w:p>
            <w:pPr>
              <w:widowControl/>
              <w:jc w:val="left"/>
              <w:rPr>
                <w:rFonts w:ascii="宋体" w:hAnsi="宋体" w:cs="宋体"/>
                <w:b/>
                <w:bCs/>
                <w:color w:val="000000"/>
                <w:kern w:val="0"/>
                <w:sz w:val="18"/>
                <w:szCs w:val="18"/>
              </w:rPr>
            </w:pPr>
          </w:p>
        </w:tc>
        <w:tc>
          <w:tcPr>
            <w:tcW w:w="1757"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其他资金</w:t>
            </w:r>
          </w:p>
        </w:tc>
        <w:tc>
          <w:tcPr>
            <w:tcW w:w="1102" w:type="dxa"/>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53" w:type="dxa"/>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gridSpan w:val="3"/>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17"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965" w:type="dxa"/>
            <w:vMerge w:val="restart"/>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绩效指标（90分）</w:t>
            </w:r>
          </w:p>
        </w:tc>
        <w:tc>
          <w:tcPr>
            <w:tcW w:w="1757"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一级指标</w:t>
            </w:r>
          </w:p>
        </w:tc>
        <w:tc>
          <w:tcPr>
            <w:tcW w:w="110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553"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指标性质</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指标值</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度量单位</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完成值</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577"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1417"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5" w:type="dxa"/>
            <w:vMerge w:val="continue"/>
            <w:vAlign w:val="center"/>
          </w:tcPr>
          <w:p>
            <w:pPr>
              <w:widowControl/>
              <w:jc w:val="left"/>
              <w:rPr>
                <w:rFonts w:ascii="宋体" w:hAnsi="宋体" w:cs="宋体"/>
                <w:b/>
                <w:bCs/>
                <w:color w:val="000000"/>
                <w:kern w:val="0"/>
                <w:sz w:val="18"/>
                <w:szCs w:val="18"/>
              </w:rPr>
            </w:pPr>
          </w:p>
        </w:tc>
        <w:tc>
          <w:tcPr>
            <w:tcW w:w="1757"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0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55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被审计单位根据审计建议建立健全规章制度</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5" w:type="dxa"/>
            <w:vMerge w:val="continue"/>
            <w:vAlign w:val="center"/>
          </w:tcPr>
          <w:p>
            <w:pPr>
              <w:widowControl/>
              <w:jc w:val="left"/>
              <w:rPr>
                <w:rFonts w:ascii="宋体" w:hAnsi="宋体" w:cs="宋体"/>
                <w:b/>
                <w:bCs/>
                <w:color w:val="000000"/>
                <w:kern w:val="0"/>
                <w:sz w:val="18"/>
                <w:szCs w:val="18"/>
              </w:rPr>
            </w:pPr>
          </w:p>
        </w:tc>
        <w:tc>
          <w:tcPr>
            <w:tcW w:w="1757"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0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55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每个项目现场审计时间</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月</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规定时间完成</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5" w:type="dxa"/>
            <w:vMerge w:val="continue"/>
            <w:vAlign w:val="center"/>
          </w:tcPr>
          <w:p>
            <w:pPr>
              <w:widowControl/>
              <w:jc w:val="left"/>
              <w:rPr>
                <w:rFonts w:ascii="宋体" w:hAnsi="宋体" w:cs="宋体"/>
                <w:b/>
                <w:bCs/>
                <w:color w:val="000000"/>
                <w:kern w:val="0"/>
                <w:sz w:val="18"/>
                <w:szCs w:val="18"/>
              </w:rPr>
            </w:pPr>
          </w:p>
        </w:tc>
        <w:tc>
          <w:tcPr>
            <w:tcW w:w="1757"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10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55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参加大数据审计人员</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5" w:type="dxa"/>
            <w:vMerge w:val="continue"/>
            <w:vAlign w:val="center"/>
          </w:tcPr>
          <w:p>
            <w:pPr>
              <w:widowControl/>
              <w:jc w:val="left"/>
              <w:rPr>
                <w:rFonts w:ascii="宋体" w:hAnsi="宋体" w:cs="宋体"/>
                <w:b/>
                <w:bCs/>
                <w:color w:val="000000"/>
                <w:kern w:val="0"/>
                <w:sz w:val="18"/>
                <w:szCs w:val="18"/>
              </w:rPr>
            </w:pPr>
          </w:p>
        </w:tc>
        <w:tc>
          <w:tcPr>
            <w:tcW w:w="1757"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0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55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开展审计个数</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5" w:type="dxa"/>
            <w:vMerge w:val="continue"/>
            <w:vAlign w:val="center"/>
          </w:tcPr>
          <w:p>
            <w:pPr>
              <w:widowControl/>
              <w:jc w:val="left"/>
              <w:rPr>
                <w:rFonts w:ascii="宋体" w:hAnsi="宋体" w:cs="宋体"/>
                <w:b/>
                <w:bCs/>
                <w:color w:val="000000"/>
                <w:kern w:val="0"/>
                <w:sz w:val="18"/>
                <w:szCs w:val="18"/>
              </w:rPr>
            </w:pPr>
          </w:p>
        </w:tc>
        <w:tc>
          <w:tcPr>
            <w:tcW w:w="1757"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0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55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审计报告质量</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5" w:type="dxa"/>
            <w:vMerge w:val="continue"/>
            <w:vAlign w:val="center"/>
          </w:tcPr>
          <w:p>
            <w:pPr>
              <w:widowControl/>
              <w:jc w:val="left"/>
              <w:rPr>
                <w:rFonts w:ascii="宋体" w:hAnsi="宋体" w:cs="宋体"/>
                <w:b/>
                <w:bCs/>
                <w:color w:val="000000"/>
                <w:kern w:val="0"/>
                <w:sz w:val="18"/>
                <w:szCs w:val="18"/>
              </w:rPr>
            </w:pPr>
          </w:p>
        </w:tc>
        <w:tc>
          <w:tcPr>
            <w:tcW w:w="1757"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0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55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审计促进出台建章立制数量</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5" w:type="dxa"/>
            <w:vMerge w:val="continue"/>
            <w:vAlign w:val="center"/>
          </w:tcPr>
          <w:p>
            <w:pPr>
              <w:widowControl/>
              <w:jc w:val="left"/>
              <w:rPr>
                <w:rFonts w:ascii="宋体" w:hAnsi="宋体" w:cs="宋体"/>
                <w:b/>
                <w:bCs/>
                <w:color w:val="000000"/>
                <w:kern w:val="0"/>
                <w:sz w:val="18"/>
                <w:szCs w:val="18"/>
              </w:rPr>
            </w:pPr>
          </w:p>
        </w:tc>
        <w:tc>
          <w:tcPr>
            <w:tcW w:w="1757"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0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生态效益指标</w:t>
            </w:r>
          </w:p>
        </w:tc>
        <w:tc>
          <w:tcPr>
            <w:tcW w:w="155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审计涉及生态类项目个数</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5" w:type="dxa"/>
            <w:vMerge w:val="continue"/>
            <w:vAlign w:val="center"/>
          </w:tcPr>
          <w:p>
            <w:pPr>
              <w:widowControl/>
              <w:jc w:val="left"/>
              <w:rPr>
                <w:rFonts w:ascii="宋体" w:hAnsi="宋体" w:cs="宋体"/>
                <w:b/>
                <w:bCs/>
                <w:color w:val="000000"/>
                <w:kern w:val="0"/>
                <w:sz w:val="18"/>
                <w:szCs w:val="18"/>
              </w:rPr>
            </w:pPr>
          </w:p>
        </w:tc>
        <w:tc>
          <w:tcPr>
            <w:tcW w:w="1757"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0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55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发现财政使用不规范资金</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5" w:type="dxa"/>
            <w:vMerge w:val="continue"/>
            <w:vAlign w:val="center"/>
          </w:tcPr>
          <w:p>
            <w:pPr>
              <w:widowControl/>
              <w:jc w:val="left"/>
              <w:rPr>
                <w:rFonts w:ascii="宋体" w:hAnsi="宋体" w:cs="宋体"/>
                <w:b/>
                <w:bCs/>
                <w:color w:val="000000"/>
                <w:kern w:val="0"/>
                <w:sz w:val="18"/>
                <w:szCs w:val="18"/>
              </w:rPr>
            </w:pPr>
          </w:p>
        </w:tc>
        <w:tc>
          <w:tcPr>
            <w:tcW w:w="1757" w:type="dxa"/>
            <w:gridSpan w:val="2"/>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10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553"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像被审计单位征求满意度测评</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008" w:type="dxa"/>
            <w:gridSpan w:val="9"/>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0" w:type="auto"/>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100</w:t>
            </w:r>
          </w:p>
        </w:tc>
        <w:tc>
          <w:tcPr>
            <w:tcW w:w="577"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100</w:t>
            </w:r>
          </w:p>
        </w:tc>
        <w:tc>
          <w:tcPr>
            <w:tcW w:w="141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561"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部门（单位）自评结论</w:t>
            </w:r>
          </w:p>
        </w:tc>
        <w:tc>
          <w:tcPr>
            <w:tcW w:w="8929"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完成情况较好，自评得分100分。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9" w:hRule="atLeast"/>
        </w:trPr>
        <w:tc>
          <w:tcPr>
            <w:tcW w:w="1561"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部门（单位）自评存在问题</w:t>
            </w:r>
          </w:p>
        </w:tc>
        <w:tc>
          <w:tcPr>
            <w:tcW w:w="8929"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561" w:type="dxa"/>
            <w:gridSpan w:val="2"/>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部门（单位）自评改进措施</w:t>
            </w:r>
          </w:p>
        </w:tc>
        <w:tc>
          <w:tcPr>
            <w:tcW w:w="8929"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79" w:type="dxa"/>
            <w:gridSpan w:val="6"/>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项目负责人：李庆文</w:t>
            </w:r>
          </w:p>
        </w:tc>
        <w:tc>
          <w:tcPr>
            <w:tcW w:w="4211" w:type="dxa"/>
            <w:gridSpan w:val="6"/>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财务负责人：杨田</w:t>
            </w:r>
          </w:p>
        </w:tc>
      </w:tr>
    </w:tbl>
    <w:p>
      <w:pPr>
        <w:pStyle w:val="2"/>
        <w:spacing w:before="93"/>
        <w:rPr>
          <w:rFonts w:hAnsi="宋体" w:cs="宋体"/>
          <w:sz w:val="32"/>
          <w:szCs w:val="32"/>
          <w:shd w:val="clear" w:color="auto" w:fill="FFFFFF"/>
          <w:lang w:val="zh-CN"/>
        </w:rPr>
      </w:pPr>
    </w:p>
    <w:tbl>
      <w:tblPr>
        <w:tblStyle w:val="16"/>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239"/>
        <w:gridCol w:w="1239"/>
        <w:gridCol w:w="1876"/>
        <w:gridCol w:w="932"/>
        <w:gridCol w:w="486"/>
        <w:gridCol w:w="397"/>
        <w:gridCol w:w="846"/>
        <w:gridCol w:w="488"/>
        <w:gridCol w:w="605"/>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214" w:type="dxa"/>
            <w:gridSpan w:val="2"/>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项目名称</w:t>
            </w:r>
          </w:p>
        </w:tc>
        <w:tc>
          <w:tcPr>
            <w:tcW w:w="8276" w:type="dxa"/>
            <w:gridSpan w:val="9"/>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乡村振兴工作经费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214" w:type="dxa"/>
            <w:gridSpan w:val="2"/>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主管部门（盖章）</w:t>
            </w:r>
          </w:p>
        </w:tc>
        <w:tc>
          <w:tcPr>
            <w:tcW w:w="4919"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广元市审计局</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实施单位（盖章）</w:t>
            </w:r>
          </w:p>
        </w:tc>
        <w:tc>
          <w:tcPr>
            <w:tcW w:w="2511" w:type="dxa"/>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72" w:type="dxa"/>
            <w:vMerge w:val="restart"/>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项目基本情况</w:t>
            </w:r>
          </w:p>
        </w:tc>
        <w:tc>
          <w:tcPr>
            <w:tcW w:w="1242" w:type="dxa"/>
            <w:vMerge w:val="restart"/>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1.项目年度目标完成情况</w:t>
            </w:r>
          </w:p>
        </w:tc>
        <w:tc>
          <w:tcPr>
            <w:tcW w:w="4919" w:type="dxa"/>
            <w:gridSpan w:val="5"/>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项目年度目标</w:t>
            </w:r>
          </w:p>
        </w:tc>
        <w:tc>
          <w:tcPr>
            <w:tcW w:w="3357" w:type="dxa"/>
            <w:gridSpan w:val="4"/>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72" w:type="dxa"/>
            <w:vMerge w:val="continue"/>
            <w:vAlign w:val="center"/>
          </w:tcPr>
          <w:p>
            <w:pPr>
              <w:widowControl/>
              <w:jc w:val="left"/>
              <w:rPr>
                <w:rFonts w:ascii="宋体" w:hAnsi="宋体" w:cs="宋体"/>
                <w:b/>
                <w:bCs/>
                <w:color w:val="000000"/>
                <w:kern w:val="0"/>
                <w:sz w:val="18"/>
                <w:szCs w:val="18"/>
              </w:rPr>
            </w:pPr>
          </w:p>
        </w:tc>
        <w:tc>
          <w:tcPr>
            <w:tcW w:w="1242" w:type="dxa"/>
            <w:vMerge w:val="continue"/>
            <w:vAlign w:val="center"/>
          </w:tcPr>
          <w:p>
            <w:pPr>
              <w:widowControl/>
              <w:jc w:val="left"/>
              <w:rPr>
                <w:rFonts w:ascii="宋体" w:hAnsi="宋体" w:cs="宋体"/>
                <w:b/>
                <w:bCs/>
                <w:color w:val="000000"/>
                <w:kern w:val="0"/>
                <w:sz w:val="18"/>
                <w:szCs w:val="18"/>
              </w:rPr>
            </w:pPr>
          </w:p>
        </w:tc>
        <w:tc>
          <w:tcPr>
            <w:tcW w:w="4919"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高效、有序地建强村党组织、推进强村富民、提升治理水平、为民办事服务，申请项目资金以支持和保障乡村振兴驻村工作队顺利开展工作。</w:t>
            </w:r>
          </w:p>
        </w:tc>
        <w:tc>
          <w:tcPr>
            <w:tcW w:w="3357" w:type="dxa"/>
            <w:gridSpan w:val="4"/>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2022年乡村振兴工作任务圆满完成。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72" w:type="dxa"/>
            <w:vMerge w:val="continue"/>
            <w:vAlign w:val="center"/>
          </w:tcPr>
          <w:p>
            <w:pPr>
              <w:widowControl/>
              <w:jc w:val="left"/>
              <w:rPr>
                <w:rFonts w:ascii="宋体" w:hAnsi="宋体" w:cs="宋体"/>
                <w:b/>
                <w:bCs/>
                <w:color w:val="000000"/>
                <w:kern w:val="0"/>
                <w:sz w:val="18"/>
                <w:szCs w:val="18"/>
              </w:rPr>
            </w:pPr>
          </w:p>
        </w:tc>
        <w:tc>
          <w:tcPr>
            <w:tcW w:w="1242" w:type="dxa"/>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2.项目实施内容及过程概述</w:t>
            </w:r>
          </w:p>
        </w:tc>
        <w:tc>
          <w:tcPr>
            <w:tcW w:w="8276" w:type="dxa"/>
            <w:gridSpan w:val="9"/>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乡村振兴驻村帮扶工作以习近平新时代中国特色社会主义思想为指导，适应“三农”工作新形势新任务新要求，健全常态化驻村工作机制，为全面推进乡村振兴、巩固拓展脱贫攻坚成果提供坚强组织保证和干部人才支持。2022年，广元市审计局定点帮扶旺苍县盐河镇竹垭村、风景村乡村振兴共投入工作人员4人，每月每人驻村时间不低于22天，工作时间为2022年全年，主要职责是高效、有序地建强村党组织、推进强村富民、提升治理水平、为民办事服务，申请项目资金以支持和保障乡村振兴驻村工作队顺利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972" w:type="dxa"/>
            <w:vMerge w:val="restart"/>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预算执行情况（10分）</w:t>
            </w:r>
          </w:p>
        </w:tc>
        <w:tc>
          <w:tcPr>
            <w:tcW w:w="124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年度预算数（万元）</w:t>
            </w:r>
          </w:p>
        </w:tc>
        <w:tc>
          <w:tcPr>
            <w:tcW w:w="124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年初预算</w:t>
            </w:r>
          </w:p>
        </w:tc>
        <w:tc>
          <w:tcPr>
            <w:tcW w:w="188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调整后预算数</w:t>
            </w:r>
          </w:p>
        </w:tc>
        <w:tc>
          <w:tcPr>
            <w:tcW w:w="0" w:type="auto"/>
            <w:gridSpan w:val="3"/>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预算执行数</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预算执行率</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606"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1417"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2" w:type="dxa"/>
            <w:vMerge w:val="continue"/>
            <w:vAlign w:val="center"/>
          </w:tcPr>
          <w:p>
            <w:pPr>
              <w:widowControl/>
              <w:jc w:val="left"/>
              <w:rPr>
                <w:rFonts w:ascii="宋体" w:hAnsi="宋体" w:cs="宋体"/>
                <w:b/>
                <w:bCs/>
                <w:color w:val="000000"/>
                <w:kern w:val="0"/>
                <w:sz w:val="18"/>
                <w:szCs w:val="18"/>
              </w:rPr>
            </w:pPr>
          </w:p>
        </w:tc>
        <w:tc>
          <w:tcPr>
            <w:tcW w:w="124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总额</w:t>
            </w:r>
          </w:p>
        </w:tc>
        <w:tc>
          <w:tcPr>
            <w:tcW w:w="12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7.28</w:t>
            </w:r>
          </w:p>
        </w:tc>
        <w:tc>
          <w:tcPr>
            <w:tcW w:w="18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7.28</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7.28</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0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vMerge w:val="restar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2" w:type="dxa"/>
            <w:vMerge w:val="continue"/>
            <w:vAlign w:val="center"/>
          </w:tcPr>
          <w:p>
            <w:pPr>
              <w:widowControl/>
              <w:jc w:val="left"/>
              <w:rPr>
                <w:rFonts w:ascii="宋体" w:hAnsi="宋体" w:cs="宋体"/>
                <w:b/>
                <w:bCs/>
                <w:color w:val="000000"/>
                <w:kern w:val="0"/>
                <w:sz w:val="18"/>
                <w:szCs w:val="18"/>
              </w:rPr>
            </w:pPr>
          </w:p>
        </w:tc>
        <w:tc>
          <w:tcPr>
            <w:tcW w:w="124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其中：财政资金</w:t>
            </w:r>
          </w:p>
        </w:tc>
        <w:tc>
          <w:tcPr>
            <w:tcW w:w="12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7.28</w:t>
            </w:r>
          </w:p>
        </w:tc>
        <w:tc>
          <w:tcPr>
            <w:tcW w:w="18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7.28</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7.28</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0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17"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2" w:type="dxa"/>
            <w:vMerge w:val="continue"/>
            <w:vAlign w:val="center"/>
          </w:tcPr>
          <w:p>
            <w:pPr>
              <w:widowControl/>
              <w:jc w:val="left"/>
              <w:rPr>
                <w:rFonts w:ascii="宋体" w:hAnsi="宋体" w:cs="宋体"/>
                <w:b/>
                <w:bCs/>
                <w:color w:val="000000"/>
                <w:kern w:val="0"/>
                <w:sz w:val="18"/>
                <w:szCs w:val="18"/>
              </w:rPr>
            </w:pPr>
          </w:p>
        </w:tc>
        <w:tc>
          <w:tcPr>
            <w:tcW w:w="124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财政专户管理资金</w:t>
            </w:r>
          </w:p>
        </w:tc>
        <w:tc>
          <w:tcPr>
            <w:tcW w:w="12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0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17"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2" w:type="dxa"/>
            <w:vMerge w:val="continue"/>
            <w:vAlign w:val="center"/>
          </w:tcPr>
          <w:p>
            <w:pPr>
              <w:widowControl/>
              <w:jc w:val="left"/>
              <w:rPr>
                <w:rFonts w:ascii="宋体" w:hAnsi="宋体" w:cs="宋体"/>
                <w:b/>
                <w:bCs/>
                <w:color w:val="000000"/>
                <w:kern w:val="0"/>
                <w:sz w:val="18"/>
                <w:szCs w:val="18"/>
              </w:rPr>
            </w:pPr>
          </w:p>
        </w:tc>
        <w:tc>
          <w:tcPr>
            <w:tcW w:w="124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单位资金</w:t>
            </w:r>
          </w:p>
        </w:tc>
        <w:tc>
          <w:tcPr>
            <w:tcW w:w="12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0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17"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2" w:type="dxa"/>
            <w:vMerge w:val="continue"/>
            <w:vAlign w:val="center"/>
          </w:tcPr>
          <w:p>
            <w:pPr>
              <w:widowControl/>
              <w:jc w:val="left"/>
              <w:rPr>
                <w:rFonts w:ascii="宋体" w:hAnsi="宋体" w:cs="宋体"/>
                <w:b/>
                <w:bCs/>
                <w:color w:val="000000"/>
                <w:kern w:val="0"/>
                <w:sz w:val="18"/>
                <w:szCs w:val="18"/>
              </w:rPr>
            </w:pPr>
          </w:p>
        </w:tc>
        <w:tc>
          <w:tcPr>
            <w:tcW w:w="124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其他资金</w:t>
            </w:r>
          </w:p>
        </w:tc>
        <w:tc>
          <w:tcPr>
            <w:tcW w:w="1242" w:type="dxa"/>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882" w:type="dxa"/>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gridSpan w:val="3"/>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0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17"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72" w:type="dxa"/>
            <w:vMerge w:val="restart"/>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绩效指标（90分）</w:t>
            </w:r>
          </w:p>
        </w:tc>
        <w:tc>
          <w:tcPr>
            <w:tcW w:w="124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一级指标</w:t>
            </w:r>
          </w:p>
        </w:tc>
        <w:tc>
          <w:tcPr>
            <w:tcW w:w="124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88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指标性质</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指标值</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度量单位</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完成值</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606"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1417"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72" w:type="dxa"/>
            <w:vMerge w:val="continue"/>
            <w:vAlign w:val="center"/>
          </w:tcPr>
          <w:p>
            <w:pPr>
              <w:widowControl/>
              <w:jc w:val="left"/>
              <w:rPr>
                <w:rFonts w:ascii="宋体" w:hAnsi="宋体" w:cs="宋体"/>
                <w:b/>
                <w:bCs/>
                <w:color w:val="000000"/>
                <w:kern w:val="0"/>
                <w:sz w:val="18"/>
                <w:szCs w:val="18"/>
              </w:rPr>
            </w:pPr>
          </w:p>
        </w:tc>
        <w:tc>
          <w:tcPr>
            <w:tcW w:w="12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8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风景村乡村振兴数量</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206</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206</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0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72" w:type="dxa"/>
            <w:vMerge w:val="continue"/>
            <w:vAlign w:val="center"/>
          </w:tcPr>
          <w:p>
            <w:pPr>
              <w:widowControl/>
              <w:jc w:val="left"/>
              <w:rPr>
                <w:rFonts w:ascii="宋体" w:hAnsi="宋体" w:cs="宋体"/>
                <w:b/>
                <w:bCs/>
                <w:color w:val="000000"/>
                <w:kern w:val="0"/>
                <w:sz w:val="18"/>
                <w:szCs w:val="18"/>
              </w:rPr>
            </w:pPr>
          </w:p>
        </w:tc>
        <w:tc>
          <w:tcPr>
            <w:tcW w:w="12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2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8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驻村工作人数</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0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72" w:type="dxa"/>
            <w:vMerge w:val="continue"/>
            <w:vAlign w:val="center"/>
          </w:tcPr>
          <w:p>
            <w:pPr>
              <w:widowControl/>
              <w:jc w:val="left"/>
              <w:rPr>
                <w:rFonts w:ascii="宋体" w:hAnsi="宋体" w:cs="宋体"/>
                <w:b/>
                <w:bCs/>
                <w:color w:val="000000"/>
                <w:kern w:val="0"/>
                <w:sz w:val="18"/>
                <w:szCs w:val="18"/>
              </w:rPr>
            </w:pPr>
          </w:p>
        </w:tc>
        <w:tc>
          <w:tcPr>
            <w:tcW w:w="12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8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竹垭村监测户数量</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户</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64户</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0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72" w:type="dxa"/>
            <w:vMerge w:val="continue"/>
            <w:vAlign w:val="center"/>
          </w:tcPr>
          <w:p>
            <w:pPr>
              <w:widowControl/>
              <w:jc w:val="left"/>
              <w:rPr>
                <w:rFonts w:ascii="宋体" w:hAnsi="宋体" w:cs="宋体"/>
                <w:b/>
                <w:bCs/>
                <w:color w:val="000000"/>
                <w:kern w:val="0"/>
                <w:sz w:val="18"/>
                <w:szCs w:val="18"/>
              </w:rPr>
            </w:pPr>
          </w:p>
        </w:tc>
        <w:tc>
          <w:tcPr>
            <w:tcW w:w="12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8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帮扶工作时间</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10个</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0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72" w:type="dxa"/>
            <w:vMerge w:val="continue"/>
            <w:vAlign w:val="center"/>
          </w:tcPr>
          <w:p>
            <w:pPr>
              <w:widowControl/>
              <w:jc w:val="left"/>
              <w:rPr>
                <w:rFonts w:ascii="宋体" w:hAnsi="宋体" w:cs="宋体"/>
                <w:b/>
                <w:bCs/>
                <w:color w:val="000000"/>
                <w:kern w:val="0"/>
                <w:sz w:val="18"/>
                <w:szCs w:val="18"/>
              </w:rPr>
            </w:pPr>
          </w:p>
        </w:tc>
        <w:tc>
          <w:tcPr>
            <w:tcW w:w="12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8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竹垭村乡村振兴数量</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250人%</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0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72" w:type="dxa"/>
            <w:vMerge w:val="continue"/>
            <w:vAlign w:val="center"/>
          </w:tcPr>
          <w:p>
            <w:pPr>
              <w:widowControl/>
              <w:jc w:val="left"/>
              <w:rPr>
                <w:rFonts w:ascii="宋体" w:hAnsi="宋体" w:cs="宋体"/>
                <w:b/>
                <w:bCs/>
                <w:color w:val="000000"/>
                <w:kern w:val="0"/>
                <w:sz w:val="18"/>
                <w:szCs w:val="18"/>
              </w:rPr>
            </w:pPr>
          </w:p>
        </w:tc>
        <w:tc>
          <w:tcPr>
            <w:tcW w:w="12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8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乡村振兴力度</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0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72" w:type="dxa"/>
            <w:vMerge w:val="continue"/>
            <w:vAlign w:val="center"/>
          </w:tcPr>
          <w:p>
            <w:pPr>
              <w:widowControl/>
              <w:jc w:val="left"/>
              <w:rPr>
                <w:rFonts w:ascii="宋体" w:hAnsi="宋体" w:cs="宋体"/>
                <w:b/>
                <w:bCs/>
                <w:color w:val="000000"/>
                <w:kern w:val="0"/>
                <w:sz w:val="18"/>
                <w:szCs w:val="18"/>
              </w:rPr>
            </w:pPr>
          </w:p>
        </w:tc>
        <w:tc>
          <w:tcPr>
            <w:tcW w:w="12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2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8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向上争取和协调帮扶村乡村振兴项目个数</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0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72" w:type="dxa"/>
            <w:vMerge w:val="continue"/>
            <w:vAlign w:val="center"/>
          </w:tcPr>
          <w:p>
            <w:pPr>
              <w:widowControl/>
              <w:jc w:val="left"/>
              <w:rPr>
                <w:rFonts w:ascii="宋体" w:hAnsi="宋体" w:cs="宋体"/>
                <w:b/>
                <w:bCs/>
                <w:color w:val="000000"/>
                <w:kern w:val="0"/>
                <w:sz w:val="18"/>
                <w:szCs w:val="18"/>
              </w:rPr>
            </w:pPr>
          </w:p>
        </w:tc>
        <w:tc>
          <w:tcPr>
            <w:tcW w:w="12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2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18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村人均年纯收入增长率</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0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72" w:type="dxa"/>
            <w:vMerge w:val="continue"/>
            <w:vAlign w:val="center"/>
          </w:tcPr>
          <w:p>
            <w:pPr>
              <w:widowControl/>
              <w:jc w:val="left"/>
              <w:rPr>
                <w:rFonts w:ascii="宋体" w:hAnsi="宋体" w:cs="宋体"/>
                <w:b/>
                <w:bCs/>
                <w:color w:val="000000"/>
                <w:kern w:val="0"/>
                <w:sz w:val="18"/>
                <w:szCs w:val="18"/>
              </w:rPr>
            </w:pPr>
          </w:p>
        </w:tc>
        <w:tc>
          <w:tcPr>
            <w:tcW w:w="12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24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帮扶对象满意度指标</w:t>
            </w:r>
          </w:p>
        </w:tc>
        <w:tc>
          <w:tcPr>
            <w:tcW w:w="188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帮扶对象满意度</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97</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0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79" w:type="dxa"/>
            <w:gridSpan w:val="8"/>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0" w:type="auto"/>
            <w:shd w:val="clear" w:color="auto" w:fill="auto"/>
            <w:vAlign w:val="center"/>
          </w:tcPr>
          <w:p>
            <w:pPr>
              <w:widowControl/>
              <w:jc w:val="right"/>
              <w:rPr>
                <w:rFonts w:ascii="宋体" w:hAnsi="宋体" w:cs="宋体"/>
                <w:color w:val="000000"/>
                <w:kern w:val="0"/>
                <w:sz w:val="18"/>
                <w:szCs w:val="18"/>
              </w:rPr>
            </w:pPr>
            <w:r>
              <w:rPr>
                <w:rFonts w:ascii="宋体" w:hAnsi="宋体" w:cs="宋体"/>
                <w:color w:val="000000"/>
                <w:kern w:val="0"/>
                <w:sz w:val="18"/>
                <w:szCs w:val="18"/>
              </w:rPr>
              <w:t>100</w:t>
            </w:r>
          </w:p>
        </w:tc>
        <w:tc>
          <w:tcPr>
            <w:tcW w:w="606"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100</w:t>
            </w:r>
          </w:p>
        </w:tc>
        <w:tc>
          <w:tcPr>
            <w:tcW w:w="141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7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部门（单位）自评结论</w:t>
            </w:r>
          </w:p>
        </w:tc>
        <w:tc>
          <w:tcPr>
            <w:tcW w:w="9518"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完成情况较好，自评得分100分。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97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部门（单位）自评存在问题</w:t>
            </w:r>
          </w:p>
        </w:tc>
        <w:tc>
          <w:tcPr>
            <w:tcW w:w="9518"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7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部门（单位）自评改进措施</w:t>
            </w:r>
          </w:p>
        </w:tc>
        <w:tc>
          <w:tcPr>
            <w:tcW w:w="9518"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50"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项目负责人：白彧豪</w:t>
            </w:r>
          </w:p>
        </w:tc>
        <w:tc>
          <w:tcPr>
            <w:tcW w:w="4240" w:type="dxa"/>
            <w:gridSpan w:val="6"/>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财务负责人：杨田</w:t>
            </w:r>
          </w:p>
        </w:tc>
      </w:tr>
    </w:tbl>
    <w:p>
      <w:pPr>
        <w:pStyle w:val="2"/>
        <w:spacing w:before="93"/>
        <w:rPr>
          <w:rFonts w:hAnsi="宋体" w:cs="宋体"/>
          <w:sz w:val="32"/>
          <w:szCs w:val="32"/>
          <w:shd w:val="clear" w:color="auto" w:fill="FFFFFF"/>
          <w:lang w:val="zh-CN"/>
        </w:rPr>
      </w:pPr>
    </w:p>
    <w:tbl>
      <w:tblPr>
        <w:tblStyle w:val="16"/>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494"/>
        <w:gridCol w:w="1102"/>
        <w:gridCol w:w="1258"/>
        <w:gridCol w:w="1526"/>
        <w:gridCol w:w="397"/>
        <w:gridCol w:w="397"/>
        <w:gridCol w:w="846"/>
        <w:gridCol w:w="488"/>
        <w:gridCol w:w="59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460" w:type="dxa"/>
            <w:gridSpan w:val="2"/>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项目名称</w:t>
            </w:r>
          </w:p>
        </w:tc>
        <w:tc>
          <w:tcPr>
            <w:tcW w:w="8030" w:type="dxa"/>
            <w:gridSpan w:val="9"/>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审计能力提升专项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trPr>
        <w:tc>
          <w:tcPr>
            <w:tcW w:w="2460" w:type="dxa"/>
            <w:gridSpan w:val="2"/>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主管部门（盖章）</w:t>
            </w:r>
          </w:p>
        </w:tc>
        <w:tc>
          <w:tcPr>
            <w:tcW w:w="4680"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广元市审计局</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实施单位（盖章）</w:t>
            </w:r>
          </w:p>
        </w:tc>
        <w:tc>
          <w:tcPr>
            <w:tcW w:w="2504" w:type="dxa"/>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66" w:type="dxa"/>
            <w:vMerge w:val="restart"/>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项目基本情况</w:t>
            </w:r>
          </w:p>
        </w:tc>
        <w:tc>
          <w:tcPr>
            <w:tcW w:w="1494" w:type="dxa"/>
            <w:vMerge w:val="restart"/>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1.项目年度目标完成情况</w:t>
            </w:r>
          </w:p>
        </w:tc>
        <w:tc>
          <w:tcPr>
            <w:tcW w:w="4680" w:type="dxa"/>
            <w:gridSpan w:val="5"/>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项目年度目标</w:t>
            </w:r>
          </w:p>
        </w:tc>
        <w:tc>
          <w:tcPr>
            <w:tcW w:w="3350" w:type="dxa"/>
            <w:gridSpan w:val="4"/>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966" w:type="dxa"/>
            <w:vMerge w:val="continue"/>
            <w:vAlign w:val="center"/>
          </w:tcPr>
          <w:p>
            <w:pPr>
              <w:widowControl/>
              <w:jc w:val="left"/>
              <w:rPr>
                <w:rFonts w:ascii="宋体" w:hAnsi="宋体" w:cs="宋体"/>
                <w:b/>
                <w:bCs/>
                <w:color w:val="000000"/>
                <w:kern w:val="0"/>
                <w:sz w:val="18"/>
                <w:szCs w:val="18"/>
              </w:rPr>
            </w:pPr>
          </w:p>
        </w:tc>
        <w:tc>
          <w:tcPr>
            <w:tcW w:w="1494" w:type="dxa"/>
            <w:vMerge w:val="continue"/>
            <w:vAlign w:val="center"/>
          </w:tcPr>
          <w:p>
            <w:pPr>
              <w:widowControl/>
              <w:jc w:val="left"/>
              <w:rPr>
                <w:rFonts w:ascii="宋体" w:hAnsi="宋体" w:cs="宋体"/>
                <w:b/>
                <w:bCs/>
                <w:color w:val="000000"/>
                <w:kern w:val="0"/>
                <w:sz w:val="18"/>
                <w:szCs w:val="18"/>
              </w:rPr>
            </w:pPr>
          </w:p>
        </w:tc>
        <w:tc>
          <w:tcPr>
            <w:tcW w:w="4680"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保障审计信息系统正常运行以及开展重点省级项目完成</w:t>
            </w:r>
          </w:p>
        </w:tc>
        <w:tc>
          <w:tcPr>
            <w:tcW w:w="3350" w:type="dxa"/>
            <w:gridSpan w:val="4"/>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聘请专业信息运维人员1人负责维护审计信息系统，2022年完成重点省级重点交叉项目1个。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66" w:type="dxa"/>
            <w:vMerge w:val="continue"/>
            <w:vAlign w:val="center"/>
          </w:tcPr>
          <w:p>
            <w:pPr>
              <w:widowControl/>
              <w:jc w:val="left"/>
              <w:rPr>
                <w:rFonts w:ascii="宋体" w:hAnsi="宋体" w:cs="宋体"/>
                <w:b/>
                <w:bCs/>
                <w:color w:val="000000"/>
                <w:kern w:val="0"/>
                <w:sz w:val="18"/>
                <w:szCs w:val="18"/>
              </w:rPr>
            </w:pPr>
          </w:p>
        </w:tc>
        <w:tc>
          <w:tcPr>
            <w:tcW w:w="1494" w:type="dxa"/>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2.项目实施内容及过程概述</w:t>
            </w:r>
          </w:p>
        </w:tc>
        <w:tc>
          <w:tcPr>
            <w:tcW w:w="8030" w:type="dxa"/>
            <w:gridSpan w:val="9"/>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保证信息运维以及审计项目正常开展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2" w:hRule="atLeast"/>
        </w:trPr>
        <w:tc>
          <w:tcPr>
            <w:tcW w:w="966" w:type="dxa"/>
            <w:vMerge w:val="restart"/>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预算执行情况（10分）</w:t>
            </w:r>
          </w:p>
        </w:tc>
        <w:tc>
          <w:tcPr>
            <w:tcW w:w="1494"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年度预算数（万元）</w:t>
            </w:r>
          </w:p>
        </w:tc>
        <w:tc>
          <w:tcPr>
            <w:tcW w:w="110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年初预算</w:t>
            </w:r>
          </w:p>
        </w:tc>
        <w:tc>
          <w:tcPr>
            <w:tcW w:w="1258"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调整后预算数</w:t>
            </w:r>
          </w:p>
        </w:tc>
        <w:tc>
          <w:tcPr>
            <w:tcW w:w="2320" w:type="dxa"/>
            <w:gridSpan w:val="3"/>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预算执行数</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预算执行率</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599"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1417"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66" w:type="dxa"/>
            <w:vMerge w:val="continue"/>
            <w:vAlign w:val="center"/>
          </w:tcPr>
          <w:p>
            <w:pPr>
              <w:widowControl/>
              <w:jc w:val="left"/>
              <w:rPr>
                <w:rFonts w:ascii="宋体" w:hAnsi="宋体" w:cs="宋体"/>
                <w:b/>
                <w:bCs/>
                <w:color w:val="000000"/>
                <w:kern w:val="0"/>
                <w:sz w:val="18"/>
                <w:szCs w:val="18"/>
              </w:rPr>
            </w:pPr>
          </w:p>
        </w:tc>
        <w:tc>
          <w:tcPr>
            <w:tcW w:w="1494"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总额</w:t>
            </w:r>
          </w:p>
        </w:tc>
        <w:tc>
          <w:tcPr>
            <w:tcW w:w="110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79.00</w:t>
            </w:r>
          </w:p>
        </w:tc>
        <w:tc>
          <w:tcPr>
            <w:tcW w:w="1258"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79.00</w:t>
            </w:r>
          </w:p>
        </w:tc>
        <w:tc>
          <w:tcPr>
            <w:tcW w:w="2320" w:type="dxa"/>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79.00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9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vMerge w:val="restar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966" w:type="dxa"/>
            <w:vMerge w:val="continue"/>
            <w:vAlign w:val="center"/>
          </w:tcPr>
          <w:p>
            <w:pPr>
              <w:widowControl/>
              <w:jc w:val="left"/>
              <w:rPr>
                <w:rFonts w:ascii="宋体" w:hAnsi="宋体" w:cs="宋体"/>
                <w:b/>
                <w:bCs/>
                <w:color w:val="000000"/>
                <w:kern w:val="0"/>
                <w:sz w:val="18"/>
                <w:szCs w:val="18"/>
              </w:rPr>
            </w:pPr>
          </w:p>
        </w:tc>
        <w:tc>
          <w:tcPr>
            <w:tcW w:w="1494"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其中：财政资金</w:t>
            </w:r>
          </w:p>
        </w:tc>
        <w:tc>
          <w:tcPr>
            <w:tcW w:w="110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79.00</w:t>
            </w:r>
          </w:p>
        </w:tc>
        <w:tc>
          <w:tcPr>
            <w:tcW w:w="1258"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79.00</w:t>
            </w:r>
          </w:p>
        </w:tc>
        <w:tc>
          <w:tcPr>
            <w:tcW w:w="2320" w:type="dxa"/>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79.00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9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17"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66" w:type="dxa"/>
            <w:vMerge w:val="continue"/>
            <w:vAlign w:val="center"/>
          </w:tcPr>
          <w:p>
            <w:pPr>
              <w:widowControl/>
              <w:jc w:val="left"/>
              <w:rPr>
                <w:rFonts w:ascii="宋体" w:hAnsi="宋体" w:cs="宋体"/>
                <w:b/>
                <w:bCs/>
                <w:color w:val="000000"/>
                <w:kern w:val="0"/>
                <w:sz w:val="18"/>
                <w:szCs w:val="18"/>
              </w:rPr>
            </w:pPr>
          </w:p>
        </w:tc>
        <w:tc>
          <w:tcPr>
            <w:tcW w:w="1494"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财政专户管理资金</w:t>
            </w:r>
          </w:p>
        </w:tc>
        <w:tc>
          <w:tcPr>
            <w:tcW w:w="110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58"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20" w:type="dxa"/>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9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17"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966" w:type="dxa"/>
            <w:vMerge w:val="continue"/>
            <w:vAlign w:val="center"/>
          </w:tcPr>
          <w:p>
            <w:pPr>
              <w:widowControl/>
              <w:jc w:val="left"/>
              <w:rPr>
                <w:rFonts w:ascii="宋体" w:hAnsi="宋体" w:cs="宋体"/>
                <w:b/>
                <w:bCs/>
                <w:color w:val="000000"/>
                <w:kern w:val="0"/>
                <w:sz w:val="18"/>
                <w:szCs w:val="18"/>
              </w:rPr>
            </w:pPr>
          </w:p>
        </w:tc>
        <w:tc>
          <w:tcPr>
            <w:tcW w:w="1494"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单位资金</w:t>
            </w:r>
          </w:p>
        </w:tc>
        <w:tc>
          <w:tcPr>
            <w:tcW w:w="110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58"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20" w:type="dxa"/>
            <w:gridSpan w:val="3"/>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9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17"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66" w:type="dxa"/>
            <w:vMerge w:val="continue"/>
            <w:vAlign w:val="center"/>
          </w:tcPr>
          <w:p>
            <w:pPr>
              <w:widowControl/>
              <w:jc w:val="left"/>
              <w:rPr>
                <w:rFonts w:ascii="宋体" w:hAnsi="宋体" w:cs="宋体"/>
                <w:b/>
                <w:bCs/>
                <w:color w:val="000000"/>
                <w:kern w:val="0"/>
                <w:sz w:val="18"/>
                <w:szCs w:val="18"/>
              </w:rPr>
            </w:pPr>
          </w:p>
        </w:tc>
        <w:tc>
          <w:tcPr>
            <w:tcW w:w="1494"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其他资金</w:t>
            </w:r>
          </w:p>
        </w:tc>
        <w:tc>
          <w:tcPr>
            <w:tcW w:w="1102" w:type="dxa"/>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258" w:type="dxa"/>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2320" w:type="dxa"/>
            <w:gridSpan w:val="3"/>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9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17"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966" w:type="dxa"/>
            <w:vMerge w:val="restart"/>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绩效指标（90分）</w:t>
            </w:r>
          </w:p>
        </w:tc>
        <w:tc>
          <w:tcPr>
            <w:tcW w:w="1494"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一级指标</w:t>
            </w:r>
          </w:p>
        </w:tc>
        <w:tc>
          <w:tcPr>
            <w:tcW w:w="1102"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258"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1526"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指标性质</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指标值</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度量单位</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完成值</w:t>
            </w:r>
          </w:p>
        </w:tc>
        <w:tc>
          <w:tcPr>
            <w:tcW w:w="0" w:type="auto"/>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599"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1417"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6" w:type="dxa"/>
            <w:vMerge w:val="continue"/>
            <w:vAlign w:val="center"/>
          </w:tcPr>
          <w:p>
            <w:pPr>
              <w:widowControl/>
              <w:jc w:val="left"/>
              <w:rPr>
                <w:rFonts w:ascii="宋体" w:hAnsi="宋体" w:cs="宋体"/>
                <w:b/>
                <w:bCs/>
                <w:color w:val="000000"/>
                <w:kern w:val="0"/>
                <w:sz w:val="18"/>
                <w:szCs w:val="18"/>
              </w:rPr>
            </w:pPr>
          </w:p>
        </w:tc>
        <w:tc>
          <w:tcPr>
            <w:tcW w:w="149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0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58"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开展省级交叉重点项目个数</w:t>
            </w:r>
          </w:p>
        </w:tc>
        <w:tc>
          <w:tcPr>
            <w:tcW w:w="152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9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6" w:type="dxa"/>
            <w:vMerge w:val="continue"/>
            <w:vAlign w:val="center"/>
          </w:tcPr>
          <w:p>
            <w:pPr>
              <w:widowControl/>
              <w:jc w:val="left"/>
              <w:rPr>
                <w:rFonts w:ascii="宋体" w:hAnsi="宋体" w:cs="宋体"/>
                <w:b/>
                <w:bCs/>
                <w:color w:val="000000"/>
                <w:kern w:val="0"/>
                <w:sz w:val="18"/>
                <w:szCs w:val="18"/>
              </w:rPr>
            </w:pPr>
          </w:p>
        </w:tc>
        <w:tc>
          <w:tcPr>
            <w:tcW w:w="149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0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58"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参加审计项目人员数量</w:t>
            </w:r>
          </w:p>
        </w:tc>
        <w:tc>
          <w:tcPr>
            <w:tcW w:w="152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9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6" w:type="dxa"/>
            <w:vMerge w:val="continue"/>
            <w:vAlign w:val="center"/>
          </w:tcPr>
          <w:p>
            <w:pPr>
              <w:widowControl/>
              <w:jc w:val="left"/>
              <w:rPr>
                <w:rFonts w:ascii="宋体" w:hAnsi="宋体" w:cs="宋体"/>
                <w:b/>
                <w:bCs/>
                <w:color w:val="000000"/>
                <w:kern w:val="0"/>
                <w:sz w:val="18"/>
                <w:szCs w:val="18"/>
              </w:rPr>
            </w:pPr>
          </w:p>
        </w:tc>
        <w:tc>
          <w:tcPr>
            <w:tcW w:w="149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0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58"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信息运维服务人员个数</w:t>
            </w:r>
          </w:p>
        </w:tc>
        <w:tc>
          <w:tcPr>
            <w:tcW w:w="152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9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6" w:type="dxa"/>
            <w:vMerge w:val="continue"/>
            <w:vAlign w:val="center"/>
          </w:tcPr>
          <w:p>
            <w:pPr>
              <w:widowControl/>
              <w:jc w:val="left"/>
              <w:rPr>
                <w:rFonts w:ascii="宋体" w:hAnsi="宋体" w:cs="宋体"/>
                <w:b/>
                <w:bCs/>
                <w:color w:val="000000"/>
                <w:kern w:val="0"/>
                <w:sz w:val="18"/>
                <w:szCs w:val="18"/>
              </w:rPr>
            </w:pPr>
          </w:p>
        </w:tc>
        <w:tc>
          <w:tcPr>
            <w:tcW w:w="149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0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58"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审计报告质量</w:t>
            </w:r>
          </w:p>
        </w:tc>
        <w:tc>
          <w:tcPr>
            <w:tcW w:w="152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9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6" w:type="dxa"/>
            <w:vMerge w:val="continue"/>
            <w:vAlign w:val="center"/>
          </w:tcPr>
          <w:p>
            <w:pPr>
              <w:widowControl/>
              <w:jc w:val="left"/>
              <w:rPr>
                <w:rFonts w:ascii="宋体" w:hAnsi="宋体" w:cs="宋体"/>
                <w:b/>
                <w:bCs/>
                <w:color w:val="000000"/>
                <w:kern w:val="0"/>
                <w:sz w:val="18"/>
                <w:szCs w:val="18"/>
              </w:rPr>
            </w:pPr>
          </w:p>
        </w:tc>
        <w:tc>
          <w:tcPr>
            <w:tcW w:w="149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0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58"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开展交叉项目审计时间</w:t>
            </w:r>
          </w:p>
        </w:tc>
        <w:tc>
          <w:tcPr>
            <w:tcW w:w="152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月</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9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6" w:type="dxa"/>
            <w:vMerge w:val="continue"/>
            <w:vAlign w:val="center"/>
          </w:tcPr>
          <w:p>
            <w:pPr>
              <w:widowControl/>
              <w:jc w:val="left"/>
              <w:rPr>
                <w:rFonts w:ascii="宋体" w:hAnsi="宋体" w:cs="宋体"/>
                <w:b/>
                <w:bCs/>
                <w:color w:val="000000"/>
                <w:kern w:val="0"/>
                <w:sz w:val="18"/>
                <w:szCs w:val="18"/>
              </w:rPr>
            </w:pPr>
          </w:p>
        </w:tc>
        <w:tc>
          <w:tcPr>
            <w:tcW w:w="149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0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258"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审计促使出台相关政策制度</w:t>
            </w:r>
          </w:p>
        </w:tc>
        <w:tc>
          <w:tcPr>
            <w:tcW w:w="152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9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6" w:type="dxa"/>
            <w:vMerge w:val="continue"/>
            <w:vAlign w:val="center"/>
          </w:tcPr>
          <w:p>
            <w:pPr>
              <w:widowControl/>
              <w:jc w:val="left"/>
              <w:rPr>
                <w:rFonts w:ascii="宋体" w:hAnsi="宋体" w:cs="宋体"/>
                <w:b/>
                <w:bCs/>
                <w:color w:val="000000"/>
                <w:kern w:val="0"/>
                <w:sz w:val="18"/>
                <w:szCs w:val="18"/>
              </w:rPr>
            </w:pPr>
          </w:p>
        </w:tc>
        <w:tc>
          <w:tcPr>
            <w:tcW w:w="149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10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258"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被审计单位满意度</w:t>
            </w:r>
          </w:p>
        </w:tc>
        <w:tc>
          <w:tcPr>
            <w:tcW w:w="152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9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6" w:type="dxa"/>
            <w:vMerge w:val="continue"/>
            <w:vAlign w:val="center"/>
          </w:tcPr>
          <w:p>
            <w:pPr>
              <w:widowControl/>
              <w:jc w:val="left"/>
              <w:rPr>
                <w:rFonts w:ascii="宋体" w:hAnsi="宋体" w:cs="宋体"/>
                <w:b/>
                <w:bCs/>
                <w:color w:val="000000"/>
                <w:kern w:val="0"/>
                <w:sz w:val="18"/>
                <w:szCs w:val="18"/>
              </w:rPr>
            </w:pPr>
          </w:p>
        </w:tc>
        <w:tc>
          <w:tcPr>
            <w:tcW w:w="149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10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258"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开展重点交叉审计项目经费</w:t>
            </w:r>
          </w:p>
        </w:tc>
        <w:tc>
          <w:tcPr>
            <w:tcW w:w="152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9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6" w:type="dxa"/>
            <w:vMerge w:val="continue"/>
            <w:vAlign w:val="center"/>
          </w:tcPr>
          <w:p>
            <w:pPr>
              <w:widowControl/>
              <w:jc w:val="left"/>
              <w:rPr>
                <w:rFonts w:ascii="宋体" w:hAnsi="宋体" w:cs="宋体"/>
                <w:b/>
                <w:bCs/>
                <w:color w:val="000000"/>
                <w:kern w:val="0"/>
                <w:sz w:val="18"/>
                <w:szCs w:val="18"/>
              </w:rPr>
            </w:pPr>
          </w:p>
        </w:tc>
        <w:tc>
          <w:tcPr>
            <w:tcW w:w="1494"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102"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258"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年度信息运维服务费</w:t>
            </w:r>
          </w:p>
        </w:tc>
        <w:tc>
          <w:tcPr>
            <w:tcW w:w="1526"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99"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7986" w:type="dxa"/>
            <w:gridSpan w:val="8"/>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0" w:type="auto"/>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99"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100</w:t>
            </w:r>
          </w:p>
        </w:tc>
        <w:tc>
          <w:tcPr>
            <w:tcW w:w="141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66"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部门（单位）自评结论</w:t>
            </w:r>
          </w:p>
        </w:tc>
        <w:tc>
          <w:tcPr>
            <w:tcW w:w="9524"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完成情况较好，自评得分100分。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9" w:hRule="atLeast"/>
        </w:trPr>
        <w:tc>
          <w:tcPr>
            <w:tcW w:w="966"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部门（单位）自评存在问题</w:t>
            </w:r>
          </w:p>
        </w:tc>
        <w:tc>
          <w:tcPr>
            <w:tcW w:w="9524"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66" w:type="dxa"/>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部门（单位）自评改进措施</w:t>
            </w:r>
          </w:p>
        </w:tc>
        <w:tc>
          <w:tcPr>
            <w:tcW w:w="9524" w:type="dxa"/>
            <w:gridSpan w:val="10"/>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6346" w:type="dxa"/>
            <w:gridSpan w:val="5"/>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项目负责人：杨田</w:t>
            </w:r>
          </w:p>
        </w:tc>
        <w:tc>
          <w:tcPr>
            <w:tcW w:w="4144" w:type="dxa"/>
            <w:gridSpan w:val="6"/>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财务负责人：杨田</w:t>
            </w:r>
          </w:p>
        </w:tc>
      </w:tr>
    </w:tbl>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sz w:val="44"/>
          <w:szCs w:val="44"/>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pPr>
        <w:pStyle w:val="35"/>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2022年审计能力提升</w:t>
      </w:r>
    </w:p>
    <w:p>
      <w:pPr>
        <w:pStyle w:val="35"/>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专项预算项目绩效自评报告</w:t>
      </w:r>
    </w:p>
    <w:p>
      <w:pPr>
        <w:pStyle w:val="35"/>
        <w:spacing w:line="578" w:lineRule="exact"/>
        <w:ind w:firstLine="640"/>
        <w:jc w:val="center"/>
        <w:rPr>
          <w:rFonts w:ascii="宋体" w:hAnsi="宋体"/>
          <w:color w:val="auto"/>
          <w:kern w:val="2"/>
          <w:sz w:val="32"/>
          <w:szCs w:val="32"/>
          <w:lang w:val="en-US"/>
        </w:rPr>
      </w:pPr>
    </w:p>
    <w:p>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1．说明项目主管部门（单位）在该项目管理中的职能。</w:t>
      </w:r>
    </w:p>
    <w:p>
      <w:pPr>
        <w:pStyle w:val="15"/>
        <w:spacing w:before="93"/>
        <w:ind w:left="0" w:leftChars="0" w:firstLine="640"/>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对该项资金加强监管、专款专用、发挥资金使用效益。</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2．项目立项、资金申报的依据</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为保障基层审计信息系统正常稳定的运行以及重点审计项目或者省级任务顺利完成。</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3．资金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管理办法制定情况，资金支持具体项目的条件、范围与支持方式概况。</w:t>
      </w:r>
      <w:r>
        <w:rPr>
          <w:rFonts w:hint="eastAsia" w:ascii="仿宋_GB2312" w:hAnsi="仿宋_GB2312" w:eastAsia="仿宋_GB2312" w:cs="仿宋_GB2312"/>
          <w:kern w:val="0"/>
          <w:sz w:val="32"/>
          <w:szCs w:val="32"/>
          <w:shd w:val="clear" w:color="auto" w:fill="FFFFFF"/>
        </w:rPr>
        <w:t>附资金或项目管理办法。</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审计专项能力提升项目分为两个部分，一部分是信息系统运维补助金额为14万，一部分为重点省级项目或省级任务金额为65万；信息系统运维费一个季度支付一次，为运维人员的劳务费，审计项目经费根据实际发生的报销，包括审计人员的差旅补助、住宿及交通费。</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4．资金分配的原则及考虑因素。</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审计专项能力提升项目分为两个部分，一部分是信息系统运维补助金额为14万，一部分为重点省级项目或省级任务金额为65万；信息系统运维费一个季度支付一次，审计项目经费根据实际发生的报销。</w:t>
      </w:r>
    </w:p>
    <w:p>
      <w:pPr>
        <w:pStyle w:val="2"/>
        <w:spacing w:before="93"/>
      </w:pP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1．项目主要内容。</w:t>
      </w:r>
    </w:p>
    <w:p>
      <w:pPr>
        <w:tabs>
          <w:tab w:val="center" w:pos="4742"/>
        </w:tabs>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保障基层审计信息系统正常稳定的运行以及组织开展重点审计项目</w:t>
      </w:r>
      <w:r>
        <w:rPr>
          <w:rFonts w:ascii="仿宋_GB2312" w:hAnsi="仿宋_GB2312" w:eastAsia="仿宋_GB2312" w:cs="仿宋_GB2312"/>
          <w:kern w:val="0"/>
          <w:sz w:val="32"/>
          <w:szCs w:val="32"/>
          <w:shd w:val="clear" w:color="auto" w:fill="FFFFFF"/>
          <w:lang w:val="zh-CN"/>
        </w:rPr>
        <w:t>或省级任务。</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2．项目应实现的具体绩效目标，</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：绩效</w:t>
      </w:r>
      <w:r>
        <w:rPr>
          <w:rFonts w:hint="eastAsia" w:ascii="仿宋_GB2312" w:hAnsi="仿宋_GB2312" w:eastAsia="仿宋_GB2312" w:cs="仿宋_GB2312"/>
          <w:kern w:val="0"/>
          <w:sz w:val="32"/>
          <w:szCs w:val="32"/>
          <w:shd w:val="clear" w:color="auto" w:fill="FFFFFF"/>
          <w:lang w:val="zh-CN"/>
        </w:rPr>
        <w:t>目标的量化细化情况</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项目实施进度计划等。</w:t>
      </w:r>
    </w:p>
    <w:p>
      <w:pPr>
        <w:adjustRightInd w:val="0"/>
        <w:snapToGrid w:val="0"/>
        <w:spacing w:line="600"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审计专项能力提升项目设置了数量指标、质量指标、成本指标、时效指标以及满意度指标，审计项目的实施进度按照要求进行。</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3．分析评价申报内容是否与实际相符，申报目标是否合理可行。</w:t>
      </w:r>
    </w:p>
    <w:p>
      <w:pPr>
        <w:adjustRightInd w:val="0"/>
        <w:snapToGrid w:val="0"/>
        <w:spacing w:line="600"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申报内容与实际相符，申报目标合理可行。</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市审计局高度重视支出绩效评价工作，按照文件精神，由财务室负责实施，分管财务领导审核把关。以相关业务科室提供的审计项目资料为基础，认真审核和核对，再结合专项资金预算项目支出绩效目标自评表中的绩效指标的得分情况，分析得出自评结果，形成自评结论。</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578"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审计专项能力提升项目是审计转项转移支付资金，由市审计局编制绩效目标申报表，然后交由市财政局审核。</w:t>
      </w:r>
    </w:p>
    <w:p>
      <w:pPr>
        <w:pStyle w:val="2"/>
        <w:spacing w:before="93"/>
        <w:rPr>
          <w:lang w:val="zh-CN"/>
        </w:rPr>
      </w:pPr>
    </w:p>
    <w:p>
      <w:pPr>
        <w:adjustRightInd w:val="0"/>
        <w:snapToGrid w:val="0"/>
        <w:spacing w:line="578" w:lineRule="exact"/>
        <w:ind w:firstLine="720"/>
        <w:rPr>
          <w:rFonts w:ascii="仿宋_GB2312" w:hAnsi="宋体"/>
          <w:sz w:val="32"/>
          <w:szCs w:val="32"/>
        </w:rPr>
      </w:pPr>
      <w:r>
        <w:rPr>
          <w:rFonts w:hint="eastAsia" w:ascii="楷体_GB2312" w:hAnsi="宋体" w:eastAsia="楷体_GB2312"/>
          <w:b/>
          <w:sz w:val="32"/>
          <w:szCs w:val="32"/>
          <w:lang w:val="zh-CN"/>
        </w:rPr>
        <w:t>（二）资金计划、到位及使用情况</w:t>
      </w:r>
      <w:r>
        <w:rPr>
          <w:rFonts w:ascii="楷体_GB2312" w:hAnsi="宋体" w:eastAsia="楷体_GB2312"/>
          <w:b/>
          <w:sz w:val="32"/>
          <w:szCs w:val="32"/>
        </w:rPr>
        <w:t>。</w:t>
      </w:r>
    </w:p>
    <w:p>
      <w:pPr>
        <w:adjustRightInd w:val="0"/>
        <w:snapToGrid w:val="0"/>
        <w:spacing w:line="600" w:lineRule="exact"/>
        <w:ind w:firstLine="720"/>
        <w:rPr>
          <w:rFonts w:ascii="仿宋_GB2312" w:hAnsi="宋体"/>
          <w:lang w:val="zh-CN"/>
        </w:rPr>
      </w:pPr>
      <w:r>
        <w:rPr>
          <w:rFonts w:hint="eastAsia" w:ascii="仿宋_GB2312" w:hAnsi="仿宋_GB2312" w:eastAsia="仿宋_GB2312" w:cs="仿宋_GB2312"/>
          <w:kern w:val="0"/>
          <w:sz w:val="32"/>
          <w:szCs w:val="32"/>
          <w:shd w:val="clear" w:color="auto" w:fill="FFFFFF"/>
          <w:lang w:val="zh-CN"/>
        </w:rPr>
        <w:t>1．资金计划。审计专项能力提升项目资金79万元，由市财政局全额拨款。</w:t>
      </w:r>
    </w:p>
    <w:p>
      <w:pPr>
        <w:adjustRightInd w:val="0"/>
        <w:snapToGrid w:val="0"/>
        <w:spacing w:line="600"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2．资金到位。审计专项能力提升项目资金79万元，由市财政局一次性拨款。</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使用。审计专项能力提升项目分为两个部分，一部分是信息系统运维补助金额为14万，一部分为重点省级项目或省级任务金额为65万；信息系统运维费一个季度支付一次，为运维人员的劳务费，审计项目经费根据实际发生的报销，包括审计人员的差旅补助、住宿及交通费。</w:t>
      </w:r>
    </w:p>
    <w:p>
      <w:pPr>
        <w:widowControl/>
        <w:adjustRightInd w:val="0"/>
        <w:snapToGrid w:val="0"/>
        <w:spacing w:line="578" w:lineRule="exact"/>
        <w:ind w:firstLine="642" w:firstLineChars="200"/>
        <w:contextualSpacing/>
        <w:jc w:val="left"/>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市审计局财务管理制度健全，严格执行财务管理制度，账务处理及时，会计核算规范。</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78" w:lineRule="exact"/>
        <w:ind w:firstLine="642" w:firstLineChars="200"/>
        <w:contextualSpacing/>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b/>
          <w:sz w:val="32"/>
          <w:szCs w:val="32"/>
          <w:lang w:val="zh-CN"/>
        </w:rPr>
        <w:t>（一）项目组织架构及实施流程。</w:t>
      </w:r>
      <w:r>
        <w:rPr>
          <w:rFonts w:hint="eastAsia" w:ascii="仿宋_GB2312" w:hAnsi="仿宋_GB2312" w:eastAsia="仿宋_GB2312" w:cs="仿宋_GB2312"/>
          <w:kern w:val="0"/>
          <w:sz w:val="32"/>
          <w:szCs w:val="32"/>
          <w:shd w:val="clear" w:color="auto" w:fill="FFFFFF"/>
          <w:lang w:val="zh-CN"/>
        </w:rPr>
        <w:t>审计专项能力提升项目分为两个部分，一部分是信息系统运维补助金额为14万，一部分为重点省级项目或省级任务金额为65万；信息系统运维费一个季度支付一次，为运维人员的劳务费，审计项目经费根据实际发生的报销，包括审计人员的差旅补助、住宿及交通费。</w:t>
      </w:r>
    </w:p>
    <w:p>
      <w:pPr>
        <w:adjustRightInd w:val="0"/>
        <w:snapToGrid w:val="0"/>
        <w:spacing w:line="600" w:lineRule="exact"/>
        <w:ind w:firstLine="720"/>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b/>
          <w:sz w:val="32"/>
          <w:szCs w:val="32"/>
          <w:lang w:val="zh-CN"/>
        </w:rPr>
        <w:t>（二）项目管理情况。</w:t>
      </w:r>
      <w:r>
        <w:rPr>
          <w:rFonts w:hint="eastAsia" w:ascii="仿宋_GB2312" w:hAnsi="仿宋_GB2312" w:eastAsia="仿宋_GB2312" w:cs="仿宋_GB2312"/>
          <w:kern w:val="0"/>
          <w:sz w:val="32"/>
          <w:szCs w:val="32"/>
          <w:shd w:val="clear" w:color="auto" w:fill="FFFFFF"/>
          <w:lang w:val="zh-CN"/>
        </w:rPr>
        <w:t>审计专项能力提升项目在实施过程中严格执行相关法律法规及项目管理制度等相关规定。</w:t>
      </w:r>
    </w:p>
    <w:p>
      <w:pPr>
        <w:adjustRightInd w:val="0"/>
        <w:snapToGrid w:val="0"/>
        <w:spacing w:line="578" w:lineRule="exact"/>
        <w:ind w:firstLine="642" w:firstLineChars="200"/>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b/>
          <w:sz w:val="32"/>
          <w:szCs w:val="32"/>
          <w:lang w:val="zh-CN"/>
        </w:rPr>
        <w:t>（三）项目监管情况。</w:t>
      </w:r>
      <w:r>
        <w:rPr>
          <w:rFonts w:hint="eastAsia" w:ascii="仿宋_GB2312" w:hAnsi="仿宋_GB2312" w:eastAsia="仿宋_GB2312" w:cs="仿宋_GB2312"/>
          <w:kern w:val="0"/>
          <w:sz w:val="32"/>
          <w:szCs w:val="32"/>
          <w:shd w:val="clear" w:color="auto" w:fill="FFFFFF"/>
          <w:lang w:val="zh-CN"/>
        </w:rPr>
        <w:t>市审计局对审计专项能力提升项目经费进行严格监管，用于支付信息运维服务费及完成重点省级项目或省级任务项目的工作经费及审计人员的差旅费，确保专款专用，充分发挥资金效益。</w:t>
      </w:r>
    </w:p>
    <w:p>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截至评价时点，2022年市审计局开展省厅授权交叉项目1个，预算执行率100%，相关绩效指标完成情况良好。</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tbl>
      <w:tblPr>
        <w:tblStyle w:val="16"/>
        <w:tblpPr w:leftFromText="180" w:rightFromText="180" w:vertAnchor="text" w:horzAnchor="margin" w:tblpY="664"/>
        <w:tblW w:w="9014" w:type="dxa"/>
        <w:tblInd w:w="0" w:type="dxa"/>
        <w:tblLayout w:type="autofit"/>
        <w:tblCellMar>
          <w:top w:w="0" w:type="dxa"/>
          <w:left w:w="108" w:type="dxa"/>
          <w:bottom w:w="0" w:type="dxa"/>
          <w:right w:w="108" w:type="dxa"/>
        </w:tblCellMar>
      </w:tblPr>
      <w:tblGrid>
        <w:gridCol w:w="1098"/>
        <w:gridCol w:w="1420"/>
        <w:gridCol w:w="1985"/>
        <w:gridCol w:w="750"/>
        <w:gridCol w:w="1129"/>
        <w:gridCol w:w="1097"/>
        <w:gridCol w:w="1134"/>
        <w:gridCol w:w="401"/>
      </w:tblGrid>
      <w:tr>
        <w:tblPrEx>
          <w:tblCellMar>
            <w:top w:w="0" w:type="dxa"/>
            <w:left w:w="108" w:type="dxa"/>
            <w:bottom w:w="0" w:type="dxa"/>
            <w:right w:w="108" w:type="dxa"/>
          </w:tblCellMar>
        </w:tblPrEx>
        <w:trPr>
          <w:gridAfter w:val="1"/>
          <w:wAfter w:w="401" w:type="dxa"/>
          <w:trHeight w:val="729" w:hRule="atLeast"/>
        </w:trPr>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一级指标</w:t>
            </w:r>
          </w:p>
        </w:tc>
        <w:tc>
          <w:tcPr>
            <w:tcW w:w="14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7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指标性质</w:t>
            </w:r>
          </w:p>
        </w:tc>
        <w:tc>
          <w:tcPr>
            <w:tcW w:w="11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指标值</w:t>
            </w:r>
          </w:p>
        </w:tc>
        <w:tc>
          <w:tcPr>
            <w:tcW w:w="10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度量单位</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完成值</w:t>
            </w:r>
          </w:p>
        </w:tc>
      </w:tr>
      <w:tr>
        <w:tblPrEx>
          <w:tblCellMar>
            <w:top w:w="0" w:type="dxa"/>
            <w:left w:w="108" w:type="dxa"/>
            <w:bottom w:w="0" w:type="dxa"/>
            <w:right w:w="108" w:type="dxa"/>
          </w:tblCellMar>
        </w:tblPrEx>
        <w:trPr>
          <w:trHeight w:val="273" w:hRule="atLeast"/>
        </w:trPr>
        <w:tc>
          <w:tcPr>
            <w:tcW w:w="10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开展省级交叉重点项目个数</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401" w:type="dxa"/>
            <w:vAlign w:val="center"/>
          </w:tcPr>
          <w:p>
            <w:pPr>
              <w:widowControl/>
              <w:jc w:val="center"/>
              <w:rPr>
                <w:rFonts w:ascii="宋体" w:hAnsi="宋体" w:cs="宋体"/>
                <w:b/>
                <w:bCs/>
                <w:color w:val="000000"/>
                <w:kern w:val="0"/>
                <w:sz w:val="18"/>
                <w:szCs w:val="18"/>
              </w:rPr>
            </w:pPr>
          </w:p>
        </w:tc>
      </w:tr>
      <w:tr>
        <w:trPr>
          <w:gridAfter w:val="1"/>
          <w:wAfter w:w="401" w:type="dxa"/>
          <w:trHeight w:val="273" w:hRule="atLeast"/>
        </w:trPr>
        <w:tc>
          <w:tcPr>
            <w:tcW w:w="10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参加审计项目人员数量</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w:t>
            </w:r>
          </w:p>
        </w:tc>
      </w:tr>
      <w:tr>
        <w:trPr>
          <w:gridAfter w:val="1"/>
          <w:wAfter w:w="401" w:type="dxa"/>
          <w:trHeight w:val="273" w:hRule="atLeast"/>
        </w:trPr>
        <w:tc>
          <w:tcPr>
            <w:tcW w:w="10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信息运维服务人员个数</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CellMar>
            <w:top w:w="0" w:type="dxa"/>
            <w:left w:w="108" w:type="dxa"/>
            <w:bottom w:w="0" w:type="dxa"/>
            <w:right w:w="108" w:type="dxa"/>
          </w:tblCellMar>
        </w:tblPrEx>
        <w:trPr>
          <w:gridAfter w:val="1"/>
          <w:wAfter w:w="401" w:type="dxa"/>
          <w:trHeight w:val="273" w:hRule="atLeast"/>
        </w:trPr>
        <w:tc>
          <w:tcPr>
            <w:tcW w:w="10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审计报告质量</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1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合格</w:t>
            </w:r>
          </w:p>
        </w:tc>
      </w:tr>
      <w:tr>
        <w:tblPrEx>
          <w:tblCellMar>
            <w:top w:w="0" w:type="dxa"/>
            <w:left w:w="108" w:type="dxa"/>
            <w:bottom w:w="0" w:type="dxa"/>
            <w:right w:w="108" w:type="dxa"/>
          </w:tblCellMar>
        </w:tblPrEx>
        <w:trPr>
          <w:gridAfter w:val="1"/>
          <w:wAfter w:w="401" w:type="dxa"/>
          <w:trHeight w:val="273" w:hRule="atLeast"/>
        </w:trPr>
        <w:tc>
          <w:tcPr>
            <w:tcW w:w="10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开展交叉项目审计时间</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月</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r>
      <w:tr>
        <w:trPr>
          <w:gridAfter w:val="1"/>
          <w:wAfter w:w="401" w:type="dxa"/>
          <w:trHeight w:val="273" w:hRule="atLeast"/>
        </w:trPr>
        <w:tc>
          <w:tcPr>
            <w:tcW w:w="10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审计促使出台相关政策制度</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r>
      <w:tr>
        <w:trPr>
          <w:gridAfter w:val="1"/>
          <w:wAfter w:w="401" w:type="dxa"/>
          <w:trHeight w:val="273" w:hRule="atLeast"/>
        </w:trPr>
        <w:tc>
          <w:tcPr>
            <w:tcW w:w="10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被审计单位满意度</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r>
      <w:tr>
        <w:tblPrEx>
          <w:tblCellMar>
            <w:top w:w="0" w:type="dxa"/>
            <w:left w:w="108" w:type="dxa"/>
            <w:bottom w:w="0" w:type="dxa"/>
            <w:right w:w="108" w:type="dxa"/>
          </w:tblCellMar>
        </w:tblPrEx>
        <w:trPr>
          <w:gridAfter w:val="1"/>
          <w:wAfter w:w="401" w:type="dxa"/>
          <w:trHeight w:val="847" w:hRule="atLeast"/>
        </w:trPr>
        <w:tc>
          <w:tcPr>
            <w:tcW w:w="10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开展重点交叉审计项目经费</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r>
      <w:tr>
        <w:tblPrEx>
          <w:tblCellMar>
            <w:top w:w="0" w:type="dxa"/>
            <w:left w:w="108" w:type="dxa"/>
            <w:bottom w:w="0" w:type="dxa"/>
            <w:right w:w="108" w:type="dxa"/>
          </w:tblCellMar>
        </w:tblPrEx>
        <w:trPr>
          <w:gridAfter w:val="1"/>
          <w:wAfter w:w="401" w:type="dxa"/>
          <w:trHeight w:val="273" w:hRule="atLeast"/>
        </w:trPr>
        <w:tc>
          <w:tcPr>
            <w:tcW w:w="10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年度信息运维服务费</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r>
    </w:tbl>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市审计局年度目标任务完成良好，严格</w:t>
      </w:r>
      <w:r>
        <w:rPr>
          <w:rFonts w:ascii="仿宋_GB2312" w:hAnsi="仿宋_GB2312" w:eastAsia="仿宋_GB2312" w:cs="仿宋_GB2312"/>
          <w:kern w:val="0"/>
          <w:sz w:val="32"/>
          <w:szCs w:val="32"/>
          <w:shd w:val="clear" w:color="auto" w:fill="FFFFFF"/>
          <w:lang w:val="zh-CN"/>
        </w:rPr>
        <w:t>按照财政绩效管理要求</w:t>
      </w:r>
      <w:r>
        <w:rPr>
          <w:rFonts w:hint="eastAsia" w:ascii="仿宋_GB2312" w:hAnsi="仿宋_GB2312" w:eastAsia="仿宋_GB2312" w:cs="仿宋_GB2312"/>
          <w:kern w:val="0"/>
          <w:sz w:val="32"/>
          <w:szCs w:val="32"/>
          <w:shd w:val="clear" w:color="auto" w:fill="FFFFFF"/>
          <w:lang w:val="zh-CN"/>
        </w:rPr>
        <w:t>制定并执行</w:t>
      </w:r>
      <w:r>
        <w:rPr>
          <w:rFonts w:ascii="仿宋_GB2312" w:hAnsi="仿宋_GB2312" w:eastAsia="仿宋_GB2312" w:cs="仿宋_GB2312"/>
          <w:kern w:val="0"/>
          <w:sz w:val="32"/>
          <w:szCs w:val="32"/>
          <w:shd w:val="clear" w:color="auto" w:fill="FFFFFF"/>
          <w:lang w:val="zh-CN"/>
        </w:rPr>
        <w:t>绩效目标，</w:t>
      </w:r>
      <w:r>
        <w:rPr>
          <w:rFonts w:hint="eastAsia" w:ascii="仿宋_GB2312" w:hAnsi="仿宋_GB2312" w:eastAsia="仿宋_GB2312" w:cs="仿宋_GB2312"/>
          <w:kern w:val="0"/>
          <w:sz w:val="32"/>
          <w:szCs w:val="32"/>
          <w:shd w:val="clear" w:color="auto" w:fill="FFFFFF"/>
          <w:lang w:val="zh-CN"/>
        </w:rPr>
        <w:t>且绩效</w:t>
      </w:r>
      <w:r>
        <w:rPr>
          <w:rFonts w:ascii="仿宋_GB2312" w:hAnsi="仿宋_GB2312" w:eastAsia="仿宋_GB2312" w:cs="仿宋_GB2312"/>
          <w:kern w:val="0"/>
          <w:sz w:val="32"/>
          <w:szCs w:val="32"/>
          <w:shd w:val="clear" w:color="auto" w:fill="FFFFFF"/>
          <w:lang w:val="zh-CN"/>
        </w:rPr>
        <w:t>目标真实、可行、科学</w:t>
      </w:r>
      <w:r>
        <w:rPr>
          <w:rFonts w:hint="eastAsia" w:ascii="仿宋_GB2312" w:hAnsi="仿宋_GB2312" w:eastAsia="仿宋_GB2312" w:cs="仿宋_GB2312"/>
          <w:kern w:val="0"/>
          <w:sz w:val="32"/>
          <w:szCs w:val="32"/>
          <w:shd w:val="clear" w:color="auto" w:fill="FFFFFF"/>
          <w:lang w:val="zh-CN"/>
        </w:rPr>
        <w:t>。预算编制规范合理，预算执行收支平衡，审计专项能力提升项目资金管理合法合规，项目资金专款专并保证了</w:t>
      </w:r>
      <w:r>
        <w:rPr>
          <w:rFonts w:ascii="仿宋_GB2312" w:hAnsi="仿宋_GB2312" w:eastAsia="仿宋_GB2312" w:cs="仿宋_GB2312"/>
          <w:kern w:val="0"/>
          <w:sz w:val="32"/>
          <w:szCs w:val="32"/>
          <w:shd w:val="clear" w:color="auto" w:fill="FFFFFF"/>
          <w:lang w:val="zh-CN"/>
        </w:rPr>
        <w:t>审计工作顺利完成，</w:t>
      </w:r>
      <w:r>
        <w:rPr>
          <w:rFonts w:hint="eastAsia" w:ascii="仿宋_GB2312" w:hAnsi="仿宋_GB2312" w:eastAsia="仿宋_GB2312" w:cs="仿宋_GB2312"/>
          <w:kern w:val="0"/>
          <w:sz w:val="32"/>
          <w:szCs w:val="32"/>
          <w:shd w:val="clear" w:color="auto" w:fill="FFFFFF"/>
          <w:lang w:val="zh-CN"/>
        </w:rPr>
        <w:t>全年按照</w:t>
      </w:r>
      <w:r>
        <w:rPr>
          <w:rFonts w:ascii="仿宋_GB2312" w:hAnsi="仿宋_GB2312" w:eastAsia="仿宋_GB2312" w:cs="仿宋_GB2312"/>
          <w:kern w:val="0"/>
          <w:sz w:val="32"/>
          <w:szCs w:val="32"/>
          <w:shd w:val="clear" w:color="auto" w:fill="FFFFFF"/>
          <w:lang w:val="zh-CN"/>
        </w:rPr>
        <w:t>市财政局国库动态监控预警使用</w:t>
      </w:r>
      <w:r>
        <w:rPr>
          <w:rFonts w:hint="eastAsia" w:ascii="仿宋_GB2312" w:hAnsi="仿宋_GB2312" w:eastAsia="仿宋_GB2312" w:cs="仿宋_GB2312"/>
          <w:kern w:val="0"/>
          <w:sz w:val="32"/>
          <w:szCs w:val="32"/>
          <w:shd w:val="clear" w:color="auto" w:fill="FFFFFF"/>
          <w:lang w:val="zh-CN"/>
        </w:rPr>
        <w:t>项目</w:t>
      </w:r>
      <w:r>
        <w:rPr>
          <w:rFonts w:ascii="仿宋_GB2312" w:hAnsi="仿宋_GB2312" w:eastAsia="仿宋_GB2312" w:cs="仿宋_GB2312"/>
          <w:kern w:val="0"/>
          <w:sz w:val="32"/>
          <w:szCs w:val="32"/>
          <w:shd w:val="clear" w:color="auto" w:fill="FFFFFF"/>
          <w:lang w:val="zh-CN"/>
        </w:rPr>
        <w:t>资金无违规支付行为</w:t>
      </w:r>
      <w:r>
        <w:rPr>
          <w:rFonts w:hint="eastAsia" w:ascii="仿宋_GB2312" w:hAnsi="仿宋_GB2312" w:eastAsia="仿宋_GB2312" w:cs="仿宋_GB2312"/>
          <w:kern w:val="0"/>
          <w:sz w:val="32"/>
          <w:szCs w:val="32"/>
          <w:shd w:val="clear" w:color="auto" w:fill="FFFFFF"/>
          <w:lang w:val="zh-CN"/>
        </w:rPr>
        <w:t>，</w:t>
      </w:r>
      <w:r>
        <w:rPr>
          <w:rFonts w:ascii="仿宋_GB2312" w:hAnsi="仿宋_GB2312" w:eastAsia="仿宋_GB2312" w:cs="仿宋_GB2312"/>
          <w:kern w:val="0"/>
          <w:sz w:val="32"/>
          <w:szCs w:val="32"/>
          <w:shd w:val="clear" w:color="auto" w:fill="FFFFFF"/>
          <w:lang w:val="zh-CN"/>
        </w:rPr>
        <w:t>目标执行</w:t>
      </w:r>
      <w:r>
        <w:rPr>
          <w:rFonts w:hint="eastAsia" w:ascii="仿宋_GB2312" w:hAnsi="仿宋_GB2312" w:eastAsia="仿宋_GB2312" w:cs="仿宋_GB2312"/>
          <w:kern w:val="0"/>
          <w:sz w:val="32"/>
          <w:szCs w:val="32"/>
          <w:shd w:val="clear" w:color="auto" w:fill="FFFFFF"/>
          <w:lang w:val="zh-CN"/>
        </w:rPr>
        <w:t>良好，自评得分100分。</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经自评表明，市审计局年度目标任务完成良好，项目预算编制规范合理，预算执行良好，项目资金管理合法合规。</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576"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进一步加强项目绩效管理机制，抓好项目资金绩效目标编制，结合项目实际情况，通过业务、财务两条线编制绩效指标，让指标更加精细化。</w:t>
      </w:r>
    </w:p>
    <w:p>
      <w:pPr>
        <w:spacing w:line="580" w:lineRule="exact"/>
        <w:rPr>
          <w:rStyle w:val="20"/>
          <w:rFonts w:ascii="黑体" w:hAnsi="黑体" w:eastAsia="黑体"/>
          <w:b w:val="0"/>
        </w:rPr>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widowControl/>
        <w:jc w:val="left"/>
        <w:rPr>
          <w:rStyle w:val="20"/>
          <w:rFonts w:ascii="黑体" w:hAnsi="黑体" w:eastAsia="黑体"/>
          <w:b w:val="0"/>
        </w:rPr>
      </w:pPr>
    </w:p>
    <w:p>
      <w:pPr>
        <w:spacing w:line="600" w:lineRule="exact"/>
        <w:jc w:val="center"/>
        <w:outlineLvl w:val="0"/>
        <w:rPr>
          <w:rFonts w:ascii="仿宋" w:hAnsi="仿宋" w:eastAsia="仿宋"/>
        </w:rPr>
      </w:pPr>
      <w:bookmarkStart w:id="92" w:name="_Toc146189932"/>
      <w:bookmarkStart w:id="93" w:name="_Toc15396618"/>
      <w:r>
        <w:rPr>
          <w:rFonts w:hint="eastAsia" w:ascii="黑体" w:hAnsi="黑体" w:eastAsia="黑体"/>
          <w:sz w:val="44"/>
          <w:szCs w:val="44"/>
        </w:rPr>
        <w:t>第</w:t>
      </w:r>
      <w:r>
        <w:rPr>
          <w:rStyle w:val="20"/>
          <w:rFonts w:hint="eastAsia" w:ascii="黑体" w:hAnsi="黑体" w:eastAsia="黑体"/>
          <w:b w:val="0"/>
        </w:rPr>
        <w:t>五部分附表</w:t>
      </w:r>
      <w:bookmarkEnd w:id="88"/>
      <w:bookmarkEnd w:id="92"/>
      <w:bookmarkEnd w:id="93"/>
      <w:bookmarkStart w:id="94" w:name="_Toc15396619"/>
    </w:p>
    <w:p>
      <w:pPr>
        <w:pStyle w:val="4"/>
        <w:rPr>
          <w:rFonts w:ascii="仿宋" w:hAnsi="仿宋" w:eastAsia="仿宋"/>
        </w:rPr>
      </w:pPr>
      <w:bookmarkStart w:id="95" w:name="_Toc146189933"/>
      <w:r>
        <w:rPr>
          <w:rFonts w:hint="eastAsia" w:ascii="仿宋" w:hAnsi="仿宋" w:eastAsia="仿宋"/>
          <w:b w:val="0"/>
        </w:rPr>
        <w:t>一、收</w:t>
      </w:r>
      <w:r>
        <w:rPr>
          <w:rStyle w:val="21"/>
          <w:rFonts w:hint="eastAsia" w:ascii="仿宋" w:hAnsi="仿宋" w:eastAsia="仿宋"/>
          <w:b w:val="0"/>
          <w:bCs w:val="0"/>
        </w:rPr>
        <w:t>入支出决算总表</w:t>
      </w:r>
      <w:bookmarkEnd w:id="94"/>
      <w:bookmarkEnd w:id="95"/>
    </w:p>
    <w:p>
      <w:pPr>
        <w:pStyle w:val="4"/>
        <w:rPr>
          <w:rFonts w:ascii="仿宋" w:hAnsi="仿宋" w:eastAsia="仿宋"/>
        </w:rPr>
      </w:pPr>
      <w:bookmarkStart w:id="96" w:name="_Toc15396620"/>
      <w:bookmarkStart w:id="97" w:name="_Toc146189934"/>
      <w:r>
        <w:rPr>
          <w:rFonts w:hint="eastAsia" w:ascii="仿宋" w:hAnsi="仿宋" w:eastAsia="仿宋"/>
          <w:b w:val="0"/>
        </w:rPr>
        <w:t>二、收</w:t>
      </w:r>
      <w:r>
        <w:rPr>
          <w:rStyle w:val="21"/>
          <w:rFonts w:hint="eastAsia" w:ascii="仿宋" w:hAnsi="仿宋" w:eastAsia="仿宋"/>
          <w:b w:val="0"/>
          <w:bCs w:val="0"/>
        </w:rPr>
        <w:t>入决算表</w:t>
      </w:r>
      <w:bookmarkEnd w:id="96"/>
      <w:bookmarkEnd w:id="97"/>
    </w:p>
    <w:p>
      <w:pPr>
        <w:pStyle w:val="4"/>
        <w:rPr>
          <w:rFonts w:ascii="仿宋" w:hAnsi="仿宋" w:eastAsia="仿宋"/>
        </w:rPr>
      </w:pPr>
      <w:bookmarkStart w:id="98" w:name="_Toc15396621"/>
      <w:bookmarkStart w:id="99" w:name="_Toc146189935"/>
      <w:r>
        <w:rPr>
          <w:rStyle w:val="21"/>
          <w:rFonts w:hint="eastAsia" w:ascii="仿宋" w:hAnsi="仿宋" w:eastAsia="仿宋"/>
          <w:b w:val="0"/>
          <w:bCs w:val="0"/>
        </w:rPr>
        <w:t>三、</w:t>
      </w:r>
      <w:r>
        <w:rPr>
          <w:rFonts w:hint="eastAsia" w:ascii="仿宋" w:hAnsi="仿宋" w:eastAsia="仿宋"/>
          <w:b w:val="0"/>
        </w:rPr>
        <w:t>支</w:t>
      </w:r>
      <w:r>
        <w:rPr>
          <w:rStyle w:val="21"/>
          <w:rFonts w:hint="eastAsia" w:ascii="仿宋" w:hAnsi="仿宋" w:eastAsia="仿宋"/>
          <w:b w:val="0"/>
          <w:bCs w:val="0"/>
        </w:rPr>
        <w:t>出决算表</w:t>
      </w:r>
      <w:bookmarkEnd w:id="98"/>
      <w:bookmarkEnd w:id="99"/>
    </w:p>
    <w:p>
      <w:pPr>
        <w:pStyle w:val="4"/>
        <w:rPr>
          <w:rFonts w:ascii="仿宋" w:hAnsi="仿宋" w:eastAsia="仿宋"/>
          <w:b w:val="0"/>
        </w:rPr>
      </w:pPr>
      <w:bookmarkStart w:id="100" w:name="_Toc146189936"/>
      <w:bookmarkStart w:id="101" w:name="_Toc15396622"/>
      <w:r>
        <w:rPr>
          <w:rStyle w:val="21"/>
          <w:rFonts w:hint="eastAsia" w:ascii="仿宋" w:hAnsi="仿宋" w:eastAsia="仿宋"/>
          <w:b w:val="0"/>
          <w:bCs w:val="0"/>
        </w:rPr>
        <w:t>四、</w:t>
      </w:r>
      <w:r>
        <w:rPr>
          <w:rFonts w:hint="eastAsia" w:ascii="仿宋" w:hAnsi="仿宋" w:eastAsia="仿宋"/>
          <w:b w:val="0"/>
        </w:rPr>
        <w:t>财</w:t>
      </w:r>
      <w:r>
        <w:rPr>
          <w:rStyle w:val="21"/>
          <w:rFonts w:hint="eastAsia" w:ascii="仿宋" w:hAnsi="仿宋" w:eastAsia="仿宋"/>
          <w:b w:val="0"/>
          <w:bCs w:val="0"/>
        </w:rPr>
        <w:t>政拨款收入支出决算总表</w:t>
      </w:r>
      <w:bookmarkEnd w:id="100"/>
      <w:bookmarkEnd w:id="101"/>
    </w:p>
    <w:p>
      <w:pPr>
        <w:pStyle w:val="4"/>
        <w:rPr>
          <w:rStyle w:val="21"/>
          <w:rFonts w:ascii="仿宋" w:hAnsi="仿宋" w:eastAsia="仿宋"/>
          <w:b w:val="0"/>
          <w:bCs w:val="0"/>
        </w:rPr>
      </w:pPr>
      <w:bookmarkStart w:id="102" w:name="_Toc146189937"/>
      <w:bookmarkStart w:id="103" w:name="_Toc15396623"/>
      <w:r>
        <w:rPr>
          <w:rStyle w:val="21"/>
          <w:rFonts w:hint="eastAsia" w:ascii="仿宋" w:hAnsi="仿宋" w:eastAsia="仿宋"/>
          <w:b w:val="0"/>
          <w:bCs w:val="0"/>
        </w:rPr>
        <w:t>五、</w:t>
      </w:r>
      <w:r>
        <w:rPr>
          <w:rFonts w:hint="eastAsia" w:ascii="仿宋" w:hAnsi="仿宋" w:eastAsia="仿宋"/>
          <w:b w:val="0"/>
        </w:rPr>
        <w:t>财</w:t>
      </w:r>
      <w:r>
        <w:rPr>
          <w:rStyle w:val="21"/>
          <w:rFonts w:hint="eastAsia" w:ascii="仿宋" w:hAnsi="仿宋" w:eastAsia="仿宋"/>
          <w:b w:val="0"/>
          <w:bCs w:val="0"/>
        </w:rPr>
        <w:t>政拨款支出决算明细表</w:t>
      </w:r>
      <w:bookmarkEnd w:id="102"/>
      <w:bookmarkEnd w:id="103"/>
      <w:bookmarkStart w:id="104" w:name="_Toc15396624"/>
    </w:p>
    <w:p>
      <w:pPr>
        <w:pStyle w:val="4"/>
        <w:rPr>
          <w:rFonts w:ascii="仿宋" w:hAnsi="仿宋" w:eastAsia="仿宋"/>
        </w:rPr>
      </w:pPr>
      <w:bookmarkStart w:id="105" w:name="_Toc146189938"/>
      <w:r>
        <w:rPr>
          <w:rStyle w:val="21"/>
          <w:rFonts w:hint="eastAsia" w:ascii="仿宋" w:hAnsi="仿宋" w:eastAsia="仿宋"/>
          <w:b w:val="0"/>
          <w:bCs w:val="0"/>
        </w:rPr>
        <w:t>六、</w:t>
      </w:r>
      <w:r>
        <w:rPr>
          <w:rFonts w:hint="eastAsia" w:ascii="仿宋" w:hAnsi="仿宋" w:eastAsia="仿宋"/>
          <w:b w:val="0"/>
        </w:rPr>
        <w:t>一</w:t>
      </w:r>
      <w:r>
        <w:rPr>
          <w:rStyle w:val="21"/>
          <w:rFonts w:hint="eastAsia" w:ascii="仿宋" w:hAnsi="仿宋" w:eastAsia="仿宋"/>
          <w:b w:val="0"/>
          <w:bCs w:val="0"/>
        </w:rPr>
        <w:t>般公共预算财政拨款支出决算表</w:t>
      </w:r>
      <w:bookmarkEnd w:id="104"/>
      <w:bookmarkEnd w:id="105"/>
    </w:p>
    <w:p>
      <w:pPr>
        <w:pStyle w:val="4"/>
        <w:rPr>
          <w:rFonts w:ascii="仿宋" w:hAnsi="仿宋" w:eastAsia="仿宋"/>
        </w:rPr>
      </w:pPr>
      <w:bookmarkStart w:id="106" w:name="_Toc146189939"/>
      <w:bookmarkStart w:id="107" w:name="_Toc15396625"/>
      <w:r>
        <w:rPr>
          <w:rStyle w:val="21"/>
          <w:rFonts w:hint="eastAsia" w:ascii="仿宋" w:hAnsi="仿宋" w:eastAsia="仿宋"/>
          <w:b w:val="0"/>
          <w:bCs w:val="0"/>
        </w:rPr>
        <w:t>七、</w:t>
      </w:r>
      <w:r>
        <w:rPr>
          <w:rFonts w:hint="eastAsia" w:ascii="仿宋" w:hAnsi="仿宋" w:eastAsia="仿宋"/>
          <w:b w:val="0"/>
        </w:rPr>
        <w:t>一</w:t>
      </w:r>
      <w:r>
        <w:rPr>
          <w:rStyle w:val="21"/>
          <w:rFonts w:hint="eastAsia" w:ascii="仿宋" w:hAnsi="仿宋" w:eastAsia="仿宋"/>
          <w:b w:val="0"/>
          <w:bCs w:val="0"/>
        </w:rPr>
        <w:t>般公共预算财政拨款支出决算明细表</w:t>
      </w:r>
      <w:bookmarkEnd w:id="106"/>
      <w:bookmarkEnd w:id="107"/>
    </w:p>
    <w:p>
      <w:pPr>
        <w:pStyle w:val="4"/>
        <w:rPr>
          <w:rFonts w:ascii="仿宋" w:hAnsi="仿宋" w:eastAsia="仿宋"/>
        </w:rPr>
      </w:pPr>
      <w:bookmarkStart w:id="108" w:name="_Toc146189940"/>
      <w:bookmarkStart w:id="109" w:name="_Toc15396626"/>
      <w:r>
        <w:rPr>
          <w:rStyle w:val="21"/>
          <w:rFonts w:hint="eastAsia" w:ascii="仿宋" w:hAnsi="仿宋" w:eastAsia="仿宋"/>
          <w:b w:val="0"/>
          <w:bCs w:val="0"/>
        </w:rPr>
        <w:t>八、</w:t>
      </w:r>
      <w:r>
        <w:rPr>
          <w:rFonts w:hint="eastAsia" w:ascii="仿宋" w:hAnsi="仿宋" w:eastAsia="仿宋"/>
          <w:b w:val="0"/>
        </w:rPr>
        <w:t>一</w:t>
      </w:r>
      <w:r>
        <w:rPr>
          <w:rStyle w:val="21"/>
          <w:rFonts w:hint="eastAsia" w:ascii="仿宋" w:hAnsi="仿宋" w:eastAsia="仿宋"/>
          <w:b w:val="0"/>
          <w:bCs w:val="0"/>
        </w:rPr>
        <w:t>般公共预算财政拨款基本支出决算表</w:t>
      </w:r>
      <w:bookmarkEnd w:id="108"/>
      <w:bookmarkEnd w:id="109"/>
    </w:p>
    <w:p>
      <w:pPr>
        <w:pStyle w:val="4"/>
        <w:rPr>
          <w:rFonts w:ascii="仿宋" w:hAnsi="仿宋" w:eastAsia="仿宋"/>
        </w:rPr>
      </w:pPr>
      <w:bookmarkStart w:id="110" w:name="_Toc15396627"/>
      <w:bookmarkStart w:id="111" w:name="_Toc146189941"/>
      <w:r>
        <w:rPr>
          <w:rStyle w:val="21"/>
          <w:rFonts w:hint="eastAsia" w:ascii="仿宋" w:hAnsi="仿宋" w:eastAsia="仿宋"/>
          <w:b w:val="0"/>
          <w:bCs w:val="0"/>
        </w:rPr>
        <w:t>九、</w:t>
      </w:r>
      <w:r>
        <w:rPr>
          <w:rFonts w:hint="eastAsia" w:ascii="仿宋" w:hAnsi="仿宋" w:eastAsia="仿宋"/>
          <w:b w:val="0"/>
        </w:rPr>
        <w:t>一</w:t>
      </w:r>
      <w:r>
        <w:rPr>
          <w:rStyle w:val="21"/>
          <w:rFonts w:hint="eastAsia" w:ascii="仿宋" w:hAnsi="仿宋" w:eastAsia="仿宋"/>
          <w:b w:val="0"/>
          <w:bCs w:val="0"/>
        </w:rPr>
        <w:t>般公共预算财政拨款项目支出决算表</w:t>
      </w:r>
      <w:bookmarkEnd w:id="110"/>
      <w:bookmarkEnd w:id="111"/>
    </w:p>
    <w:p>
      <w:pPr>
        <w:pStyle w:val="4"/>
        <w:rPr>
          <w:rFonts w:ascii="仿宋" w:hAnsi="仿宋" w:eastAsia="仿宋"/>
        </w:rPr>
      </w:pPr>
      <w:bookmarkStart w:id="112" w:name="_Toc15396628"/>
      <w:bookmarkStart w:id="113" w:name="_Toc146189942"/>
      <w:r>
        <w:rPr>
          <w:rStyle w:val="21"/>
          <w:rFonts w:hint="eastAsia" w:ascii="仿宋" w:hAnsi="仿宋" w:eastAsia="仿宋"/>
          <w:b w:val="0"/>
          <w:bCs w:val="0"/>
        </w:rPr>
        <w:t>十、</w:t>
      </w:r>
      <w:bookmarkEnd w:id="112"/>
      <w:r>
        <w:rPr>
          <w:rFonts w:hint="eastAsia" w:ascii="仿宋" w:hAnsi="仿宋" w:eastAsia="仿宋"/>
          <w:b w:val="0"/>
        </w:rPr>
        <w:t>政</w:t>
      </w:r>
      <w:r>
        <w:rPr>
          <w:rStyle w:val="21"/>
          <w:rFonts w:hint="eastAsia" w:ascii="仿宋" w:hAnsi="仿宋" w:eastAsia="仿宋"/>
          <w:b w:val="0"/>
          <w:bCs w:val="0"/>
        </w:rPr>
        <w:t>府性基金预算财政拨款收入支出决算表</w:t>
      </w:r>
      <w:bookmarkEnd w:id="113"/>
    </w:p>
    <w:p>
      <w:pPr>
        <w:pStyle w:val="4"/>
        <w:rPr>
          <w:rFonts w:ascii="仿宋" w:hAnsi="仿宋" w:eastAsia="仿宋"/>
        </w:rPr>
      </w:pPr>
      <w:bookmarkStart w:id="114" w:name="_Toc15396629"/>
      <w:bookmarkStart w:id="115" w:name="_Toc146189943"/>
      <w:r>
        <w:rPr>
          <w:rStyle w:val="21"/>
          <w:rFonts w:hint="eastAsia" w:ascii="仿宋" w:hAnsi="仿宋" w:eastAsia="仿宋"/>
          <w:b w:val="0"/>
          <w:bCs w:val="0"/>
        </w:rPr>
        <w:t>十一、</w:t>
      </w:r>
      <w:bookmarkEnd w:id="114"/>
      <w:r>
        <w:rPr>
          <w:rFonts w:hint="eastAsia" w:ascii="仿宋" w:hAnsi="仿宋" w:eastAsia="仿宋"/>
          <w:b w:val="0"/>
        </w:rPr>
        <w:t>国</w:t>
      </w:r>
      <w:r>
        <w:rPr>
          <w:rStyle w:val="21"/>
          <w:rFonts w:hint="eastAsia" w:ascii="仿宋" w:hAnsi="仿宋" w:eastAsia="仿宋"/>
          <w:b w:val="0"/>
          <w:bCs w:val="0"/>
        </w:rPr>
        <w:t>有资本经营预算财政拨款收入支出决算表</w:t>
      </w:r>
      <w:bookmarkEnd w:id="115"/>
    </w:p>
    <w:p>
      <w:pPr>
        <w:pStyle w:val="4"/>
        <w:rPr>
          <w:rFonts w:ascii="仿宋" w:hAnsi="仿宋" w:eastAsia="仿宋"/>
        </w:rPr>
      </w:pPr>
      <w:bookmarkStart w:id="116" w:name="_Toc15396630"/>
      <w:bookmarkStart w:id="117" w:name="_Toc146189944"/>
      <w:r>
        <w:rPr>
          <w:rStyle w:val="21"/>
          <w:rFonts w:hint="eastAsia" w:ascii="仿宋" w:hAnsi="仿宋" w:eastAsia="仿宋"/>
          <w:b w:val="0"/>
          <w:bCs w:val="0"/>
        </w:rPr>
        <w:t>十二、</w:t>
      </w:r>
      <w:bookmarkEnd w:id="116"/>
      <w:r>
        <w:rPr>
          <w:rStyle w:val="21"/>
          <w:rFonts w:hint="eastAsia" w:ascii="仿宋" w:hAnsi="仿宋" w:eastAsia="仿宋"/>
          <w:b w:val="0"/>
          <w:bCs w:val="0"/>
        </w:rPr>
        <w:t>国有资本经营预算财政拨款支出决算表</w:t>
      </w:r>
      <w:bookmarkEnd w:id="117"/>
    </w:p>
    <w:p>
      <w:pPr>
        <w:pStyle w:val="4"/>
        <w:rPr>
          <w:rFonts w:eastAsia="仿宋"/>
        </w:rPr>
      </w:pPr>
      <w:bookmarkStart w:id="118" w:name="_Toc15396631"/>
      <w:bookmarkStart w:id="119" w:name="_Toc146189945"/>
      <w:r>
        <w:rPr>
          <w:rStyle w:val="21"/>
          <w:rFonts w:hint="eastAsia" w:ascii="仿宋" w:hAnsi="仿宋" w:eastAsia="仿宋"/>
          <w:b w:val="0"/>
          <w:bCs w:val="0"/>
        </w:rPr>
        <w:t>十三、</w:t>
      </w:r>
      <w:bookmarkEnd w:id="118"/>
      <w:r>
        <w:rPr>
          <w:rStyle w:val="21"/>
          <w:rFonts w:hint="eastAsia" w:ascii="仿宋" w:hAnsi="仿宋" w:eastAsia="仿宋"/>
          <w:b w:val="0"/>
          <w:bCs w:val="0"/>
        </w:rPr>
        <w:t>财政拨款“三公”经费支出决算表</w:t>
      </w:r>
      <w:bookmarkEnd w:id="119"/>
    </w:p>
    <w:sectPr>
      <w:footerReference r:id="rId5" w:type="firs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Arial">
    <w:panose1 w:val="020B0604020202020204"/>
    <w:charset w:val="00"/>
    <w:family w:val="swiss"/>
    <w:pitch w:val="default"/>
    <w:sig w:usb0="00007A87" w:usb1="80000000" w:usb2="00000008" w:usb3="00000000" w:csb0="400001FF" w:csb1="FFFF0000"/>
  </w:font>
  <w:font w:name="??">
    <w:altName w:val="Arial"/>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Calibri">
    <w:altName w:val="Lucida Sans"/>
    <w:panose1 w:val="020F0502020204030204"/>
    <w:charset w:val="01"/>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FF674BC"/>
    <w:multiLevelType w:val="singleLevel"/>
    <w:tmpl w:val="FFF674BC"/>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48067712"/>
    <w:multiLevelType w:val="singleLevel"/>
    <w:tmpl w:val="48067712"/>
    <w:lvl w:ilvl="0" w:tentative="0">
      <w:start w:val="1"/>
      <w:numFmt w:val="decimal"/>
      <w:suff w:val="nothing"/>
      <w:lvlText w:val="%1．"/>
      <w:lvlJc w:val="left"/>
      <w:pPr>
        <w:ind w:left="0" w:firstLine="400"/>
      </w:pPr>
      <w:rPr>
        <w:rFonts w:hint="default" w:ascii="Times New Roman" w:hAnsi="Times New Roman" w:cs="Times New Roman"/>
        <w:b w:val="0"/>
        <w:bCs w:val="0"/>
      </w:rPr>
    </w:lvl>
  </w:abstractNum>
  <w:abstractNum w:abstractNumId="6">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7">
    <w:nsid w:val="74AD6743"/>
    <w:multiLevelType w:val="multilevel"/>
    <w:tmpl w:val="74AD6743"/>
    <w:lvl w:ilvl="0" w:tentative="0">
      <w:start w:val="1"/>
      <w:numFmt w:val="japaneseCounting"/>
      <w:lvlText w:val="%1、"/>
      <w:lvlJc w:val="left"/>
      <w:pPr>
        <w:ind w:left="660" w:hanging="660"/>
      </w:pPr>
      <w:rPr>
        <w:rFonts w:hint="default"/>
      </w:rPr>
    </w:lvl>
    <w:lvl w:ilvl="1" w:tentative="0">
      <w:start w:val="2"/>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6"/>
  </w:num>
  <w:num w:numId="3">
    <w:abstractNumId w:val="4"/>
  </w:num>
  <w:num w:numId="4">
    <w:abstractNumId w:val="0"/>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c2ZGZiNzZiNDVlOGViOWVmM2JhOTY0NGJkNjUyYzgifQ=="/>
  </w:docVars>
  <w:rsids>
    <w:rsidRoot w:val="00F1361C"/>
    <w:rsid w:val="00012FCB"/>
    <w:rsid w:val="000159F7"/>
    <w:rsid w:val="00016343"/>
    <w:rsid w:val="000222C6"/>
    <w:rsid w:val="0002549F"/>
    <w:rsid w:val="000354DF"/>
    <w:rsid w:val="000412A2"/>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1687"/>
    <w:rsid w:val="000F28E1"/>
    <w:rsid w:val="000F6C34"/>
    <w:rsid w:val="00114BF6"/>
    <w:rsid w:val="00114E9B"/>
    <w:rsid w:val="00142216"/>
    <w:rsid w:val="00144D6A"/>
    <w:rsid w:val="00146617"/>
    <w:rsid w:val="0014729F"/>
    <w:rsid w:val="00157BAB"/>
    <w:rsid w:val="001654D1"/>
    <w:rsid w:val="00174518"/>
    <w:rsid w:val="0018106D"/>
    <w:rsid w:val="001821CB"/>
    <w:rsid w:val="001877A7"/>
    <w:rsid w:val="00191536"/>
    <w:rsid w:val="0019338C"/>
    <w:rsid w:val="00196687"/>
    <w:rsid w:val="001C0962"/>
    <w:rsid w:val="001C500C"/>
    <w:rsid w:val="001D19B9"/>
    <w:rsid w:val="001D467D"/>
    <w:rsid w:val="001D7531"/>
    <w:rsid w:val="001E737D"/>
    <w:rsid w:val="001F0592"/>
    <w:rsid w:val="001F7506"/>
    <w:rsid w:val="002006CD"/>
    <w:rsid w:val="00202B36"/>
    <w:rsid w:val="00204B7A"/>
    <w:rsid w:val="00204CDE"/>
    <w:rsid w:val="0021101A"/>
    <w:rsid w:val="00216B02"/>
    <w:rsid w:val="00220536"/>
    <w:rsid w:val="00230819"/>
    <w:rsid w:val="00235629"/>
    <w:rsid w:val="00236EED"/>
    <w:rsid w:val="0024087D"/>
    <w:rsid w:val="00260C38"/>
    <w:rsid w:val="002616C0"/>
    <w:rsid w:val="00264479"/>
    <w:rsid w:val="00265372"/>
    <w:rsid w:val="002662AA"/>
    <w:rsid w:val="0026659C"/>
    <w:rsid w:val="002769B8"/>
    <w:rsid w:val="00280496"/>
    <w:rsid w:val="002904BE"/>
    <w:rsid w:val="002949F0"/>
    <w:rsid w:val="00294DC9"/>
    <w:rsid w:val="00295495"/>
    <w:rsid w:val="002972CD"/>
    <w:rsid w:val="002A31DE"/>
    <w:rsid w:val="002B2613"/>
    <w:rsid w:val="002C1511"/>
    <w:rsid w:val="002C403D"/>
    <w:rsid w:val="002D6D05"/>
    <w:rsid w:val="002D7592"/>
    <w:rsid w:val="002E7072"/>
    <w:rsid w:val="002F1818"/>
    <w:rsid w:val="002F567B"/>
    <w:rsid w:val="003216A9"/>
    <w:rsid w:val="00335A74"/>
    <w:rsid w:val="00347AAB"/>
    <w:rsid w:val="0036561B"/>
    <w:rsid w:val="0037013F"/>
    <w:rsid w:val="00373D0F"/>
    <w:rsid w:val="00380C92"/>
    <w:rsid w:val="00383E7E"/>
    <w:rsid w:val="003976AE"/>
    <w:rsid w:val="003A484F"/>
    <w:rsid w:val="003A4883"/>
    <w:rsid w:val="003A5BEF"/>
    <w:rsid w:val="003B0BE0"/>
    <w:rsid w:val="003B0C1B"/>
    <w:rsid w:val="003B688C"/>
    <w:rsid w:val="003C0291"/>
    <w:rsid w:val="003C16C5"/>
    <w:rsid w:val="003C39AE"/>
    <w:rsid w:val="003C5257"/>
    <w:rsid w:val="003C7B60"/>
    <w:rsid w:val="003D0C0F"/>
    <w:rsid w:val="003D1FB2"/>
    <w:rsid w:val="003D5A12"/>
    <w:rsid w:val="003D66DA"/>
    <w:rsid w:val="003E1310"/>
    <w:rsid w:val="003E1F33"/>
    <w:rsid w:val="003E6F55"/>
    <w:rsid w:val="003F415C"/>
    <w:rsid w:val="00400166"/>
    <w:rsid w:val="00404407"/>
    <w:rsid w:val="00406254"/>
    <w:rsid w:val="00407A02"/>
    <w:rsid w:val="00420226"/>
    <w:rsid w:val="004221F3"/>
    <w:rsid w:val="004223DE"/>
    <w:rsid w:val="00434489"/>
    <w:rsid w:val="00437085"/>
    <w:rsid w:val="00443880"/>
    <w:rsid w:val="004464F4"/>
    <w:rsid w:val="00454CEC"/>
    <w:rsid w:val="00464140"/>
    <w:rsid w:val="00465186"/>
    <w:rsid w:val="00471401"/>
    <w:rsid w:val="00473F31"/>
    <w:rsid w:val="0048263A"/>
    <w:rsid w:val="0048682F"/>
    <w:rsid w:val="00487E5D"/>
    <w:rsid w:val="004A711F"/>
    <w:rsid w:val="004B199D"/>
    <w:rsid w:val="004B4690"/>
    <w:rsid w:val="004C248E"/>
    <w:rsid w:val="004D5F0D"/>
    <w:rsid w:val="004E0A2D"/>
    <w:rsid w:val="004E206B"/>
    <w:rsid w:val="004E6DF7"/>
    <w:rsid w:val="004F0FBD"/>
    <w:rsid w:val="005055A8"/>
    <w:rsid w:val="00505A47"/>
    <w:rsid w:val="00512FDA"/>
    <w:rsid w:val="0051544F"/>
    <w:rsid w:val="00520DA0"/>
    <w:rsid w:val="00526D1A"/>
    <w:rsid w:val="005561FF"/>
    <w:rsid w:val="005664BB"/>
    <w:rsid w:val="00566D8A"/>
    <w:rsid w:val="00566FFA"/>
    <w:rsid w:val="0057481D"/>
    <w:rsid w:val="00581991"/>
    <w:rsid w:val="0058486E"/>
    <w:rsid w:val="00585B33"/>
    <w:rsid w:val="0059014D"/>
    <w:rsid w:val="005A1D77"/>
    <w:rsid w:val="005B5C64"/>
    <w:rsid w:val="005C5337"/>
    <w:rsid w:val="005C6BD0"/>
    <w:rsid w:val="005D1C8B"/>
    <w:rsid w:val="005D25FA"/>
    <w:rsid w:val="005D4463"/>
    <w:rsid w:val="005D453E"/>
    <w:rsid w:val="005D468D"/>
    <w:rsid w:val="005D5CED"/>
    <w:rsid w:val="005D5FF0"/>
    <w:rsid w:val="005E707F"/>
    <w:rsid w:val="005F1A4C"/>
    <w:rsid w:val="005F4984"/>
    <w:rsid w:val="0060478C"/>
    <w:rsid w:val="00605688"/>
    <w:rsid w:val="00605B72"/>
    <w:rsid w:val="006070AF"/>
    <w:rsid w:val="00607E6C"/>
    <w:rsid w:val="006101B1"/>
    <w:rsid w:val="00614E44"/>
    <w:rsid w:val="006152C0"/>
    <w:rsid w:val="0062270A"/>
    <w:rsid w:val="00622830"/>
    <w:rsid w:val="00623DA0"/>
    <w:rsid w:val="00630AEF"/>
    <w:rsid w:val="006325F8"/>
    <w:rsid w:val="00633463"/>
    <w:rsid w:val="00634C9A"/>
    <w:rsid w:val="006440E4"/>
    <w:rsid w:val="00645E64"/>
    <w:rsid w:val="00661724"/>
    <w:rsid w:val="0066343B"/>
    <w:rsid w:val="0066401C"/>
    <w:rsid w:val="00664777"/>
    <w:rsid w:val="006748A4"/>
    <w:rsid w:val="00681A31"/>
    <w:rsid w:val="00683E73"/>
    <w:rsid w:val="0068715F"/>
    <w:rsid w:val="00687CEA"/>
    <w:rsid w:val="006A0D25"/>
    <w:rsid w:val="006A3141"/>
    <w:rsid w:val="006A5E34"/>
    <w:rsid w:val="006A79EF"/>
    <w:rsid w:val="006A7F51"/>
    <w:rsid w:val="006B2422"/>
    <w:rsid w:val="006B2B9A"/>
    <w:rsid w:val="006B6C35"/>
    <w:rsid w:val="006C07E8"/>
    <w:rsid w:val="006C1937"/>
    <w:rsid w:val="006D5A5A"/>
    <w:rsid w:val="006F020C"/>
    <w:rsid w:val="00702B35"/>
    <w:rsid w:val="0070387C"/>
    <w:rsid w:val="007127B7"/>
    <w:rsid w:val="0071798E"/>
    <w:rsid w:val="007416B6"/>
    <w:rsid w:val="00742665"/>
    <w:rsid w:val="00746F48"/>
    <w:rsid w:val="00747A96"/>
    <w:rsid w:val="0075404D"/>
    <w:rsid w:val="0076182A"/>
    <w:rsid w:val="00767B7E"/>
    <w:rsid w:val="007770C3"/>
    <w:rsid w:val="0077724B"/>
    <w:rsid w:val="00784D24"/>
    <w:rsid w:val="00785FBA"/>
    <w:rsid w:val="00786E4A"/>
    <w:rsid w:val="007875EB"/>
    <w:rsid w:val="00794169"/>
    <w:rsid w:val="0079426B"/>
    <w:rsid w:val="007B4983"/>
    <w:rsid w:val="007B5F36"/>
    <w:rsid w:val="007D0770"/>
    <w:rsid w:val="007D1682"/>
    <w:rsid w:val="007D312A"/>
    <w:rsid w:val="007D3F19"/>
    <w:rsid w:val="007D41DD"/>
    <w:rsid w:val="007E23B0"/>
    <w:rsid w:val="007E23E5"/>
    <w:rsid w:val="007E2F32"/>
    <w:rsid w:val="007F1991"/>
    <w:rsid w:val="007F2C2F"/>
    <w:rsid w:val="007F55FC"/>
    <w:rsid w:val="007F5665"/>
    <w:rsid w:val="007F7F36"/>
    <w:rsid w:val="00800112"/>
    <w:rsid w:val="00813348"/>
    <w:rsid w:val="008212B7"/>
    <w:rsid w:val="008253BB"/>
    <w:rsid w:val="00826012"/>
    <w:rsid w:val="00835602"/>
    <w:rsid w:val="0083706E"/>
    <w:rsid w:val="008408F6"/>
    <w:rsid w:val="008423A5"/>
    <w:rsid w:val="00850625"/>
    <w:rsid w:val="00853718"/>
    <w:rsid w:val="00855221"/>
    <w:rsid w:val="00860645"/>
    <w:rsid w:val="00863FC6"/>
    <w:rsid w:val="00871F71"/>
    <w:rsid w:val="00872FD8"/>
    <w:rsid w:val="0087732E"/>
    <w:rsid w:val="00885AF4"/>
    <w:rsid w:val="00890B76"/>
    <w:rsid w:val="008939CD"/>
    <w:rsid w:val="008A1EC2"/>
    <w:rsid w:val="008A58F2"/>
    <w:rsid w:val="008B768C"/>
    <w:rsid w:val="008C4DB1"/>
    <w:rsid w:val="008C4EAF"/>
    <w:rsid w:val="008C5176"/>
    <w:rsid w:val="008C7FD0"/>
    <w:rsid w:val="008D16EE"/>
    <w:rsid w:val="008E1DE7"/>
    <w:rsid w:val="008E33B7"/>
    <w:rsid w:val="008E707C"/>
    <w:rsid w:val="00900B08"/>
    <w:rsid w:val="00902155"/>
    <w:rsid w:val="00902FA3"/>
    <w:rsid w:val="00921818"/>
    <w:rsid w:val="00922DFA"/>
    <w:rsid w:val="00923564"/>
    <w:rsid w:val="0092392E"/>
    <w:rsid w:val="00930D4D"/>
    <w:rsid w:val="009315F9"/>
    <w:rsid w:val="00933499"/>
    <w:rsid w:val="009344AC"/>
    <w:rsid w:val="00935C98"/>
    <w:rsid w:val="00937005"/>
    <w:rsid w:val="00937621"/>
    <w:rsid w:val="00945B5E"/>
    <w:rsid w:val="00946945"/>
    <w:rsid w:val="00951248"/>
    <w:rsid w:val="0095152F"/>
    <w:rsid w:val="00954C49"/>
    <w:rsid w:val="00955E37"/>
    <w:rsid w:val="00963F41"/>
    <w:rsid w:val="00966FA4"/>
    <w:rsid w:val="0097099F"/>
    <w:rsid w:val="00971997"/>
    <w:rsid w:val="00971FFC"/>
    <w:rsid w:val="0098660A"/>
    <w:rsid w:val="00992034"/>
    <w:rsid w:val="009931C3"/>
    <w:rsid w:val="009B2C43"/>
    <w:rsid w:val="009B4EAE"/>
    <w:rsid w:val="009B64C3"/>
    <w:rsid w:val="009B7573"/>
    <w:rsid w:val="009C22F4"/>
    <w:rsid w:val="009C2A4B"/>
    <w:rsid w:val="009C2E98"/>
    <w:rsid w:val="009D3447"/>
    <w:rsid w:val="009D4711"/>
    <w:rsid w:val="009E05B6"/>
    <w:rsid w:val="009E0FD6"/>
    <w:rsid w:val="009F1185"/>
    <w:rsid w:val="009F18CD"/>
    <w:rsid w:val="009F2A13"/>
    <w:rsid w:val="009F7527"/>
    <w:rsid w:val="00A04EB0"/>
    <w:rsid w:val="00A06C34"/>
    <w:rsid w:val="00A13CC1"/>
    <w:rsid w:val="00A16847"/>
    <w:rsid w:val="00A237D8"/>
    <w:rsid w:val="00A268C4"/>
    <w:rsid w:val="00A27B08"/>
    <w:rsid w:val="00A307CD"/>
    <w:rsid w:val="00A32211"/>
    <w:rsid w:val="00A331C8"/>
    <w:rsid w:val="00A40A00"/>
    <w:rsid w:val="00A40F44"/>
    <w:rsid w:val="00A4142F"/>
    <w:rsid w:val="00A422EB"/>
    <w:rsid w:val="00A45BB7"/>
    <w:rsid w:val="00A56DF2"/>
    <w:rsid w:val="00A56E6E"/>
    <w:rsid w:val="00A64763"/>
    <w:rsid w:val="00A65327"/>
    <w:rsid w:val="00A66091"/>
    <w:rsid w:val="00A67AB5"/>
    <w:rsid w:val="00A733B2"/>
    <w:rsid w:val="00A741C2"/>
    <w:rsid w:val="00A91760"/>
    <w:rsid w:val="00A93B00"/>
    <w:rsid w:val="00A93C21"/>
    <w:rsid w:val="00A958E6"/>
    <w:rsid w:val="00AB64C9"/>
    <w:rsid w:val="00AB6E6C"/>
    <w:rsid w:val="00AC3C6A"/>
    <w:rsid w:val="00AD5620"/>
    <w:rsid w:val="00AD656B"/>
    <w:rsid w:val="00AD7C1B"/>
    <w:rsid w:val="00AE16BA"/>
    <w:rsid w:val="00AE1EBE"/>
    <w:rsid w:val="00AE557E"/>
    <w:rsid w:val="00B03C9D"/>
    <w:rsid w:val="00B060AE"/>
    <w:rsid w:val="00B10517"/>
    <w:rsid w:val="00B14A02"/>
    <w:rsid w:val="00B14E76"/>
    <w:rsid w:val="00B15C5B"/>
    <w:rsid w:val="00B161B8"/>
    <w:rsid w:val="00B2048C"/>
    <w:rsid w:val="00B310B9"/>
    <w:rsid w:val="00B35F3F"/>
    <w:rsid w:val="00B36CBB"/>
    <w:rsid w:val="00B370EF"/>
    <w:rsid w:val="00B37144"/>
    <w:rsid w:val="00B37956"/>
    <w:rsid w:val="00B425E0"/>
    <w:rsid w:val="00B440AA"/>
    <w:rsid w:val="00B44B70"/>
    <w:rsid w:val="00B460CF"/>
    <w:rsid w:val="00B47805"/>
    <w:rsid w:val="00B53C56"/>
    <w:rsid w:val="00B57DAF"/>
    <w:rsid w:val="00B77EA6"/>
    <w:rsid w:val="00B81598"/>
    <w:rsid w:val="00B84043"/>
    <w:rsid w:val="00B841F1"/>
    <w:rsid w:val="00B944D6"/>
    <w:rsid w:val="00B97BE5"/>
    <w:rsid w:val="00BA554B"/>
    <w:rsid w:val="00BB4DA7"/>
    <w:rsid w:val="00BB4DF0"/>
    <w:rsid w:val="00BC289F"/>
    <w:rsid w:val="00BC2D50"/>
    <w:rsid w:val="00BC5361"/>
    <w:rsid w:val="00BC5460"/>
    <w:rsid w:val="00BC6B50"/>
    <w:rsid w:val="00BD0E25"/>
    <w:rsid w:val="00BD46E5"/>
    <w:rsid w:val="00BD74B5"/>
    <w:rsid w:val="00BE7F3D"/>
    <w:rsid w:val="00BF5BD6"/>
    <w:rsid w:val="00C01CEE"/>
    <w:rsid w:val="00C03E31"/>
    <w:rsid w:val="00C20FC5"/>
    <w:rsid w:val="00C33E72"/>
    <w:rsid w:val="00C354B2"/>
    <w:rsid w:val="00C35554"/>
    <w:rsid w:val="00C37D86"/>
    <w:rsid w:val="00C42709"/>
    <w:rsid w:val="00C533CC"/>
    <w:rsid w:val="00C56BBF"/>
    <w:rsid w:val="00C5751C"/>
    <w:rsid w:val="00C613E5"/>
    <w:rsid w:val="00C61BFC"/>
    <w:rsid w:val="00C62B85"/>
    <w:rsid w:val="00C64E5D"/>
    <w:rsid w:val="00C65438"/>
    <w:rsid w:val="00C71FAB"/>
    <w:rsid w:val="00C7476B"/>
    <w:rsid w:val="00C75D4D"/>
    <w:rsid w:val="00C75F32"/>
    <w:rsid w:val="00C76444"/>
    <w:rsid w:val="00C82F3D"/>
    <w:rsid w:val="00C87FD8"/>
    <w:rsid w:val="00C91381"/>
    <w:rsid w:val="00C91CBB"/>
    <w:rsid w:val="00CA2F63"/>
    <w:rsid w:val="00CA48FE"/>
    <w:rsid w:val="00CB4E70"/>
    <w:rsid w:val="00CB63DE"/>
    <w:rsid w:val="00CC09B6"/>
    <w:rsid w:val="00CC389B"/>
    <w:rsid w:val="00CC666F"/>
    <w:rsid w:val="00CD1E3F"/>
    <w:rsid w:val="00CE44F6"/>
    <w:rsid w:val="00CE49DA"/>
    <w:rsid w:val="00CE6BE7"/>
    <w:rsid w:val="00CE7B61"/>
    <w:rsid w:val="00CF3AFD"/>
    <w:rsid w:val="00CF4ABC"/>
    <w:rsid w:val="00D00095"/>
    <w:rsid w:val="00D03D41"/>
    <w:rsid w:val="00D114F0"/>
    <w:rsid w:val="00D20620"/>
    <w:rsid w:val="00D254F7"/>
    <w:rsid w:val="00D26091"/>
    <w:rsid w:val="00D2685C"/>
    <w:rsid w:val="00D303D3"/>
    <w:rsid w:val="00D34E7C"/>
    <w:rsid w:val="00D35489"/>
    <w:rsid w:val="00D36AFE"/>
    <w:rsid w:val="00D42E57"/>
    <w:rsid w:val="00D459EC"/>
    <w:rsid w:val="00D51276"/>
    <w:rsid w:val="00D51DB0"/>
    <w:rsid w:val="00D56273"/>
    <w:rsid w:val="00D7035F"/>
    <w:rsid w:val="00D864C3"/>
    <w:rsid w:val="00D90B79"/>
    <w:rsid w:val="00DA634F"/>
    <w:rsid w:val="00DA65AC"/>
    <w:rsid w:val="00DB1913"/>
    <w:rsid w:val="00DB2FFD"/>
    <w:rsid w:val="00DC410D"/>
    <w:rsid w:val="00DC521F"/>
    <w:rsid w:val="00DC5A81"/>
    <w:rsid w:val="00DC68CA"/>
    <w:rsid w:val="00DC7CBA"/>
    <w:rsid w:val="00DD73B7"/>
    <w:rsid w:val="00DF28BC"/>
    <w:rsid w:val="00DF34B9"/>
    <w:rsid w:val="00DF7CBC"/>
    <w:rsid w:val="00E01053"/>
    <w:rsid w:val="00E07ACF"/>
    <w:rsid w:val="00E331A1"/>
    <w:rsid w:val="00E33202"/>
    <w:rsid w:val="00E336A9"/>
    <w:rsid w:val="00E472B1"/>
    <w:rsid w:val="00E476E7"/>
    <w:rsid w:val="00E47EC2"/>
    <w:rsid w:val="00E50624"/>
    <w:rsid w:val="00E568DF"/>
    <w:rsid w:val="00E56FEB"/>
    <w:rsid w:val="00E64269"/>
    <w:rsid w:val="00E82267"/>
    <w:rsid w:val="00E853CE"/>
    <w:rsid w:val="00E86416"/>
    <w:rsid w:val="00E867B6"/>
    <w:rsid w:val="00EA010F"/>
    <w:rsid w:val="00ED1B63"/>
    <w:rsid w:val="00ED3C1F"/>
    <w:rsid w:val="00ED4085"/>
    <w:rsid w:val="00ED420E"/>
    <w:rsid w:val="00ED6FBE"/>
    <w:rsid w:val="00EE05F9"/>
    <w:rsid w:val="00EE2F57"/>
    <w:rsid w:val="00EF4C34"/>
    <w:rsid w:val="00EF77C6"/>
    <w:rsid w:val="00F05438"/>
    <w:rsid w:val="00F1361C"/>
    <w:rsid w:val="00F156F0"/>
    <w:rsid w:val="00F160C7"/>
    <w:rsid w:val="00F2408F"/>
    <w:rsid w:val="00F240E9"/>
    <w:rsid w:val="00F24DC9"/>
    <w:rsid w:val="00F25519"/>
    <w:rsid w:val="00F31E83"/>
    <w:rsid w:val="00F36D8F"/>
    <w:rsid w:val="00F417B1"/>
    <w:rsid w:val="00F45853"/>
    <w:rsid w:val="00F53D2B"/>
    <w:rsid w:val="00F602DF"/>
    <w:rsid w:val="00F64CE0"/>
    <w:rsid w:val="00F754A1"/>
    <w:rsid w:val="00F76303"/>
    <w:rsid w:val="00F81DF1"/>
    <w:rsid w:val="00F81FD9"/>
    <w:rsid w:val="00F841AA"/>
    <w:rsid w:val="00F84A94"/>
    <w:rsid w:val="00F87E96"/>
    <w:rsid w:val="00F910BC"/>
    <w:rsid w:val="00FA16BC"/>
    <w:rsid w:val="00FA23E8"/>
    <w:rsid w:val="00FD2FE8"/>
    <w:rsid w:val="00FD3CC1"/>
    <w:rsid w:val="00FE1C93"/>
    <w:rsid w:val="00FE687F"/>
    <w:rsid w:val="00FF18B9"/>
    <w:rsid w:val="00FF1E02"/>
    <w:rsid w:val="00FF30B4"/>
    <w:rsid w:val="015975B8"/>
    <w:rsid w:val="02143E91"/>
    <w:rsid w:val="066E0107"/>
    <w:rsid w:val="07996F6E"/>
    <w:rsid w:val="0A2032A3"/>
    <w:rsid w:val="0DF53935"/>
    <w:rsid w:val="0F98263C"/>
    <w:rsid w:val="101860EC"/>
    <w:rsid w:val="108F5D13"/>
    <w:rsid w:val="10C055FF"/>
    <w:rsid w:val="118107EC"/>
    <w:rsid w:val="13D50BC4"/>
    <w:rsid w:val="16BB723D"/>
    <w:rsid w:val="1BE8440E"/>
    <w:rsid w:val="1D155CEE"/>
    <w:rsid w:val="1FF35744"/>
    <w:rsid w:val="23860B96"/>
    <w:rsid w:val="240371BF"/>
    <w:rsid w:val="26C26CF7"/>
    <w:rsid w:val="29FD04D3"/>
    <w:rsid w:val="2C8A61B5"/>
    <w:rsid w:val="2DF04E50"/>
    <w:rsid w:val="2F040D46"/>
    <w:rsid w:val="306D4B10"/>
    <w:rsid w:val="319F7F4E"/>
    <w:rsid w:val="32A9493D"/>
    <w:rsid w:val="3304709D"/>
    <w:rsid w:val="36AA5135"/>
    <w:rsid w:val="376D39B2"/>
    <w:rsid w:val="37E16F03"/>
    <w:rsid w:val="38D469F0"/>
    <w:rsid w:val="3BFBAF9E"/>
    <w:rsid w:val="3D98207C"/>
    <w:rsid w:val="3E78745D"/>
    <w:rsid w:val="3EE32FB9"/>
    <w:rsid w:val="3F1F10BD"/>
    <w:rsid w:val="44E268DA"/>
    <w:rsid w:val="491231F8"/>
    <w:rsid w:val="4A627F82"/>
    <w:rsid w:val="4B0E749A"/>
    <w:rsid w:val="4B4F25DA"/>
    <w:rsid w:val="4BE068DB"/>
    <w:rsid w:val="4D577224"/>
    <w:rsid w:val="4EAB630A"/>
    <w:rsid w:val="4ECE2238"/>
    <w:rsid w:val="537E6D0A"/>
    <w:rsid w:val="5AF92295"/>
    <w:rsid w:val="5CD71FC4"/>
    <w:rsid w:val="6C4A05C8"/>
    <w:rsid w:val="6E7E3605"/>
    <w:rsid w:val="6FF5CC65"/>
    <w:rsid w:val="715C0E4B"/>
    <w:rsid w:val="72734D90"/>
    <w:rsid w:val="72C232B3"/>
    <w:rsid w:val="73AD73D5"/>
    <w:rsid w:val="73B6EB34"/>
    <w:rsid w:val="744731E5"/>
    <w:rsid w:val="76E3355F"/>
    <w:rsid w:val="778769C8"/>
    <w:rsid w:val="79EE5BA4"/>
    <w:rsid w:val="7A894339"/>
    <w:rsid w:val="7BEB7BC1"/>
    <w:rsid w:val="7C626988"/>
    <w:rsid w:val="7EEF11D3"/>
    <w:rsid w:val="7FA30C79"/>
    <w:rsid w:val="7FB7269E"/>
    <w:rsid w:val="7FC96657"/>
    <w:rsid w:val="AFADA60E"/>
    <w:rsid w:val="BBBBDBC2"/>
    <w:rsid w:val="D26D4882"/>
    <w:rsid w:val="D8D6DB89"/>
    <w:rsid w:val="DB6F4CAB"/>
    <w:rsid w:val="DBFDAC86"/>
    <w:rsid w:val="DF6F9789"/>
    <w:rsid w:val="E9FD4968"/>
    <w:rsid w:val="F79D0983"/>
    <w:rsid w:val="FBFDEAEF"/>
    <w:rsid w:val="FE3B009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9"/>
    <w:qFormat/>
    <w:uiPriority w:val="99"/>
    <w:pPr>
      <w:spacing w:beforeLines="30"/>
    </w:pPr>
    <w:rPr>
      <w:rFonts w:ascii="仿宋_GB2312" w:eastAsia="仿宋_GB2312"/>
      <w:kern w:val="0"/>
      <w:sz w:val="30"/>
    </w:rPr>
  </w:style>
  <w:style w:type="paragraph" w:styleId="6">
    <w:name w:val="Salutation"/>
    <w:basedOn w:val="1"/>
    <w:next w:val="1"/>
    <w:link w:val="37"/>
    <w:qFormat/>
    <w:uiPriority w:val="0"/>
    <w:rPr>
      <w:rFonts w:ascii="Calibri" w:hAnsi="Calibri"/>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character" w:customStyle="1" w:styleId="20">
    <w:name w:val="标题 1 Char"/>
    <w:basedOn w:val="17"/>
    <w:link w:val="3"/>
    <w:qFormat/>
    <w:uiPriority w:val="9"/>
    <w:rPr>
      <w:rFonts w:ascii="Times New Roman" w:hAnsi="Times New Roman"/>
      <w:b/>
      <w:bCs/>
      <w:kern w:val="44"/>
      <w:sz w:val="44"/>
      <w:szCs w:val="44"/>
    </w:rPr>
  </w:style>
  <w:style w:type="character" w:customStyle="1" w:styleId="21">
    <w:name w:val="标题 2 Char"/>
    <w:basedOn w:val="17"/>
    <w:link w:val="4"/>
    <w:qFormat/>
    <w:uiPriority w:val="9"/>
    <w:rPr>
      <w:rFonts w:asciiTheme="majorHAnsi" w:hAnsiTheme="majorHAnsi" w:eastAsiaTheme="majorEastAsia" w:cstheme="majorBidi"/>
      <w:b/>
      <w:bCs/>
      <w:kern w:val="2"/>
      <w:sz w:val="32"/>
      <w:szCs w:val="32"/>
    </w:rPr>
  </w:style>
  <w:style w:type="character" w:customStyle="1" w:styleId="22">
    <w:name w:val="标题 3 Char"/>
    <w:basedOn w:val="17"/>
    <w:link w:val="5"/>
    <w:qFormat/>
    <w:uiPriority w:val="9"/>
    <w:rPr>
      <w:rFonts w:ascii="Times New Roman" w:hAnsi="Times New Roman"/>
      <w:b/>
      <w:bCs/>
      <w:kern w:val="2"/>
      <w:sz w:val="32"/>
      <w:szCs w:val="32"/>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7"/>
    <w:semiHidden/>
    <w:qFormat/>
    <w:uiPriority w:val="99"/>
    <w:rPr>
      <w:rFonts w:ascii="Times New Roman" w:hAnsi="Times New Roman"/>
      <w:sz w:val="18"/>
      <w:szCs w:val="18"/>
    </w:rPr>
  </w:style>
  <w:style w:type="character" w:customStyle="1" w:styleId="25">
    <w:name w:val="页眉 Char"/>
    <w:link w:val="11"/>
    <w:semiHidden/>
    <w:qFormat/>
    <w:locked/>
    <w:uiPriority w:val="99"/>
    <w:rPr>
      <w:sz w:val="18"/>
    </w:rPr>
  </w:style>
  <w:style w:type="character" w:customStyle="1" w:styleId="26">
    <w:name w:val="Footer Char"/>
    <w:basedOn w:val="17"/>
    <w:semiHidden/>
    <w:qFormat/>
    <w:uiPriority w:val="99"/>
    <w:rPr>
      <w:rFonts w:ascii="Times New Roman" w:hAnsi="Times New Roman"/>
      <w:sz w:val="18"/>
      <w:szCs w:val="18"/>
    </w:rPr>
  </w:style>
  <w:style w:type="character" w:customStyle="1" w:styleId="27">
    <w:name w:val="页脚 Char"/>
    <w:link w:val="10"/>
    <w:qFormat/>
    <w:locked/>
    <w:uiPriority w:val="99"/>
    <w:rPr>
      <w:sz w:val="18"/>
    </w:rPr>
  </w:style>
  <w:style w:type="character" w:customStyle="1" w:styleId="28">
    <w:name w:val="Body Text Char"/>
    <w:basedOn w:val="17"/>
    <w:semiHidden/>
    <w:qFormat/>
    <w:uiPriority w:val="99"/>
    <w:rPr>
      <w:rFonts w:ascii="Times New Roman" w:hAnsi="Times New Roman"/>
      <w:szCs w:val="24"/>
    </w:rPr>
  </w:style>
  <w:style w:type="character" w:customStyle="1" w:styleId="29">
    <w:name w:val="正文文本 Char"/>
    <w:link w:val="2"/>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批注框文本 Char"/>
    <w:basedOn w:val="17"/>
    <w:link w:val="9"/>
    <w:semiHidden/>
    <w:qFormat/>
    <w:uiPriority w:val="99"/>
    <w:rPr>
      <w:rFonts w:ascii="Times New Roman" w:hAnsi="Times New Roman"/>
      <w:kern w:val="2"/>
      <w:sz w:val="18"/>
      <w:szCs w:val="18"/>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正文 New New New New New New New New New New New New New New New New New New New New New New New New New New New New New New New New New New New New New New New New New New New"/>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
    <w:name w:val="称呼 Char"/>
    <w:basedOn w:val="17"/>
    <w:link w:val="6"/>
    <w:qFormat/>
    <w:uiPriority w:val="0"/>
    <w:rPr>
      <w:rFonts w:ascii="Calibri" w:hAnsi="Calibri" w:eastAsia="宋体" w:cs="Times New Roman"/>
      <w:kern w:val="2"/>
      <w:sz w:val="21"/>
      <w:szCs w:val="24"/>
    </w:rPr>
  </w:style>
  <w:style w:type="paragraph" w:customStyle="1" w:styleId="38">
    <w:name w:val="TOC 标题3"/>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dministrator\Desktop\2022&#24180;&#20915;&#31639;&#20998;&#26512;&#26609;&#29366;&#22270;.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dministrator\Desktop\2022&#24180;&#20915;&#31639;&#20998;&#26512;&#26609;&#29366;&#22270;.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dministrator\Desktop\2022&#24180;&#20915;&#31639;&#20998;&#26512;&#26609;&#29366;&#22270;%20-%20&#21103;&#26412;.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Administrator\Desktop\2022&#24180;&#20915;&#31639;&#20998;&#26512;&#26609;&#29366;&#22270;%20-%20&#21103;&#26412;.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Administrator\Desktop\2022&#24180;&#20915;&#31639;&#20998;&#26512;&#26609;&#29366;&#22270;%20-%20&#21103;&#26412;.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Administrator\Desktop\2022&#24180;&#20915;&#31639;&#20998;&#26512;&#26609;&#29366;&#22270;%20-%20&#21103;&#26412;.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Administrator\Desktop\2022&#24180;&#20915;&#31639;&#20998;&#26512;&#26609;&#29366;&#22270;%20-%20&#21103;&#264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spPr>
            <a:solidFill>
              <a:schemeClr val="accent1"/>
            </a:solidFill>
            <a:ln>
              <a:noFill/>
            </a:ln>
            <a:effectLst/>
          </c:spPr>
          <c:invertIfNegative val="false"/>
          <c:dLbls>
            <c:dLbl>
              <c:idx val="0"/>
              <c:layout/>
              <c:tx>
                <c:rich>
                  <a:bodyPr rot="0" spcFirstLastPara="0" vertOverflow="ellipsis" vert="horz" wrap="square" lIns="38100" tIns="19050" rIns="38100" bIns="19050" anchor="ctr" anchorCtr="true"/>
                  <a:lstStyle/>
                  <a:p>
                    <a:pPr>
                      <a:defRPr lang="zh-CN" sz="1600" b="1" i="0" u="none" strike="noStrike" kern="1200" baseline="0">
                        <a:solidFill>
                          <a:schemeClr val="tx1"/>
                        </a:solidFill>
                        <a:latin typeface="+mn-lt"/>
                        <a:ea typeface="+mn-ea"/>
                        <a:cs typeface="+mn-cs"/>
                      </a:defRPr>
                    </a:pPr>
                    <a:r>
                      <a:rPr altLang="en-US" sz="1200"/>
                      <a:t>2461.30 </a:t>
                    </a:r>
                    <a:endParaRPr altLang="en-US" sz="1200"/>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a:defRPr lang="zh-CN" sz="1600" b="1" i="0" u="none" strike="noStrike" kern="1200" baseline="0">
                        <a:solidFill>
                          <a:schemeClr val="tx1"/>
                        </a:solidFill>
                        <a:latin typeface="+mn-lt"/>
                        <a:ea typeface="+mn-ea"/>
                        <a:cs typeface="+mn-cs"/>
                      </a:defRPr>
                    </a:pPr>
                    <a:r>
                      <a:rPr altLang="en-US" sz="1200"/>
                      <a:t>2592.99</a:t>
                    </a:r>
                    <a:r>
                      <a:rPr altLang="en-US"/>
                      <a:t> </a:t>
                    </a:r>
                    <a:endParaRPr altLang="en-US"/>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600" b="1" i="0" u="none" strike="noStrike" kern="1200" baseline="0">
                    <a:solidFill>
                      <a:schemeClr val="tx1"/>
                    </a:solidFill>
                    <a:latin typeface="+mn-lt"/>
                    <a:ea typeface="+mn-ea"/>
                    <a:cs typeface="+mn-cs"/>
                  </a:defRPr>
                </a:pPr>
              </a:p>
            </c:txPr>
            <c:dLblPos val="outEnd"/>
            <c:showLegendKey val="false"/>
            <c:showVal val="fals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Sheet1!$O$32:$O$33</c:f>
              <c:strCache>
                <c:ptCount val="2"/>
                <c:pt idx="0">
                  <c:v>2021年</c:v>
                </c:pt>
                <c:pt idx="1">
                  <c:v>2022年</c:v>
                </c:pt>
              </c:strCache>
            </c:strRef>
          </c:cat>
          <c:val>
            <c:numRef>
              <c:f>Sheet1!$P$32:$P$33</c:f>
              <c:numCache>
                <c:formatCode>0.00_ </c:formatCode>
                <c:ptCount val="2"/>
                <c:pt idx="0">
                  <c:v>2461.3</c:v>
                </c:pt>
                <c:pt idx="1">
                  <c:v>2592.99</c:v>
                </c:pt>
              </c:numCache>
            </c:numRef>
          </c:val>
        </c:ser>
        <c:dLbls>
          <c:showLegendKey val="false"/>
          <c:showVal val="true"/>
          <c:showCatName val="false"/>
          <c:showSerName val="false"/>
          <c:showPercent val="false"/>
          <c:showBubbleSize val="false"/>
        </c:dLbls>
        <c:gapWidth val="219"/>
        <c:overlap val="-27"/>
        <c:axId val="334297728"/>
        <c:axId val="334619392"/>
      </c:barChart>
      <c:catAx>
        <c:axId val="334297728"/>
        <c:scaling>
          <c:orientation val="minMax"/>
        </c:scaling>
        <c:delete val="false"/>
        <c:axPos val="b"/>
        <c:numFmt formatCode="General" sourceLinked="true"/>
        <c:majorTickMark val="out"/>
        <c:minorTickMark val="none"/>
        <c:tickLblPos val="nextTo"/>
        <c:spPr>
          <a:noFill/>
          <a:ln w="38100" cap="flat" cmpd="sng" algn="ctr">
            <a:solidFill>
              <a:schemeClr val="tx1"/>
            </a:solidFill>
            <a:prstDash val="solid"/>
            <a:round/>
          </a:ln>
          <a:effectLst/>
        </c:spPr>
        <c:txPr>
          <a:bodyPr rot="-60000000" spcFirstLastPara="0" vertOverflow="ellipsis" vert="horz" wrap="square" anchor="ctr" anchorCtr="true"/>
          <a:lstStyle/>
          <a:p>
            <a:pPr>
              <a:defRPr lang="zh-CN" sz="1200" b="1" i="0" u="none" strike="noStrike" kern="1200" baseline="0">
                <a:solidFill>
                  <a:schemeClr val="tx1">
                    <a:lumMod val="65000"/>
                    <a:lumOff val="35000"/>
                  </a:schemeClr>
                </a:solidFill>
                <a:latin typeface="+mn-lt"/>
                <a:ea typeface="+mn-ea"/>
                <a:cs typeface="+mn-cs"/>
              </a:defRPr>
            </a:pPr>
          </a:p>
        </c:txPr>
        <c:crossAx val="334619392"/>
        <c:crosses val="autoZero"/>
        <c:auto val="true"/>
        <c:lblAlgn val="ctr"/>
        <c:lblOffset val="100"/>
        <c:noMultiLvlLbl val="false"/>
      </c:catAx>
      <c:valAx>
        <c:axId val="334619392"/>
        <c:scaling>
          <c:orientation val="minMax"/>
          <c:max val="3000"/>
        </c:scaling>
        <c:delete val="false"/>
        <c:axPos val="l"/>
        <c:majorGridlines>
          <c:spPr>
            <a:ln w="9525" cap="flat" cmpd="sng" algn="ctr">
              <a:solidFill>
                <a:schemeClr val="tx1">
                  <a:lumMod val="15000"/>
                  <a:lumOff val="85000"/>
                </a:schemeClr>
              </a:solidFill>
              <a:prstDash val="solid"/>
              <a:round/>
            </a:ln>
            <a:effectLst/>
          </c:spPr>
        </c:majorGridlines>
        <c:minorGridlines>
          <c:spPr>
            <a:ln w="9525" cap="flat" cmpd="sng" algn="ctr">
              <a:solidFill>
                <a:schemeClr val="tx1">
                  <a:lumMod val="5000"/>
                  <a:lumOff val="95000"/>
                </a:schemeClr>
              </a:solidFill>
              <a:prstDash val="solid"/>
              <a:round/>
            </a:ln>
            <a:effectLst/>
          </c:spPr>
        </c:minorGridlines>
        <c:numFmt formatCode="0.00_ " sourceLinked="true"/>
        <c:majorTickMark val="out"/>
        <c:minorTickMark val="none"/>
        <c:tickLblPos val="nextTo"/>
        <c:txPr>
          <a:bodyPr rot="-60000000" spcFirstLastPara="0" vertOverflow="ellipsis" vert="horz" wrap="square" anchor="ctr" anchorCtr="true"/>
          <a:lstStyle/>
          <a:p>
            <a:pPr>
              <a:defRPr lang="zh-CN" sz="1200" b="1" i="0" u="none" strike="noStrike" kern="1200" baseline="0">
                <a:solidFill>
                  <a:schemeClr val="tx1"/>
                </a:solidFill>
                <a:latin typeface="+mn-lt"/>
                <a:ea typeface="+mn-ea"/>
                <a:cs typeface="+mn-cs"/>
              </a:defRPr>
            </a:pPr>
          </a:p>
        </c:txPr>
        <c:crossAx val="334297728"/>
        <c:crosses val="autoZero"/>
        <c:crossBetween val="between"/>
        <c:majorUnit val="1000"/>
        <c:minorUnit val="1000"/>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sz="1600" b="1"/>
      </a:pPr>
    </a:p>
  </c:txPr>
  <c:externalData r:id="rId1">
    <c:autoUpdate val="false"/>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manualLayout>
                  <c:x val="-0.11591468254634"/>
                  <c:y val="-0.214423251992624"/>
                </c:manualLayout>
              </c:layout>
              <c:tx>
                <c:rich>
                  <a:bodyPr rot="0" spcFirstLastPara="0" vertOverflow="ellipsis" vert="horz" wrap="square" lIns="38100" tIns="19050" rIns="38100" bIns="19050" anchor="ctr" anchorCtr="true"/>
                  <a:lstStyle/>
                  <a:p>
                    <a:pPr>
                      <a:defRPr lang="zh-CN" sz="1000" b="1" i="0" u="none" strike="noStrike" kern="1200" baseline="0">
                        <a:solidFill>
                          <a:schemeClr val="tx1">
                            <a:lumMod val="75000"/>
                            <a:lumOff val="25000"/>
                          </a:schemeClr>
                        </a:solidFill>
                        <a:latin typeface="+mn-lt"/>
                        <a:ea typeface="+mn-ea"/>
                        <a:cs typeface="+mn-cs"/>
                      </a:defRPr>
                    </a:pPr>
                    <a:r>
                      <a:rPr lang="en-US" altLang="zh-CN" sz="1000" b="1"/>
                      <a:t>2357.31</a:t>
                    </a:r>
                    <a:r>
                      <a:rPr lang="zh-CN" altLang="en-US" sz="1000" b="1"/>
                      <a:t>，</a:t>
                    </a:r>
                    <a:r>
                      <a:rPr lang="en-US" altLang="zh-CN" sz="1000" b="1"/>
                      <a:t>    95.94%</a:t>
                    </a:r>
                    <a:endParaRPr lang="en-US" altLang="zh-CN" sz="1000" b="1"/>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239816660105595"/>
                  <c:y val="0.0175761883931176"/>
                </c:manualLayout>
              </c:layout>
              <c:tx>
                <c:rich>
                  <a:bodyPr rot="0" spcFirstLastPara="0" vertOverflow="ellipsis" vert="horz" wrap="square" lIns="38100" tIns="19050" rIns="38100" bIns="19050" anchor="ctr" anchorCtr="true"/>
                  <a:lstStyle/>
                  <a:p>
                    <a:pPr>
                      <a:defRPr lang="zh-CN" sz="1000" b="1" i="0" u="none" strike="noStrike" kern="1200" baseline="0">
                        <a:solidFill>
                          <a:schemeClr val="tx1">
                            <a:lumMod val="75000"/>
                            <a:lumOff val="25000"/>
                          </a:schemeClr>
                        </a:solidFill>
                        <a:latin typeface="+mn-lt"/>
                        <a:ea typeface="+mn-ea"/>
                        <a:cs typeface="+mn-cs"/>
                      </a:defRPr>
                    </a:pPr>
                    <a:r>
                      <a:rPr lang="en-US" sz="1000" b="1"/>
                      <a:t>99.8</a:t>
                    </a:r>
                    <a:r>
                      <a:rPr lang="zh-CN" altLang="en-US" sz="1000" b="1"/>
                      <a:t>，</a:t>
                    </a:r>
                    <a:r>
                      <a:rPr lang="en-US" altLang="zh-CN" sz="1000" b="1"/>
                      <a:t>4.06%</a:t>
                    </a:r>
                    <a:endParaRPr lang="en-US" altLang="zh-CN" sz="1000" b="1"/>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1"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Sheet1!$J$55:$J$56</c:f>
              <c:strCache>
                <c:ptCount val="2"/>
                <c:pt idx="0">
                  <c:v>一般公共预算财政拨款收入</c:v>
                </c:pt>
                <c:pt idx="1">
                  <c:v>其他收入</c:v>
                </c:pt>
              </c:strCache>
            </c:strRef>
          </c:cat>
          <c:val>
            <c:numRef>
              <c:f>Sheet1!$K$55:$K$56</c:f>
              <c:numCache>
                <c:formatCode>General</c:formatCode>
                <c:ptCount val="2"/>
                <c:pt idx="0">
                  <c:v>1882.89</c:v>
                </c:pt>
                <c:pt idx="1">
                  <c:v>479.27</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egendEntry>
        <c:idx val="0"/>
        <c:txPr>
          <a:bodyPr rot="0" spcFirstLastPara="0" vertOverflow="ellipsis" vert="horz" wrap="square" anchor="ctr" anchorCtr="true"/>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10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22730970545875"/>
          <c:y val="0.827317754024805"/>
          <c:w val="0.611669986738355"/>
          <c:h val="0.130924800018413"/>
        </c:manualLayout>
      </c:layout>
      <c:overlay val="false"/>
      <c:spPr>
        <a:noFill/>
        <a:ln>
          <a:noFill/>
        </a:ln>
        <a:effectLst/>
      </c:spPr>
      <c:txPr>
        <a:bodyPr rot="0" spcFirstLastPara="0" vertOverflow="ellipsis" vert="horz" wrap="square" anchor="ctr" anchorCtr="true"/>
        <a:lstStyle/>
        <a:p>
          <a:pPr>
            <a:defRPr lang="zh-CN" sz="10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sz="1000"/>
      </a:pPr>
    </a:p>
  </c:txPr>
  <c:externalData r:id="rId1">
    <c:autoUpdate val="false"/>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manualLayout>
                  <c:x val="-0.153149655151525"/>
                  <c:y val="-0.13510316418781"/>
                </c:manualLayout>
              </c:layout>
              <c:tx>
                <c:rich>
                  <a:bodyPr rot="0" spcFirstLastPara="0" vertOverflow="ellipsis" vert="horz" wrap="square" lIns="38100" tIns="19050" rIns="38100" bIns="19050" anchor="ctr" anchorCtr="true"/>
                  <a:lstStyle/>
                  <a:p>
                    <a:pPr>
                      <a:defRPr lang="zh-CN" sz="1000" b="1" i="0" u="none" strike="noStrike" kern="1200" baseline="0">
                        <a:solidFill>
                          <a:schemeClr val="tx1">
                            <a:lumMod val="75000"/>
                            <a:lumOff val="25000"/>
                          </a:schemeClr>
                        </a:solidFill>
                        <a:latin typeface="+mn-lt"/>
                        <a:ea typeface="+mn-ea"/>
                        <a:cs typeface="+mn-cs"/>
                      </a:defRPr>
                    </a:pPr>
                    <a:r>
                      <a:rPr lang="en-US" altLang="zh-CN" sz="1000" b="1"/>
                      <a:t>1907.23</a:t>
                    </a:r>
                    <a:r>
                      <a:rPr lang="zh-CN" altLang="en-US" sz="1000" b="1"/>
                      <a:t>，</a:t>
                    </a:r>
                    <a:r>
                      <a:rPr lang="en-US" altLang="zh-CN" sz="1000" b="1"/>
                      <a:t>       76.58%</a:t>
                    </a:r>
                    <a:endParaRPr lang="en-US" altLang="zh-CN" sz="1000" b="1"/>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991852580927384"/>
                  <c:y val="0.147205760464153"/>
                </c:manualLayout>
              </c:layout>
              <c:tx>
                <c:rich>
                  <a:bodyPr rot="0" spcFirstLastPara="0" vertOverflow="ellipsis" vert="horz" wrap="square" lIns="38100" tIns="19050" rIns="38100" bIns="19050" anchor="ctr" anchorCtr="true"/>
                  <a:lstStyle/>
                  <a:p>
                    <a:pPr>
                      <a:defRPr lang="zh-CN" sz="1000" b="1" i="0" u="none" strike="noStrike" kern="1200" baseline="0">
                        <a:solidFill>
                          <a:schemeClr val="tx1">
                            <a:lumMod val="75000"/>
                            <a:lumOff val="25000"/>
                          </a:schemeClr>
                        </a:solidFill>
                        <a:latin typeface="+mn-lt"/>
                        <a:ea typeface="+mn-ea"/>
                        <a:cs typeface="+mn-cs"/>
                      </a:defRPr>
                    </a:pPr>
                    <a:r>
                      <a:rPr lang="en-US" sz="1000" b="1"/>
                      <a:t>583.32</a:t>
                    </a:r>
                    <a:r>
                      <a:rPr lang="zh-CN" altLang="en-US" sz="1000" b="1"/>
                      <a:t>，</a:t>
                    </a:r>
                    <a:r>
                      <a:rPr lang="en-US" altLang="zh-CN" sz="1000" b="1"/>
                      <a:t>     23.42%</a:t>
                    </a:r>
                    <a:endParaRPr lang="en-US" altLang="zh-CN" sz="1000" b="1"/>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1"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Sheet1!$J$55:$J$56</c:f>
              <c:strCache>
                <c:ptCount val="2"/>
                <c:pt idx="0">
                  <c:v>基本支出</c:v>
                </c:pt>
                <c:pt idx="1">
                  <c:v>项目支出</c:v>
                </c:pt>
              </c:strCache>
            </c:strRef>
          </c:cat>
          <c:val>
            <c:numRef>
              <c:f>Sheet1!$K$55:$K$56</c:f>
              <c:numCache>
                <c:formatCode>General</c:formatCode>
                <c:ptCount val="2"/>
                <c:pt idx="0">
                  <c:v>1882.89</c:v>
                </c:pt>
                <c:pt idx="1">
                  <c:v>479.27</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egendEntry>
        <c:idx val="0"/>
        <c:txPr>
          <a:bodyPr rot="0" spcFirstLastPara="0" vertOverflow="ellipsis" vert="horz" wrap="square" anchor="ctr" anchorCtr="true"/>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1000" b="0" i="0" u="none" strike="noStrike" kern="1200" baseline="0">
                <a:solidFill>
                  <a:schemeClr val="tx1">
                    <a:lumMod val="65000"/>
                    <a:lumOff val="35000"/>
                  </a:schemeClr>
                </a:solidFill>
                <a:latin typeface="+mn-lt"/>
                <a:ea typeface="+mn-ea"/>
                <a:cs typeface="+mn-cs"/>
              </a:defRPr>
            </a:pPr>
          </a:p>
        </c:txPr>
      </c:legendEntry>
      <c:layout/>
      <c:overlay val="false"/>
      <c:spPr>
        <a:noFill/>
        <a:ln>
          <a:noFill/>
        </a:ln>
        <a:effectLst/>
      </c:spPr>
      <c:txPr>
        <a:bodyPr rot="0" spcFirstLastPara="0" vertOverflow="ellipsis" vert="horz" wrap="square" anchor="ctr" anchorCtr="true"/>
        <a:lstStyle/>
        <a:p>
          <a:pPr>
            <a:defRPr lang="zh-CN" sz="10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sz="1000"/>
      </a:pPr>
    </a:p>
  </c:txPr>
  <c:externalData r:id="rId1">
    <c:autoUpdate val="false"/>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spPr>
            <a:solidFill>
              <a:schemeClr val="accent1"/>
            </a:solidFill>
            <a:ln>
              <a:noFill/>
            </a:ln>
            <a:effectLst/>
          </c:spPr>
          <c:invertIfNegative val="false"/>
          <c:dLbls>
            <c:dLbl>
              <c:idx val="0"/>
              <c:layout/>
              <c:tx>
                <c:rich>
                  <a:bodyPr rot="0" spcFirstLastPara="0" vertOverflow="ellipsis" vert="horz" wrap="square" lIns="38100" tIns="19050" rIns="38100" bIns="19050" anchor="ctr" anchorCtr="true"/>
                  <a:lstStyle/>
                  <a:p>
                    <a:pPr>
                      <a:defRPr lang="zh-CN" sz="1600" b="1" i="0" u="none" strike="noStrike" kern="1200" baseline="0">
                        <a:solidFill>
                          <a:schemeClr val="tx1"/>
                        </a:solidFill>
                        <a:latin typeface="+mn-lt"/>
                        <a:ea typeface="+mn-ea"/>
                        <a:cs typeface="+mn-cs"/>
                      </a:defRPr>
                    </a:pPr>
                    <a:r>
                      <a:rPr altLang="en-US" sz="1200"/>
                      <a:t>2</a:t>
                    </a:r>
                    <a:r>
                      <a:rPr lang="en-US" altLang="en-US" sz="1200"/>
                      <a:t>148.31</a:t>
                    </a:r>
                    <a:r>
                      <a:rPr altLang="en-US" sz="1200"/>
                      <a:t> </a:t>
                    </a:r>
                    <a:endParaRPr altLang="en-US" sz="1200"/>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a:defRPr lang="zh-CN" sz="1600" b="1" i="0" u="none" strike="noStrike" kern="1200" baseline="0">
                        <a:solidFill>
                          <a:schemeClr val="tx1"/>
                        </a:solidFill>
                        <a:latin typeface="+mn-lt"/>
                        <a:ea typeface="+mn-ea"/>
                        <a:cs typeface="+mn-cs"/>
                      </a:defRPr>
                    </a:pPr>
                    <a:r>
                      <a:rPr altLang="en-US" sz="1200"/>
                      <a:t>2369.98</a:t>
                    </a:r>
                    <a:r>
                      <a:rPr altLang="en-US"/>
                      <a:t> </a:t>
                    </a:r>
                    <a:endParaRPr altLang="en-US"/>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600" b="1" i="0" u="none" strike="noStrike" kern="1200" baseline="0">
                    <a:solidFill>
                      <a:schemeClr val="tx1"/>
                    </a:solidFill>
                    <a:latin typeface="+mn-lt"/>
                    <a:ea typeface="+mn-ea"/>
                    <a:cs typeface="+mn-cs"/>
                  </a:defRPr>
                </a:pPr>
              </a:p>
            </c:txPr>
            <c:dLblPos val="outEnd"/>
            <c:showLegendKey val="false"/>
            <c:showVal val="fals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Sheet1!$O$32:$O$33</c:f>
              <c:strCache>
                <c:ptCount val="2"/>
                <c:pt idx="0">
                  <c:v>2021年</c:v>
                </c:pt>
                <c:pt idx="1">
                  <c:v>2022年</c:v>
                </c:pt>
              </c:strCache>
            </c:strRef>
          </c:cat>
          <c:val>
            <c:numRef>
              <c:f>Sheet1!$P$32:$P$33</c:f>
              <c:numCache>
                <c:formatCode>0.00_ </c:formatCode>
                <c:ptCount val="2"/>
                <c:pt idx="0">
                  <c:v>2148.31</c:v>
                </c:pt>
                <c:pt idx="1">
                  <c:v>2369.98</c:v>
                </c:pt>
              </c:numCache>
            </c:numRef>
          </c:val>
        </c:ser>
        <c:dLbls>
          <c:showLegendKey val="false"/>
          <c:showVal val="true"/>
          <c:showCatName val="false"/>
          <c:showSerName val="false"/>
          <c:showPercent val="false"/>
          <c:showBubbleSize val="false"/>
        </c:dLbls>
        <c:gapWidth val="219"/>
        <c:overlap val="-27"/>
        <c:axId val="380910592"/>
        <c:axId val="465173504"/>
      </c:barChart>
      <c:catAx>
        <c:axId val="380910592"/>
        <c:scaling>
          <c:orientation val="minMax"/>
        </c:scaling>
        <c:delete val="false"/>
        <c:axPos val="b"/>
        <c:numFmt formatCode="General" sourceLinked="true"/>
        <c:majorTickMark val="out"/>
        <c:minorTickMark val="none"/>
        <c:tickLblPos val="nextTo"/>
        <c:spPr>
          <a:noFill/>
          <a:ln w="38100" cap="flat" cmpd="sng" algn="ctr">
            <a:solidFill>
              <a:schemeClr val="tx1"/>
            </a:solidFill>
            <a:prstDash val="solid"/>
            <a:round/>
          </a:ln>
          <a:effectLst/>
        </c:spPr>
        <c:txPr>
          <a:bodyPr rot="-60000000" spcFirstLastPara="0" vertOverflow="ellipsis" vert="horz" wrap="square" anchor="ctr" anchorCtr="true"/>
          <a:lstStyle/>
          <a:p>
            <a:pPr>
              <a:defRPr lang="zh-CN" sz="1200" b="1" i="0" u="none" strike="noStrike" kern="1200" baseline="0">
                <a:solidFill>
                  <a:schemeClr val="tx1">
                    <a:lumMod val="65000"/>
                    <a:lumOff val="35000"/>
                  </a:schemeClr>
                </a:solidFill>
                <a:latin typeface="+mn-lt"/>
                <a:ea typeface="+mn-ea"/>
                <a:cs typeface="+mn-cs"/>
              </a:defRPr>
            </a:pPr>
          </a:p>
        </c:txPr>
        <c:crossAx val="465173504"/>
        <c:crosses val="autoZero"/>
        <c:auto val="true"/>
        <c:lblAlgn val="ctr"/>
        <c:lblOffset val="100"/>
        <c:noMultiLvlLbl val="false"/>
      </c:catAx>
      <c:valAx>
        <c:axId val="465173504"/>
        <c:scaling>
          <c:orientation val="minMax"/>
          <c:max val="3000"/>
        </c:scaling>
        <c:delete val="false"/>
        <c:axPos val="l"/>
        <c:majorGridlines>
          <c:spPr>
            <a:ln w="9525" cap="flat" cmpd="sng" algn="ctr">
              <a:solidFill>
                <a:schemeClr val="tx1">
                  <a:lumMod val="15000"/>
                  <a:lumOff val="85000"/>
                </a:schemeClr>
              </a:solidFill>
              <a:prstDash val="solid"/>
              <a:round/>
            </a:ln>
            <a:effectLst/>
          </c:spPr>
        </c:majorGridlines>
        <c:minorGridlines>
          <c:spPr>
            <a:ln w="9525" cap="flat" cmpd="sng" algn="ctr">
              <a:solidFill>
                <a:schemeClr val="tx1">
                  <a:lumMod val="5000"/>
                  <a:lumOff val="95000"/>
                </a:schemeClr>
              </a:solidFill>
              <a:prstDash val="solid"/>
              <a:round/>
            </a:ln>
            <a:effectLst/>
          </c:spPr>
        </c:minorGridlines>
        <c:numFmt formatCode="0.00_ " sourceLinked="true"/>
        <c:majorTickMark val="out"/>
        <c:minorTickMark val="none"/>
        <c:tickLblPos val="nextTo"/>
        <c:txPr>
          <a:bodyPr rot="-60000000" spcFirstLastPara="0" vertOverflow="ellipsis" vert="horz" wrap="square" anchor="ctr" anchorCtr="true"/>
          <a:lstStyle/>
          <a:p>
            <a:pPr>
              <a:defRPr lang="zh-CN" sz="1200" b="1" i="0" u="none" strike="noStrike" kern="1200" baseline="0">
                <a:solidFill>
                  <a:schemeClr val="tx1"/>
                </a:solidFill>
                <a:latin typeface="+mn-lt"/>
                <a:ea typeface="+mn-ea"/>
                <a:cs typeface="+mn-cs"/>
              </a:defRPr>
            </a:pPr>
          </a:p>
        </c:txPr>
        <c:crossAx val="380910592"/>
        <c:crosses val="autoZero"/>
        <c:crossBetween val="between"/>
        <c:majorUnit val="1000"/>
        <c:minorUnit val="1000"/>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sz="1600" b="1"/>
      </a:pPr>
    </a:p>
  </c:txPr>
  <c:externalData r:id="rId1">
    <c:autoUpdate val="false"/>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spPr>
            <a:solidFill>
              <a:schemeClr val="accent1"/>
            </a:solidFill>
            <a:ln>
              <a:noFill/>
            </a:ln>
            <a:effectLst/>
          </c:spPr>
          <c:invertIfNegative val="false"/>
          <c:dLbls>
            <c:dLbl>
              <c:idx val="0"/>
              <c:layout/>
              <c:tx>
                <c:rich>
                  <a:bodyPr rot="0" spcFirstLastPara="0" vertOverflow="ellipsis" vert="horz" wrap="square" lIns="38100" tIns="19050" rIns="38100" bIns="19050" anchor="ctr" anchorCtr="true"/>
                  <a:lstStyle/>
                  <a:p>
                    <a:pPr>
                      <a:defRPr lang="zh-CN" sz="1600" b="1" i="0" u="none" strike="noStrike" kern="1200" baseline="0">
                        <a:solidFill>
                          <a:schemeClr val="tx1"/>
                        </a:solidFill>
                        <a:latin typeface="+mn-lt"/>
                        <a:ea typeface="+mn-ea"/>
                        <a:cs typeface="+mn-cs"/>
                      </a:defRPr>
                    </a:pPr>
                    <a:r>
                      <a:rPr lang="en-US" altLang="en-US" sz="1200"/>
                      <a:t>2138.75</a:t>
                    </a:r>
                    <a:r>
                      <a:rPr altLang="en-US" sz="1200"/>
                      <a:t> </a:t>
                    </a:r>
                    <a:endParaRPr altLang="en-US" sz="1200"/>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a:defRPr lang="zh-CN" sz="1600" b="1" i="0" u="none" strike="noStrike" kern="1200" baseline="0">
                        <a:solidFill>
                          <a:schemeClr val="tx1"/>
                        </a:solidFill>
                        <a:latin typeface="+mn-lt"/>
                        <a:ea typeface="+mn-ea"/>
                        <a:cs typeface="+mn-cs"/>
                      </a:defRPr>
                    </a:pPr>
                    <a:r>
                      <a:rPr altLang="en-US" sz="1200"/>
                      <a:t>2362.16</a:t>
                    </a:r>
                    <a:r>
                      <a:rPr altLang="en-US"/>
                      <a:t> </a:t>
                    </a:r>
                    <a:endParaRPr altLang="en-US"/>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600" b="1" i="0" u="none" strike="noStrike" kern="1200" baseline="0">
                    <a:solidFill>
                      <a:schemeClr val="tx1"/>
                    </a:solidFill>
                    <a:latin typeface="+mn-lt"/>
                    <a:ea typeface="+mn-ea"/>
                    <a:cs typeface="+mn-cs"/>
                  </a:defRPr>
                </a:pPr>
              </a:p>
            </c:txPr>
            <c:dLblPos val="outEnd"/>
            <c:showLegendKey val="false"/>
            <c:showVal val="fals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Sheet1!$O$32:$O$33</c:f>
              <c:strCache>
                <c:ptCount val="2"/>
                <c:pt idx="0">
                  <c:v>2021年</c:v>
                </c:pt>
                <c:pt idx="1">
                  <c:v>2022年</c:v>
                </c:pt>
              </c:strCache>
            </c:strRef>
          </c:cat>
          <c:val>
            <c:numRef>
              <c:f>Sheet1!$P$32:$P$33</c:f>
              <c:numCache>
                <c:formatCode>0.00_ </c:formatCode>
                <c:ptCount val="2"/>
                <c:pt idx="0">
                  <c:v>2138.75</c:v>
                </c:pt>
                <c:pt idx="1">
                  <c:v>2362.16</c:v>
                </c:pt>
              </c:numCache>
            </c:numRef>
          </c:val>
        </c:ser>
        <c:dLbls>
          <c:showLegendKey val="false"/>
          <c:showVal val="true"/>
          <c:showCatName val="false"/>
          <c:showSerName val="false"/>
          <c:showPercent val="false"/>
          <c:showBubbleSize val="false"/>
        </c:dLbls>
        <c:gapWidth val="219"/>
        <c:overlap val="-27"/>
        <c:axId val="95006720"/>
        <c:axId val="95008256"/>
      </c:barChart>
      <c:catAx>
        <c:axId val="95006720"/>
        <c:scaling>
          <c:orientation val="minMax"/>
        </c:scaling>
        <c:delete val="false"/>
        <c:axPos val="b"/>
        <c:numFmt formatCode="General" sourceLinked="true"/>
        <c:majorTickMark val="out"/>
        <c:minorTickMark val="none"/>
        <c:tickLblPos val="nextTo"/>
        <c:spPr>
          <a:noFill/>
          <a:ln w="38100" cap="flat" cmpd="sng" algn="ctr">
            <a:solidFill>
              <a:schemeClr val="tx1"/>
            </a:solidFill>
            <a:prstDash val="solid"/>
            <a:round/>
          </a:ln>
          <a:effectLst/>
        </c:spPr>
        <c:txPr>
          <a:bodyPr rot="-60000000" spcFirstLastPara="0" vertOverflow="ellipsis" vert="horz" wrap="square" anchor="ctr" anchorCtr="true"/>
          <a:lstStyle/>
          <a:p>
            <a:pPr>
              <a:defRPr lang="zh-CN" sz="1200" b="1" i="0" u="none" strike="noStrike" kern="1200" baseline="0">
                <a:solidFill>
                  <a:schemeClr val="tx1">
                    <a:lumMod val="65000"/>
                    <a:lumOff val="35000"/>
                  </a:schemeClr>
                </a:solidFill>
                <a:latin typeface="+mn-lt"/>
                <a:ea typeface="+mn-ea"/>
                <a:cs typeface="+mn-cs"/>
              </a:defRPr>
            </a:pPr>
          </a:p>
        </c:txPr>
        <c:crossAx val="95008256"/>
        <c:crosses val="autoZero"/>
        <c:auto val="true"/>
        <c:lblAlgn val="ctr"/>
        <c:lblOffset val="100"/>
        <c:noMultiLvlLbl val="false"/>
      </c:catAx>
      <c:valAx>
        <c:axId val="95008256"/>
        <c:scaling>
          <c:orientation val="minMax"/>
          <c:max val="3000"/>
        </c:scaling>
        <c:delete val="false"/>
        <c:axPos val="l"/>
        <c:majorGridlines>
          <c:spPr>
            <a:ln w="9525" cap="flat" cmpd="sng" algn="ctr">
              <a:solidFill>
                <a:schemeClr val="tx1">
                  <a:lumMod val="15000"/>
                  <a:lumOff val="85000"/>
                </a:schemeClr>
              </a:solidFill>
              <a:prstDash val="solid"/>
              <a:round/>
            </a:ln>
            <a:effectLst/>
          </c:spPr>
        </c:majorGridlines>
        <c:minorGridlines>
          <c:spPr>
            <a:ln w="9525" cap="flat" cmpd="sng" algn="ctr">
              <a:solidFill>
                <a:schemeClr val="tx1">
                  <a:lumMod val="5000"/>
                  <a:lumOff val="95000"/>
                </a:schemeClr>
              </a:solidFill>
              <a:prstDash val="solid"/>
              <a:round/>
            </a:ln>
            <a:effectLst/>
          </c:spPr>
        </c:minorGridlines>
        <c:numFmt formatCode="0.00_ " sourceLinked="true"/>
        <c:majorTickMark val="out"/>
        <c:minorTickMark val="none"/>
        <c:tickLblPos val="nextTo"/>
        <c:txPr>
          <a:bodyPr rot="-60000000" spcFirstLastPara="0" vertOverflow="ellipsis" vert="horz" wrap="square" anchor="ctr" anchorCtr="true"/>
          <a:lstStyle/>
          <a:p>
            <a:pPr>
              <a:defRPr lang="zh-CN" sz="1200" b="1" i="0" u="none" strike="noStrike" kern="1200" baseline="0">
                <a:solidFill>
                  <a:schemeClr val="tx1"/>
                </a:solidFill>
                <a:latin typeface="+mn-lt"/>
                <a:ea typeface="+mn-ea"/>
                <a:cs typeface="+mn-cs"/>
              </a:defRPr>
            </a:pPr>
          </a:p>
        </c:txPr>
        <c:crossAx val="95006720"/>
        <c:crosses val="autoZero"/>
        <c:crossBetween val="between"/>
        <c:majorUnit val="1000"/>
        <c:minorUnit val="1000"/>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sz="1600" b="1"/>
      </a:pPr>
    </a:p>
  </c:txPr>
  <c:externalData r:id="rId1">
    <c:autoUpdate val="false"/>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dLbl>
              <c:idx val="0"/>
              <c:layout>
                <c:manualLayout>
                  <c:x val="-0.136009438597051"/>
                  <c:y val="-0.165699040898395"/>
                </c:manualLayout>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b="1"/>
                      <a:t>2044.5</a:t>
                    </a:r>
                    <a:r>
                      <a:rPr lang="zh-CN" altLang="en-US" b="1"/>
                      <a:t>，</a:t>
                    </a:r>
                    <a:r>
                      <a:rPr lang="en-US" altLang="zh-CN" b="1"/>
                      <a:t> </a:t>
                    </a:r>
                    <a:endParaRPr lang="en-US" altLang="zh-CN" b="1"/>
                  </a:p>
                  <a:p>
                    <a:pPr>
                      <a:defRPr lang="zh-CN" sz="900" b="0" i="0" u="none" strike="noStrike" kern="1200" baseline="0">
                        <a:solidFill>
                          <a:schemeClr val="tx1">
                            <a:lumMod val="75000"/>
                            <a:lumOff val="25000"/>
                          </a:schemeClr>
                        </a:solidFill>
                        <a:latin typeface="+mn-lt"/>
                        <a:ea typeface="+mn-ea"/>
                        <a:cs typeface="+mn-cs"/>
                      </a:defRPr>
                    </a:pPr>
                    <a:r>
                      <a:rPr lang="en-US" altLang="zh-CN" b="1"/>
                      <a:t>82%</a:t>
                    </a:r>
                    <a:endParaRPr lang="en-US" altLang="zh-CN" b="1"/>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0936655054694952"/>
                  <c:y val="0.0280499284756165"/>
                </c:manualLayout>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148.33</a:t>
                    </a:r>
                    <a:r>
                      <a:rPr lang="zh-CN" altLang="en-US"/>
                      <a:t>，</a:t>
                    </a:r>
                    <a:r>
                      <a:rPr lang="en-US" altLang="zh-CN"/>
                      <a:t>5%</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t>52.14</a:t>
                    </a:r>
                    <a:r>
                      <a:rPr lang="zh-CN" altLang="en-US"/>
                      <a:t>，</a:t>
                    </a:r>
                    <a:r>
                      <a:rPr lang="en-US" altLang="zh-CN"/>
                      <a:t>6%</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3"/>
              <c:layout>
                <c:manualLayout>
                  <c:x val="0.0581830681805974"/>
                  <c:y val="0.0241472853618297"/>
                </c:manualLayout>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t>116.92</a:t>
                    </a:r>
                    <a:r>
                      <a:rPr lang="en-US" altLang="zh-CN"/>
                      <a:t>,7%</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Sheet1!$J$40:$J$43</c:f>
              <c:strCache>
                <c:ptCount val="4"/>
                <c:pt idx="0">
                  <c:v>一般公共服务（类）</c:v>
                </c:pt>
                <c:pt idx="1">
                  <c:v>社会保障和就业</c:v>
                </c:pt>
                <c:pt idx="2">
                  <c:v>卫生健康支出</c:v>
                </c:pt>
                <c:pt idx="3">
                  <c:v>住房保障</c:v>
                </c:pt>
              </c:strCache>
            </c:strRef>
          </c:cat>
          <c:val>
            <c:numRef>
              <c:f>Sheet1!$K$40:$K$43</c:f>
              <c:numCache>
                <c:formatCode>General</c:formatCode>
                <c:ptCount val="4"/>
                <c:pt idx="0">
                  <c:v>2044.5</c:v>
                </c:pt>
                <c:pt idx="1">
                  <c:v>148.33</c:v>
                </c:pt>
                <c:pt idx="2">
                  <c:v>52.14</c:v>
                </c:pt>
                <c:pt idx="3">
                  <c:v>116.92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egendEntry>
        <c:idx val="0"/>
        <c:txPr>
          <a:bodyPr rot="0" spcFirstLastPara="0" vertOverflow="ellipsis" vert="horz" wrap="square" anchor="ctr" anchorCtr="true"/>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true"/>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true"/>
          <a:lstStyle/>
          <a:p>
            <a:pPr>
              <a:defRPr lang="zh-CN" sz="1000" b="0" i="0" u="none" strike="noStrike" kern="1200" baseline="0">
                <a:solidFill>
                  <a:schemeClr val="tx1">
                    <a:lumMod val="65000"/>
                    <a:lumOff val="35000"/>
                  </a:schemeClr>
                </a:solidFill>
                <a:latin typeface="+mn-lt"/>
                <a:ea typeface="+mn-ea"/>
                <a:cs typeface="+mn-cs"/>
              </a:defRPr>
            </a:pPr>
          </a:p>
        </c:txPr>
      </c:legendEntry>
      <c:layout/>
      <c:overlay val="false"/>
      <c:spPr>
        <a:noFill/>
        <a:ln>
          <a:noFill/>
        </a:ln>
        <a:effectLst/>
      </c:spPr>
      <c:txPr>
        <a:bodyPr rot="0" spcFirstLastPara="0" vertOverflow="ellipsis" vert="horz" wrap="square" anchor="ctr" anchorCtr="true"/>
        <a:lstStyle/>
        <a:p>
          <a:pPr>
            <a:defRPr lang="zh-CN" sz="10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manualLayout>
                  <c:x val="-0.172957168142143"/>
                  <c:y val="-0.00418324984701965"/>
                </c:manualLayout>
              </c:layout>
              <c:tx>
                <c:rich>
                  <a:bodyPr rot="0" spcFirstLastPara="0" vertOverflow="ellipsis" vert="horz" wrap="square" lIns="38100" tIns="19050" rIns="38100" bIns="19050" anchor="ctr" anchorCtr="true"/>
                  <a:lstStyle/>
                  <a:p>
                    <a:pPr>
                      <a:defRPr lang="zh-CN" sz="1000" b="1" i="0" u="none" strike="noStrike" kern="1200" baseline="0">
                        <a:solidFill>
                          <a:schemeClr val="tx1">
                            <a:lumMod val="75000"/>
                            <a:lumOff val="25000"/>
                          </a:schemeClr>
                        </a:solidFill>
                        <a:latin typeface="+mn-lt"/>
                        <a:ea typeface="+mn-ea"/>
                        <a:cs typeface="+mn-cs"/>
                      </a:defRPr>
                    </a:pPr>
                    <a:r>
                      <a:rPr lang="en-US" altLang="zh-CN" sz="1000" b="1"/>
                      <a:t>9.88</a:t>
                    </a:r>
                    <a:r>
                      <a:rPr lang="zh-CN" altLang="en-US" sz="1000" b="1"/>
                      <a:t>，</a:t>
                    </a:r>
                    <a:r>
                      <a:rPr lang="en-US" altLang="zh-CN" sz="1000" b="1"/>
                      <a:t> 58.5%</a:t>
                    </a:r>
                    <a:endParaRPr lang="en-US" altLang="zh-CN" sz="1000" b="1"/>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50456042746021"/>
                  <c:y val="0.064591521837018"/>
                </c:manualLayout>
              </c:layout>
              <c:tx>
                <c:rich>
                  <a:bodyPr rot="0" spcFirstLastPara="0" vertOverflow="ellipsis" vert="horz" wrap="square" lIns="38100" tIns="19050" rIns="38100" bIns="19050" anchor="ctr" anchorCtr="true"/>
                  <a:lstStyle/>
                  <a:p>
                    <a:pPr>
                      <a:defRPr lang="zh-CN" sz="1000" b="1" i="0" u="none" strike="noStrike" kern="1200" baseline="0">
                        <a:solidFill>
                          <a:schemeClr val="tx1">
                            <a:lumMod val="75000"/>
                            <a:lumOff val="25000"/>
                          </a:schemeClr>
                        </a:solidFill>
                        <a:latin typeface="+mn-lt"/>
                        <a:ea typeface="+mn-ea"/>
                        <a:cs typeface="+mn-cs"/>
                      </a:defRPr>
                    </a:pPr>
                    <a:r>
                      <a:rPr lang="en-US" sz="1000" b="1"/>
                      <a:t>7.01</a:t>
                    </a:r>
                    <a:r>
                      <a:rPr lang="zh-CN" altLang="en-US" sz="1000" b="1"/>
                      <a:t>，</a:t>
                    </a:r>
                    <a:r>
                      <a:rPr lang="en-US" altLang="zh-CN" sz="1000" b="1"/>
                      <a:t> 41.5%</a:t>
                    </a:r>
                    <a:endParaRPr lang="en-US" altLang="zh-CN" sz="1000" b="1"/>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1"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Sheet1!$J$55:$J$56</c:f>
              <c:strCache>
                <c:ptCount val="2"/>
                <c:pt idx="0">
                  <c:v>公务用车购置及运行维护费</c:v>
                </c:pt>
                <c:pt idx="1">
                  <c:v>公务接待费</c:v>
                </c:pt>
              </c:strCache>
            </c:strRef>
          </c:cat>
          <c:val>
            <c:numRef>
              <c:f>Sheet1!$K$55:$K$56</c:f>
              <c:numCache>
                <c:formatCode>General</c:formatCode>
                <c:ptCount val="2"/>
                <c:pt idx="0">
                  <c:v>9.88</c:v>
                </c:pt>
                <c:pt idx="1">
                  <c:v>7.01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egendEntry>
        <c:idx val="0"/>
        <c:txPr>
          <a:bodyPr rot="0" spcFirstLastPara="0" vertOverflow="ellipsis" vert="horz" wrap="square" anchor="ctr" anchorCtr="true"/>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1000" b="0" i="0" u="none" strike="noStrike" kern="1200" baseline="0">
                <a:solidFill>
                  <a:schemeClr val="tx1">
                    <a:lumMod val="65000"/>
                    <a:lumOff val="35000"/>
                  </a:schemeClr>
                </a:solidFill>
                <a:latin typeface="+mn-lt"/>
                <a:ea typeface="+mn-ea"/>
                <a:cs typeface="+mn-cs"/>
              </a:defRPr>
            </a:pPr>
          </a:p>
        </c:txPr>
      </c:legendEntry>
      <c:layout/>
      <c:overlay val="false"/>
      <c:spPr>
        <a:noFill/>
        <a:ln>
          <a:noFill/>
        </a:ln>
        <a:effectLst/>
      </c:spPr>
      <c:txPr>
        <a:bodyPr rot="0" spcFirstLastPara="0" vertOverflow="ellipsis" vert="horz" wrap="square" anchor="ctr" anchorCtr="true"/>
        <a:lstStyle/>
        <a:p>
          <a:pPr>
            <a:defRPr lang="zh-CN" sz="10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sz="1000"/>
      </a:pPr>
    </a:p>
  </c:txPr>
  <c:externalData r:id="rId1">
    <c:autoUpdate val="false"/>
  </c:externalData>
  <c:userShapes r:id="rId2"/>
</c:chartSpace>
</file>

<file path=word/drawings/drawing1.xml><?xml version="1.0" encoding="utf-8"?>
<c:userShapes xmlns:c="http://schemas.openxmlformats.org/drawingml/2006/chart">
  <cdr:relSizeAnchor xmlns:cdr="http://schemas.openxmlformats.org/drawingml/2006/chartDrawing">
    <cdr:from>
      <cdr:x>0.72405</cdr:x>
      <cdr:y>0.04638</cdr:y>
    </cdr:from>
    <cdr:to>
      <cdr:x>0.96784</cdr:x>
      <cdr:y>0.11836</cdr:y>
    </cdr:to>
    <cdr:sp>
      <cdr:nvSpPr>
        <cdr:cNvPr id="2" name="矩形 1"/>
        <cdr:cNvSpPr/>
      </cdr:nvSpPr>
      <cdr:spPr xmlns:a="http://schemas.openxmlformats.org/drawingml/2006/main">
        <a:xfrm xmlns:a="http://schemas.openxmlformats.org/drawingml/2006/main">
          <a:off x="3705308" y="127221"/>
          <a:ext cx="1247615" cy="197468"/>
        </a:xfrm>
        <a:prstGeom xmlns:a="http://schemas.openxmlformats.org/drawingml/2006/main" prst="rect">
          <a:avLst/>
        </a:prstGeom>
      </cdr:spPr>
      <cdr:txBody xmlns:a="http://schemas.openxmlformats.org/drawingml/2006/main">
        <a:bodyPr vert="horz" wrap="square" lIns="45720" tIns="45720" rIns="45720" bIns="45720" rtlCol="0" anchor="t" anchorCtr="false">
          <a:normAutofit/>
        </a:bodyPr>
        <a:lstStyle>
          <a:lvl1pPr marL="0" indent="0">
            <a:defRPr sz="1100">
              <a:latin typeface="Calibri" panose="020F0502020204030204"/>
            </a:defRPr>
          </a:lvl1pPr>
          <a:lvl2pPr marL="457200" indent="0">
            <a:defRPr sz="1100">
              <a:latin typeface="Calibri" panose="020F0502020204030204"/>
            </a:defRPr>
          </a:lvl2pPr>
          <a:lvl3pPr marL="914400" indent="0">
            <a:defRPr sz="1100">
              <a:latin typeface="Calibri" panose="020F0502020204030204"/>
            </a:defRPr>
          </a:lvl3pPr>
          <a:lvl4pPr marL="1371600" indent="0">
            <a:defRPr sz="1100">
              <a:latin typeface="Calibri" panose="020F0502020204030204"/>
            </a:defRPr>
          </a:lvl4pPr>
          <a:lvl5pPr marL="1828800" indent="0">
            <a:defRPr sz="1100">
              <a:latin typeface="Calibri" panose="020F0502020204030204"/>
            </a:defRPr>
          </a:lvl5pPr>
          <a:lvl6pPr marL="2286000" indent="0">
            <a:defRPr sz="1100">
              <a:latin typeface="Calibri" panose="020F0502020204030204"/>
            </a:defRPr>
          </a:lvl6pPr>
          <a:lvl7pPr marL="2743200" indent="0">
            <a:defRPr sz="1100">
              <a:latin typeface="Calibri" panose="020F0502020204030204"/>
            </a:defRPr>
          </a:lvl7pPr>
          <a:lvl8pPr marL="3200400" indent="0">
            <a:defRPr sz="1100">
              <a:latin typeface="Calibri" panose="020F0502020204030204"/>
            </a:defRPr>
          </a:lvl8pPr>
          <a:lvl9pPr marL="3657600" indent="0">
            <a:defRPr sz="1100">
              <a:latin typeface="Calibri" panose="020F0502020204030204"/>
            </a:defRPr>
          </a:lvl9pPr>
        </a:lstStyle>
        <a:p>
          <a:r>
            <a:rPr lang="zh-CN" altLang="en-US" sz="1100"/>
            <a:t>单位：万元，</a:t>
          </a:r>
          <a:r>
            <a:rPr lang="en-US" altLang="zh-CN" sz="1100"/>
            <a:t>%</a:t>
          </a:r>
          <a:endParaRPr lang="zh-CN" alt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0.86479</cdr:y>
    </cdr:from>
    <cdr:to>
      <cdr:x>0.17458</cdr:x>
      <cdr:y>0.96507</cdr:y>
    </cdr:to>
    <cdr:sp>
      <cdr:nvSpPr>
        <cdr:cNvPr id="2" name="矩形 1"/>
        <cdr:cNvSpPr/>
      </cdr:nvSpPr>
      <cdr:spPr xmlns:a="http://schemas.openxmlformats.org/drawingml/2006/main">
        <a:xfrm xmlns:a="http://schemas.openxmlformats.org/drawingml/2006/main">
          <a:off x="0" y="2166030"/>
          <a:ext cx="920806" cy="251167"/>
        </a:xfrm>
        <a:prstGeom xmlns:a="http://schemas.openxmlformats.org/drawingml/2006/main" prst="rect">
          <a:avLst/>
        </a:prstGeom>
      </cdr:spPr>
      <cdr:txBody xmlns:a="http://schemas.openxmlformats.org/drawingml/2006/main">
        <a:bodyPr vert="horz" wrap="square" lIns="45720" tIns="45720" rIns="45720" bIns="45720" rtlCol="0" anchor="t" anchorCtr="false">
          <a:normAutofit/>
        </a:bodyPr>
        <a:lstStyle/>
        <a:p>
          <a:r>
            <a:rPr lang="zh-CN" altLang="en-US" sz="1100"/>
            <a:t>单位：万元</a:t>
          </a:r>
          <a:endParaRPr lang="zh-CN" alt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0.73269</cdr:x>
      <cdr:y>0.04928</cdr:y>
    </cdr:from>
    <cdr:to>
      <cdr:x>0.96527</cdr:x>
      <cdr:y>0.13043</cdr:y>
    </cdr:to>
    <cdr:sp>
      <cdr:nvSpPr>
        <cdr:cNvPr id="2" name="矩形 1"/>
        <cdr:cNvSpPr/>
      </cdr:nvSpPr>
      <cdr:spPr xmlns:a="http://schemas.openxmlformats.org/drawingml/2006/main">
        <a:xfrm xmlns:a="http://schemas.openxmlformats.org/drawingml/2006/main">
          <a:off x="3932749" y="135172"/>
          <a:ext cx="1248354" cy="222636"/>
        </a:xfrm>
        <a:prstGeom xmlns:a="http://schemas.openxmlformats.org/drawingml/2006/main" prst="rect">
          <a:avLst/>
        </a:prstGeom>
      </cdr:spPr>
      <cdr:txBody xmlns:a="http://schemas.openxmlformats.org/drawingml/2006/main">
        <a:bodyPr vert="horz" wrap="square" lIns="45720" tIns="45720" rIns="45720" bIns="45720" rtlCol="0" anchor="t" anchorCtr="false">
          <a:normAutofit/>
        </a:bodyPr>
        <a:lstStyle/>
        <a:p>
          <a:r>
            <a:rPr lang="zh-CN" altLang="en-US" sz="1100"/>
            <a:t>单位：万元，</a:t>
          </a:r>
          <a:r>
            <a:rPr lang="en-US" altLang="zh-CN" sz="1100"/>
            <a:t>%</a:t>
          </a:r>
          <a:endParaRPr lang="zh-CN" altLang="en-US" sz="1100"/>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0.87745</cdr:y>
    </cdr:from>
    <cdr:to>
      <cdr:x>0.19215</cdr:x>
      <cdr:y>0.95109</cdr:y>
    </cdr:to>
    <cdr:sp>
      <cdr:nvSpPr>
        <cdr:cNvPr id="2" name="矩形 1"/>
        <cdr:cNvSpPr/>
      </cdr:nvSpPr>
      <cdr:spPr xmlns:a="http://schemas.openxmlformats.org/drawingml/2006/main">
        <a:xfrm xmlns:a="http://schemas.openxmlformats.org/drawingml/2006/main">
          <a:off x="0" y="2546570"/>
          <a:ext cx="1012816" cy="213720"/>
        </a:xfrm>
        <a:prstGeom xmlns:a="http://schemas.openxmlformats.org/drawingml/2006/main" prst="rect">
          <a:avLst/>
        </a:prstGeom>
      </cdr:spPr>
      <cdr:txBody xmlns:a="http://schemas.openxmlformats.org/drawingml/2006/main">
        <a:bodyPr vert="horz" wrap="square" lIns="45720" tIns="45720" rIns="45720" bIns="45720" rtlCol="0" anchor="t" anchorCtr="false">
          <a:normAutofit/>
        </a:bodyPr>
        <a:lstStyle/>
        <a:p>
          <a:r>
            <a:rPr lang="zh-CN" altLang="en-US" sz="1100"/>
            <a:t>单位：万元</a:t>
          </a:r>
          <a:endParaRPr lang="zh-CN" altLang="en-US" sz="1100"/>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0.87003</cdr:y>
    </cdr:from>
    <cdr:to>
      <cdr:x>0.19819</cdr:x>
      <cdr:y>0.94367</cdr:y>
    </cdr:to>
    <cdr:sp>
      <cdr:nvSpPr>
        <cdr:cNvPr id="2" name="矩形 1"/>
        <cdr:cNvSpPr/>
      </cdr:nvSpPr>
      <cdr:spPr xmlns:a="http://schemas.openxmlformats.org/drawingml/2006/main">
        <a:xfrm xmlns:a="http://schemas.openxmlformats.org/drawingml/2006/main">
          <a:off x="0" y="2303660"/>
          <a:ext cx="1044621" cy="194983"/>
        </a:xfrm>
        <a:prstGeom xmlns:a="http://schemas.openxmlformats.org/drawingml/2006/main" prst="rect">
          <a:avLst/>
        </a:prstGeom>
      </cdr:spPr>
      <cdr:txBody xmlns:a="http://schemas.openxmlformats.org/drawingml/2006/main">
        <a:bodyPr vert="horz" wrap="square" lIns="45720" tIns="45720" rIns="45720" bIns="45720" rtlCol="0" anchor="t" anchorCtr="false">
          <a:normAutofit/>
        </a:bodyPr>
        <a:lstStyle/>
        <a:p>
          <a:r>
            <a:rPr lang="zh-CN" altLang="en-US" sz="1100"/>
            <a:t>单位：万元</a:t>
          </a:r>
          <a:endParaRPr lang="zh-CN" altLang="en-US" sz="1100"/>
        </a:p>
      </cdr:txBody>
    </cdr:sp>
  </cdr:relSizeAnchor>
</c:userShapes>
</file>

<file path=word/drawings/drawing6.xml><?xml version="1.0" encoding="utf-8"?>
<c:userShapes xmlns:c="http://schemas.openxmlformats.org/drawingml/2006/chart">
  <cdr:relSizeAnchor xmlns:cdr="http://schemas.openxmlformats.org/drawingml/2006/chartDrawing">
    <cdr:from>
      <cdr:x>0.76274</cdr:x>
      <cdr:y>0.0636</cdr:y>
    </cdr:from>
    <cdr:to>
      <cdr:x>0.99021</cdr:x>
      <cdr:y>0.15026</cdr:y>
    </cdr:to>
    <cdr:sp>
      <cdr:nvSpPr>
        <cdr:cNvPr id="2" name="矩形 1"/>
        <cdr:cNvSpPr/>
      </cdr:nvSpPr>
      <cdr:spPr xmlns:a="http://schemas.openxmlformats.org/drawingml/2006/main">
        <a:xfrm xmlns:a="http://schemas.openxmlformats.org/drawingml/2006/main">
          <a:off x="4015409" y="143124"/>
          <a:ext cx="1197499" cy="194983"/>
        </a:xfrm>
        <a:prstGeom xmlns:a="http://schemas.openxmlformats.org/drawingml/2006/main" prst="rect">
          <a:avLst/>
        </a:prstGeom>
      </cdr:spPr>
      <cdr:txBody xmlns:a="http://schemas.openxmlformats.org/drawingml/2006/main">
        <a:bodyPr vert="horz" wrap="square" lIns="45720" tIns="45720" rIns="45720" bIns="45720" rtlCol="0" anchor="t" anchorCtr="false">
          <a:normAutofit/>
        </a:bodyPr>
        <a:lstStyle>
          <a:lvl1pPr marL="0" indent="0">
            <a:defRPr sz="1100">
              <a:latin typeface="Calibri" panose="020F0502020204030204"/>
            </a:defRPr>
          </a:lvl1pPr>
          <a:lvl2pPr marL="457200" indent="0">
            <a:defRPr sz="1100">
              <a:latin typeface="Calibri" panose="020F0502020204030204"/>
            </a:defRPr>
          </a:lvl2pPr>
          <a:lvl3pPr marL="914400" indent="0">
            <a:defRPr sz="1100">
              <a:latin typeface="Calibri" panose="020F0502020204030204"/>
            </a:defRPr>
          </a:lvl3pPr>
          <a:lvl4pPr marL="1371600" indent="0">
            <a:defRPr sz="1100">
              <a:latin typeface="Calibri" panose="020F0502020204030204"/>
            </a:defRPr>
          </a:lvl4pPr>
          <a:lvl5pPr marL="1828800" indent="0">
            <a:defRPr sz="1100">
              <a:latin typeface="Calibri" panose="020F0502020204030204"/>
            </a:defRPr>
          </a:lvl5pPr>
          <a:lvl6pPr marL="2286000" indent="0">
            <a:defRPr sz="1100">
              <a:latin typeface="Calibri" panose="020F0502020204030204"/>
            </a:defRPr>
          </a:lvl6pPr>
          <a:lvl7pPr marL="2743200" indent="0">
            <a:defRPr sz="1100">
              <a:latin typeface="Calibri" panose="020F0502020204030204"/>
            </a:defRPr>
          </a:lvl7pPr>
          <a:lvl8pPr marL="3200400" indent="0">
            <a:defRPr sz="1100">
              <a:latin typeface="Calibri" panose="020F0502020204030204"/>
            </a:defRPr>
          </a:lvl8pPr>
          <a:lvl9pPr marL="3657600" indent="0">
            <a:defRPr sz="1100">
              <a:latin typeface="Calibri" panose="020F0502020204030204"/>
            </a:defRPr>
          </a:lvl9pPr>
        </a:lstStyle>
        <a:p>
          <a:r>
            <a:rPr lang="zh-CN" altLang="en-US" sz="1100"/>
            <a:t>单位：万元，</a:t>
          </a:r>
          <a:r>
            <a:rPr lang="en-US" altLang="zh-CN" sz="1100"/>
            <a:t>%</a:t>
          </a:r>
          <a:endParaRPr lang="zh-CN" altLang="en-US" sz="1100"/>
        </a:p>
      </cdr:txBody>
    </cdr:sp>
  </cdr:relSizeAnchor>
</c:userShapes>
</file>

<file path=word/drawings/drawing7.xml><?xml version="1.0" encoding="utf-8"?>
<c:userShapes xmlns:c="http://schemas.openxmlformats.org/drawingml/2006/chart">
  <cdr:relSizeAnchor xmlns:cdr="http://schemas.openxmlformats.org/drawingml/2006/chartDrawing">
    <cdr:from>
      <cdr:x>0.73656</cdr:x>
      <cdr:y>0.0459</cdr:y>
    </cdr:from>
    <cdr:to>
      <cdr:x>0.96912</cdr:x>
      <cdr:y>0.12631</cdr:y>
    </cdr:to>
    <cdr:sp>
      <cdr:nvSpPr>
        <cdr:cNvPr id="2" name="矩形 1"/>
        <cdr:cNvSpPr/>
      </cdr:nvSpPr>
      <cdr:spPr xmlns:a="http://schemas.openxmlformats.org/drawingml/2006/main">
        <a:xfrm xmlns:a="http://schemas.openxmlformats.org/drawingml/2006/main">
          <a:off x="3792772" y="111318"/>
          <a:ext cx="1197505" cy="195004"/>
        </a:xfrm>
        <a:prstGeom xmlns:a="http://schemas.openxmlformats.org/drawingml/2006/main" prst="rect">
          <a:avLst/>
        </a:prstGeom>
      </cdr:spPr>
      <cdr:txBody xmlns:a="http://schemas.openxmlformats.org/drawingml/2006/main">
        <a:bodyPr vert="horz" wrap="square" lIns="45720" tIns="45720" rIns="45720" bIns="45720" rtlCol="0" anchor="t" anchorCtr="false">
          <a:normAutofit/>
        </a:bodyPr>
        <a:lstStyle>
          <a:lvl1pPr marL="0" indent="0">
            <a:defRPr sz="1100">
              <a:latin typeface="Calibri" panose="020F0502020204030204"/>
            </a:defRPr>
          </a:lvl1pPr>
          <a:lvl2pPr marL="457200" indent="0">
            <a:defRPr sz="1100">
              <a:latin typeface="Calibri" panose="020F0502020204030204"/>
            </a:defRPr>
          </a:lvl2pPr>
          <a:lvl3pPr marL="914400" indent="0">
            <a:defRPr sz="1100">
              <a:latin typeface="Calibri" panose="020F0502020204030204"/>
            </a:defRPr>
          </a:lvl3pPr>
          <a:lvl4pPr marL="1371600" indent="0">
            <a:defRPr sz="1100">
              <a:latin typeface="Calibri" panose="020F0502020204030204"/>
            </a:defRPr>
          </a:lvl4pPr>
          <a:lvl5pPr marL="1828800" indent="0">
            <a:defRPr sz="1100">
              <a:latin typeface="Calibri" panose="020F0502020204030204"/>
            </a:defRPr>
          </a:lvl5pPr>
          <a:lvl6pPr marL="2286000" indent="0">
            <a:defRPr sz="1100">
              <a:latin typeface="Calibri" panose="020F0502020204030204"/>
            </a:defRPr>
          </a:lvl6pPr>
          <a:lvl7pPr marL="2743200" indent="0">
            <a:defRPr sz="1100">
              <a:latin typeface="Calibri" panose="020F0502020204030204"/>
            </a:defRPr>
          </a:lvl7pPr>
          <a:lvl8pPr marL="3200400" indent="0">
            <a:defRPr sz="1100">
              <a:latin typeface="Calibri" panose="020F0502020204030204"/>
            </a:defRPr>
          </a:lvl8pPr>
          <a:lvl9pPr marL="3657600" indent="0">
            <a:defRPr sz="1100">
              <a:latin typeface="Calibri" panose="020F0502020204030204"/>
            </a:defRPr>
          </a:lvl9pPr>
        </a:lstStyle>
        <a:p>
          <a:r>
            <a:rPr lang="zh-CN" altLang="en-US" sz="1100"/>
            <a:t>单位：万元，</a:t>
          </a:r>
          <a:r>
            <a:rPr lang="en-US" altLang="zh-CN" sz="1100"/>
            <a:t>%</a:t>
          </a:r>
          <a:endParaRPr lang="zh-CN" alt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59</Pages>
  <Words>4586</Words>
  <Characters>26142</Characters>
  <Lines>217</Lines>
  <Paragraphs>61</Paragraphs>
  <TotalTime>2</TotalTime>
  <ScaleCrop>false</ScaleCrop>
  <LinksUpToDate>false</LinksUpToDate>
  <CharactersWithSpaces>30667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2023-09-26T17:10:00Z</dcterms:created>
  <dc:creator>曹颖</dc:creator>
  <cp:lastModifiedBy> </cp:lastModifiedBy>
  <cp:lastPrinted>2023-08-01T18:35:00Z</cp:lastPrinted>
  <dcterms:modified xsi:type="dcterms:W3CDTF">2024-07-29T09:11:17Z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1BF328E4FCBC46E183310AF8D9815CC9</vt:lpwstr>
  </property>
</Properties>
</file>