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 w:name="_Toc15396476"/>
      <w:bookmarkStart w:id="2" w:name="_Toc15377194"/>
      <w:bookmarkStart w:id="3" w:name="_Toc15396598"/>
      <w:bookmarkStart w:id="4" w:name="_Toc15378442"/>
      <w:bookmarkStart w:id="5" w:name="_Toc1537742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2120257074"/>
      <w:bookmarkStart w:id="7" w:name="_Toc2103379835"/>
      <w:bookmarkStart w:id="8" w:name="_Toc1599583260"/>
      <w:bookmarkStart w:id="9" w:name="_Toc1238691240"/>
      <w:bookmarkStart w:id="10" w:name="_Toc1550347525"/>
      <w:bookmarkStart w:id="11" w:name="_Toc794997869"/>
      <w:bookmarkStart w:id="12" w:name="_Toc609758413"/>
      <w:bookmarkStart w:id="13" w:name="_Toc59071469"/>
      <w:bookmarkStart w:id="14" w:name="_Toc1516362223"/>
      <w:bookmarkStart w:id="15" w:name="_Toc1546931164"/>
      <w:r>
        <w:rPr>
          <w:rFonts w:hint="eastAsia" w:ascii="方正小标宋简体" w:hAnsi="方正小标宋简体" w:eastAsia="方正小标宋简体" w:cs="方正小标宋简体"/>
          <w:color w:val="auto"/>
          <w:sz w:val="72"/>
          <w:szCs w:val="72"/>
          <w:highlight w:val="none"/>
          <w:lang w:eastAsia="zh-CN"/>
        </w:rPr>
        <w:t>中共广元市</w:t>
      </w:r>
      <w:bookmarkEnd w:id="0"/>
      <w:bookmarkStart w:id="16" w:name="_Toc15306268"/>
      <w:r>
        <w:rPr>
          <w:rFonts w:hint="eastAsia" w:ascii="方正小标宋简体" w:hAnsi="方正小标宋简体" w:eastAsia="方正小标宋简体" w:cs="方正小标宋简体"/>
          <w:color w:val="auto"/>
          <w:sz w:val="72"/>
          <w:szCs w:val="72"/>
          <w:highlight w:val="none"/>
          <w:lang w:eastAsia="zh-CN"/>
        </w:rPr>
        <w:t>委老干部局</w:t>
      </w:r>
      <w:bookmarkEnd w:id="6"/>
      <w:bookmarkEnd w:id="7"/>
      <w:bookmarkEnd w:id="8"/>
      <w:bookmarkEnd w:id="9"/>
      <w:bookmarkEnd w:id="10"/>
      <w:bookmarkEnd w:id="11"/>
      <w:bookmarkEnd w:id="12"/>
      <w:bookmarkEnd w:id="13"/>
      <w:bookmarkEnd w:id="14"/>
      <w:bookmarkEnd w:id="15"/>
    </w:p>
    <w:bookmarkEnd w:id="1"/>
    <w:bookmarkEnd w:id="2"/>
    <w:bookmarkEnd w:id="3"/>
    <w:bookmarkEnd w:id="4"/>
    <w:bookmarkEnd w:id="5"/>
    <w:bookmarkEnd w:id="16"/>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7" w:name="_Toc1958635640"/>
      <w:bookmarkStart w:id="18" w:name="_Toc1576114858"/>
      <w:bookmarkStart w:id="19" w:name="_Toc975811292"/>
      <w:bookmarkStart w:id="20" w:name="_Toc1830492761"/>
      <w:bookmarkStart w:id="21" w:name="_Toc1661733634"/>
      <w:bookmarkStart w:id="22" w:name="_Toc33719707"/>
      <w:bookmarkStart w:id="23" w:name="_Toc1437345704"/>
      <w:bookmarkStart w:id="24" w:name="_Toc125785015"/>
      <w:bookmarkStart w:id="25" w:name="_Toc324959263"/>
      <w:bookmarkStart w:id="26" w:name="_Toc149246146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年度部门决算</w:t>
      </w:r>
      <w:r>
        <w:rPr>
          <w:rFonts w:hint="eastAsia" w:ascii="方正小标宋简体" w:hAnsi="方正小标宋简体" w:eastAsia="方正小标宋简体" w:cs="方正小标宋简体"/>
          <w:color w:val="auto"/>
          <w:sz w:val="72"/>
          <w:szCs w:val="72"/>
          <w:highlight w:val="none"/>
          <w:lang w:eastAsia="zh-CN"/>
        </w:rPr>
        <w:t>公开</w:t>
      </w:r>
      <w:bookmarkEnd w:id="17"/>
      <w:bookmarkEnd w:id="18"/>
      <w:bookmarkEnd w:id="19"/>
      <w:bookmarkEnd w:id="20"/>
      <w:bookmarkEnd w:id="21"/>
      <w:bookmarkEnd w:id="22"/>
      <w:bookmarkEnd w:id="23"/>
      <w:bookmarkEnd w:id="24"/>
      <w:bookmarkEnd w:id="25"/>
      <w:bookmarkEnd w:id="26"/>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 xml:space="preserve">10 </w:t>
      </w:r>
      <w:r>
        <w:rPr>
          <w:rFonts w:hint="eastAsia"/>
          <w:color w:val="auto"/>
          <w:highlight w:val="none"/>
        </w:rPr>
        <w:t>月</w:t>
      </w:r>
      <w:r>
        <w:rPr>
          <w:rFonts w:hint="default"/>
          <w:color w:val="auto"/>
          <w:highlight w:val="none"/>
        </w:rPr>
        <w:t>7</w:t>
      </w:r>
      <w:r>
        <w:rPr>
          <w:rFonts w:hint="eastAsia"/>
          <w:color w:val="auto"/>
          <w:highlight w:val="none"/>
          <w:lang w:val="en-US" w:eastAsia="zh-CN"/>
        </w:rPr>
        <w:t xml:space="preserve"> </w:t>
      </w:r>
      <w:r>
        <w:rPr>
          <w:rFonts w:hint="eastAsia"/>
          <w:color w:val="auto"/>
          <w:highlight w:val="none"/>
        </w:rPr>
        <w:t>日</w:t>
      </w:r>
    </w:p>
    <w:sdt>
      <w:sdtPr>
        <w:rPr>
          <w:rFonts w:ascii="宋体" w:hAnsi="宋体" w:eastAsia="宋体" w:cs="Times New Roman"/>
          <w:kern w:val="2"/>
          <w:sz w:val="21"/>
          <w:szCs w:val="24"/>
          <w:lang w:val="en-US" w:eastAsia="zh-CN" w:bidi="ar-SA"/>
        </w:rPr>
        <w:id w:val="263338908"/>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 w:val="clear" w:pos="8296"/>
            </w:tabs>
          </w:pPr>
          <w:r>
            <w:rPr>
              <w:rFonts w:hint="eastAsia"/>
            </w:rPr>
            <w:fldChar w:fldCharType="begin"/>
          </w:r>
          <w:r>
            <w:rPr>
              <w:rFonts w:hint="eastAsia"/>
            </w:rPr>
            <w:instrText xml:space="preserve">TOC \o "1-9" \h \u </w:instrText>
          </w:r>
          <w:r>
            <w:rPr>
              <w:rFonts w:hint="eastAsia"/>
            </w:rPr>
            <w:fldChar w:fldCharType="separate"/>
          </w:r>
          <w:r>
            <w:rPr>
              <w:rFonts w:hint="eastAsia"/>
            </w:rPr>
            <w:fldChar w:fldCharType="begin"/>
          </w:r>
          <w:r>
            <w:rPr>
              <w:rFonts w:hint="eastAsia"/>
            </w:rPr>
            <w:instrText xml:space="preserve"> HYPERLINK \l _Toc429644114 </w:instrText>
          </w:r>
          <w:r>
            <w:rPr>
              <w:rFonts w:hint="eastAsia"/>
            </w:rPr>
            <w:fldChar w:fldCharType="separate"/>
          </w:r>
          <w:r>
            <w:rPr>
              <w:rFonts w:hint="eastAsia" w:ascii="黑体" w:hAnsi="黑体" w:eastAsia="黑体" w:cs="黑体"/>
              <w:kern w:val="0"/>
              <w:highlight w:val="none"/>
              <w:lang w:val="en-US" w:eastAsia="zh-CN" w:bidi="ar-SA"/>
            </w:rPr>
            <w:t>第一部分 部门概况</w:t>
          </w:r>
          <w:r>
            <w:tab/>
          </w:r>
          <w:r>
            <w:fldChar w:fldCharType="begin"/>
          </w:r>
          <w:r>
            <w:instrText xml:space="preserve"> PAGEREF _Toc429644114 \h </w:instrText>
          </w:r>
          <w:r>
            <w:fldChar w:fldCharType="separate"/>
          </w:r>
          <w:r>
            <w:t>3</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_Toc1653365000 </w:instrText>
          </w:r>
          <w:r>
            <w:rPr>
              <w:rFonts w:hint="eastAsia"/>
            </w:rPr>
            <w:fldChar w:fldCharType="separate"/>
          </w:r>
          <w:r>
            <w:rPr>
              <w:rFonts w:hint="eastAsia" w:ascii="黑体" w:hAnsi="黑体" w:eastAsia="黑体" w:cs="黑体"/>
              <w:kern w:val="0"/>
              <w:highlight w:val="none"/>
              <w:lang w:val="en-US" w:eastAsia="zh-CN" w:bidi="ar-SA"/>
            </w:rPr>
            <w:t>一、部门职责</w:t>
          </w:r>
          <w:r>
            <w:tab/>
          </w:r>
          <w:r>
            <w:fldChar w:fldCharType="begin"/>
          </w:r>
          <w:r>
            <w:instrText xml:space="preserve"> PAGEREF _Toc1653365000 \h </w:instrText>
          </w:r>
          <w:r>
            <w:fldChar w:fldCharType="separate"/>
          </w:r>
          <w:r>
            <w:t>3</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_Toc1019197602 </w:instrText>
          </w:r>
          <w:r>
            <w:rPr>
              <w:rFonts w:hint="eastAsia"/>
            </w:rPr>
            <w:fldChar w:fldCharType="separate"/>
          </w:r>
          <w:r>
            <w:rPr>
              <w:rFonts w:hint="eastAsia" w:ascii="黑体" w:hAnsi="黑体" w:eastAsia="黑体" w:cs="黑体"/>
              <w:kern w:val="0"/>
              <w:highlight w:val="none"/>
              <w:lang w:val="en-US" w:eastAsia="zh-CN" w:bidi="ar-SA"/>
            </w:rPr>
            <w:t>二、机构设置</w:t>
          </w:r>
          <w:r>
            <w:tab/>
          </w:r>
          <w:r>
            <w:fldChar w:fldCharType="begin"/>
          </w:r>
          <w:r>
            <w:instrText xml:space="preserve"> PAGEREF _Toc1019197602 \h </w:instrText>
          </w:r>
          <w:r>
            <w:fldChar w:fldCharType="separate"/>
          </w:r>
          <w:r>
            <w:t>4</w:t>
          </w:r>
          <w:r>
            <w:fldChar w:fldCharType="end"/>
          </w:r>
          <w:r>
            <w:rPr>
              <w:rFonts w:hint="eastAsia"/>
            </w:rPr>
            <w:fldChar w:fldCharType="end"/>
          </w:r>
        </w:p>
        <w:p>
          <w:pPr>
            <w:pStyle w:val="11"/>
            <w:tabs>
              <w:tab w:val="right" w:leader="dot" w:pos="8306"/>
              <w:tab w:val="clear" w:pos="8296"/>
            </w:tabs>
          </w:pPr>
          <w:r>
            <w:rPr>
              <w:rFonts w:hint="eastAsia"/>
            </w:rPr>
            <w:fldChar w:fldCharType="begin"/>
          </w:r>
          <w:r>
            <w:rPr>
              <w:rFonts w:hint="eastAsia"/>
            </w:rPr>
            <w:instrText xml:space="preserve"> HYPERLINK \l _Toc303108953 </w:instrText>
          </w:r>
          <w:r>
            <w:rPr>
              <w:rFonts w:hint="eastAsia"/>
            </w:rPr>
            <w:fldChar w:fldCharType="separate"/>
          </w:r>
          <w:r>
            <w:rPr>
              <w:rFonts w:hint="eastAsia" w:ascii="黑体" w:hAnsi="黑体" w:eastAsia="黑体" w:cs="黑体"/>
              <w:kern w:val="0"/>
              <w:highlight w:val="none"/>
              <w:lang w:val="en-US" w:eastAsia="zh-CN" w:bidi="ar-SA"/>
            </w:rPr>
            <w:t>第二部分 2022年度部门决算情况说明</w:t>
          </w:r>
          <w:r>
            <w:tab/>
          </w:r>
          <w:r>
            <w:fldChar w:fldCharType="begin"/>
          </w:r>
          <w:r>
            <w:instrText xml:space="preserve"> PAGEREF _Toc303108953 \h </w:instrText>
          </w:r>
          <w:r>
            <w:fldChar w:fldCharType="separate"/>
          </w:r>
          <w:r>
            <w:t>5</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_Toc2113895251 </w:instrText>
          </w:r>
          <w:r>
            <w:rPr>
              <w:rFonts w:hint="eastAsia"/>
            </w:rPr>
            <w:fldChar w:fldCharType="separate"/>
          </w:r>
          <w:r>
            <w:rPr>
              <w:rFonts w:hint="eastAsia" w:ascii="仿宋" w:hAnsi="仿宋" w:eastAsia="仿宋" w:cs="Times New Roman"/>
              <w:kern w:val="2"/>
              <w:highlight w:val="none"/>
              <w:lang w:val="en-US" w:eastAsia="zh-CN" w:bidi="ar-SA"/>
            </w:rPr>
            <w:t>一、收入支出决算总体情况说明</w:t>
          </w:r>
          <w:r>
            <w:tab/>
          </w:r>
          <w:r>
            <w:fldChar w:fldCharType="begin"/>
          </w:r>
          <w:r>
            <w:instrText xml:space="preserve"> PAGEREF _Toc2113895251 \h </w:instrText>
          </w:r>
          <w:r>
            <w:fldChar w:fldCharType="separate"/>
          </w:r>
          <w:r>
            <w:t>5</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_Toc1967976695 </w:instrText>
          </w:r>
          <w:r>
            <w:rPr>
              <w:rFonts w:hint="eastAsia"/>
            </w:rPr>
            <w:fldChar w:fldCharType="separate"/>
          </w:r>
          <w:r>
            <w:rPr>
              <w:rFonts w:hint="eastAsia"/>
            </w:rPr>
            <w:t xml:space="preserve">二、 </w:t>
          </w:r>
          <w:r>
            <w:rPr>
              <w:rFonts w:hint="eastAsia"/>
              <w:highlight w:val="none"/>
            </w:rPr>
            <w:t>收入决算情况说明</w:t>
          </w:r>
          <w:r>
            <w:tab/>
          </w:r>
          <w:r>
            <w:fldChar w:fldCharType="begin"/>
          </w:r>
          <w:r>
            <w:instrText xml:space="preserve"> PAGEREF _Toc1967976695 \h </w:instrText>
          </w:r>
          <w:r>
            <w:fldChar w:fldCharType="separate"/>
          </w:r>
          <w:r>
            <w:t>5</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_Toc521491024 </w:instrText>
          </w:r>
          <w:r>
            <w:rPr>
              <w:rFonts w:hint="eastAsia"/>
            </w:rPr>
            <w:fldChar w:fldCharType="separate"/>
          </w:r>
          <w:r>
            <w:rPr>
              <w:rFonts w:hint="eastAsia"/>
            </w:rPr>
            <w:t xml:space="preserve">三、 </w:t>
          </w:r>
          <w:r>
            <w:rPr>
              <w:rFonts w:hint="eastAsia"/>
              <w:highlight w:val="none"/>
            </w:rPr>
            <w:t>支出决算情况说明</w:t>
          </w:r>
          <w:r>
            <w:tab/>
          </w:r>
          <w:r>
            <w:fldChar w:fldCharType="begin"/>
          </w:r>
          <w:r>
            <w:instrText xml:space="preserve"> PAGEREF _Toc521491024 \h </w:instrText>
          </w:r>
          <w:r>
            <w:fldChar w:fldCharType="separate"/>
          </w:r>
          <w:r>
            <w:t>6</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_Toc88633819 </w:instrText>
          </w:r>
          <w:r>
            <w:rPr>
              <w:rFonts w:hint="eastAsia"/>
            </w:rPr>
            <w:fldChar w:fldCharType="separate"/>
          </w:r>
          <w:r>
            <w:rPr>
              <w:rFonts w:hint="eastAsia"/>
            </w:rPr>
            <w:t xml:space="preserve">四、 </w:t>
          </w:r>
          <w:r>
            <w:rPr>
              <w:rFonts w:hint="eastAsia"/>
              <w:highlight w:val="none"/>
            </w:rPr>
            <w:t>财政拨款收入支出决算总体情况说明</w:t>
          </w:r>
          <w:r>
            <w:tab/>
          </w:r>
          <w:r>
            <w:fldChar w:fldCharType="begin"/>
          </w:r>
          <w:r>
            <w:instrText xml:space="preserve"> PAGEREF _Toc88633819 \h </w:instrText>
          </w:r>
          <w:r>
            <w:fldChar w:fldCharType="separate"/>
          </w:r>
          <w:r>
            <w:t>6</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_Toc1671517036 </w:instrText>
          </w:r>
          <w:r>
            <w:rPr>
              <w:rFonts w:hint="eastAsia"/>
            </w:rPr>
            <w:fldChar w:fldCharType="separate"/>
          </w:r>
          <w:r>
            <w:rPr>
              <w:rFonts w:hint="eastAsia"/>
            </w:rPr>
            <w:t xml:space="preserve">五、 </w:t>
          </w:r>
          <w:r>
            <w:rPr>
              <w:rFonts w:hint="eastAsia"/>
              <w:highlight w:val="none"/>
            </w:rPr>
            <w:t>一般公共预算财政拨款支出决算情况说明</w:t>
          </w:r>
          <w:r>
            <w:tab/>
          </w:r>
          <w:r>
            <w:fldChar w:fldCharType="begin"/>
          </w:r>
          <w:r>
            <w:instrText xml:space="preserve"> PAGEREF _Toc1671517036 \h </w:instrText>
          </w:r>
          <w:r>
            <w:fldChar w:fldCharType="separate"/>
          </w:r>
          <w:r>
            <w:t>7</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_Toc128959145 </w:instrText>
          </w:r>
          <w:r>
            <w:rPr>
              <w:rFonts w:hint="eastAsia"/>
            </w:rPr>
            <w:fldChar w:fldCharType="separate"/>
          </w:r>
          <w:r>
            <w:rPr>
              <w:rFonts w:hint="eastAsia" w:ascii="仿宋_GB2312" w:hAnsi="仿宋" w:eastAsia="仿宋_GB2312" w:cs="Times New Roman"/>
              <w:kern w:val="2"/>
              <w:lang w:val="en-US" w:eastAsia="zh-CN" w:bidi="ar-SA"/>
            </w:rPr>
            <w:t>六、 一般公共预算财政拨款基本支出决算情况说明</w:t>
          </w:r>
          <w:r>
            <w:tab/>
          </w:r>
          <w:r>
            <w:fldChar w:fldCharType="begin"/>
          </w:r>
          <w:r>
            <w:instrText xml:space="preserve"> PAGEREF _Toc128959145 \h </w:instrText>
          </w:r>
          <w:r>
            <w:fldChar w:fldCharType="separate"/>
          </w:r>
          <w:r>
            <w:t>9</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_Toc960912028 </w:instrText>
          </w:r>
          <w:r>
            <w:rPr>
              <w:rFonts w:hint="eastAsia"/>
            </w:rPr>
            <w:fldChar w:fldCharType="separate"/>
          </w:r>
          <w:r>
            <w:rPr>
              <w:rFonts w:hint="eastAsia" w:ascii="仿宋" w:hAnsi="仿宋" w:eastAsia="仿宋" w:cs="Times New Roman"/>
              <w:kern w:val="2"/>
              <w:lang w:val="en-US" w:eastAsia="zh-CN" w:bidi="ar-SA"/>
            </w:rPr>
            <w:t xml:space="preserve">七、 </w:t>
          </w:r>
          <w:r>
            <w:rPr>
              <w:rFonts w:hint="eastAsia" w:ascii="仿宋" w:hAnsi="仿宋" w:eastAsia="仿宋" w:cs="Times New Roman"/>
              <w:kern w:val="2"/>
              <w:highlight w:val="none"/>
              <w:lang w:val="en-US" w:eastAsia="zh-CN" w:bidi="ar-SA"/>
            </w:rPr>
            <w:t>财政拨款“三公”经费支出决算情况说明</w:t>
          </w:r>
          <w:r>
            <w:tab/>
          </w:r>
          <w:r>
            <w:rPr>
              <w:rFonts w:hint="eastAsia"/>
              <w:lang w:val="en-US" w:eastAsia="zh-CN"/>
            </w:rPr>
            <w:t>9</w:t>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_Toc331983879 </w:instrText>
          </w:r>
          <w:r>
            <w:rPr>
              <w:rFonts w:hint="eastAsia"/>
            </w:rPr>
            <w:fldChar w:fldCharType="separate"/>
          </w:r>
          <w:r>
            <w:rPr>
              <w:rFonts w:hint="eastAsia" w:ascii="仿宋" w:hAnsi="仿宋" w:eastAsia="仿宋" w:cs="Times New Roman"/>
              <w:kern w:val="2"/>
              <w:lang w:val="en-US" w:eastAsia="zh-CN" w:bidi="ar-SA"/>
            </w:rPr>
            <w:t xml:space="preserve">八、 </w:t>
          </w:r>
          <w:r>
            <w:rPr>
              <w:rFonts w:hint="eastAsia" w:ascii="仿宋" w:hAnsi="仿宋" w:eastAsia="仿宋" w:cs="Times New Roman"/>
              <w:kern w:val="2"/>
              <w:highlight w:val="none"/>
              <w:lang w:val="en-US" w:eastAsia="zh-CN" w:bidi="ar-SA"/>
            </w:rPr>
            <w:t>政府性基金预算支出决算情况说明</w:t>
          </w:r>
          <w:r>
            <w:tab/>
          </w:r>
          <w:r>
            <w:fldChar w:fldCharType="begin"/>
          </w:r>
          <w:r>
            <w:instrText xml:space="preserve"> PAGEREF _Toc331983879 \h </w:instrText>
          </w:r>
          <w:r>
            <w:fldChar w:fldCharType="separate"/>
          </w:r>
          <w:r>
            <w:t>11</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_Toc699208432 </w:instrText>
          </w:r>
          <w:r>
            <w:rPr>
              <w:rFonts w:hint="eastAsia"/>
            </w:rPr>
            <w:fldChar w:fldCharType="separate"/>
          </w:r>
          <w:r>
            <w:rPr>
              <w:rFonts w:hint="eastAsia" w:ascii="仿宋" w:hAnsi="仿宋" w:eastAsia="仿宋" w:cs="Times New Roman"/>
              <w:kern w:val="2"/>
              <w:lang w:val="en-US" w:eastAsia="zh-CN" w:bidi="ar-SA"/>
            </w:rPr>
            <w:t xml:space="preserve">九、 </w:t>
          </w:r>
          <w:r>
            <w:rPr>
              <w:rFonts w:hint="eastAsia" w:ascii="仿宋" w:hAnsi="仿宋" w:eastAsia="仿宋" w:cs="Times New Roman"/>
              <w:kern w:val="2"/>
              <w:highlight w:val="none"/>
              <w:lang w:val="en-US" w:eastAsia="zh-CN" w:bidi="ar-SA"/>
            </w:rPr>
            <w:t>国有资本经营预算支出决算情况说明</w:t>
          </w:r>
          <w:r>
            <w:tab/>
          </w:r>
          <w:r>
            <w:fldChar w:fldCharType="begin"/>
          </w:r>
          <w:r>
            <w:instrText xml:space="preserve"> PAGEREF _Toc699208432 \h </w:instrText>
          </w:r>
          <w:r>
            <w:fldChar w:fldCharType="separate"/>
          </w:r>
          <w:r>
            <w:t>11</w:t>
          </w:r>
          <w:r>
            <w:fldChar w:fldCharType="end"/>
          </w:r>
          <w:r>
            <w:rPr>
              <w:rFonts w:hint="eastAsia"/>
            </w:rPr>
            <w:fldChar w:fldCharType="end"/>
          </w:r>
        </w:p>
        <w:p>
          <w:pPr>
            <w:pStyle w:val="12"/>
            <w:tabs>
              <w:tab w:val="right" w:leader="dot" w:pos="8306"/>
              <w:tab w:val="clear" w:pos="8296"/>
            </w:tabs>
          </w:pPr>
          <w:r>
            <w:rPr>
              <w:rFonts w:hint="eastAsia"/>
            </w:rPr>
            <w:fldChar w:fldCharType="begin"/>
          </w:r>
          <w:r>
            <w:rPr>
              <w:rFonts w:hint="eastAsia"/>
            </w:rPr>
            <w:instrText xml:space="preserve"> HYPERLINK \l _Toc1583205707 </w:instrText>
          </w:r>
          <w:r>
            <w:rPr>
              <w:rFonts w:hint="eastAsia"/>
            </w:rPr>
            <w:fldChar w:fldCharType="separate"/>
          </w:r>
          <w:r>
            <w:rPr>
              <w:rFonts w:hint="eastAsia" w:ascii="仿宋" w:hAnsi="仿宋" w:eastAsia="仿宋" w:cs="Times New Roman"/>
              <w:kern w:val="2"/>
              <w:lang w:val="en-US" w:eastAsia="zh-CN" w:bidi="ar-SA"/>
            </w:rPr>
            <w:t xml:space="preserve">十、 </w:t>
          </w:r>
          <w:r>
            <w:rPr>
              <w:rFonts w:hint="eastAsia" w:ascii="仿宋" w:hAnsi="仿宋" w:eastAsia="仿宋" w:cs="Times New Roman"/>
              <w:kern w:val="2"/>
              <w:highlight w:val="none"/>
              <w:lang w:val="en-US" w:eastAsia="zh-CN" w:bidi="ar-SA"/>
            </w:rPr>
            <w:t>其他重要事项的情况说明</w:t>
          </w:r>
          <w:r>
            <w:tab/>
          </w:r>
          <w:r>
            <w:fldChar w:fldCharType="begin"/>
          </w:r>
          <w:r>
            <w:instrText xml:space="preserve"> PAGEREF _Toc1583205707 \h </w:instrText>
          </w:r>
          <w:r>
            <w:fldChar w:fldCharType="separate"/>
          </w:r>
          <w:r>
            <w:t>11</w:t>
          </w:r>
          <w:r>
            <w:fldChar w:fldCharType="end"/>
          </w:r>
          <w:r>
            <w:rPr>
              <w:rFonts w:hint="eastAsia"/>
            </w:rPr>
            <w:fldChar w:fldCharType="end"/>
          </w:r>
        </w:p>
        <w:p>
          <w:pPr>
            <w:pStyle w:val="11"/>
            <w:tabs>
              <w:tab w:val="right" w:leader="dot" w:pos="8306"/>
              <w:tab w:val="clear" w:pos="8296"/>
            </w:tabs>
          </w:pPr>
          <w:r>
            <w:rPr>
              <w:rFonts w:hint="eastAsia"/>
            </w:rPr>
            <w:fldChar w:fldCharType="begin"/>
          </w:r>
          <w:r>
            <w:rPr>
              <w:rFonts w:hint="eastAsia"/>
            </w:rPr>
            <w:instrText xml:space="preserve"> HYPERLINK \l _Toc854292629 </w:instrText>
          </w:r>
          <w:r>
            <w:rPr>
              <w:rFonts w:hint="eastAsia"/>
            </w:rPr>
            <w:fldChar w:fldCharType="separate"/>
          </w:r>
          <w:r>
            <w:rPr>
              <w:rFonts w:hint="eastAsia" w:ascii="黑体" w:hAnsi="黑体" w:eastAsia="黑体" w:cs="黑体"/>
              <w:kern w:val="0"/>
              <w:highlight w:val="none"/>
              <w:lang w:val="en-US" w:eastAsia="zh-CN" w:bidi="ar-SA"/>
            </w:rPr>
            <w:t>第三部分 名词解释</w:t>
          </w:r>
          <w:r>
            <w:tab/>
          </w:r>
          <w:r>
            <w:fldChar w:fldCharType="begin"/>
          </w:r>
          <w:r>
            <w:instrText xml:space="preserve"> PAGEREF _Toc854292629 \h </w:instrText>
          </w:r>
          <w:r>
            <w:fldChar w:fldCharType="separate"/>
          </w:r>
          <w:r>
            <w:t>1</w:t>
          </w:r>
          <w:r>
            <w:rPr>
              <w:rFonts w:hint="eastAsia"/>
              <w:lang w:val="en-US" w:eastAsia="zh-CN"/>
            </w:rPr>
            <w:t>3</w:t>
          </w:r>
          <w:r>
            <w:fldChar w:fldCharType="end"/>
          </w:r>
          <w:r>
            <w:rPr>
              <w:rFonts w:hint="eastAsia"/>
            </w:rPr>
            <w:fldChar w:fldCharType="end"/>
          </w:r>
        </w:p>
        <w:p>
          <w:pPr>
            <w:pStyle w:val="11"/>
            <w:tabs>
              <w:tab w:val="right" w:leader="dot" w:pos="8306"/>
              <w:tab w:val="clear" w:pos="8296"/>
            </w:tabs>
          </w:pPr>
          <w:r>
            <w:rPr>
              <w:rFonts w:hint="eastAsia"/>
            </w:rPr>
            <w:fldChar w:fldCharType="begin"/>
          </w:r>
          <w:r>
            <w:rPr>
              <w:rFonts w:hint="eastAsia"/>
            </w:rPr>
            <w:instrText xml:space="preserve"> HYPERLINK \l _Toc756626768 </w:instrText>
          </w:r>
          <w:r>
            <w:rPr>
              <w:rFonts w:hint="eastAsia"/>
            </w:rPr>
            <w:fldChar w:fldCharType="separate"/>
          </w:r>
          <w:r>
            <w:rPr>
              <w:rFonts w:hint="eastAsia" w:ascii="方正小标宋简体" w:hAnsi="宋体" w:eastAsia="方正小标宋简体"/>
              <w:kern w:val="0"/>
              <w:highlight w:val="none"/>
            </w:rPr>
            <w:t>第四部分 附件</w:t>
          </w:r>
          <w:r>
            <w:tab/>
          </w:r>
          <w:r>
            <w:fldChar w:fldCharType="begin"/>
          </w:r>
          <w:r>
            <w:instrText xml:space="preserve"> PAGEREF _Toc756626768 \h </w:instrText>
          </w:r>
          <w:r>
            <w:fldChar w:fldCharType="separate"/>
          </w:r>
          <w:r>
            <w:t>15</w:t>
          </w:r>
          <w:r>
            <w:fldChar w:fldCharType="end"/>
          </w:r>
          <w:r>
            <w:rPr>
              <w:rFonts w:hint="eastAsia"/>
            </w:rPr>
            <w:fldChar w:fldCharType="end"/>
          </w:r>
        </w:p>
        <w:p>
          <w:pPr>
            <w:pStyle w:val="11"/>
            <w:tabs>
              <w:tab w:val="right" w:leader="dot" w:pos="8306"/>
              <w:tab w:val="clear" w:pos="8296"/>
            </w:tabs>
            <w:rPr>
              <w:rFonts w:hint="eastAsia" w:eastAsia="仿宋"/>
              <w:lang w:val="en-US" w:eastAsia="zh-CN"/>
            </w:rPr>
          </w:pPr>
          <w:r>
            <w:rPr>
              <w:rFonts w:hint="eastAsia"/>
            </w:rPr>
            <w:fldChar w:fldCharType="begin"/>
          </w:r>
          <w:r>
            <w:rPr>
              <w:rFonts w:hint="eastAsia"/>
            </w:rPr>
            <w:instrText xml:space="preserve"> HYPERLINK \l _Toc541701523 </w:instrText>
          </w:r>
          <w:r>
            <w:rPr>
              <w:rFonts w:hint="eastAsia"/>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_Toc223171205 </w:instrText>
          </w:r>
          <w:r>
            <w:rPr>
              <w:rFonts w:hint="eastAsia"/>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_Toc185257978 </w:instrText>
          </w:r>
          <w:r>
            <w:rPr>
              <w:rFonts w:hint="eastAsia"/>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_Toc971345637 </w:instrText>
          </w:r>
          <w:r>
            <w:rPr>
              <w:rFonts w:hint="eastAsia"/>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_Toc1876536205 </w:instrText>
          </w:r>
          <w:r>
            <w:rPr>
              <w:rFonts w:hint="eastAsia"/>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_Toc1204455580 </w:instrText>
          </w:r>
          <w:r>
            <w:rPr>
              <w:rFonts w:hint="eastAsia"/>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_Toc1274454590 </w:instrText>
          </w:r>
          <w:r>
            <w:rPr>
              <w:rFonts w:hint="eastAsia"/>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_Toc1842947809 </w:instrText>
          </w:r>
          <w:r>
            <w:rPr>
              <w:rFonts w:hint="eastAsia"/>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_Toc1024948627 </w:instrText>
          </w:r>
          <w:r>
            <w:rPr>
              <w:rFonts w:hint="eastAsia"/>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_Toc1994305089 </w:instrText>
          </w:r>
          <w:r>
            <w:rPr>
              <w:rFonts w:hint="eastAsia"/>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_Toc216955185 </w:instrText>
          </w:r>
          <w:r>
            <w:rPr>
              <w:rFonts w:hint="eastAsia"/>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_Toc1519065434 </w:instrText>
          </w:r>
          <w:r>
            <w:rPr>
              <w:rFonts w:hint="eastAsia"/>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_Toc921782132 </w:instrText>
          </w:r>
          <w:r>
            <w:rPr>
              <w:rFonts w:hint="eastAsia"/>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rPr>
              <w:rFonts w:hint="eastAsia"/>
              <w:lang w:val="en-US" w:eastAsia="zh-CN"/>
            </w:rPr>
            <w:t>2</w:t>
          </w:r>
          <w:r>
            <w:rPr>
              <w:rFonts w:hint="eastAsia"/>
            </w:rPr>
            <w:fldChar w:fldCharType="end"/>
          </w:r>
          <w:r>
            <w:rPr>
              <w:rFonts w:hint="eastAsia"/>
              <w:lang w:val="en-US" w:eastAsia="zh-CN"/>
            </w:rPr>
            <w:t>3</w:t>
          </w:r>
        </w:p>
        <w:p>
          <w:pPr>
            <w:pStyle w:val="12"/>
            <w:tabs>
              <w:tab w:val="right" w:leader="dot" w:pos="8306"/>
              <w:tab w:val="clear" w:pos="8296"/>
            </w:tabs>
            <w:rPr>
              <w:rFonts w:hint="eastAsia" w:eastAsia="宋体"/>
              <w:lang w:val="en-US" w:eastAsia="zh-CN"/>
            </w:rPr>
          </w:pPr>
          <w:r>
            <w:rPr>
              <w:rFonts w:hint="eastAsia"/>
            </w:rPr>
            <w:fldChar w:fldCharType="begin"/>
          </w:r>
          <w:r>
            <w:rPr>
              <w:rFonts w:hint="eastAsia"/>
            </w:rPr>
            <w:instrText xml:space="preserve"> HYPERLINK \l _Toc305589004 </w:instrText>
          </w:r>
          <w:r>
            <w:rPr>
              <w:rFonts w:hint="eastAsia"/>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rPr>
              <w:rFonts w:hint="eastAsia"/>
              <w:lang w:val="en-US" w:eastAsia="zh-CN"/>
            </w:rPr>
            <w:t>2</w:t>
          </w:r>
          <w:r>
            <w:rPr>
              <w:rFonts w:hint="eastAsia"/>
            </w:rPr>
            <w:fldChar w:fldCharType="end"/>
          </w:r>
          <w:r>
            <w:rPr>
              <w:rFonts w:hint="eastAsia"/>
              <w:lang w:val="en-US" w:eastAsia="zh-CN"/>
            </w:rPr>
            <w:t>3</w:t>
          </w:r>
        </w:p>
        <w:p>
          <w:pPr>
            <w:rPr>
              <w:rFonts w:hint="eastAsia" w:ascii="Times New Roman" w:hAnsi="Times New Roman" w:eastAsia="宋体" w:cs="Times New Roman"/>
              <w:kern w:val="2"/>
              <w:sz w:val="21"/>
              <w:szCs w:val="24"/>
              <w:lang w:val="en-US" w:eastAsia="zh-CN" w:bidi="ar-SA"/>
            </w:rPr>
          </w:pPr>
          <w:r>
            <w:rPr>
              <w:rFonts w:hint="eastAsia"/>
            </w:rPr>
            <w:fldChar w:fldCharType="end"/>
          </w:r>
        </w:p>
      </w:sdtContent>
    </w:sdt>
    <w:p>
      <w:pPr>
        <w:pStyle w:val="2"/>
        <w:rPr>
          <w:rFonts w:hint="eastAsia"/>
        </w:rPr>
      </w:pPr>
    </w:p>
    <w:sdt>
      <w:sdtPr>
        <w:rPr>
          <w:rFonts w:ascii="宋体" w:hAnsi="宋体" w:eastAsia="宋体" w:cs="Times New Roman"/>
          <w:kern w:val="2"/>
          <w:sz w:val="21"/>
          <w:szCs w:val="24"/>
          <w:lang w:val="en-US" w:eastAsia="zh-CN" w:bidi="ar-SA"/>
        </w:rPr>
        <w:id w:val="525307591"/>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bookmarkStart w:id="27" w:name="_Toc1399109891"/>
          <w:bookmarkStart w:id="28" w:name="_Toc220479777"/>
          <w:bookmarkStart w:id="29" w:name="_Toc795988292"/>
          <w:bookmarkStart w:id="30" w:name="_Toc429644114"/>
          <w:bookmarkStart w:id="31" w:name="_Toc537623098"/>
          <w:bookmarkStart w:id="32" w:name="_Toc1067216520"/>
        </w:p>
      </w:sdtContent>
    </w:sdt>
    <w:p>
      <w:pPr>
        <w:pStyle w:val="3"/>
        <w:bidi w:val="0"/>
        <w:jc w:val="center"/>
        <w:rPr>
          <w:rFonts w:hint="eastAsia" w:ascii="方正小标宋简体" w:hAnsi="宋体" w:eastAsia="方正小标宋简体" w:cs="Times New Roman"/>
          <w:color w:val="auto"/>
          <w:kern w:val="0"/>
          <w:highlight w:val="none"/>
          <w:lang w:val="en-US" w:eastAsia="zh-CN" w:bidi="ar-SA"/>
        </w:rPr>
      </w:pPr>
      <w:r>
        <w:rPr>
          <w:rFonts w:hint="eastAsia" w:ascii="黑体" w:hAnsi="黑体" w:eastAsia="黑体" w:cs="黑体"/>
          <w:color w:val="auto"/>
          <w:kern w:val="0"/>
          <w:highlight w:val="none"/>
          <w:lang w:val="en-US" w:eastAsia="zh-CN" w:bidi="ar-SA"/>
        </w:rPr>
        <w:t>第一部分 部门概况</w:t>
      </w:r>
      <w:bookmarkEnd w:id="27"/>
      <w:bookmarkEnd w:id="28"/>
      <w:bookmarkEnd w:id="29"/>
      <w:bookmarkEnd w:id="30"/>
      <w:bookmarkEnd w:id="31"/>
      <w:bookmarkEnd w:id="32"/>
    </w:p>
    <w:p>
      <w:pPr>
        <w:pStyle w:val="4"/>
        <w:tabs>
          <w:tab w:val="right" w:leader="dot" w:pos="8296"/>
        </w:tabs>
        <w:bidi w:val="0"/>
        <w:adjustRightInd w:val="0"/>
        <w:snapToGrid w:val="0"/>
        <w:spacing w:line="440" w:lineRule="exact"/>
        <w:jc w:val="left"/>
        <w:rPr>
          <w:rFonts w:hint="eastAsia" w:ascii="黑体" w:hAnsi="黑体" w:eastAsia="黑体" w:cs="黑体"/>
          <w:color w:val="auto"/>
          <w:kern w:val="0"/>
          <w:highlight w:val="none"/>
          <w:lang w:val="en-US" w:eastAsia="zh-CN" w:bidi="ar-SA"/>
        </w:rPr>
      </w:pPr>
      <w:bookmarkStart w:id="33" w:name="_Toc1376806191"/>
      <w:bookmarkStart w:id="34" w:name="_Toc830609562"/>
      <w:bookmarkStart w:id="35" w:name="_Toc401465113"/>
      <w:bookmarkStart w:id="36" w:name="_Toc1649709013"/>
      <w:bookmarkStart w:id="37" w:name="_Toc1653365000"/>
      <w:bookmarkStart w:id="38" w:name="_Toc934355428"/>
      <w:r>
        <w:rPr>
          <w:rFonts w:hint="eastAsia" w:ascii="黑体" w:hAnsi="黑体" w:eastAsia="黑体" w:cs="黑体"/>
          <w:color w:val="auto"/>
          <w:kern w:val="0"/>
          <w:highlight w:val="none"/>
          <w:lang w:val="en-US" w:eastAsia="zh-CN" w:bidi="ar-SA"/>
        </w:rPr>
        <w:t>一、部门职责</w:t>
      </w:r>
      <w:bookmarkEnd w:id="33"/>
      <w:bookmarkEnd w:id="34"/>
      <w:bookmarkEnd w:id="35"/>
      <w:bookmarkEnd w:id="36"/>
      <w:bookmarkEnd w:id="37"/>
      <w:bookmarkEnd w:id="38"/>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1.贯彻党中央、国务院</w:t>
      </w:r>
      <w:r>
        <w:rPr>
          <w:rFonts w:hint="eastAsia" w:hAnsi="Times New Roman" w:cs="仿宋_GB2312"/>
          <w:i w:val="0"/>
          <w:caps w:val="0"/>
          <w:color w:val="333333"/>
          <w:spacing w:val="0"/>
          <w:kern w:val="0"/>
          <w:sz w:val="32"/>
          <w:szCs w:val="32"/>
          <w:shd w:val="clear" w:color="auto" w:fill="FFFFFF"/>
          <w:lang w:val="en-US" w:eastAsia="zh-CN" w:bidi="ar"/>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省委、省政府关于老干部工作的方针政策和市委、市政府有关部署要求，负责全市老干部工作宏观管理，指导、协调、督促和检查全市老干部工作；调查研究老干部工作相关政策的意见，报市委市政府决策；向上级报告全市老干部工作情况，提出意见和建议。</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2.指导全市老干部工作机构加强离退休干部政治建设、思想建设和党组织建设工作。</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3.指导全市老干部工作机构发挥离退休干部优势和作用，积极组织开展为党</w:t>
      </w:r>
      <w:r>
        <w:rPr>
          <w:rFonts w:hint="eastAsia" w:hAnsi="Times New Roman" w:cs="仿宋_GB2312"/>
          <w:i w:val="0"/>
          <w:caps w:val="0"/>
          <w:color w:val="333333"/>
          <w:spacing w:val="0"/>
          <w:kern w:val="0"/>
          <w:sz w:val="32"/>
          <w:szCs w:val="32"/>
          <w:shd w:val="clear" w:color="auto" w:fill="FFFFFF"/>
          <w:lang w:val="en-US" w:eastAsia="zh-CN" w:bidi="ar"/>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人民事业增添正能量活动。</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督促、检查各级各部门落实离退休干部政治待遇、生活待遇，指导协调解决离退休干部及离休干部无工作遗属特殊困难问题；组织安排重大节日慰问、座谈等工作，指导协调做好地厅级离退休干部参观考察、健康休养和老干部生病住院看望慰问工作；指导协调做好全市老干部保健工作；协调处理市级老干部治丧有关工作；协调异地安置离休干部有关事宜。</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5.指导和加强全市离退休干部活动阵地、学习阵地规范化建设。</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6.做好离休干部、建国初期参加革命工作人员和厅级退休干部等服务管理工作；调研了解、协调解决县级退休干部工作的有关问题。</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7.加强离退休干部信息化建设。</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8.做好离退休干部来信来访工作。</w:t>
      </w:r>
    </w:p>
    <w:p>
      <w:pPr>
        <w:spacing w:line="576" w:lineRule="exact"/>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w:t>
      </w:r>
      <w:r>
        <w:rPr>
          <w:rFonts w:hint="eastAsia" w:hAnsi="Times New Roman" w:cs="仿宋_GB2312"/>
          <w:i w:val="0"/>
          <w:caps w:val="0"/>
          <w:color w:val="333333"/>
          <w:spacing w:val="0"/>
          <w:kern w:val="0"/>
          <w:sz w:val="32"/>
          <w:szCs w:val="32"/>
          <w:shd w:val="clear" w:color="auto" w:fill="FFFFFF"/>
          <w:lang w:val="en-US" w:eastAsia="zh-CN" w:bidi="ar"/>
        </w:rPr>
        <w:t>做好新时代关心下一代工作。</w:t>
      </w:r>
    </w:p>
    <w:p>
      <w:pPr>
        <w:spacing w:line="576" w:lineRule="exact"/>
        <w:ind w:firstLine="640" w:firstLineChars="200"/>
        <w:rPr>
          <w:rFonts w:hint="eastAsia"/>
          <w:lang w:eastAsia="zh-CN"/>
        </w:rPr>
      </w:pPr>
      <w:r>
        <w:rPr>
          <w:rFonts w:hint="eastAsia" w:hAnsi="Times New Roman" w:cs="仿宋_GB2312"/>
          <w:i w:val="0"/>
          <w:caps w:val="0"/>
          <w:color w:val="333333"/>
          <w:spacing w:val="0"/>
          <w:kern w:val="0"/>
          <w:sz w:val="32"/>
          <w:szCs w:val="32"/>
          <w:shd w:val="clear" w:color="auto" w:fill="FFFFFF"/>
          <w:lang w:val="en-US" w:eastAsia="zh-CN" w:bidi="ar"/>
        </w:rPr>
        <w:t>10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.完成市委交办的其他工作任务。</w:t>
      </w:r>
    </w:p>
    <w:p>
      <w:pPr>
        <w:pStyle w:val="4"/>
        <w:tabs>
          <w:tab w:val="right" w:leader="dot" w:pos="8296"/>
        </w:tabs>
        <w:bidi w:val="0"/>
        <w:adjustRightInd w:val="0"/>
        <w:snapToGrid w:val="0"/>
        <w:spacing w:line="440" w:lineRule="exact"/>
        <w:jc w:val="left"/>
        <w:rPr>
          <w:rFonts w:hint="eastAsia" w:ascii="黑体" w:hAnsi="黑体" w:eastAsia="黑体" w:cs="黑体"/>
          <w:color w:val="auto"/>
          <w:kern w:val="0"/>
          <w:highlight w:val="none"/>
          <w:lang w:val="en-US" w:eastAsia="zh-CN" w:bidi="ar-SA"/>
        </w:rPr>
      </w:pPr>
      <w:bookmarkStart w:id="39" w:name="_Toc1453350996"/>
      <w:bookmarkStart w:id="40" w:name="_Toc828943741"/>
      <w:bookmarkStart w:id="41" w:name="_Toc374333284"/>
      <w:bookmarkStart w:id="42" w:name="_Toc1019197602"/>
      <w:bookmarkStart w:id="43" w:name="_Toc2072962550"/>
      <w:bookmarkStart w:id="44" w:name="_Toc1448902606"/>
      <w:r>
        <w:rPr>
          <w:rFonts w:hint="eastAsia" w:ascii="黑体" w:hAnsi="黑体" w:eastAsia="黑体" w:cs="黑体"/>
          <w:color w:val="auto"/>
          <w:kern w:val="0"/>
          <w:highlight w:val="none"/>
          <w:lang w:val="en-US" w:eastAsia="zh-CN" w:bidi="ar-SA"/>
        </w:rPr>
        <w:t>二、机构设置</w:t>
      </w:r>
      <w:bookmarkEnd w:id="39"/>
      <w:bookmarkEnd w:id="40"/>
      <w:bookmarkEnd w:id="41"/>
      <w:bookmarkEnd w:id="42"/>
      <w:bookmarkEnd w:id="43"/>
      <w:bookmarkEnd w:id="44"/>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市委老干部局是市委主管全市离退休干部工作的职能机构，归口市委组织部管理，现有在职人员2</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人，退休人员23人，合计5</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人，内设办公室、安置科、保健科3个职能科（室），下属1个正科级参公事业单位（广元市老干部休养所）、1个正科级事业单位（广元市老干部活动中心）以及1个挂靠参公事业单位（关心下一代工作委员会)均未独立核算。</w:t>
      </w: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方正小标宋简体" w:hAnsi="宋体" w:eastAsia="方正小标宋简体" w:cs="Times New Roman"/>
          <w:color w:val="auto"/>
          <w:kern w:val="0"/>
          <w:sz w:val="40"/>
          <w:szCs w:val="44"/>
          <w:highlight w:val="none"/>
          <w:lang w:val="en-US" w:eastAsia="zh-CN" w:bidi="ar-SA"/>
        </w:rPr>
      </w:pPr>
    </w:p>
    <w:p>
      <w:pPr>
        <w:pStyle w:val="11"/>
        <w:adjustRightInd w:val="0"/>
        <w:snapToGrid w:val="0"/>
        <w:spacing w:before="0" w:line="440" w:lineRule="exact"/>
        <w:jc w:val="center"/>
        <w:rPr>
          <w:rFonts w:hint="eastAsia" w:ascii="黑体" w:hAnsi="黑体" w:eastAsia="黑体" w:cs="黑体"/>
          <w:color w:val="auto"/>
          <w:kern w:val="0"/>
          <w:sz w:val="44"/>
          <w:szCs w:val="44"/>
          <w:highlight w:val="none"/>
          <w:lang w:val="en-US" w:eastAsia="zh-CN" w:bidi="ar-SA"/>
        </w:rPr>
      </w:pPr>
    </w:p>
    <w:p>
      <w:pPr>
        <w:pStyle w:val="3"/>
        <w:tabs>
          <w:tab w:val="right" w:leader="dot" w:pos="8296"/>
        </w:tabs>
        <w:bidi w:val="0"/>
        <w:adjustRightInd w:val="0"/>
        <w:snapToGrid w:val="0"/>
        <w:spacing w:line="440" w:lineRule="exact"/>
        <w:jc w:val="center"/>
        <w:rPr>
          <w:rFonts w:hint="eastAsia" w:ascii="黑体" w:hAnsi="黑体" w:eastAsia="黑体" w:cs="黑体"/>
          <w:color w:val="auto"/>
          <w:kern w:val="0"/>
          <w:highlight w:val="none"/>
          <w:lang w:val="en-US" w:eastAsia="zh-CN" w:bidi="ar-SA"/>
        </w:rPr>
      </w:pPr>
      <w:bookmarkStart w:id="45" w:name="_Toc303108953"/>
      <w:bookmarkStart w:id="46" w:name="_Toc448605551"/>
      <w:bookmarkStart w:id="47" w:name="_Toc2039786348"/>
      <w:bookmarkStart w:id="48" w:name="_Toc326349215"/>
      <w:bookmarkStart w:id="49" w:name="_Toc386448647"/>
      <w:bookmarkStart w:id="50" w:name="_Toc1982942428"/>
      <w:r>
        <w:rPr>
          <w:rFonts w:hint="eastAsia" w:ascii="黑体" w:hAnsi="黑体" w:eastAsia="黑体" w:cs="黑体"/>
          <w:color w:val="auto"/>
          <w:kern w:val="0"/>
          <w:highlight w:val="none"/>
          <w:lang w:val="en-US" w:eastAsia="zh-CN" w:bidi="ar-SA"/>
        </w:rPr>
        <w:t>第二部分 2022年度部门决算情况说明</w:t>
      </w:r>
      <w:bookmarkEnd w:id="45"/>
      <w:bookmarkEnd w:id="46"/>
      <w:bookmarkEnd w:id="47"/>
      <w:bookmarkEnd w:id="48"/>
      <w:bookmarkEnd w:id="49"/>
      <w:bookmarkEnd w:id="50"/>
    </w:p>
    <w:p>
      <w:pPr>
        <w:pStyle w:val="12"/>
        <w:adjustRightInd w:val="0"/>
        <w:snapToGrid w:val="0"/>
        <w:spacing w:line="440" w:lineRule="exact"/>
        <w:jc w:val="left"/>
        <w:rPr>
          <w:rFonts w:hint="eastAsia" w:ascii="仿宋" w:hAnsi="仿宋" w:eastAsia="仿宋" w:cs="Times New Roman"/>
          <w:b/>
          <w:color w:val="auto"/>
          <w:kern w:val="2"/>
          <w:sz w:val="32"/>
          <w:szCs w:val="32"/>
          <w:highlight w:val="none"/>
          <w:lang w:val="en-US" w:eastAsia="zh-CN" w:bidi="ar-SA"/>
        </w:rPr>
      </w:pPr>
    </w:p>
    <w:p>
      <w:pPr>
        <w:pStyle w:val="4"/>
        <w:tabs>
          <w:tab w:val="right" w:leader="dot" w:pos="8296"/>
        </w:tabs>
        <w:bidi w:val="0"/>
        <w:adjustRightInd w:val="0"/>
        <w:snapToGrid w:val="0"/>
        <w:spacing w:line="440" w:lineRule="exact"/>
        <w:jc w:val="left"/>
        <w:rPr>
          <w:rFonts w:hint="eastAsia" w:ascii="仿宋" w:hAnsi="仿宋" w:eastAsia="仿宋" w:cs="Times New Roman"/>
          <w:color w:val="auto"/>
          <w:kern w:val="2"/>
          <w:highlight w:val="none"/>
          <w:lang w:val="en-US" w:eastAsia="zh-CN" w:bidi="ar-SA"/>
        </w:rPr>
      </w:pPr>
      <w:bookmarkStart w:id="51" w:name="_Toc459786116"/>
      <w:bookmarkStart w:id="52" w:name="_Toc2113895251"/>
      <w:bookmarkStart w:id="53" w:name="_Toc1071489280"/>
      <w:bookmarkStart w:id="54" w:name="_Toc1480178203"/>
      <w:bookmarkStart w:id="55" w:name="_Toc1426128435"/>
      <w:bookmarkStart w:id="56" w:name="_Toc1359649051"/>
      <w:r>
        <w:rPr>
          <w:rFonts w:hint="eastAsia" w:ascii="仿宋" w:hAnsi="仿宋" w:eastAsia="仿宋" w:cs="Times New Roman"/>
          <w:color w:val="auto"/>
          <w:kern w:val="2"/>
          <w:highlight w:val="none"/>
          <w:lang w:val="en-US" w:eastAsia="zh-CN" w:bidi="ar-SA"/>
        </w:rPr>
        <w:t>一、收入支出决算总体情况说明</w:t>
      </w:r>
      <w:bookmarkEnd w:id="51"/>
      <w:bookmarkEnd w:id="52"/>
      <w:bookmarkEnd w:id="53"/>
      <w:bookmarkEnd w:id="54"/>
      <w:bookmarkEnd w:id="55"/>
      <w:bookmarkEnd w:id="56"/>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928.22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113.07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人员增加费用增加。</w:t>
      </w:r>
    </w:p>
    <w:p>
      <w:pPr>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31"/>
        <w:ind w:left="0" w:leftChars="0" w:firstLine="0" w:firstLineChars="0"/>
        <w:jc w:val="center"/>
      </w:pPr>
      <w:r>
        <w:drawing>
          <wp:inline distT="0" distB="0" distL="0" distR="0">
            <wp:extent cx="3371850" cy="210502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
      <w:pPr>
        <w:pStyle w:val="4"/>
        <w:numPr>
          <w:ilvl w:val="0"/>
          <w:numId w:val="1"/>
        </w:numPr>
        <w:tabs>
          <w:tab w:val="right" w:leader="dot" w:pos="8296"/>
        </w:tabs>
        <w:bidi w:val="0"/>
        <w:adjustRightInd w:val="0"/>
        <w:snapToGrid w:val="0"/>
        <w:spacing w:line="440" w:lineRule="exact"/>
        <w:jc w:val="left"/>
        <w:rPr>
          <w:rFonts w:hint="eastAsia"/>
          <w:color w:val="auto"/>
          <w:highlight w:val="none"/>
        </w:rPr>
      </w:pPr>
      <w:bookmarkStart w:id="57" w:name="_Toc908668420"/>
      <w:bookmarkStart w:id="58" w:name="_Toc1414603332"/>
      <w:bookmarkStart w:id="59" w:name="_Toc1967976695"/>
      <w:bookmarkStart w:id="60" w:name="_Toc2029424334"/>
      <w:bookmarkStart w:id="61" w:name="_Toc140283580"/>
      <w:bookmarkStart w:id="62" w:name="_Toc884477280"/>
      <w:r>
        <w:rPr>
          <w:rFonts w:hint="eastAsia"/>
          <w:color w:val="auto"/>
          <w:highlight w:val="none"/>
        </w:rPr>
        <w:t>收入决算情况说明</w:t>
      </w:r>
      <w:bookmarkEnd w:id="57"/>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lang w:eastAsia="zh-CN"/>
        </w:rPr>
      </w:pPr>
      <w:bookmarkStart w:id="63" w:name="_Toc299635030"/>
      <w:bookmarkStart w:id="64" w:name="_Toc97862415"/>
      <w:bookmarkStart w:id="65" w:name="_Toc719850499"/>
      <w:bookmarkStart w:id="66" w:name="_Toc1239721499"/>
      <w:bookmarkStart w:id="67" w:name="_Toc1681528460"/>
      <w:bookmarkStart w:id="68" w:name="_Toc836627949"/>
      <w:bookmarkStart w:id="69" w:name="_Toc340647151"/>
      <w:bookmarkStart w:id="70" w:name="_Toc402663769"/>
      <w:bookmarkStart w:id="71" w:name="_Toc1686907347"/>
      <w:bookmarkStart w:id="72" w:name="_Toc60518091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928.22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928.22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无其它收入。</w:t>
      </w:r>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jc w:val="center"/>
        <w:rPr>
          <w:rFonts w:ascii="仿宋_GB2312" w:eastAsia="仿宋_GB2312"/>
          <w:color w:val="auto"/>
          <w:sz w:val="32"/>
          <w:szCs w:val="32"/>
          <w:highlight w:val="none"/>
        </w:rPr>
      </w:pPr>
      <w:r>
        <w:drawing>
          <wp:inline distT="0" distB="0" distL="0" distR="0">
            <wp:extent cx="2667000" cy="20193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ilvl w:val="0"/>
          <w:numId w:val="0"/>
        </w:numPr>
      </w:pPr>
    </w:p>
    <w:p>
      <w:pPr>
        <w:pStyle w:val="6"/>
      </w:pP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color w:val="auto"/>
          <w:highlight w:val="none"/>
        </w:rPr>
      </w:pPr>
      <w:bookmarkStart w:id="73" w:name="_Toc620818151"/>
      <w:bookmarkStart w:id="74" w:name="_Toc1297216168"/>
      <w:bookmarkStart w:id="75" w:name="_Toc1883151266"/>
      <w:bookmarkStart w:id="76" w:name="_Toc521491024"/>
      <w:bookmarkStart w:id="77" w:name="_Toc1202314285"/>
      <w:bookmarkStart w:id="78" w:name="_Toc1005725282"/>
      <w:r>
        <w:rPr>
          <w:rFonts w:hint="eastAsia"/>
          <w:color w:val="auto"/>
          <w:highlight w:val="none"/>
        </w:rPr>
        <w:t>支出决算情况说明</w:t>
      </w:r>
      <w:bookmarkEnd w:id="73"/>
      <w:bookmarkEnd w:id="74"/>
      <w:bookmarkEnd w:id="75"/>
      <w:bookmarkEnd w:id="76"/>
      <w:bookmarkEnd w:id="77"/>
      <w:bookmarkEnd w:id="78"/>
    </w:p>
    <w:p>
      <w:pPr>
        <w:spacing w:line="600" w:lineRule="exact"/>
        <w:ind w:firstLine="640" w:firstLineChars="200"/>
        <w:outlineLvl w:val="1"/>
        <w:rPr>
          <w:rFonts w:hint="eastAsia" w:ascii="仿宋" w:hAnsi="仿宋" w:eastAsia="仿宋"/>
          <w:color w:val="auto"/>
          <w:sz w:val="32"/>
          <w:szCs w:val="32"/>
          <w:highlight w:val="none"/>
        </w:rPr>
      </w:pPr>
      <w:bookmarkStart w:id="79" w:name="_Toc633071829"/>
      <w:bookmarkStart w:id="80" w:name="_Toc1867303537"/>
      <w:bookmarkStart w:id="81" w:name="_Toc1250851129"/>
      <w:bookmarkStart w:id="82" w:name="_Toc479675380"/>
      <w:bookmarkStart w:id="83" w:name="_Toc1960969535"/>
      <w:bookmarkStart w:id="84" w:name="_Toc1894384400"/>
      <w:bookmarkStart w:id="85" w:name="_Toc1753472194"/>
      <w:bookmarkStart w:id="86" w:name="_Toc1886396687"/>
      <w:bookmarkStart w:id="87" w:name="_Toc494116807"/>
      <w:bookmarkStart w:id="88" w:name="_Toc190847054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928.22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687.10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eastAsia="zh-CN"/>
        </w:rPr>
        <w:t>2</w:t>
      </w:r>
      <w:r>
        <w:rPr>
          <w:rFonts w:hint="eastAsia" w:ascii="仿宋" w:hAnsi="仿宋" w:eastAsia="仿宋"/>
          <w:color w:val="auto"/>
          <w:sz w:val="32"/>
          <w:szCs w:val="32"/>
          <w:highlight w:val="none"/>
          <w:lang w:val="en-US" w:eastAsia="zh-CN"/>
        </w:rPr>
        <w:t>41.12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79"/>
      <w:bookmarkEnd w:id="80"/>
      <w:bookmarkEnd w:id="81"/>
      <w:bookmarkEnd w:id="82"/>
      <w:bookmarkEnd w:id="83"/>
      <w:bookmarkEnd w:id="84"/>
      <w:bookmarkEnd w:id="85"/>
      <w:bookmarkEnd w:id="86"/>
      <w:bookmarkEnd w:id="87"/>
      <w:bookmarkEnd w:id="88"/>
    </w:p>
    <w:p>
      <w:pPr>
        <w:spacing w:line="600" w:lineRule="exact"/>
        <w:outlineLvl w:val="1"/>
      </w:pPr>
      <w:bookmarkStart w:id="89" w:name="_Toc909630035"/>
      <w:bookmarkStart w:id="90" w:name="_Toc724976009"/>
      <w:bookmarkStart w:id="91" w:name="_Toc1074960691"/>
      <w:bookmarkStart w:id="92" w:name="_Toc340043688"/>
      <w:bookmarkStart w:id="93" w:name="_Toc1079746288"/>
      <w:bookmarkStart w:id="94" w:name="_Toc1010683761"/>
      <w:bookmarkStart w:id="95" w:name="_Toc1520181160"/>
      <w:bookmarkStart w:id="96" w:name="_Toc2139769137"/>
      <w:bookmarkStart w:id="97" w:name="_Toc1306398712"/>
      <w:bookmarkStart w:id="98" w:name="_Toc1647201400"/>
      <w:r>
        <w:rPr>
          <w:rFonts w:hint="eastAsia" w:ascii="仿宋" w:hAnsi="仿宋" w:eastAsia="仿宋"/>
          <w:color w:val="auto"/>
          <w:sz w:val="32"/>
          <w:szCs w:val="32"/>
          <w:highlight w:val="none"/>
        </w:rPr>
        <w:t>（图3：支出决算结构图）（饼状图）</w:t>
      </w:r>
      <w:bookmarkEnd w:id="89"/>
      <w:bookmarkEnd w:id="90"/>
      <w:bookmarkEnd w:id="91"/>
      <w:bookmarkEnd w:id="92"/>
      <w:bookmarkEnd w:id="93"/>
      <w:bookmarkEnd w:id="94"/>
      <w:bookmarkEnd w:id="95"/>
      <w:bookmarkEnd w:id="96"/>
      <w:bookmarkEnd w:id="97"/>
      <w:bookmarkEnd w:id="98"/>
    </w:p>
    <w:p>
      <w:pPr>
        <w:pStyle w:val="31"/>
        <w:ind w:left="0" w:leftChars="0" w:firstLine="0" w:firstLineChars="0"/>
        <w:jc w:val="center"/>
      </w:pPr>
      <w:r>
        <w:drawing>
          <wp:anchor distT="0" distB="0" distL="114300" distR="114300" simplePos="0" relativeHeight="251660288" behindDoc="0" locked="0" layoutInCell="1" allowOverlap="1">
            <wp:simplePos x="0" y="0"/>
            <wp:positionH relativeFrom="column">
              <wp:posOffset>1424940</wp:posOffset>
            </wp:positionH>
            <wp:positionV relativeFrom="paragraph">
              <wp:posOffset>137795</wp:posOffset>
            </wp:positionV>
            <wp:extent cx="1856105" cy="1735455"/>
            <wp:effectExtent l="5080" t="4445" r="5715" b="1270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jc w:val="center"/>
      </w:pPr>
    </w:p>
    <w:p>
      <w:pPr>
        <w:pStyle w:val="6"/>
      </w:pPr>
    </w:p>
    <w:p>
      <w:pPr>
        <w:pStyle w:val="6"/>
      </w:pPr>
    </w:p>
    <w:p>
      <w:pPr>
        <w:pStyle w:val="6"/>
      </w:pPr>
    </w:p>
    <w:p>
      <w:pPr>
        <w:numPr>
          <w:ilvl w:val="0"/>
          <w:numId w:val="0"/>
        </w:numPr>
        <w:ind w:leftChars="200"/>
      </w:pP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color w:val="auto"/>
          <w:highlight w:val="none"/>
        </w:rPr>
      </w:pPr>
      <w:bookmarkStart w:id="99" w:name="_Toc581659455"/>
      <w:bookmarkStart w:id="100" w:name="_Toc143415896"/>
      <w:bookmarkStart w:id="101" w:name="_Toc1748879039"/>
      <w:bookmarkStart w:id="102" w:name="_Toc1498589971"/>
      <w:bookmarkStart w:id="103" w:name="_Toc88633819"/>
      <w:bookmarkStart w:id="104" w:name="_Toc175930800"/>
      <w:r>
        <w:rPr>
          <w:rFonts w:hint="eastAsia"/>
          <w:color w:val="auto"/>
          <w:highlight w:val="none"/>
        </w:rPr>
        <w:t>财政拨款收入支出决算总体情况说明</w:t>
      </w:r>
      <w:bookmarkEnd w:id="99"/>
      <w:bookmarkEnd w:id="100"/>
      <w:bookmarkEnd w:id="101"/>
      <w:bookmarkEnd w:id="102"/>
      <w:bookmarkEnd w:id="103"/>
      <w:bookmarkEnd w:id="104"/>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928.22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113.07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人员增加费用增加。</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31"/>
        <w:rPr>
          <w:rFonts w:ascii="仿宋" w:hAnsi="仿宋" w:eastAsia="仿宋"/>
          <w:b/>
          <w:color w:val="auto"/>
          <w:sz w:val="32"/>
          <w:szCs w:val="32"/>
          <w:highlight w:val="none"/>
        </w:rPr>
      </w:pPr>
      <w:r>
        <w:drawing>
          <wp:inline distT="0" distB="0" distL="0" distR="0">
            <wp:extent cx="3071495" cy="2040890"/>
            <wp:effectExtent l="4445" t="4445" r="10160"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color w:val="auto"/>
          <w:highlight w:val="none"/>
        </w:rPr>
      </w:pPr>
      <w:bookmarkStart w:id="105" w:name="_Toc1035301904"/>
      <w:bookmarkStart w:id="106" w:name="_Toc1671517036"/>
      <w:bookmarkStart w:id="107" w:name="_Toc1353107078"/>
      <w:bookmarkStart w:id="108" w:name="_Toc1793114111"/>
      <w:bookmarkStart w:id="109" w:name="_Toc636152686"/>
      <w:bookmarkStart w:id="110" w:name="_Toc1020959245"/>
      <w:r>
        <w:rPr>
          <w:rFonts w:hint="eastAsia"/>
          <w:color w:val="auto"/>
          <w:highlight w:val="none"/>
        </w:rPr>
        <w:t>一般公共预算财政拨款支出决算情况说明</w:t>
      </w:r>
      <w:bookmarkEnd w:id="105"/>
      <w:bookmarkEnd w:id="106"/>
      <w:bookmarkEnd w:id="107"/>
      <w:bookmarkEnd w:id="108"/>
      <w:bookmarkEnd w:id="109"/>
      <w:bookmarkEnd w:id="110"/>
    </w:p>
    <w:p>
      <w:pPr>
        <w:spacing w:line="600" w:lineRule="exact"/>
        <w:ind w:firstLine="642" w:firstLineChars="200"/>
        <w:outlineLvl w:val="2"/>
        <w:rPr>
          <w:rFonts w:ascii="仿宋" w:hAnsi="仿宋" w:eastAsia="仿宋"/>
          <w:b/>
          <w:color w:val="auto"/>
          <w:sz w:val="32"/>
          <w:szCs w:val="32"/>
          <w:highlight w:val="none"/>
        </w:rPr>
      </w:pPr>
      <w:bookmarkStart w:id="111" w:name="_Toc2084316601"/>
      <w:bookmarkStart w:id="112" w:name="_Toc1896466335"/>
      <w:bookmarkStart w:id="113" w:name="_Toc469643022"/>
      <w:bookmarkStart w:id="114" w:name="_Toc794226755"/>
      <w:bookmarkStart w:id="115" w:name="_Toc718976021"/>
      <w:bookmarkStart w:id="116" w:name="_Toc616191389"/>
      <w:bookmarkStart w:id="117" w:name="_Toc127555204"/>
      <w:bookmarkStart w:id="118" w:name="_Toc384243358"/>
      <w:bookmarkStart w:id="119" w:name="_Toc1031284763"/>
      <w:r>
        <w:rPr>
          <w:rFonts w:hint="eastAsia" w:ascii="仿宋" w:hAnsi="仿宋" w:eastAsia="仿宋"/>
          <w:b/>
          <w:color w:val="auto"/>
          <w:sz w:val="32"/>
          <w:szCs w:val="32"/>
          <w:highlight w:val="none"/>
        </w:rPr>
        <w:t>（一）一般公共预算财政拨款支出决算总体情况</w:t>
      </w:r>
      <w:bookmarkEnd w:id="111"/>
      <w:bookmarkEnd w:id="112"/>
      <w:bookmarkEnd w:id="113"/>
      <w:bookmarkEnd w:id="114"/>
      <w:bookmarkEnd w:id="115"/>
      <w:bookmarkEnd w:id="116"/>
      <w:bookmarkEnd w:id="117"/>
      <w:bookmarkEnd w:id="118"/>
      <w:bookmarkEnd w:id="119"/>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928.22万</w:t>
      </w:r>
      <w:r>
        <w:rPr>
          <w:rFonts w:hint="eastAsia" w:ascii="仿宋" w:hAnsi="仿宋" w:eastAsia="仿宋"/>
          <w:color w:val="auto"/>
          <w:sz w:val="32"/>
          <w:szCs w:val="32"/>
          <w:highlight w:val="none"/>
        </w:rPr>
        <w:t>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113.09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w:t>
      </w:r>
      <w:r>
        <w:rPr>
          <w:rFonts w:hint="default" w:ascii="仿宋" w:hAnsi="仿宋" w:eastAsia="仿宋"/>
          <w:color w:val="auto"/>
          <w:sz w:val="32"/>
          <w:szCs w:val="32"/>
          <w:highlight w:val="none"/>
          <w:lang w:eastAsia="zh-CN"/>
        </w:rPr>
        <w:t>4</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人员增加费用增加。</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jc w:val="center"/>
      </w:pPr>
      <w:r>
        <w:drawing>
          <wp:inline distT="0" distB="0" distL="114300" distR="114300">
            <wp:extent cx="2667000" cy="1961515"/>
            <wp:effectExtent l="4445" t="4445" r="14605" b="1524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120" w:name="_Toc1278860229"/>
      <w:bookmarkStart w:id="121" w:name="_Toc1883678274"/>
      <w:bookmarkStart w:id="122" w:name="_Toc166583888"/>
      <w:bookmarkStart w:id="123" w:name="_Toc1823831589"/>
      <w:bookmarkStart w:id="124" w:name="_Toc847898714"/>
      <w:bookmarkStart w:id="125" w:name="_Toc1186085924"/>
      <w:bookmarkStart w:id="126" w:name="_Toc453909628"/>
      <w:bookmarkStart w:id="127" w:name="_Toc1898928250"/>
      <w:bookmarkStart w:id="128" w:name="_Toc847119366"/>
      <w:r>
        <w:rPr>
          <w:rFonts w:hint="eastAsia" w:ascii="仿宋" w:hAnsi="仿宋" w:eastAsia="仿宋"/>
          <w:b/>
          <w:color w:val="auto"/>
          <w:sz w:val="32"/>
          <w:szCs w:val="32"/>
          <w:highlight w:val="none"/>
        </w:rPr>
        <w:t>（二）一般公共预算财政拨款支出决算结构情况</w:t>
      </w:r>
      <w:bookmarkEnd w:id="120"/>
      <w:bookmarkEnd w:id="121"/>
      <w:bookmarkEnd w:id="122"/>
      <w:bookmarkEnd w:id="123"/>
      <w:bookmarkEnd w:id="124"/>
      <w:bookmarkEnd w:id="125"/>
      <w:bookmarkEnd w:id="126"/>
      <w:bookmarkEnd w:id="127"/>
      <w:bookmarkEnd w:id="12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928.22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Fonts w:hint="eastAsia" w:ascii="仿宋" w:hAnsi="仿宋" w:eastAsia="仿宋"/>
          <w:color w:val="auto"/>
          <w:sz w:val="32"/>
          <w:szCs w:val="32"/>
          <w:highlight w:val="none"/>
          <w:lang w:val="en-US" w:eastAsia="zh-CN"/>
        </w:rPr>
        <w:t>848.53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17.61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62.07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jc w:val="center"/>
      </w:pPr>
      <w:r>
        <w:drawing>
          <wp:inline distT="0" distB="0" distL="0" distR="0">
            <wp:extent cx="2667000" cy="20955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129" w:name="_Toc1026215827"/>
      <w:bookmarkStart w:id="130" w:name="_Toc1005368709"/>
      <w:bookmarkStart w:id="131" w:name="_Toc969722602"/>
      <w:bookmarkStart w:id="132" w:name="_Toc222462464"/>
      <w:bookmarkStart w:id="133" w:name="_Toc804434768"/>
      <w:bookmarkStart w:id="134" w:name="_Toc1707986171"/>
      <w:bookmarkStart w:id="135" w:name="_Toc1977358674"/>
      <w:bookmarkStart w:id="136" w:name="_Toc1427725869"/>
      <w:bookmarkStart w:id="137" w:name="_Toc646177814"/>
      <w:r>
        <w:rPr>
          <w:rFonts w:hint="eastAsia" w:ascii="仿宋" w:hAnsi="仿宋" w:eastAsia="仿宋"/>
          <w:b/>
          <w:color w:val="auto"/>
          <w:sz w:val="32"/>
          <w:szCs w:val="32"/>
          <w:highlight w:val="none"/>
        </w:rPr>
        <w:t>（三）一般公共预算财政拨款支出决算具体情况</w:t>
      </w:r>
      <w:bookmarkEnd w:id="129"/>
      <w:bookmarkEnd w:id="130"/>
      <w:bookmarkEnd w:id="131"/>
      <w:bookmarkEnd w:id="132"/>
      <w:bookmarkEnd w:id="133"/>
      <w:bookmarkEnd w:id="134"/>
      <w:bookmarkEnd w:id="135"/>
      <w:bookmarkEnd w:id="136"/>
      <w:bookmarkEnd w:id="137"/>
    </w:p>
    <w:p>
      <w:pPr>
        <w:spacing w:line="600" w:lineRule="exact"/>
        <w:ind w:firstLine="642" w:firstLineChars="200"/>
        <w:outlineLvl w:val="2"/>
        <w:rPr>
          <w:rFonts w:ascii="仿宋" w:hAnsi="仿宋" w:eastAsia="仿宋"/>
          <w:color w:val="auto"/>
          <w:sz w:val="32"/>
          <w:szCs w:val="32"/>
          <w:highlight w:val="none"/>
        </w:rPr>
      </w:pPr>
      <w:bookmarkStart w:id="138" w:name="_Toc396777057"/>
      <w:bookmarkStart w:id="139" w:name="_Toc1601886858"/>
      <w:bookmarkStart w:id="140" w:name="_Toc1506382853"/>
      <w:bookmarkStart w:id="141" w:name="_Toc1464765065"/>
      <w:bookmarkStart w:id="142" w:name="_Toc1464506879"/>
      <w:bookmarkStart w:id="143" w:name="_Toc434163788"/>
      <w:bookmarkStart w:id="144" w:name="_Toc1305366976"/>
      <w:bookmarkStart w:id="145" w:name="_Toc411228916"/>
      <w:bookmarkStart w:id="146" w:name="_Toc1267390888"/>
      <w:bookmarkStart w:id="147" w:name="_Toc782655985"/>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928.22万元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138"/>
      <w:bookmarkEnd w:id="139"/>
      <w:bookmarkEnd w:id="140"/>
      <w:bookmarkEnd w:id="141"/>
      <w:bookmarkEnd w:id="142"/>
      <w:bookmarkEnd w:id="143"/>
      <w:bookmarkEnd w:id="144"/>
      <w:bookmarkEnd w:id="145"/>
      <w:bookmarkEnd w:id="146"/>
      <w:bookmarkEnd w:id="147"/>
    </w:p>
    <w:p>
      <w:pPr>
        <w:spacing w:line="600" w:lineRule="exact"/>
        <w:ind w:firstLine="642"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1.</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Style w:val="15"/>
          <w:rFonts w:hint="eastAsia" w:ascii="仿宋" w:hAnsi="仿宋" w:eastAsia="仿宋"/>
          <w:bCs/>
          <w:color w:val="auto"/>
          <w:sz w:val="32"/>
          <w:szCs w:val="32"/>
          <w:highlight w:val="none"/>
        </w:rPr>
        <w:t>（类） 行政事业单位养老支出（款）离退休人员管理机构（项）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808.61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，与预算数持平。</w:t>
      </w:r>
    </w:p>
    <w:p>
      <w:pPr>
        <w:spacing w:line="600" w:lineRule="exact"/>
        <w:ind w:firstLine="642" w:firstLineChars="200"/>
        <w:rPr>
          <w:rStyle w:val="15"/>
          <w:rFonts w:hint="eastAsia" w:ascii="仿宋" w:hAnsi="仿宋" w:eastAsia="仿宋"/>
          <w:b w:val="0"/>
          <w:bCs/>
          <w:color w:val="auto"/>
          <w:sz w:val="32"/>
          <w:szCs w:val="32"/>
          <w:highlight w:val="none"/>
        </w:rPr>
      </w:pPr>
      <w:r>
        <w:rPr>
          <w:rStyle w:val="15"/>
          <w:rFonts w:ascii="仿宋" w:hAnsi="仿宋" w:eastAsia="仿宋"/>
          <w:bCs/>
          <w:color w:val="auto"/>
          <w:sz w:val="32"/>
          <w:szCs w:val="32"/>
          <w:highlight w:val="none"/>
        </w:rPr>
        <w:t>2.</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Style w:val="15"/>
          <w:rFonts w:hint="eastAsia" w:ascii="仿宋" w:hAnsi="仿宋" w:eastAsia="仿宋"/>
          <w:bCs/>
          <w:color w:val="auto"/>
          <w:sz w:val="32"/>
          <w:szCs w:val="32"/>
          <w:highlight w:val="none"/>
        </w:rPr>
        <w:t>（类） 行政事业单位养老支出（款）  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35.44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，与预算数持平。</w:t>
      </w:r>
    </w:p>
    <w:p>
      <w:pPr>
        <w:spacing w:line="600" w:lineRule="exact"/>
        <w:ind w:firstLine="642" w:firstLineChars="200"/>
        <w:rPr>
          <w:rStyle w:val="15"/>
          <w:rFonts w:hint="eastAsia" w:ascii="仿宋" w:hAnsi="仿宋" w:eastAsia="仿宋"/>
          <w:b w:val="0"/>
          <w:bCs/>
          <w:color w:val="auto"/>
          <w:sz w:val="32"/>
          <w:szCs w:val="32"/>
          <w:highlight w:val="none"/>
        </w:rPr>
      </w:pPr>
      <w:r>
        <w:rPr>
          <w:rStyle w:val="15"/>
          <w:rFonts w:ascii="仿宋" w:hAnsi="仿宋" w:eastAsia="仿宋"/>
          <w:bCs/>
          <w:color w:val="auto"/>
          <w:sz w:val="32"/>
          <w:szCs w:val="32"/>
          <w:highlight w:val="none"/>
        </w:rPr>
        <w:t>3.</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Style w:val="15"/>
          <w:rFonts w:hint="eastAsia" w:ascii="仿宋" w:hAnsi="仿宋" w:eastAsia="仿宋"/>
          <w:bCs/>
          <w:color w:val="auto"/>
          <w:sz w:val="32"/>
          <w:szCs w:val="32"/>
          <w:highlight w:val="none"/>
        </w:rPr>
        <w:t>（类） 行政事业单位养老支出（款）  机关事业单位职业年金缴费支出（项）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4.49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hint="eastAsia" w:ascii="仿宋" w:hAnsi="仿宋" w:eastAsia="仿宋"/>
          <w:b w:val="0"/>
          <w:bCs/>
          <w:color w:val="auto"/>
          <w:sz w:val="32"/>
          <w:szCs w:val="32"/>
          <w:highlight w:val="none"/>
        </w:rPr>
        <w:t>%，与预算数持平。</w:t>
      </w:r>
    </w:p>
    <w:p>
      <w:pPr>
        <w:spacing w:line="600" w:lineRule="exact"/>
        <w:ind w:firstLine="642"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（类）行政事业单位医疗（款） 行政单位医疗（项）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17.61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，与预算数持平。</w:t>
      </w:r>
    </w:p>
    <w:p>
      <w:pPr>
        <w:spacing w:line="600" w:lineRule="exact"/>
        <w:ind w:firstLine="642" w:firstLineChars="200"/>
      </w:pPr>
      <w:r>
        <w:rPr>
          <w:rStyle w:val="15"/>
          <w:rFonts w:hint="eastAsia" w:ascii="仿宋_GB2312" w:hAnsi="仿宋" w:eastAsia="仿宋_GB2312"/>
          <w:b/>
          <w:bCs w:val="0"/>
          <w:color w:val="000000"/>
          <w:sz w:val="32"/>
          <w:szCs w:val="32"/>
        </w:rPr>
        <w:t>5.</w:t>
      </w:r>
      <w:r>
        <w:rPr>
          <w:rFonts w:hint="eastAsia" w:ascii="仿宋_GB2312" w:hAnsi="仿宋" w:eastAsia="仿宋_GB2312"/>
          <w:b/>
          <w:bCs w:val="0"/>
          <w:color w:val="000000"/>
          <w:sz w:val="32"/>
          <w:szCs w:val="32"/>
        </w:rPr>
        <w:t>住房保障支出</w:t>
      </w:r>
      <w:r>
        <w:rPr>
          <w:rStyle w:val="15"/>
          <w:rFonts w:hint="eastAsia" w:ascii="仿宋_GB2312" w:hAnsi="仿宋" w:eastAsia="仿宋_GB2312"/>
          <w:b/>
          <w:bCs w:val="0"/>
          <w:color w:val="000000"/>
          <w:sz w:val="32"/>
          <w:szCs w:val="32"/>
        </w:rPr>
        <w:t>（类）住房改革支出（款）住房公积金（项）</w:t>
      </w:r>
      <w:r>
        <w:rPr>
          <w:rStyle w:val="15"/>
          <w:rFonts w:hint="eastAsia" w:ascii="仿宋_GB2312" w:hAnsi="仿宋" w:eastAsia="仿宋_GB2312"/>
          <w:b w:val="0"/>
          <w:bCs/>
          <w:color w:val="000000"/>
          <w:sz w:val="32"/>
          <w:szCs w:val="32"/>
        </w:rPr>
        <w:t>:支出决算为</w:t>
      </w:r>
      <w:r>
        <w:rPr>
          <w:rStyle w:val="15"/>
          <w:rFonts w:hint="eastAsia" w:ascii="仿宋_GB2312" w:hAnsi="仿宋" w:eastAsia="仿宋_GB2312"/>
          <w:b w:val="0"/>
          <w:bCs/>
          <w:color w:val="000000"/>
          <w:sz w:val="32"/>
          <w:szCs w:val="32"/>
          <w:lang w:val="en-US" w:eastAsia="zh-CN"/>
        </w:rPr>
        <w:t>62.07</w:t>
      </w:r>
      <w:r>
        <w:rPr>
          <w:rStyle w:val="15"/>
          <w:rFonts w:hint="eastAsia" w:ascii="仿宋_GB2312" w:hAnsi="仿宋" w:eastAsia="仿宋_GB2312"/>
          <w:b w:val="0"/>
          <w:bCs/>
          <w:color w:val="000000"/>
          <w:sz w:val="32"/>
          <w:szCs w:val="32"/>
        </w:rPr>
        <w:t>万元，完成预算100</w:t>
      </w:r>
      <w:r>
        <w:rPr>
          <w:rStyle w:val="15"/>
          <w:rFonts w:hint="eastAsia" w:ascii="仿宋" w:hAnsi="仿宋" w:eastAsia="仿宋"/>
          <w:b w:val="0"/>
          <w:bCs/>
          <w:color w:val="auto"/>
          <w:sz w:val="32"/>
          <w:szCs w:val="32"/>
          <w:highlight w:val="none"/>
        </w:rPr>
        <w:t>%，与预算数持平。</w:t>
      </w: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ascii="仿宋_GB2312" w:hAnsi="仿宋" w:eastAsia="仿宋_GB2312" w:cs="Times New Roman"/>
          <w:color w:val="000000"/>
          <w:kern w:val="2"/>
          <w:lang w:val="en-US" w:eastAsia="zh-CN" w:bidi="ar-SA"/>
        </w:rPr>
      </w:pPr>
      <w:bookmarkStart w:id="148" w:name="_Toc1931957191"/>
      <w:bookmarkStart w:id="149" w:name="_Toc459403706"/>
      <w:bookmarkStart w:id="150" w:name="_Toc128959145"/>
      <w:bookmarkStart w:id="151" w:name="_Toc1599524978"/>
      <w:bookmarkStart w:id="152" w:name="_Toc1528872679"/>
      <w:bookmarkStart w:id="153" w:name="_Toc443938006"/>
      <w:r>
        <w:rPr>
          <w:rFonts w:hint="eastAsia" w:ascii="仿宋_GB2312" w:hAnsi="仿宋" w:eastAsia="仿宋_GB2312" w:cs="Times New Roman"/>
          <w:color w:val="000000"/>
          <w:kern w:val="2"/>
          <w:lang w:val="en-US" w:eastAsia="zh-CN" w:bidi="ar-SA"/>
        </w:rPr>
        <w:t>一般公共预算财政拨款基本支出决算情况说明</w:t>
      </w:r>
      <w:bookmarkEnd w:id="148"/>
      <w:bookmarkEnd w:id="149"/>
      <w:bookmarkEnd w:id="150"/>
      <w:bookmarkEnd w:id="151"/>
      <w:bookmarkEnd w:id="152"/>
      <w:bookmarkEnd w:id="153"/>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687.10</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618.89</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w:t>
      </w:r>
      <w:r>
        <w:rPr>
          <w:rFonts w:hint="default" w:ascii="仿宋" w:hAnsi="仿宋" w:eastAsia="仿宋"/>
          <w:color w:val="auto"/>
          <w:sz w:val="32"/>
          <w:szCs w:val="32"/>
          <w:highlight w:val="none"/>
        </w:rPr>
        <w:t>、抚恤金、</w:t>
      </w:r>
      <w:r>
        <w:rPr>
          <w:rFonts w:hint="eastAsia" w:ascii="仿宋" w:hAnsi="仿宋" w:eastAsia="仿宋"/>
          <w:color w:val="auto"/>
          <w:sz w:val="32"/>
          <w:szCs w:val="32"/>
          <w:highlight w:val="none"/>
        </w:rPr>
        <w:t>生活补助、奖励金</w:t>
      </w:r>
      <w:r>
        <w:rPr>
          <w:rFonts w:hint="default" w:ascii="仿宋" w:hAnsi="仿宋" w:eastAsia="仿宋"/>
          <w:color w:val="auto"/>
          <w:sz w:val="32"/>
          <w:szCs w:val="32"/>
          <w:highlight w:val="none"/>
        </w:rPr>
        <w:t>、</w:t>
      </w:r>
      <w:r>
        <w:rPr>
          <w:rFonts w:hint="eastAsia" w:ascii="仿宋" w:hAnsi="仿宋" w:eastAsia="仿宋"/>
          <w:color w:val="auto"/>
          <w:sz w:val="32"/>
          <w:szCs w:val="32"/>
          <w:highlight w:val="none"/>
        </w:rPr>
        <w:t>其他对个人和家庭的补助等。</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68.20</w:t>
      </w:r>
      <w:r>
        <w:rPr>
          <w:rFonts w:hint="eastAsia" w:ascii="仿宋" w:hAnsi="仿宋" w:eastAsia="仿宋"/>
          <w:color w:val="auto"/>
          <w:sz w:val="32"/>
          <w:szCs w:val="32"/>
          <w:highlight w:val="none"/>
        </w:rPr>
        <w:t>万元，主要包括：办公费、印刷费、水费、电费、邮电费、物业管理费、差旅费、维修（护）费、培训费、公务接待费、劳务费、工会经费、福利费、公务用车运行维护费、其他交通费、其他商品和服务支出等。</w:t>
      </w: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ascii="仿宋" w:hAnsi="仿宋" w:eastAsia="仿宋" w:cs="Times New Roman"/>
          <w:color w:val="auto"/>
          <w:kern w:val="2"/>
          <w:highlight w:val="none"/>
          <w:lang w:val="en-US" w:eastAsia="zh-CN" w:bidi="ar-SA"/>
        </w:rPr>
      </w:pPr>
      <w:bookmarkStart w:id="154" w:name="_Toc2130326508"/>
      <w:bookmarkStart w:id="155" w:name="_Toc82548375"/>
      <w:bookmarkStart w:id="156" w:name="_Toc1114521870"/>
      <w:bookmarkStart w:id="157" w:name="_Toc1381582607"/>
      <w:bookmarkStart w:id="158" w:name="_Toc1267370910"/>
      <w:bookmarkStart w:id="159" w:name="_Toc960912028"/>
      <w:r>
        <w:rPr>
          <w:rFonts w:hint="eastAsia" w:ascii="仿宋" w:hAnsi="仿宋" w:eastAsia="仿宋" w:cs="Times New Roman"/>
          <w:color w:val="auto"/>
          <w:kern w:val="2"/>
          <w:highlight w:val="none"/>
          <w:lang w:val="en-US" w:eastAsia="zh-CN" w:bidi="ar-SA"/>
        </w:rPr>
        <w:t>财政拨款“三公”经费支出决算情况说明</w:t>
      </w:r>
      <w:bookmarkEnd w:id="154"/>
      <w:bookmarkEnd w:id="155"/>
      <w:bookmarkEnd w:id="156"/>
      <w:bookmarkEnd w:id="157"/>
      <w:bookmarkEnd w:id="158"/>
      <w:bookmarkEnd w:id="159"/>
    </w:p>
    <w:p>
      <w:pPr>
        <w:spacing w:line="600" w:lineRule="exact"/>
        <w:ind w:firstLine="640"/>
        <w:outlineLvl w:val="2"/>
        <w:rPr>
          <w:rFonts w:ascii="仿宋" w:hAnsi="仿宋" w:eastAsia="仿宋"/>
          <w:b/>
          <w:color w:val="auto"/>
          <w:sz w:val="32"/>
          <w:szCs w:val="32"/>
          <w:highlight w:val="none"/>
        </w:rPr>
      </w:pPr>
      <w:bookmarkStart w:id="160" w:name="_Toc481447729"/>
      <w:bookmarkStart w:id="161" w:name="_Toc1765191854"/>
      <w:bookmarkStart w:id="162" w:name="_Toc1410556750"/>
      <w:bookmarkStart w:id="163" w:name="_Toc1190238507"/>
      <w:bookmarkStart w:id="164" w:name="_Toc1858088960"/>
      <w:bookmarkStart w:id="165" w:name="_Toc243268692"/>
      <w:bookmarkStart w:id="166" w:name="_Toc1573919279"/>
      <w:bookmarkStart w:id="167" w:name="_Toc1489124429"/>
      <w:bookmarkStart w:id="168" w:name="_Toc1067431999"/>
      <w:r>
        <w:rPr>
          <w:rFonts w:hint="eastAsia" w:ascii="仿宋" w:hAnsi="仿宋" w:eastAsia="仿宋"/>
          <w:b/>
          <w:color w:val="auto"/>
          <w:sz w:val="32"/>
          <w:szCs w:val="32"/>
          <w:highlight w:val="none"/>
        </w:rPr>
        <w:t>（一）“三公”经费财政拨款支出决算总体情况说明</w:t>
      </w:r>
      <w:bookmarkEnd w:id="160"/>
      <w:bookmarkEnd w:id="161"/>
      <w:bookmarkEnd w:id="162"/>
      <w:bookmarkEnd w:id="163"/>
      <w:bookmarkEnd w:id="164"/>
      <w:bookmarkEnd w:id="165"/>
      <w:bookmarkEnd w:id="166"/>
      <w:bookmarkEnd w:id="167"/>
      <w:bookmarkEnd w:id="168"/>
    </w:p>
    <w:p>
      <w:pPr>
        <w:keepNext w:val="0"/>
        <w:keepLines w:val="0"/>
        <w:widowControl w:val="0"/>
        <w:suppressLineNumbers w:val="0"/>
        <w:spacing w:before="0" w:beforeAutospacing="0" w:after="0" w:afterAutospacing="0" w:line="600" w:lineRule="exact"/>
        <w:ind w:left="0" w:right="0" w:firstLine="640"/>
        <w:jc w:val="both"/>
        <w:rPr>
          <w:rFonts w:ascii="仿宋" w:hAnsi="仿宋" w:eastAsia="仿宋"/>
          <w:b/>
          <w:color w:val="00B0F0"/>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11.50</w:t>
      </w:r>
      <w:r>
        <w:rPr>
          <w:rFonts w:hint="eastAsia" w:ascii="仿宋" w:hAnsi="仿宋" w:eastAsia="仿宋"/>
          <w:color w:val="auto"/>
          <w:sz w:val="32"/>
          <w:szCs w:val="32"/>
          <w:highlight w:val="none"/>
        </w:rPr>
        <w:t>万元，完成预算</w:t>
      </w:r>
      <w:r>
        <w:rPr>
          <w:rFonts w:hint="default" w:ascii="仿宋" w:hAnsi="仿宋" w:eastAsia="仿宋" w:cs="Times New Roman"/>
          <w:color w:val="auto"/>
          <w:sz w:val="32"/>
          <w:szCs w:val="32"/>
          <w:highlight w:val="none"/>
        </w:rPr>
        <w:t>90.77</w:t>
      </w:r>
      <w:r>
        <w:rPr>
          <w:rFonts w:hint="eastAsia" w:ascii="仿宋" w:hAnsi="仿宋" w:eastAsia="仿宋" w:cs="Times New Roman"/>
          <w:color w:val="auto"/>
          <w:sz w:val="32"/>
          <w:szCs w:val="32"/>
          <w:highlight w:val="none"/>
        </w:rPr>
        <w:t>%，</w:t>
      </w:r>
      <w:r>
        <w:rPr>
          <w:rFonts w:hint="default" w:ascii="仿宋" w:hAnsi="仿宋" w:eastAsia="仿宋" w:cs="Times New Roman"/>
          <w:color w:val="auto"/>
          <w:sz w:val="32"/>
          <w:szCs w:val="32"/>
          <w:highlight w:val="none"/>
          <w:lang w:val="en-US" w:eastAsia="zh-CN"/>
        </w:rPr>
        <w:t>较上年减少</w:t>
      </w:r>
      <w:r>
        <w:rPr>
          <w:rFonts w:hint="eastAsia" w:ascii="仿宋" w:hAnsi="仿宋" w:eastAsia="仿宋" w:cs="Times New Roman"/>
          <w:color w:val="auto"/>
          <w:sz w:val="32"/>
          <w:szCs w:val="32"/>
          <w:highlight w:val="none"/>
          <w:lang w:val="en-US" w:eastAsia="zh-CN"/>
        </w:rPr>
        <w:t>19.65</w:t>
      </w:r>
      <w:r>
        <w:rPr>
          <w:rFonts w:hint="default" w:ascii="仿宋" w:hAnsi="仿宋" w:eastAsia="仿宋" w:cs="Times New Roman"/>
          <w:color w:val="auto"/>
          <w:sz w:val="32"/>
          <w:szCs w:val="32"/>
          <w:highlight w:val="none"/>
          <w:lang w:val="en-US" w:eastAsia="zh-CN"/>
        </w:rPr>
        <w:t>万元，下降</w:t>
      </w:r>
      <w:r>
        <w:rPr>
          <w:rFonts w:hint="eastAsia" w:ascii="仿宋" w:hAnsi="仿宋" w:eastAsia="仿宋" w:cs="Times New Roman"/>
          <w:color w:val="auto"/>
          <w:sz w:val="32"/>
          <w:szCs w:val="32"/>
          <w:highlight w:val="none"/>
          <w:lang w:val="en-US" w:eastAsia="zh-CN"/>
        </w:rPr>
        <w:t>63</w:t>
      </w:r>
      <w:r>
        <w:rPr>
          <w:rFonts w:hint="default" w:ascii="仿宋" w:hAnsi="仿宋" w:eastAsia="仿宋" w:cs="Times New Roman"/>
          <w:color w:val="auto"/>
          <w:sz w:val="32"/>
          <w:szCs w:val="32"/>
          <w:highlight w:val="none"/>
          <w:lang w:val="en-US" w:eastAsia="zh-CN"/>
        </w:rPr>
        <w:t>%。</w:t>
      </w:r>
      <w:r>
        <w:rPr>
          <w:rFonts w:hint="default" w:ascii="仿宋" w:hAnsi="仿宋" w:eastAsia="仿宋" w:cs="仿宋"/>
          <w:kern w:val="2"/>
          <w:sz w:val="32"/>
          <w:szCs w:val="32"/>
          <w:lang w:val="en-US" w:eastAsia="zh-CN" w:bidi="ar"/>
        </w:rPr>
        <w:t>决算数小于预算数的主要原因是</w:t>
      </w:r>
      <w:r>
        <w:rPr>
          <w:rFonts w:hint="eastAsia" w:ascii="仿宋" w:hAnsi="仿宋" w:eastAsia="仿宋"/>
          <w:color w:val="auto"/>
          <w:sz w:val="32"/>
          <w:szCs w:val="32"/>
          <w:highlight w:val="none"/>
          <w:lang w:eastAsia="zh-CN"/>
        </w:rPr>
        <w:t>本着历行节约原则</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169" w:name="_Toc2134416774"/>
      <w:bookmarkStart w:id="170" w:name="_Toc1533191888"/>
      <w:bookmarkStart w:id="171" w:name="_Toc552971869"/>
      <w:bookmarkStart w:id="172" w:name="_Toc1314985918"/>
      <w:bookmarkStart w:id="173" w:name="_Toc1562293309"/>
      <w:bookmarkStart w:id="174" w:name="_Toc1731534682"/>
      <w:bookmarkStart w:id="175" w:name="_Toc2101541866"/>
      <w:bookmarkStart w:id="176" w:name="_Toc1268180066"/>
      <w:bookmarkStart w:id="177" w:name="_Toc146340834"/>
      <w:r>
        <w:rPr>
          <w:rFonts w:hint="eastAsia" w:ascii="仿宋" w:hAnsi="仿宋" w:eastAsia="仿宋"/>
          <w:b/>
          <w:color w:val="auto"/>
          <w:sz w:val="32"/>
          <w:szCs w:val="32"/>
          <w:highlight w:val="none"/>
        </w:rPr>
        <w:t>（二）“三公”经费财政拨款支出决算具体情况说明</w:t>
      </w:r>
      <w:bookmarkEnd w:id="169"/>
      <w:bookmarkEnd w:id="170"/>
      <w:bookmarkEnd w:id="171"/>
      <w:bookmarkEnd w:id="172"/>
      <w:bookmarkEnd w:id="173"/>
      <w:bookmarkEnd w:id="174"/>
      <w:bookmarkEnd w:id="175"/>
      <w:bookmarkEnd w:id="176"/>
      <w:bookmarkEnd w:id="177"/>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w:t>
      </w:r>
      <w:r>
        <w:rPr>
          <w:rFonts w:hint="eastAsia" w:ascii="仿宋" w:hAnsi="仿宋" w:eastAsia="仿宋"/>
          <w:color w:val="auto"/>
          <w:sz w:val="32"/>
          <w:szCs w:val="32"/>
          <w:highlight w:val="none"/>
          <w:lang w:val="en-US" w:eastAsia="zh-CN"/>
        </w:rPr>
        <w:t>因公出国</w:t>
      </w:r>
      <w:r>
        <w:rPr>
          <w:rFonts w:hint="eastAsia" w:ascii="仿宋" w:hAnsi="仿宋" w:eastAsia="仿宋"/>
          <w:color w:val="auto"/>
          <w:sz w:val="32"/>
          <w:szCs w:val="32"/>
          <w:highlight w:val="none"/>
        </w:rPr>
        <w:t>（境）</w:t>
      </w:r>
      <w:r>
        <w:rPr>
          <w:rFonts w:hint="eastAsia" w:ascii="仿宋" w:hAnsi="仿宋" w:eastAsia="仿宋"/>
          <w:color w:val="auto"/>
          <w:sz w:val="32"/>
          <w:szCs w:val="32"/>
          <w:highlight w:val="none"/>
          <w:lang w:val="en-US" w:eastAsia="zh-CN"/>
        </w:rPr>
        <w:t>经费支出0万元，</w:t>
      </w:r>
      <w:r>
        <w:rPr>
          <w:rFonts w:hint="eastAsia" w:ascii="仿宋_GB2312" w:eastAsia="仿宋_GB2312"/>
          <w:color w:val="auto"/>
          <w:sz w:val="32"/>
          <w:szCs w:val="32"/>
          <w:highlight w:val="none"/>
          <w:lang w:val="en-US" w:eastAsia="zh-CN"/>
        </w:rPr>
        <w:t>占0%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10.77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r>
        <w:drawing>
          <wp:anchor distT="0" distB="0" distL="114300" distR="114300" simplePos="0" relativeHeight="251659264" behindDoc="0" locked="0" layoutInCell="1" allowOverlap="1">
            <wp:simplePos x="0" y="0"/>
            <wp:positionH relativeFrom="column">
              <wp:posOffset>1537970</wp:posOffset>
            </wp:positionH>
            <wp:positionV relativeFrom="paragraph">
              <wp:posOffset>74930</wp:posOffset>
            </wp:positionV>
            <wp:extent cx="1895475" cy="2124075"/>
            <wp:effectExtent l="4445" t="4445" r="5080" b="5080"/>
            <wp:wrapSquare wrapText="bothSides"/>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31"/>
      </w:pPr>
    </w:p>
    <w:p/>
    <w:p>
      <w:pPr>
        <w:pStyle w:val="31"/>
      </w:pPr>
    </w:p>
    <w:p/>
    <w:p>
      <w:pPr>
        <w:pStyle w:val="31"/>
      </w:pPr>
    </w:p>
    <w:p/>
    <w:p>
      <w:pPr>
        <w:pStyle w:val="31"/>
      </w:pPr>
    </w:p>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bCs w:val="0"/>
          <w:color w:val="auto"/>
          <w:sz w:val="32"/>
          <w:szCs w:val="32"/>
          <w:highlight w:val="none"/>
        </w:rPr>
        <w:t>因公出国（</w:t>
      </w:r>
      <w:r>
        <w:rPr>
          <w:rFonts w:hint="eastAsia" w:ascii="仿宋_GB2312" w:eastAsia="仿宋_GB2312"/>
          <w:b/>
          <w:color w:val="auto"/>
          <w:sz w:val="32"/>
          <w:szCs w:val="32"/>
          <w:highlight w:val="none"/>
        </w:rPr>
        <w:t>境）经费支出</w:t>
      </w:r>
      <w:r>
        <w:rPr>
          <w:rFonts w:hint="eastAsia" w:ascii="仿宋_GB2312" w:eastAsia="仿宋_GB2312"/>
          <w:color w:val="auto"/>
          <w:sz w:val="32"/>
          <w:szCs w:val="32"/>
          <w:highlight w:val="none"/>
          <w:lang w:val="en-US" w:eastAsia="zh-CN"/>
        </w:rPr>
        <w:t>0万元，年初未安排预算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因公出国（境）支出决算较2021年无变化。</w:t>
      </w:r>
    </w:p>
    <w:p>
      <w:pPr>
        <w:spacing w:line="600" w:lineRule="exact"/>
        <w:ind w:firstLine="640"/>
        <w:rPr>
          <w:rFonts w:hint="default" w:ascii="仿宋_GB2312" w:eastAsia="仿宋_GB2312"/>
          <w:b/>
          <w:color w:val="FF0000"/>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10.77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19.42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64</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主要原因是厉行节约</w:t>
      </w:r>
      <w:r>
        <w:rPr>
          <w:rFonts w:hint="eastAsia" w:ascii="仿宋_GB2312" w:eastAsia="仿宋_GB2312"/>
          <w:color w:val="auto"/>
          <w:sz w:val="32"/>
          <w:szCs w:val="32"/>
          <w:highlight w:val="none"/>
          <w:lang w:val="en-US" w:eastAsia="zh-CN"/>
        </w:rPr>
        <w:t>加之疫情公务用车运行减少。</w:t>
      </w:r>
      <w:bookmarkStart w:id="376" w:name="_GoBack"/>
      <w:bookmarkEnd w:id="376"/>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olor w:val="auto"/>
          <w:sz w:val="32"/>
          <w:szCs w:val="32"/>
          <w:highlight w:val="none"/>
          <w:lang w:val="en-US" w:eastAsia="zh-CN"/>
        </w:rPr>
      </w:pPr>
      <w:r>
        <w:rPr>
          <w:rFonts w:hint="default" w:ascii="仿宋_GB2312" w:hAnsi="Times New Roman" w:eastAsia="仿宋_GB2312" w:cs="仿宋_GB2312"/>
          <w:kern w:val="2"/>
          <w:sz w:val="32"/>
          <w:szCs w:val="32"/>
          <w:lang w:val="en-US" w:eastAsia="zh-CN" w:bidi="ar"/>
        </w:rPr>
        <w:t>其</w:t>
      </w:r>
      <w:r>
        <w:rPr>
          <w:rFonts w:hint="default" w:ascii="仿宋_GB2312" w:eastAsia="仿宋_GB2312"/>
          <w:color w:val="auto"/>
          <w:sz w:val="32"/>
          <w:szCs w:val="32"/>
          <w:highlight w:val="none"/>
          <w:lang w:val="en-US" w:eastAsia="zh-CN"/>
        </w:rPr>
        <w:t>中：公务用车购置支出</w:t>
      </w:r>
      <w:r>
        <w:rPr>
          <w:rFonts w:hint="default" w:ascii="仿宋_GB2312" w:eastAsia="仿宋_GB2312"/>
          <w:color w:val="auto"/>
          <w:sz w:val="32"/>
          <w:szCs w:val="32"/>
          <w:highlight w:val="none"/>
          <w:lang w:eastAsia="zh-CN"/>
        </w:rPr>
        <w:t>0</w:t>
      </w:r>
      <w:r>
        <w:rPr>
          <w:rFonts w:hint="default" w:ascii="仿宋_GB2312" w:eastAsia="仿宋_GB2312"/>
          <w:color w:val="auto"/>
          <w:sz w:val="32"/>
          <w:szCs w:val="32"/>
          <w:highlight w:val="none"/>
          <w:lang w:val="en-US" w:eastAsia="zh-CN"/>
        </w:rPr>
        <w:t>万元</w:t>
      </w:r>
      <w:r>
        <w:rPr>
          <w:rFonts w:hint="default" w:ascii="仿宋_GB2312" w:hAnsi="Times New Roman" w:eastAsia="仿宋_GB2312" w:cs="仿宋_GB2312"/>
          <w:kern w:val="2"/>
          <w:sz w:val="32"/>
          <w:szCs w:val="32"/>
          <w:lang w:val="en-US" w:eastAsia="zh-CN" w:bidi="ar"/>
        </w:rPr>
        <w:t>。</w:t>
      </w:r>
      <w:r>
        <w:rPr>
          <w:rFonts w:hint="eastAsia" w:ascii="仿宋_GB2312" w:eastAsia="仿宋_GB2312"/>
          <w:color w:val="auto"/>
          <w:sz w:val="32"/>
          <w:szCs w:val="32"/>
          <w:highlight w:val="none"/>
          <w:lang w:eastAsia="zh-CN"/>
        </w:rPr>
        <w:t>截止</w:t>
      </w:r>
      <w:r>
        <w:rPr>
          <w:rFonts w:hint="eastAsia" w:ascii="仿宋_GB2312" w:eastAsia="仿宋_GB2312"/>
          <w:color w:val="auto"/>
          <w:sz w:val="32"/>
          <w:szCs w:val="32"/>
          <w:highlight w:val="none"/>
          <w:lang w:val="en-US" w:eastAsia="zh-CN"/>
        </w:rPr>
        <w:t>2022年12月底，单位共有公务用车3辆，其中：轿车1辆，越野车2辆。</w:t>
      </w:r>
    </w:p>
    <w:p>
      <w:pPr>
        <w:spacing w:line="600" w:lineRule="exact"/>
        <w:ind w:firstLine="642"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10.77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老干部服务</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0.73</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w:t>
      </w:r>
      <w:r>
        <w:rPr>
          <w:rStyle w:val="15"/>
          <w:rFonts w:hint="eastAsia" w:ascii="仿宋" w:hAnsi="仿宋" w:eastAsia="仿宋" w:cs="Times New Roman"/>
          <w:b w:val="0"/>
          <w:bCs/>
          <w:color w:val="auto"/>
          <w:sz w:val="32"/>
          <w:szCs w:val="32"/>
          <w:highlight w:val="none"/>
        </w:rPr>
        <w:t>算</w:t>
      </w:r>
      <w:r>
        <w:rPr>
          <w:rStyle w:val="15"/>
          <w:rFonts w:hint="default" w:ascii="仿宋" w:hAnsi="仿宋" w:eastAsia="仿宋" w:cs="Times New Roman"/>
          <w:b w:val="0"/>
          <w:bCs/>
          <w:color w:val="auto"/>
          <w:sz w:val="32"/>
          <w:szCs w:val="32"/>
          <w:highlight w:val="none"/>
        </w:rPr>
        <w:t>38.42</w:t>
      </w:r>
      <w:r>
        <w:rPr>
          <w:rStyle w:val="15"/>
          <w:rFonts w:hint="eastAsia" w:ascii="仿宋" w:hAnsi="仿宋" w:eastAsia="仿宋" w:cs="Times New Roman"/>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坚持历行节约原则</w:t>
      </w:r>
      <w:r>
        <w:rPr>
          <w:rFonts w:hint="eastAsia" w:ascii="仿宋_GB2312" w:eastAsia="仿宋_GB2312"/>
          <w:color w:val="auto"/>
          <w:sz w:val="32"/>
          <w:szCs w:val="32"/>
          <w:highlight w:val="none"/>
        </w:rPr>
        <w:t>。</w:t>
      </w:r>
    </w:p>
    <w:p>
      <w:pPr>
        <w:spacing w:line="600" w:lineRule="exact"/>
        <w:ind w:firstLine="640"/>
        <w:rPr>
          <w:rFonts w:ascii="仿宋" w:hAnsi="仿宋" w:eastAsia="仿宋"/>
          <w:color w:val="000000"/>
          <w:sz w:val="32"/>
          <w:szCs w:val="32"/>
        </w:rPr>
      </w:pPr>
      <w:r>
        <w:rPr>
          <w:rFonts w:hint="eastAsia" w:ascii="仿宋_GB2312" w:eastAsia="仿宋_GB2312"/>
          <w:color w:val="auto"/>
          <w:sz w:val="32"/>
          <w:szCs w:val="32"/>
          <w:highlight w:val="none"/>
        </w:rPr>
        <w:t>其中：</w:t>
      </w: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0.73</w:t>
      </w:r>
      <w:r>
        <w:rPr>
          <w:rFonts w:hint="eastAsia" w:ascii="仿宋_GB2312" w:eastAsia="仿宋_GB2312"/>
          <w:color w:val="auto"/>
          <w:sz w:val="32"/>
          <w:szCs w:val="32"/>
          <w:highlight w:val="none"/>
        </w:rPr>
        <w:t>万元，主要用于开展业务活动开支用餐费等。国内公务接待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59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0.73</w:t>
      </w:r>
      <w:r>
        <w:rPr>
          <w:rFonts w:hint="eastAsia" w:ascii="仿宋_GB2312" w:eastAsia="仿宋_GB2312"/>
          <w:color w:val="auto"/>
          <w:sz w:val="32"/>
          <w:szCs w:val="32"/>
          <w:highlight w:val="none"/>
        </w:rPr>
        <w:t>万元，具体内容包括：</w:t>
      </w:r>
      <w:r>
        <w:rPr>
          <w:rFonts w:hint="eastAsia" w:ascii="仿宋" w:hAnsi="仿宋" w:eastAsia="仿宋"/>
          <w:color w:val="000000"/>
          <w:sz w:val="32"/>
          <w:szCs w:val="32"/>
          <w:lang w:eastAsia="zh-CN"/>
        </w:rPr>
        <w:t>省委老干部局指导工作</w:t>
      </w:r>
      <w:r>
        <w:rPr>
          <w:rFonts w:hint="eastAsia" w:ascii="仿宋" w:hAnsi="仿宋" w:eastAsia="仿宋"/>
          <w:color w:val="000000"/>
          <w:sz w:val="32"/>
          <w:szCs w:val="32"/>
          <w:lang w:val="en-US" w:eastAsia="zh-CN"/>
        </w:rPr>
        <w:t>650元、县区老干部局业务培训3300元、县区老干部半年总结（上下年各一次）3350元。</w:t>
      </w:r>
    </w:p>
    <w:p>
      <w:pPr>
        <w:spacing w:line="600" w:lineRule="exact"/>
        <w:ind w:firstLine="640" w:firstLineChars="200"/>
      </w:pPr>
      <w:r>
        <w:rPr>
          <w:rFonts w:hint="eastAsia" w:ascii="仿宋" w:hAnsi="仿宋" w:eastAsia="仿宋"/>
          <w:color w:val="auto"/>
          <w:sz w:val="32"/>
          <w:szCs w:val="32"/>
          <w:highlight w:val="none"/>
          <w:lang w:val="en-US" w:eastAsia="zh-CN"/>
        </w:rPr>
        <w:t>外事接待支出0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w:t>
      </w:r>
      <w:r>
        <w:rPr>
          <w:rFonts w:hint="eastAsia" w:ascii="仿宋" w:hAnsi="仿宋" w:eastAsia="仿宋"/>
          <w:color w:val="000000"/>
          <w:sz w:val="32"/>
          <w:szCs w:val="32"/>
          <w:lang w:val="en-US" w:eastAsia="zh-CN"/>
        </w:rPr>
        <w:t>。</w:t>
      </w: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ascii="仿宋" w:hAnsi="仿宋" w:eastAsia="仿宋" w:cs="Times New Roman"/>
          <w:color w:val="auto"/>
          <w:kern w:val="2"/>
          <w:highlight w:val="none"/>
          <w:lang w:val="en-US" w:eastAsia="zh-CN" w:bidi="ar-SA"/>
        </w:rPr>
      </w:pPr>
      <w:bookmarkStart w:id="178" w:name="_Toc1793559878"/>
      <w:bookmarkStart w:id="179" w:name="_Toc1452460003"/>
      <w:bookmarkStart w:id="180" w:name="_Toc1671794655"/>
      <w:bookmarkStart w:id="181" w:name="_Toc331983879"/>
      <w:bookmarkStart w:id="182" w:name="_Toc1509787033"/>
      <w:bookmarkStart w:id="183" w:name="_Toc347862678"/>
      <w:r>
        <w:rPr>
          <w:rFonts w:hint="eastAsia" w:ascii="仿宋" w:hAnsi="仿宋" w:eastAsia="仿宋" w:cs="Times New Roman"/>
          <w:color w:val="auto"/>
          <w:kern w:val="2"/>
          <w:highlight w:val="none"/>
          <w:lang w:val="en-US" w:eastAsia="zh-CN" w:bidi="ar-SA"/>
        </w:rPr>
        <w:t>政府性基金预算支出决算情况说明</w:t>
      </w:r>
      <w:bookmarkEnd w:id="178"/>
      <w:bookmarkEnd w:id="179"/>
      <w:bookmarkEnd w:id="180"/>
      <w:bookmarkEnd w:id="181"/>
      <w:bookmarkEnd w:id="182"/>
      <w:bookmarkEnd w:id="183"/>
    </w:p>
    <w:p>
      <w:pPr>
        <w:numPr>
          <w:ilvl w:val="0"/>
          <w:numId w:val="0"/>
        </w:numPr>
        <w:ind w:firstLine="640" w:firstLineChars="200"/>
        <w:rPr>
          <w:rFonts w:hint="eastAsia" w:eastAsia="宋体"/>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ascii="仿宋" w:hAnsi="仿宋" w:eastAsia="仿宋" w:cs="Times New Roman"/>
          <w:color w:val="auto"/>
          <w:kern w:val="2"/>
          <w:highlight w:val="none"/>
          <w:lang w:val="en-US" w:eastAsia="zh-CN" w:bidi="ar-SA"/>
        </w:rPr>
      </w:pPr>
      <w:bookmarkStart w:id="184" w:name="_Toc276153915"/>
      <w:bookmarkStart w:id="185" w:name="_Toc1985524244"/>
      <w:bookmarkStart w:id="186" w:name="_Toc699208432"/>
      <w:bookmarkStart w:id="187" w:name="_Toc506413262"/>
      <w:bookmarkStart w:id="188" w:name="_Toc1365952145"/>
      <w:bookmarkStart w:id="189" w:name="_Toc702931889"/>
      <w:r>
        <w:rPr>
          <w:rFonts w:hint="eastAsia" w:ascii="仿宋" w:hAnsi="仿宋" w:eastAsia="仿宋" w:cs="Times New Roman"/>
          <w:color w:val="auto"/>
          <w:kern w:val="2"/>
          <w:highlight w:val="none"/>
          <w:lang w:val="en-US" w:eastAsia="zh-CN" w:bidi="ar-SA"/>
        </w:rPr>
        <w:t>国有资本经营预算支出决算情况说明</w:t>
      </w:r>
      <w:bookmarkEnd w:id="184"/>
      <w:bookmarkEnd w:id="185"/>
      <w:bookmarkEnd w:id="186"/>
      <w:bookmarkEnd w:id="187"/>
      <w:bookmarkEnd w:id="188"/>
      <w:bookmarkEnd w:id="189"/>
    </w:p>
    <w:p>
      <w:pPr>
        <w:spacing w:line="600" w:lineRule="exact"/>
        <w:ind w:firstLine="640" w:firstLineChars="20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4"/>
        <w:numPr>
          <w:ilvl w:val="0"/>
          <w:numId w:val="1"/>
        </w:numPr>
        <w:tabs>
          <w:tab w:val="right" w:leader="dot" w:pos="8296"/>
        </w:tabs>
        <w:bidi w:val="0"/>
        <w:adjustRightInd w:val="0"/>
        <w:snapToGrid w:val="0"/>
        <w:spacing w:line="440" w:lineRule="exact"/>
        <w:ind w:left="420" w:leftChars="200" w:firstLine="0" w:firstLineChars="0"/>
        <w:jc w:val="left"/>
        <w:rPr>
          <w:rFonts w:hint="eastAsia" w:ascii="仿宋" w:hAnsi="仿宋" w:eastAsia="仿宋" w:cs="Times New Roman"/>
          <w:color w:val="auto"/>
          <w:kern w:val="2"/>
          <w:highlight w:val="none"/>
          <w:lang w:val="en-US" w:eastAsia="zh-CN" w:bidi="ar-SA"/>
        </w:rPr>
      </w:pPr>
      <w:bookmarkStart w:id="190" w:name="_Toc1583205707"/>
      <w:bookmarkStart w:id="191" w:name="_Toc506966265"/>
      <w:bookmarkStart w:id="192" w:name="_Toc693939570"/>
      <w:bookmarkStart w:id="193" w:name="_Toc1304194979"/>
      <w:bookmarkStart w:id="194" w:name="_Toc2030531377"/>
      <w:bookmarkStart w:id="195" w:name="_Toc1497653924"/>
      <w:r>
        <w:rPr>
          <w:rFonts w:hint="eastAsia" w:ascii="仿宋" w:hAnsi="仿宋" w:eastAsia="仿宋" w:cs="Times New Roman"/>
          <w:color w:val="auto"/>
          <w:kern w:val="2"/>
          <w:highlight w:val="none"/>
          <w:lang w:val="en-US" w:eastAsia="zh-CN" w:bidi="ar-SA"/>
        </w:rPr>
        <w:t>其他重要事项的情况说明</w:t>
      </w:r>
      <w:bookmarkEnd w:id="190"/>
      <w:bookmarkEnd w:id="191"/>
      <w:bookmarkEnd w:id="192"/>
      <w:bookmarkEnd w:id="193"/>
      <w:bookmarkEnd w:id="194"/>
      <w:bookmarkEnd w:id="195"/>
    </w:p>
    <w:p>
      <w:pPr>
        <w:spacing w:line="600" w:lineRule="exact"/>
        <w:ind w:firstLine="642" w:firstLineChars="200"/>
        <w:outlineLvl w:val="2"/>
        <w:rPr>
          <w:rFonts w:ascii="仿宋" w:hAnsi="仿宋" w:eastAsia="仿宋"/>
          <w:color w:val="auto"/>
          <w:sz w:val="32"/>
          <w:szCs w:val="32"/>
          <w:highlight w:val="none"/>
        </w:rPr>
      </w:pPr>
      <w:bookmarkStart w:id="196" w:name="_Toc1723417821"/>
      <w:bookmarkStart w:id="197" w:name="_Toc1048406705"/>
      <w:bookmarkStart w:id="198" w:name="_Toc250639060"/>
      <w:bookmarkStart w:id="199" w:name="_Toc553742236"/>
      <w:bookmarkStart w:id="200" w:name="_Toc1158782445"/>
      <w:bookmarkStart w:id="201" w:name="_Toc1432989187"/>
      <w:bookmarkStart w:id="202" w:name="_Toc165878049"/>
      <w:bookmarkStart w:id="203" w:name="_Toc1482472639"/>
      <w:bookmarkStart w:id="204" w:name="_Toc1497654262"/>
      <w:r>
        <w:rPr>
          <w:rFonts w:hint="eastAsia" w:ascii="仿宋" w:hAnsi="仿宋" w:eastAsia="仿宋"/>
          <w:b/>
          <w:color w:val="auto"/>
          <w:sz w:val="32"/>
          <w:szCs w:val="32"/>
          <w:highlight w:val="none"/>
        </w:rPr>
        <w:t>（一）机关运行经费支出情况</w:t>
      </w:r>
      <w:bookmarkEnd w:id="196"/>
      <w:bookmarkEnd w:id="197"/>
      <w:bookmarkEnd w:id="198"/>
      <w:bookmarkEnd w:id="199"/>
      <w:bookmarkEnd w:id="200"/>
      <w:bookmarkEnd w:id="201"/>
      <w:bookmarkEnd w:id="202"/>
      <w:bookmarkEnd w:id="203"/>
      <w:bookmarkEnd w:id="204"/>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68.20</w:t>
      </w:r>
      <w:r>
        <w:rPr>
          <w:rFonts w:hint="eastAsia" w:ascii="仿宋_GB2312" w:eastAsia="仿宋_GB2312"/>
          <w:color w:val="auto"/>
          <w:sz w:val="32"/>
          <w:szCs w:val="32"/>
          <w:highlight w:val="none"/>
        </w:rPr>
        <w:t>万元，比</w:t>
      </w:r>
      <w:r>
        <w:rPr>
          <w:rFonts w:hint="eastAsia" w:ascii="仿宋_GB2312" w:hAnsi="Times New Roman" w:eastAsia="仿宋_GB2312" w:cs="Times New Roman"/>
          <w:color w:val="auto"/>
          <w:sz w:val="32"/>
          <w:szCs w:val="32"/>
          <w:highlight w:val="none"/>
          <w:lang w:eastAsia="zh-CN"/>
        </w:rPr>
        <w:t>20</w:t>
      </w:r>
      <w:r>
        <w:rPr>
          <w:rFonts w:hint="eastAsia" w:ascii="仿宋_GB2312" w:hAnsi="Times New Roman" w:eastAsia="仿宋_GB2312" w:cs="Times New Roman"/>
          <w:color w:val="auto"/>
          <w:sz w:val="32"/>
          <w:szCs w:val="32"/>
          <w:highlight w:val="none"/>
          <w:lang w:val="en-US" w:eastAsia="zh-CN"/>
        </w:rPr>
        <w:t>2</w:t>
      </w:r>
      <w:r>
        <w:rPr>
          <w:rFonts w:hint="default" w:ascii="仿宋_GB2312" w:hAnsi="Times New Roman" w:eastAsia="仿宋_GB2312" w:cs="Times New Roman"/>
          <w:color w:val="auto"/>
          <w:sz w:val="32"/>
          <w:szCs w:val="32"/>
          <w:highlight w:val="none"/>
          <w:lang w:eastAsia="zh-CN"/>
        </w:rPr>
        <w:t>1</w:t>
      </w:r>
      <w:r>
        <w:rPr>
          <w:rFonts w:hint="eastAsia" w:ascii="仿宋_GB2312" w:eastAsia="仿宋_GB2312"/>
          <w:color w:val="auto"/>
          <w:sz w:val="32"/>
          <w:szCs w:val="32"/>
          <w:highlight w:val="none"/>
          <w:lang w:val="en-US" w:eastAsia="zh-CN"/>
        </w:rPr>
        <w:t>年减少54.37万元，下降44%。主</w:t>
      </w:r>
      <w:r>
        <w:rPr>
          <w:rFonts w:hint="eastAsia" w:ascii="仿宋_GB2312" w:eastAsia="仿宋_GB2312"/>
          <w:color w:val="auto"/>
          <w:sz w:val="32"/>
          <w:szCs w:val="32"/>
          <w:highlight w:val="none"/>
        </w:rPr>
        <w:t>要原因是</w:t>
      </w:r>
      <w:r>
        <w:rPr>
          <w:rFonts w:hint="eastAsia" w:ascii="仿宋_GB2312" w:eastAsia="仿宋_GB2312"/>
          <w:color w:val="auto"/>
          <w:sz w:val="32"/>
          <w:szCs w:val="32"/>
          <w:highlight w:val="none"/>
          <w:lang w:eastAsia="zh-CN"/>
        </w:rPr>
        <w:t>坚持历行节约原则</w:t>
      </w:r>
      <w:r>
        <w:rPr>
          <w:rFonts w:hint="eastAsia" w:ascii="仿宋" w:hAnsi="仿宋" w:eastAsia="仿宋" w:cs="Times New Roman"/>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205" w:name="_Toc1948666238"/>
      <w:bookmarkStart w:id="206" w:name="_Toc616056533"/>
      <w:bookmarkStart w:id="207" w:name="_Toc1579941018"/>
      <w:bookmarkStart w:id="208" w:name="_Toc1400699620"/>
      <w:bookmarkStart w:id="209" w:name="_Toc387887415"/>
      <w:bookmarkStart w:id="210" w:name="_Toc1548558149"/>
      <w:bookmarkStart w:id="211" w:name="_Toc230839938"/>
      <w:bookmarkStart w:id="212" w:name="_Toc1578153279"/>
      <w:bookmarkStart w:id="213" w:name="_Toc524376413"/>
      <w:r>
        <w:rPr>
          <w:rFonts w:hint="eastAsia" w:ascii="仿宋" w:hAnsi="仿宋" w:eastAsia="仿宋"/>
          <w:b/>
          <w:color w:val="auto"/>
          <w:sz w:val="32"/>
          <w:szCs w:val="32"/>
          <w:highlight w:val="none"/>
        </w:rPr>
        <w:t>（二）政府采购支出情况</w:t>
      </w:r>
      <w:bookmarkEnd w:id="205"/>
      <w:bookmarkEnd w:id="206"/>
      <w:bookmarkEnd w:id="207"/>
      <w:bookmarkEnd w:id="208"/>
      <w:bookmarkEnd w:id="209"/>
      <w:bookmarkEnd w:id="210"/>
      <w:bookmarkEnd w:id="211"/>
      <w:bookmarkEnd w:id="212"/>
      <w:bookmarkEnd w:id="21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214" w:name="_Toc2067009114"/>
      <w:bookmarkStart w:id="215" w:name="_Toc522366300"/>
      <w:bookmarkStart w:id="216" w:name="_Toc239308246"/>
      <w:bookmarkStart w:id="217" w:name="_Toc1163704782"/>
      <w:bookmarkStart w:id="218" w:name="_Toc1318194267"/>
      <w:bookmarkStart w:id="219" w:name="_Toc1847713324"/>
      <w:bookmarkStart w:id="220" w:name="_Toc788992796"/>
      <w:bookmarkStart w:id="221" w:name="_Toc1956829634"/>
      <w:bookmarkStart w:id="222" w:name="_Toc2057212822"/>
      <w:r>
        <w:rPr>
          <w:rFonts w:hint="eastAsia" w:ascii="仿宋" w:hAnsi="仿宋" w:eastAsia="仿宋"/>
          <w:b/>
          <w:color w:val="auto"/>
          <w:sz w:val="32"/>
          <w:szCs w:val="32"/>
          <w:highlight w:val="none"/>
        </w:rPr>
        <w:t>（三）国有资产占有使用情况</w:t>
      </w:r>
      <w:bookmarkEnd w:id="214"/>
      <w:bookmarkEnd w:id="215"/>
      <w:bookmarkEnd w:id="216"/>
      <w:bookmarkEnd w:id="217"/>
      <w:bookmarkEnd w:id="218"/>
      <w:bookmarkEnd w:id="219"/>
      <w:bookmarkEnd w:id="220"/>
      <w:bookmarkEnd w:id="221"/>
      <w:bookmarkEnd w:id="22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老干部服务。</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pStyle w:val="3"/>
        <w:tabs>
          <w:tab w:val="right" w:leader="dot" w:pos="8296"/>
        </w:tabs>
        <w:bidi w:val="0"/>
        <w:adjustRightInd w:val="0"/>
        <w:snapToGrid w:val="0"/>
        <w:spacing w:line="440" w:lineRule="exact"/>
        <w:jc w:val="center"/>
        <w:rPr>
          <w:rFonts w:hint="eastAsia" w:ascii="黑体" w:hAnsi="黑体" w:eastAsia="黑体" w:cs="黑体"/>
          <w:color w:val="auto"/>
          <w:kern w:val="0"/>
          <w:highlight w:val="none"/>
          <w:lang w:val="en-US" w:eastAsia="zh-CN" w:bidi="ar-SA"/>
        </w:rPr>
      </w:pPr>
      <w:bookmarkStart w:id="223" w:name="_Toc697200774"/>
      <w:bookmarkStart w:id="224" w:name="_Toc1484599095"/>
      <w:bookmarkStart w:id="225" w:name="_Toc854292629"/>
      <w:bookmarkStart w:id="226" w:name="_Toc444514101"/>
      <w:bookmarkStart w:id="227" w:name="_Toc260949092"/>
      <w:bookmarkStart w:id="228" w:name="_Toc1836029663"/>
    </w:p>
    <w:p>
      <w:pPr>
        <w:pStyle w:val="3"/>
        <w:tabs>
          <w:tab w:val="right" w:leader="dot" w:pos="8296"/>
        </w:tabs>
        <w:bidi w:val="0"/>
        <w:adjustRightInd w:val="0"/>
        <w:snapToGrid w:val="0"/>
        <w:spacing w:line="440" w:lineRule="exact"/>
        <w:jc w:val="center"/>
        <w:rPr>
          <w:rFonts w:hint="eastAsia" w:ascii="黑体" w:hAnsi="黑体" w:eastAsia="黑体" w:cs="黑体"/>
          <w:color w:val="auto"/>
          <w:kern w:val="0"/>
          <w:highlight w:val="none"/>
          <w:lang w:val="en-US" w:eastAsia="zh-CN" w:bidi="ar-SA"/>
        </w:rPr>
      </w:pPr>
      <w:r>
        <w:rPr>
          <w:rFonts w:hint="eastAsia" w:ascii="黑体" w:hAnsi="黑体" w:eastAsia="黑体" w:cs="黑体"/>
          <w:color w:val="auto"/>
          <w:kern w:val="0"/>
          <w:highlight w:val="none"/>
          <w:lang w:val="en-US" w:eastAsia="zh-CN" w:bidi="ar-SA"/>
        </w:rPr>
        <w:t>第三部分 名词解释</w:t>
      </w:r>
      <w:bookmarkEnd w:id="223"/>
      <w:bookmarkEnd w:id="224"/>
      <w:bookmarkEnd w:id="225"/>
      <w:bookmarkEnd w:id="226"/>
      <w:bookmarkEnd w:id="227"/>
      <w:bookmarkEnd w:id="228"/>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  离退休人员管理机构（项）：</w:t>
      </w:r>
      <w:r>
        <w:rPr>
          <w:rFonts w:hint="eastAsia" w:ascii="仿宋_GB2312" w:eastAsia="仿宋_GB2312"/>
          <w:color w:val="auto"/>
          <w:sz w:val="32"/>
          <w:szCs w:val="32"/>
          <w:highlight w:val="none"/>
          <w:lang w:eastAsia="zh-CN"/>
        </w:rPr>
        <w:t>反映各类离退休人员管理机构的支出。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  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  机关事业单位职业年金缴费支出（项）：</w:t>
      </w:r>
      <w:r>
        <w:rPr>
          <w:rFonts w:hint="eastAsia" w:ascii="仿宋_GB2312" w:eastAsia="仿宋_GB2312"/>
          <w:color w:val="auto"/>
          <w:sz w:val="32"/>
          <w:szCs w:val="32"/>
          <w:highlight w:val="none"/>
          <w:lang w:eastAsia="zh-CN"/>
        </w:rPr>
        <w:t>反映机关事业单位实施养老保险制度由单位实际缴纳的职业年金支出。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（类）行政事业单位医疗（款）行政单位医疗（项）：</w:t>
      </w:r>
      <w:r>
        <w:rPr>
          <w:rFonts w:hint="eastAsia" w:ascii="仿宋_GB2312" w:eastAsia="仿宋_GB2312"/>
          <w:color w:val="auto"/>
          <w:sz w:val="32"/>
          <w:szCs w:val="32"/>
          <w:highlight w:val="none"/>
          <w:lang w:eastAsia="zh-CN"/>
        </w:rPr>
        <w:t>反映财政部门安排的行政单位（包括实行公务员管理的事业单位）基本医疗保险缴费经费，未参加医疗保险的行政单位的公费医疗经费，按国家规定享受离休人员、红军老战士待遇人员的医疗经费。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（类）住房改革支出（款）住房公积金（项）：</w:t>
      </w:r>
      <w:r>
        <w:rPr>
          <w:rFonts w:hint="eastAsia" w:ascii="仿宋_GB2312" w:eastAsia="仿宋_GB2312"/>
          <w:color w:val="auto"/>
          <w:sz w:val="32"/>
          <w:szCs w:val="32"/>
          <w:highlight w:val="none"/>
          <w:lang w:eastAsia="zh-CN"/>
        </w:rPr>
        <w:t>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方正小标宋简体" w:hAnsi="宋体" w:eastAsia="方正小标宋简体"/>
          <w:color w:val="auto"/>
          <w:kern w:val="0"/>
          <w:sz w:val="40"/>
          <w:szCs w:val="44"/>
          <w:highlight w:val="none"/>
        </w:rPr>
      </w:pPr>
      <w:r>
        <w:rPr>
          <w:rFonts w:hint="eastAsia" w:ascii="仿宋_GB2312" w:eastAsia="仿宋_GB2312"/>
          <w:color w:val="auto"/>
          <w:sz w:val="32"/>
          <w:szCs w:val="32"/>
          <w:highlight w:val="none"/>
        </w:rPr>
        <w:br w:type="page"/>
      </w:r>
    </w:p>
    <w:p>
      <w:pPr>
        <w:pStyle w:val="3"/>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highlight w:val="none"/>
        </w:rPr>
      </w:pPr>
      <w:bookmarkStart w:id="229" w:name="_Toc756626768"/>
      <w:bookmarkStart w:id="230" w:name="_Toc298176509"/>
      <w:bookmarkStart w:id="231" w:name="_Toc1300189550"/>
      <w:bookmarkStart w:id="232" w:name="_Toc1772702217"/>
      <w:bookmarkStart w:id="233" w:name="_Toc1187701924"/>
      <w:bookmarkStart w:id="234" w:name="_Toc265814232"/>
      <w:r>
        <w:rPr>
          <w:rFonts w:hint="eastAsia" w:ascii="方正小标宋简体" w:hAnsi="宋体" w:eastAsia="方正小标宋简体"/>
          <w:color w:val="auto"/>
          <w:kern w:val="0"/>
          <w:highlight w:val="none"/>
        </w:rPr>
        <w:t>第四部分 附件</w:t>
      </w:r>
      <w:bookmarkEnd w:id="229"/>
      <w:bookmarkEnd w:id="230"/>
      <w:bookmarkEnd w:id="231"/>
      <w:bookmarkEnd w:id="232"/>
      <w:bookmarkEnd w:id="233"/>
      <w:bookmarkEnd w:id="234"/>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0"/>
          <w:szCs w:val="44"/>
          <w:highlight w:val="none"/>
        </w:rPr>
      </w:pP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0"/>
          <w:szCs w:val="44"/>
          <w:highlight w:val="none"/>
          <w:lang w:eastAsia="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2</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中共广元市委老干部局</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sz w:val="44"/>
          <w:szCs w:val="44"/>
          <w:highlight w:val="none"/>
          <w:shd w:val="clear" w:color="auto" w:fill="FFFFFF"/>
        </w:rPr>
        <w:t>部门整体</w:t>
      </w:r>
      <w:r>
        <w:rPr>
          <w:rFonts w:hint="eastAsia" w:ascii="方正小标宋简体" w:hAnsi="方正小标宋简体" w:eastAsia="方正小标宋简体" w:cs="方正小标宋简体"/>
          <w:b w:val="0"/>
          <w:bCs w:val="0"/>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sz w:val="44"/>
          <w:szCs w:val="44"/>
          <w:highlight w:val="none"/>
          <w:shd w:val="clear" w:color="auto" w:fill="FFFFFF"/>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hint="eastAsia" w:asciiTheme="minorEastAsia" w:hAnsiTheme="minorEastAsia" w:eastAsiaTheme="minorEastAsia" w:cstheme="minorEastAsia"/>
          <w:b w:val="0"/>
          <w:bCs w:val="0"/>
          <w:color w:val="000000"/>
          <w:kern w:val="0"/>
          <w:sz w:val="24"/>
          <w:szCs w:val="32"/>
          <w:highlight w:val="none"/>
          <w:shd w:val="clear" w:color="auto" w:fill="FFFFFF"/>
        </w:rPr>
      </w:pPr>
    </w:p>
    <w:p>
      <w:pPr>
        <w:keepNext w:val="0"/>
        <w:keepLines w:val="0"/>
        <w:pageBreakBefore w:val="0"/>
        <w:widowControl/>
        <w:numPr>
          <w:ilvl w:val="0"/>
          <w:numId w:val="2"/>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（一）机构组成</w:t>
      </w:r>
    </w:p>
    <w:p>
      <w:pPr>
        <w:keepNext w:val="0"/>
        <w:keepLines w:val="0"/>
        <w:widowControl w:val="0"/>
        <w:suppressLineNumbers w:val="0"/>
        <w:spacing w:before="0" w:beforeAutospacing="0" w:after="0" w:afterAutospacing="0"/>
        <w:ind w:left="0" w:right="0" w:firstLine="525" w:firstLineChars="250"/>
        <w:jc w:val="both"/>
        <w:rPr>
          <w:rFonts w:hint="eastAsia" w:ascii="仿宋_GB2312" w:eastAsia="仿宋_GB2312" w:cs="仿宋_GB2312"/>
          <w:sz w:val="32"/>
          <w:szCs w:val="32"/>
          <w:lang w:val="en-US"/>
        </w:rPr>
      </w:pPr>
      <w:r>
        <w:rPr>
          <w:rFonts w:hint="eastAsia"/>
          <w:lang w:val="en-US" w:eastAsia="zh-CN"/>
        </w:rPr>
        <w:t xml:space="preserve"> </w:t>
      </w:r>
      <w:r>
        <w:rPr>
          <w:rFonts w:hint="eastAsia" w:ascii="仿宋_GB2312" w:hAnsi="Times New Roman" w:eastAsia="仿宋_GB2312" w:cs="仿宋_GB2312"/>
          <w:kern w:val="2"/>
          <w:sz w:val="32"/>
          <w:szCs w:val="32"/>
          <w:lang w:val="en-US" w:eastAsia="zh-CN"/>
        </w:rPr>
        <w:t>市委老干部局是市委主管全市离退休干部工作的职能机构，归口市委组织部管理，内设办公室、安置科、保健科3个职能科（室），下属1个正科级参公事业单位（广元市老干部休养所）和1个正科级事业单位（广元市老干部活动中心）</w:t>
      </w:r>
      <w:r>
        <w:rPr>
          <w:rFonts w:hint="eastAsia" w:ascii="仿宋_GB2312" w:eastAsia="仿宋_GB2312" w:cs="仿宋_GB2312"/>
          <w:kern w:val="2"/>
          <w:sz w:val="32"/>
          <w:szCs w:val="32"/>
          <w:lang w:val="en-US" w:eastAsia="zh-CN"/>
        </w:rPr>
        <w:t>以及1个挂靠参公事业单位（关心下一代工作委员会)均</w:t>
      </w:r>
      <w:r>
        <w:rPr>
          <w:rFonts w:hint="eastAsia" w:ascii="仿宋_GB2312" w:hAnsi="Times New Roman" w:eastAsia="仿宋_GB2312" w:cs="仿宋_GB2312"/>
          <w:kern w:val="2"/>
          <w:sz w:val="32"/>
          <w:szCs w:val="32"/>
          <w:lang w:val="en-US" w:eastAsia="zh-CN"/>
        </w:rPr>
        <w:t>未独立核算。</w:t>
      </w:r>
    </w:p>
    <w:p>
      <w:pPr>
        <w:keepNext w:val="0"/>
        <w:keepLines w:val="0"/>
        <w:pageBreakBefore w:val="0"/>
        <w:widowControl/>
        <w:numPr>
          <w:ilvl w:val="0"/>
          <w:numId w:val="3"/>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机构职能及人员概况</w:t>
      </w:r>
    </w:p>
    <w:p>
      <w:pPr>
        <w:spacing w:line="576" w:lineRule="exact"/>
        <w:ind w:firstLine="420" w:firstLineChars="200"/>
        <w:rPr>
          <w:rFonts w:hint="eastAsia"/>
          <w:lang w:val="en-US" w:eastAsia="zh-CN"/>
        </w:rPr>
      </w:pPr>
      <w:r>
        <w:rPr>
          <w:rFonts w:hint="eastAsia"/>
          <w:lang w:val="en-US" w:eastAsia="zh-CN"/>
        </w:rPr>
        <w:t xml:space="preserve"> </w:t>
      </w:r>
      <w:r>
        <w:rPr>
          <w:rFonts w:hint="eastAsia" w:ascii="仿宋_GB2312" w:hAnsi="宋体" w:eastAsia="仿宋_GB2312" w:cs="宋体"/>
          <w:color w:val="auto"/>
          <w:kern w:val="0"/>
          <w:sz w:val="32"/>
          <w:szCs w:val="32"/>
          <w:highlight w:val="none"/>
          <w:shd w:val="clear" w:color="auto" w:fill="FFFFFF"/>
          <w:lang w:val="en-US" w:eastAsia="zh-CN"/>
        </w:rPr>
        <w:t xml:space="preserve"> 机构职能</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1.贯彻党中央、国务院</w:t>
      </w:r>
      <w:r>
        <w:rPr>
          <w:rFonts w:hint="eastAsia" w:hAnsi="Times New Roman" w:cs="仿宋_GB2312"/>
          <w:i w:val="0"/>
          <w:caps w:val="0"/>
          <w:color w:val="333333"/>
          <w:spacing w:val="0"/>
          <w:kern w:val="0"/>
          <w:sz w:val="32"/>
          <w:szCs w:val="32"/>
          <w:shd w:val="clear" w:color="auto" w:fill="FFFFFF"/>
          <w:lang w:val="en-US" w:eastAsia="zh-CN"/>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省委、省政府关于老干部工作的方针政策和市委、市政府有关部署要求，负责全市老干部工作宏观管理，指导、协调、督促和检查全市老干部工作；调查研究老干部工作相关政策的意见，报市委市政府决策；向上级报告全市老干部工作情况，提出意见和建议。</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2.指导全市老干部工作机构加强离退休干部政治建设、思想建设和党组织建设工作。</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3.指导全市老干部工作机构发挥离退休干部优势和作用，积极组织开展为党</w:t>
      </w:r>
      <w:r>
        <w:rPr>
          <w:rFonts w:hint="eastAsia" w:hAnsi="Times New Roman" w:cs="仿宋_GB2312"/>
          <w:i w:val="0"/>
          <w:caps w:val="0"/>
          <w:color w:val="333333"/>
          <w:spacing w:val="0"/>
          <w:kern w:val="0"/>
          <w:sz w:val="32"/>
          <w:szCs w:val="32"/>
          <w:shd w:val="clear" w:color="auto" w:fill="FFFFFF"/>
          <w:lang w:val="en-US" w:eastAsia="zh-CN"/>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人民事业增添正能量活动。</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4.督促、检查各级各部门落实离退休干部政治待遇、生活待遇，指导协调解决离退休干部及离休干部无工作遗属特殊困难问题；组织安排重大节日慰问、座谈等工作，指导协调做好地厅级离退休干部参观考察、健康休养和老干部生病住院看望慰问工作；指导协调做好全市老干部保健工作；协调处理市级老干部治丧有关工作；协调异地安置离休干部有关事宜。</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5.指导和加强全市离退休干部活动阵地、学习阵地规范化建设。</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6.做好离休干部、建国初期参加革命工作人员和厅级退休干部等服务管理工作；调研了解、协调解决县级退休干部工作的有关问题。</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7.加强离退休干部信息化建设。</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8.做好离退休干部来信来访工作。</w:t>
      </w:r>
    </w:p>
    <w:p>
      <w:pPr>
        <w:spacing w:line="576" w:lineRule="exact"/>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9.做好新时代关心下一代工作。</w:t>
      </w:r>
    </w:p>
    <w:p>
      <w:pPr>
        <w:spacing w:line="576" w:lineRule="exact"/>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10.完成市委交办的其他工作任务。</w:t>
      </w:r>
    </w:p>
    <w:p>
      <w:pPr>
        <w:spacing w:line="576" w:lineRule="exact"/>
        <w:ind w:firstLine="640" w:firstLineChars="200"/>
        <w:rPr>
          <w:rFonts w:hint="eastAsia" w:ascii="仿宋_GB2312" w:hAnsi="Times New Roman" w:eastAsia="仿宋_GB2312" w:cs="仿宋_GB2312"/>
          <w:i w:val="0"/>
          <w:caps w:val="0"/>
          <w:color w:val="FF0000"/>
          <w:spacing w:val="0"/>
          <w:kern w:val="0"/>
          <w:sz w:val="32"/>
          <w:szCs w:val="32"/>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人员概况</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市委老干部局总编制3</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个，其中行政（参公）编制</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22</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个，全额事业编制</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8</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个，机关工勤编制2个。在职人员总数</w:t>
      </w:r>
      <w:r>
        <w:rPr>
          <w:rFonts w:hint="eastAsia" w:ascii="仿宋_GB2312" w:eastAsia="仿宋_GB2312" w:cs="仿宋_GB2312"/>
          <w:i w:val="0"/>
          <w:caps w:val="0"/>
          <w:color w:val="333333"/>
          <w:spacing w:val="0"/>
          <w:kern w:val="0"/>
          <w:sz w:val="32"/>
          <w:szCs w:val="32"/>
          <w:shd w:val="clear" w:color="auto" w:fill="FFFFFF"/>
          <w:lang w:val="en-US" w:eastAsia="zh-CN"/>
        </w:rPr>
        <w:t>30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人，其中行政（参公）人员</w:t>
      </w:r>
      <w:r>
        <w:rPr>
          <w:rFonts w:hint="eastAsia" w:ascii="仿宋_GB2312" w:eastAsia="仿宋_GB2312" w:cs="仿宋_GB2312"/>
          <w:i w:val="0"/>
          <w:caps w:val="0"/>
          <w:color w:val="333333"/>
          <w:spacing w:val="0"/>
          <w:kern w:val="0"/>
          <w:sz w:val="32"/>
          <w:szCs w:val="32"/>
          <w:shd w:val="clear" w:color="auto" w:fill="FFFFFF"/>
          <w:lang w:val="en-US" w:eastAsia="zh-CN"/>
        </w:rPr>
        <w:t>20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人，全额事业人员</w:t>
      </w:r>
      <w:r>
        <w:rPr>
          <w:rFonts w:hint="eastAsia" w:ascii="仿宋_GB2312" w:eastAsia="仿宋_GB2312" w:cs="仿宋_GB2312"/>
          <w:i w:val="0"/>
          <w:caps w:val="0"/>
          <w:color w:val="333333"/>
          <w:spacing w:val="0"/>
          <w:kern w:val="0"/>
          <w:sz w:val="32"/>
          <w:szCs w:val="32"/>
          <w:shd w:val="clear" w:color="auto" w:fill="FFFFFF"/>
          <w:lang w:val="en-US" w:eastAsia="zh-CN"/>
        </w:rPr>
        <w:t>7</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人，工勤人员3人；退休人员2</w:t>
      </w:r>
      <w:r>
        <w:rPr>
          <w:rFonts w:hint="eastAsia" w:ascii="仿宋_GB2312" w:eastAsia="仿宋_GB2312" w:cs="仿宋_GB2312"/>
          <w:i w:val="0"/>
          <w:caps w:val="0"/>
          <w:color w:val="333333"/>
          <w:spacing w:val="0"/>
          <w:kern w:val="0"/>
          <w:sz w:val="32"/>
          <w:szCs w:val="32"/>
          <w:shd w:val="clear" w:color="auto" w:fill="FFFFFF"/>
          <w:lang w:val="en-US" w:eastAsia="zh-CN"/>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人；合计5</w:t>
      </w:r>
      <w:r>
        <w:rPr>
          <w:rFonts w:hint="eastAsia" w:ascii="仿宋_GB2312" w:eastAsia="仿宋_GB2312" w:cs="仿宋_GB2312"/>
          <w:i w:val="0"/>
          <w:caps w:val="0"/>
          <w:color w:val="333333"/>
          <w:spacing w:val="0"/>
          <w:kern w:val="0"/>
          <w:sz w:val="32"/>
          <w:szCs w:val="32"/>
          <w:shd w:val="clear" w:color="auto" w:fill="FFFFFF"/>
          <w:lang w:val="en-US" w:eastAsia="zh-CN"/>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（三）年度主要工作任务</w:t>
      </w:r>
    </w:p>
    <w:p>
      <w:pPr>
        <w:spacing w:line="576" w:lineRule="exact"/>
        <w:ind w:firstLine="56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Theme="minorEastAsia" w:hAnsiTheme="minorEastAsia" w:eastAsiaTheme="minorEastAsia" w:cstheme="minorEastAsia"/>
          <w:b w:val="0"/>
          <w:bCs w:val="0"/>
          <w:color w:val="000000"/>
          <w:kern w:val="0"/>
          <w:sz w:val="28"/>
          <w:szCs w:val="28"/>
          <w:shd w:val="clear" w:color="auto" w:fill="FFFFFF"/>
          <w:lang w:val="zh-CN" w:eastAsia="zh-CN" w:bidi="ar-SA"/>
        </w:rPr>
        <w:t xml:space="preserve"> </w:t>
      </w:r>
      <w:r>
        <w:rPr>
          <w:rFonts w:hint="eastAsia" w:ascii="仿宋_GB2312" w:hAnsi="宋体" w:eastAsia="仿宋_GB2312" w:cs="宋体"/>
          <w:color w:val="auto"/>
          <w:kern w:val="0"/>
          <w:sz w:val="32"/>
          <w:szCs w:val="32"/>
          <w:highlight w:val="none"/>
          <w:shd w:val="clear" w:color="auto" w:fill="FFFFFF"/>
          <w:lang w:val="zh-CN" w:eastAsia="zh-CN"/>
        </w:rPr>
        <w:t>202</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lang w:val="zh-CN" w:eastAsia="zh-CN"/>
        </w:rPr>
        <w:t>年，市委老干部局将认真贯彻落实中央、省委、市委部署要求，树牢精准服务理念，大力推进离退休干部政治建设、思想建设和党组织建设，突出抓好离退休干部党支部标准化规范化建设，广泛深入组织开展为党和人民事业增添正能量活动，全面落实离退休干部政治待遇、生活待遇，积极对接全省离退休干部信息管理综合平台建设和使用，加大离退休干部活动阵地（活动中心）规范化建设，努力做到让市委放心、让老干部满意，努力推进全市老干部工作转型发展科学发展。</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（四）部门整体支出绩效目标。</w:t>
      </w:r>
    </w:p>
    <w:p>
      <w:pPr>
        <w:spacing w:line="576" w:lineRule="exact"/>
        <w:ind w:firstLine="640" w:firstLineChars="200"/>
        <w:rPr>
          <w:rFonts w:hint="default"/>
          <w:lang w:val="en-US" w:eastAsia="zh-CN"/>
        </w:rPr>
      </w:pPr>
      <w:r>
        <w:rPr>
          <w:rFonts w:hint="eastAsia" w:ascii="仿宋_GB2312" w:hAnsi="宋体" w:eastAsia="仿宋_GB2312" w:cs="宋体"/>
          <w:color w:val="auto"/>
          <w:kern w:val="0"/>
          <w:sz w:val="32"/>
          <w:szCs w:val="32"/>
          <w:highlight w:val="none"/>
          <w:shd w:val="clear" w:color="auto" w:fill="FFFFFF"/>
          <w:lang w:val="zh-CN" w:eastAsia="zh-CN"/>
        </w:rPr>
        <w:t>1.全年走访慰问322人、健康休养185人；2.全年走访慰问14省市；3.组织到市级部门和周边市县4次,省外考察1次；4.提高了发展质量；5.使老干部各种活动成为常态化；6.按时按规定完成调研考察；7.使干部们身心愉悦；</w:t>
      </w:r>
      <w:r>
        <w:rPr>
          <w:rFonts w:hint="eastAsia" w:ascii="仿宋_GB2312" w:hAnsi="宋体" w:eastAsia="仿宋_GB2312" w:cs="宋体"/>
          <w:color w:val="auto"/>
          <w:kern w:val="0"/>
          <w:sz w:val="32"/>
          <w:szCs w:val="32"/>
          <w:highlight w:val="none"/>
          <w:shd w:val="clear" w:color="auto" w:fill="FFFFFF"/>
          <w:lang w:val="en-US" w:eastAsia="zh-CN"/>
        </w:rPr>
        <w:t>8</w:t>
      </w:r>
      <w:r>
        <w:rPr>
          <w:rFonts w:hint="eastAsia" w:ascii="仿宋_GB2312" w:hAnsi="宋体" w:eastAsia="仿宋_GB2312" w:cs="宋体"/>
          <w:color w:val="auto"/>
          <w:kern w:val="0"/>
          <w:sz w:val="32"/>
          <w:szCs w:val="32"/>
          <w:highlight w:val="none"/>
          <w:shd w:val="clear" w:color="auto" w:fill="FFFFFF"/>
          <w:lang w:val="zh-CN" w:eastAsia="zh-CN"/>
        </w:rPr>
        <w:t>.按时、按质完成；</w:t>
      </w:r>
      <w:r>
        <w:rPr>
          <w:rFonts w:hint="eastAsia" w:ascii="仿宋_GB2312" w:hAnsi="宋体" w:eastAsia="仿宋_GB2312" w:cs="宋体"/>
          <w:color w:val="auto"/>
          <w:kern w:val="0"/>
          <w:sz w:val="32"/>
          <w:szCs w:val="32"/>
          <w:highlight w:val="none"/>
          <w:shd w:val="clear" w:color="auto" w:fill="FFFFFF"/>
          <w:lang w:val="en-US" w:eastAsia="zh-CN"/>
        </w:rPr>
        <w:t>9</w:t>
      </w:r>
      <w:r>
        <w:rPr>
          <w:rFonts w:hint="eastAsia" w:ascii="仿宋_GB2312" w:hAnsi="宋体" w:eastAsia="仿宋_GB2312" w:cs="宋体"/>
          <w:color w:val="auto"/>
          <w:kern w:val="0"/>
          <w:sz w:val="32"/>
          <w:szCs w:val="32"/>
          <w:highlight w:val="none"/>
          <w:shd w:val="clear" w:color="auto" w:fill="FFFFFF"/>
          <w:lang w:val="zh-CN" w:eastAsia="zh-CN"/>
        </w:rPr>
        <w:t>.考察慰问覆盖100%；1</w:t>
      </w:r>
      <w:r>
        <w:rPr>
          <w:rFonts w:hint="eastAsia" w:ascii="仿宋_GB2312" w:hAnsi="宋体" w:eastAsia="仿宋_GB2312" w:cs="宋体"/>
          <w:color w:val="auto"/>
          <w:kern w:val="0"/>
          <w:sz w:val="32"/>
          <w:szCs w:val="32"/>
          <w:highlight w:val="none"/>
          <w:shd w:val="clear" w:color="auto" w:fill="FFFFFF"/>
          <w:lang w:val="en-US" w:eastAsia="zh-CN"/>
        </w:rPr>
        <w:t>0</w:t>
      </w:r>
      <w:r>
        <w:rPr>
          <w:rFonts w:hint="eastAsia" w:ascii="仿宋_GB2312" w:hAnsi="宋体" w:eastAsia="仿宋_GB2312" w:cs="宋体"/>
          <w:color w:val="auto"/>
          <w:kern w:val="0"/>
          <w:sz w:val="32"/>
          <w:szCs w:val="32"/>
          <w:highlight w:val="none"/>
          <w:shd w:val="clear" w:color="auto" w:fill="FFFFFF"/>
          <w:lang w:val="zh-CN" w:eastAsia="zh-CN"/>
        </w:rPr>
        <w:t>.老干部们支持党委政府中心工作；</w:t>
      </w:r>
      <w:r>
        <w:rPr>
          <w:rFonts w:hint="eastAsia" w:ascii="仿宋_GB2312" w:hAnsi="宋体" w:eastAsia="仿宋_GB2312" w:cs="宋体"/>
          <w:color w:val="auto"/>
          <w:kern w:val="0"/>
          <w:sz w:val="32"/>
          <w:szCs w:val="32"/>
          <w:highlight w:val="none"/>
          <w:shd w:val="clear" w:color="auto" w:fill="FFFFFF"/>
          <w:lang w:val="en-US" w:eastAsia="zh-CN"/>
        </w:rPr>
        <w:t>11.</w:t>
      </w:r>
      <w:r>
        <w:rPr>
          <w:rFonts w:hint="eastAsia" w:ascii="仿宋_GB2312" w:hAnsi="宋体" w:eastAsia="仿宋_GB2312" w:cs="宋体"/>
          <w:color w:val="auto"/>
          <w:kern w:val="0"/>
          <w:sz w:val="32"/>
          <w:szCs w:val="32"/>
          <w:highlight w:val="none"/>
          <w:shd w:val="clear" w:color="auto" w:fill="FFFFFF"/>
          <w:lang w:val="zh-CN" w:eastAsia="zh-CN"/>
        </w:rPr>
        <w:t>使全面完成脱贫奔康工作任务有很大的进步；1</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lang w:val="zh-CN" w:eastAsia="zh-CN"/>
        </w:rPr>
        <w:t>.工作达到老干部满意度。</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二、部门资金收支情况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（一）部门总体收支情况。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1.部门总体收入情况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广元市委老干部局2022年部门财政资金预算收入总数928.22万元，较其中人员经费预算618.89万元，公用经费预算68.20万元，项目预算241.12万元。</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2.部门总体支出情况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en-US" w:eastAsia="zh-CN"/>
        </w:rPr>
        <w:t>2022年部门财政资金预算支出总数928.22万元，其中人员经费支出618.89万元，公用经费支出68.20万元，项目支出241.12万元。</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3.部门总体结转结余情况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2022年老干局部门财政资金按照年初预算执行，无结转结余情况。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（二）部门财政拨款收支情况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1.部门财政拨款收入情况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市老干局单位2022年收入预算928.22万元，一般公共预算拨款收入928.22万元，占100%。</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2.部门财政拨款支出情况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市老干局单位2022年支出预算928.22万元，其中：基本支出687.10万元，占74.%；项目支出241.12万元，占26%。</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3.部门财政拨款结转结余情况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2022年老干局部门财政资金按照年初预算执行，无结转结余情况。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三、部门整体绩效分析</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（一）部门预算项目绩效分析。</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1.人员类项目绩效分析</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包括部门绩效目标制定、目标实现、支出控制、及时处置、执行进度、预算完成情况、资金结余率（低效无效率）和违规记录等情况。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单位绩效目标制定情况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年初我单位制定了部门绩效目标，包括整体绩效目标和项目绩效目标，具体有数量指标、质量指标、时效指标、成本指标、经济效益指标、社会效益指标等；目标要素完整，部门绩效目标纳入部门党组（委）会（办公会）集体决策范围。</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（2）目标实行情况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2022年我单位完成了既定的绩效目标任务：</w:t>
      </w:r>
      <w:r>
        <w:rPr>
          <w:rFonts w:hint="eastAsia" w:ascii="仿宋_GB2312" w:hAnsi="宋体" w:eastAsia="仿宋_GB2312" w:cs="宋体"/>
          <w:color w:val="auto"/>
          <w:kern w:val="0"/>
          <w:sz w:val="32"/>
          <w:szCs w:val="32"/>
          <w:highlight w:val="none"/>
          <w:shd w:val="clear" w:color="auto" w:fill="FFFFFF"/>
          <w:lang w:val="zh-CN" w:eastAsia="zh-CN"/>
        </w:rPr>
        <w:t>全年预算</w:t>
      </w:r>
      <w:r>
        <w:rPr>
          <w:rFonts w:hint="eastAsia" w:ascii="仿宋_GB2312" w:hAnsi="宋体" w:eastAsia="仿宋_GB2312" w:cs="宋体"/>
          <w:color w:val="auto"/>
          <w:kern w:val="0"/>
          <w:sz w:val="32"/>
          <w:szCs w:val="32"/>
          <w:highlight w:val="none"/>
          <w:shd w:val="clear" w:color="auto" w:fill="FFFFFF"/>
          <w:lang w:val="en-US" w:eastAsia="zh-CN"/>
        </w:rPr>
        <w:t>52人工资福利618.89万元，全年实现支出618.89万元，剩余0万元。足额保障了52人的人员工资福利支出。按时发放率100%。</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（3）支出控制和执行进度</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2022年老干局部门财政资金按照年初预算执行，所有支出都保持在年初预算内。</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（4）违规记录</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无。</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2.运转类项目绩效分析</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（1）单位绩效目标制定情况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进一步完善各种经费使用办法，压缩行政管理开支，严格控制部分增支因素，“三公”经费明显下降。严格执行公用经费定额标准，使财政总预算真实反映了财政资金的实际支出数,进一步加强了对财政资金来源和去向的管理。主要包括：办公费、水费、电费、邮电费、差旅费、维修（护）费、公务接待费、劳务费、工会经费、福利费、公务用车运行维护费、其他交通费用等支出。</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（2）目标实行情况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2022年我单位完成了既定的绩效目标任务：全年预算68.20元，全年实现支出68.20万元，剩余0万元。单位日常运转正常，运转保证率100%。</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（3）支出控制和执行进度</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2022年老干局部门财政资金按照年初预算执行，所有支出都保持在年初预算内。</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（4）违规记录</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 xml:space="preserve">   无</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3.特定目标类项目绩效分析</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（1）单位绩效目标制定情况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en-US" w:eastAsia="zh-CN"/>
        </w:rPr>
        <w:t>合理利用财力，保障重点项目及重点费用和老干部相关工作的正常开支。</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（2）目标实行情况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2022年我单位完成了既定的绩效目标任务：2022年我单位共计实施11项目，剩余0万元。单位项目实施取得良好的成果，满意度达到98%。</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（3）支出控制和执行进度</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2022年老干局部门财政资金按照年初预算执行，所有支出都保持在年初预算内。</w:t>
      </w:r>
    </w:p>
    <w:p>
      <w:pPr>
        <w:numPr>
          <w:ilvl w:val="0"/>
          <w:numId w:val="4"/>
        </w:num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违规记录</w:t>
      </w:r>
    </w:p>
    <w:p>
      <w:pPr>
        <w:numPr>
          <w:ilvl w:val="0"/>
          <w:numId w:val="0"/>
        </w:num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无</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（二）部门整体履职绩效分析。</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人员类、运转类全年预算687.10万元，执行预算687.10万元，执行率100%。特定目标类离退休干部慰问护理等经费18.00万元；关工委工作经费30.00万元；离退休干部健康休养经费20.00万元；离退休干部党务工作培训经费11.20万元；离退休干部正能量活动建设经费12.00万元；离退休干部春节慰问经费37.89万元；离退休干部及无工作遗孀特困帮扶资金30.00万元；乡村振兴工作经费3.64万元；市老干部活动中心及老干部休养所运行经费60.39万元；离退休干部党建工作经费10.00万元；离退休干部调研参观考察经费8.00万元。各个执行率为100%,</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（三）结果应用情况。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en-US" w:eastAsia="zh-CN"/>
        </w:rPr>
        <w:t>绩效自评纳入考核体系，建立对单位预算与绩效挂钩机制；2022年我单位开展了绩效自评</w:t>
      </w:r>
      <w:r>
        <w:rPr>
          <w:rFonts w:hint="eastAsia" w:ascii="仿宋_GB2312" w:hAnsi="宋体" w:eastAsia="仿宋_GB2312" w:cs="宋体"/>
          <w:color w:val="auto"/>
          <w:kern w:val="0"/>
          <w:sz w:val="32"/>
          <w:szCs w:val="32"/>
          <w:highlight w:val="none"/>
          <w:shd w:val="clear" w:color="auto" w:fill="FFFFFF"/>
          <w:lang w:val="zh-CN" w:eastAsia="zh-CN"/>
        </w:rPr>
        <w:t>，针对绩效管理过程中（包括绩效目标核查、绩效监控核查和重点绩效评价）提出的问题进行整改；按要求及时向财政部门反馈结果应用。我单位将进一步提高管理水平，提高资金绩效。</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（四）自评质量。</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按照财政部门要求，我单位统一安排部署相关人员组成绩效评价工作组，按照相关规范及时准确开展绩效自评工作，自评质量较好。自评得分94分。</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四、评价结论及建议</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（一）评价结论。</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zh-CN" w:eastAsia="zh-CN"/>
        </w:rPr>
        <w:t>（二）存在问题。</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无。</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（三）改进建议。</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1.加强预算执行进度管理，</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加强项目监控，对绩效目标偏差或不能完成的情况，要认真分析原因，及时采取有针对性的措施予以纠正，必要时应采取暂停项目实施、调整预算等措施及时纠偏，涉及调整项目预算资金和绩效目标的按规定及时向财政部门报批。</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2.注重资金支出的“效果”，提高部门绩效目标的科学性。</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针对投资项目时，要注重效益指标体系的全面性。不仅要注意其社会效益，还必须充分考虑其经济效益，在设置项目社会效益指标时，有很多内容都无法通过定量的指标来说明，因此在条件允许的情况下，可制定能一定程度反映这些问题且能定量的指标，从而促进后续绩效评价决策的有效性。实际中，可结合项目情况，科学选择项目社会效益评价指标。</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注重财政项目的可持续性，主要考虑经济增长的持续性，将人均社会总产值、总量中所占的百分比等作为指标的主要内容；社会的可持续性发展，涵盖总体水平指标；项目效果的持续性，主要关注项目与社会的适应性、发生的社会风险等问题。</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3.加强融合绩效理念</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将绩效理念融入预算编制、执行、评价全过程。部门及单位应在预算编制阶段同步进行绩效编审工作，把绩效目标填报作为预算编制的强制填报选项。建立绩效目标、绩效评价与预算安排挂钩机制，对填报绩效目标不符合要求的项目，不予安排预算；对绩效不高的项目，督促及时整改。</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（2）对绩效水平高的项目，在资金安排上予以倾斜。建立预算绩效评价考核机制，更加注重结果导向、强化责任约束力度，明确具体的考核对象，以改变预算分配的固化格局，提高预算管理水平和实施效果。</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（3）加强预算执行的监控，特别是预算执行进度控制，注重项目开展进度与资金预算支出的匹配。</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 xml:space="preserve">4.增强内部控制制度的执行力度，提升项目管理水平。 </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要建立健全系统、规范、严格的全过程各环节的制度体系。内容涵盖资金项目储备立项、分配执行、组织实施、监督管理、绩效评价、信息公开等，推进资金与项目管理程序化、制度化、法治化，做到立项公开透明、资金分配规范、使用范围明晰、管理监督严格、职责权能统一，形成“制度管人、管钱、管事”的工作格局。</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格按照内控制度进行管理，严控成本。部门各项资金支出都要本着节约的原则，并且各项开支要有相关的费用标准等依据。应树立监督管理的责任意识，逐步完善相关的专项资金监督管理机制，坚持“谁审批谁负责”、“谁使用谁负责”的原则，加强对资金使用的指导和督促，确保资金使用的效益和安全。</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5.以绩效目标为导向，建立全过程预算绩效管理机制</w:t>
      </w:r>
    </w:p>
    <w:p>
      <w:pPr>
        <w:spacing w:line="576" w:lineRule="exact"/>
        <w:ind w:firstLine="640" w:firstLineChars="200"/>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牢固树立全过程绩效管理意识，形成“事前绩效目标管理，事中绩效跟踪，事后绩效评价，评价结果得到应用”的全过程绩效管理工作体系。要加强对项目实施主体的日常指导监督，强化对重点项目、重点环节的检查监督，推进项目审计、审价严把验收关，建立健全绩效评价体系，完善绩效评价指标，适应项目绩效管理综合考核及全过程监管的需求，科学开展绩效评价工作，并健全绩效评价结果反馈整改制度。</w:t>
      </w: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keepNext w:val="0"/>
        <w:keepLines w:val="0"/>
        <w:widowControl/>
        <w:suppressLineNumbers w:val="0"/>
        <w:jc w:val="center"/>
        <w:textAlignment w:val="center"/>
        <w:rPr>
          <w:rFonts w:hint="eastAsia" w:ascii="宋体" w:hAnsi="宋体" w:eastAsia="宋体" w:cs="宋体"/>
          <w:b/>
          <w:i w:val="0"/>
          <w:color w:val="auto"/>
          <w:sz w:val="32"/>
          <w:szCs w:val="32"/>
          <w:highlight w:val="none"/>
          <w:u w:val="none"/>
          <w:lang w:val="en-US"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tbl>
      <w:tblPr>
        <w:tblStyle w:val="13"/>
        <w:tblW w:w="14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680"/>
        <w:gridCol w:w="1335"/>
        <w:gridCol w:w="1425"/>
        <w:gridCol w:w="5115"/>
        <w:gridCol w:w="1410"/>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73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i w:val="0"/>
                <w:color w:val="auto"/>
                <w:sz w:val="32"/>
                <w:szCs w:val="32"/>
                <w:highlight w:val="none"/>
                <w:u w:val="none"/>
                <w:lang w:val="en-US" w:eastAsia="zh-CN"/>
              </w:rPr>
              <w:t>2022年部门预算</w:t>
            </w:r>
            <w:r>
              <w:rPr>
                <w:rFonts w:hint="eastAsia" w:ascii="宋体" w:hAnsi="宋体" w:eastAsia="宋体" w:cs="宋体"/>
                <w:b/>
                <w:bCs/>
                <w:i w:val="0"/>
                <w:iCs w:val="0"/>
                <w:color w:val="000000"/>
                <w:kern w:val="0"/>
                <w:sz w:val="32"/>
                <w:szCs w:val="32"/>
                <w:u w:val="none"/>
                <w:lang w:val="en-US" w:eastAsia="zh-CN" w:bidi="ar"/>
              </w:rPr>
              <w:t>整体支出</w:t>
            </w:r>
            <w:r>
              <w:rPr>
                <w:rFonts w:hint="eastAsia" w:ascii="宋体" w:hAnsi="宋体" w:eastAsia="宋体" w:cs="宋体"/>
                <w:b/>
                <w:i w:val="0"/>
                <w:color w:val="auto"/>
                <w:sz w:val="32"/>
                <w:szCs w:val="32"/>
                <w:highlight w:val="none"/>
                <w:u w:val="none"/>
                <w:lang w:val="en-US" w:eastAsia="zh-CN"/>
              </w:rPr>
              <w:t>项目绩效自评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部门名称</w:t>
            </w:r>
          </w:p>
        </w:tc>
        <w:tc>
          <w:tcPr>
            <w:tcW w:w="10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中共广元市委老干部局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任务</w:t>
            </w:r>
          </w:p>
        </w:tc>
        <w:tc>
          <w:tcPr>
            <w:tcW w:w="30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任务名称</w:t>
            </w:r>
          </w:p>
        </w:tc>
        <w:tc>
          <w:tcPr>
            <w:tcW w:w="6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主要内容</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保障离退休机构正常运转</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保障离退休机构正常运转</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离退休干部走访慰问等经费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走访慰问离退休干部348人，走访慰问活动常态化制度化开展。做好老干部精准服务工作，保障服务老干部用车需求。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厅级离退休干部调研参观考察活动经费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组织厅级离退休干部到市级部门及周边市县参观考察4次，出省参观考察1次。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离退休干部健康休养经费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组织离退休干部开展健康休养，确保离退休干部基本政治待遇不变，生活待遇略为从优。</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市老干部活动中心及老干部休养所运行经费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完成市老干部活动中心维修改造和提档升级建设及日常活动开展，成立“广元市老干部大学（老干部党校）”。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离退休干部党组织建设经费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指导、督促、检查全市离退休干部党支部标准化规范化建设，全面实施离退休干部党支部提升工程。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离退休干部正能量活动经费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着力提升支部建设质量，实现离退休干部党组织覆盖和党的工作覆盖达到“两个100%”，推进离退休干部党组织全面进步全面过硬。</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离退休及无工作遗孀特困帮扶经费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使离退休干部困难得以帮扶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春节慰问经费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保障退休干部生活待遇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离退休干部党务工作者培训</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提高离退休干部整体服务质量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关工委工作经费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坚持立德树人传承经色基因争做时代新人营造关爱事业良好氛围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扶贫工作经费</w:t>
            </w:r>
          </w:p>
        </w:tc>
        <w:tc>
          <w:tcPr>
            <w:tcW w:w="6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按要求完成朝天区唐家村、苍溪县喻李村脱贫帮扶工作任务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w:t>
            </w:r>
          </w:p>
        </w:tc>
        <w:tc>
          <w:tcPr>
            <w:tcW w:w="137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2022年，市委老干部局将认真贯彻落实中央、省、市部署要求，树牢精准服务理念，大力推进离退休干部政治建设、思想建设和党组织建设，突出抓好离退休干部党支部标准化规范化建设，广泛深入组织开展为党和人民事业增添正能量活动，全面落实离退休干部政治待遇、生活待遇，积极对接全省离退休干部信息管理综合平台建设和使用，加大离退休干部活动阵地（活动中心）规范化建设，努力做到让市委放心、让老干部满意，着力推进全市老干部工作转型发展科学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完成指标</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指标1：离退休干部走访慰问、健康休养</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全年走访慰问322人、健康休养185人等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指标1：走访慰问</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走访慰问100%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指标1：调研参观考察</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完成调研考察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指标1：离退休干部走访慰问、健康休养</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慰问成本、休养成本等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指标1：正能量活动</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老干部队伍凝心聚力，积极发挥余热、贡献智慧和力量，支持党委政府中心工作；全面完成脱贫奔康工作任务等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指标2：离退休干部党组织建设 </w:t>
            </w: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指标3：助力脱贫攻坚工作</w:t>
            </w: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指标1：市老干部活动中心及干休所运行</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阵地建设安全规范运行，老干部活动丰富多彩，广大老干部满意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指标1：让市委放心，让老干部满意</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满意度100%</w:t>
            </w:r>
          </w:p>
        </w:tc>
      </w:tr>
    </w:tbl>
    <w:p>
      <w:pPr>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sectPr>
          <w:pgSz w:w="16838" w:h="11906" w:orient="landscape"/>
          <w:pgMar w:top="1803" w:right="1440" w:bottom="1803" w:left="1440" w:header="851" w:footer="992" w:gutter="0"/>
          <w:pgNumType w:start="1"/>
          <w:cols w:space="0" w:num="1"/>
          <w:titlePg/>
          <w:rtlGutter w:val="0"/>
          <w:docGrid w:type="lines" w:linePitch="319" w:charSpace="0"/>
        </w:sectPr>
      </w:pPr>
    </w:p>
    <w:p>
      <w:pPr>
        <w:pStyle w:val="6"/>
        <w:rPr>
          <w:rFonts w:hint="eastAsia" w:ascii="方正黑体_GBK" w:hAnsi="方正黑体_GBK" w:eastAsia="方正黑体_GBK" w:cs="方正黑体_GBK"/>
          <w:color w:val="auto"/>
          <w:highlight w:val="none"/>
          <w:lang w:val="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（离退休干部走访慰问经费）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hAnsi="宋体" w:eastAsia="仿宋_GB2312" w:cs="Times New Roman"/>
          <w:color w:val="auto"/>
          <w:sz w:val="32"/>
          <w:szCs w:val="32"/>
          <w:highlight w:val="none"/>
          <w:lang w:val="zh-CN"/>
        </w:rPr>
        <w:t>落实离退休干部政治待遇、生活待遇，组织安排重大节日慰问等工作。</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r>
        <w:rPr>
          <w:rFonts w:hint="eastAsia"/>
          <w:lang w:val="en-US" w:eastAsia="zh-CN"/>
        </w:rPr>
        <w:t xml:space="preserve">  </w:t>
      </w:r>
      <w:r>
        <w:rPr>
          <w:rFonts w:hint="eastAsia" w:ascii="仿宋_GB2312" w:hAnsi="宋体" w:eastAsia="仿宋_GB2312" w:cs="Times New Roman"/>
          <w:color w:val="auto"/>
          <w:sz w:val="32"/>
          <w:szCs w:val="32"/>
          <w:highlight w:val="none"/>
          <w:lang w:val="zh-CN"/>
        </w:rPr>
        <w:t>中办发〔2016〕3号、川委办〔2016〕22号、广委办〔2016〕78号。“健全和落实走访慰问制度，全面推行党政领导联系老干部制度，在重要纪念日、重大庆典和老年节、元旦春节期间集中走访慰问，在离退休干部生病住院、家庭出现重大变故时及时关心看望”、“继续做好易地安置离休干部服务管理工作，坚持每年走访慰问”。</w:t>
      </w:r>
    </w:p>
    <w:p>
      <w:pPr>
        <w:numPr>
          <w:ilvl w:val="0"/>
          <w:numId w:val="0"/>
        </w:numPr>
        <w:spacing w:beforeLines="0"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资金分配的原则及考虑因素。</w:t>
      </w:r>
      <w:r>
        <w:rPr>
          <w:rFonts w:hint="eastAsia" w:hAnsi="宋体" w:cs="Times New Roman"/>
          <w:color w:val="auto"/>
          <w:kern w:val="2"/>
          <w:sz w:val="32"/>
          <w:szCs w:val="32"/>
          <w:highlight w:val="none"/>
          <w:lang w:val="zh-CN" w:eastAsia="zh-CN" w:bidi="ar-SA"/>
        </w:rPr>
        <w:t>全年</w:t>
      </w:r>
      <w:r>
        <w:rPr>
          <w:rFonts w:hint="eastAsia" w:ascii="仿宋_GB2312" w:hAnsi="宋体" w:eastAsia="仿宋_GB2312" w:cs="Times New Roman"/>
          <w:color w:val="auto"/>
          <w:kern w:val="2"/>
          <w:sz w:val="32"/>
          <w:szCs w:val="32"/>
          <w:highlight w:val="none"/>
          <w:lang w:val="zh-CN" w:eastAsia="zh-CN" w:bidi="ar-SA"/>
        </w:rPr>
        <w:t>走访慰问离退休干部3</w:t>
      </w:r>
      <w:r>
        <w:rPr>
          <w:rFonts w:hint="eastAsia" w:ascii="仿宋_GB2312" w:hAnsi="宋体" w:eastAsia="仿宋_GB2312" w:cs="Times New Roman"/>
          <w:color w:val="auto"/>
          <w:kern w:val="2"/>
          <w:sz w:val="32"/>
          <w:szCs w:val="32"/>
          <w:highlight w:val="none"/>
          <w:lang w:val="en-US" w:eastAsia="zh-CN" w:bidi="ar-SA"/>
        </w:rPr>
        <w:t>48</w:t>
      </w:r>
      <w:r>
        <w:rPr>
          <w:rFonts w:hint="eastAsia" w:ascii="仿宋_GB2312" w:hAnsi="宋体" w:eastAsia="仿宋_GB2312" w:cs="Times New Roman"/>
          <w:color w:val="auto"/>
          <w:kern w:val="2"/>
          <w:sz w:val="32"/>
          <w:szCs w:val="32"/>
          <w:highlight w:val="none"/>
          <w:lang w:val="zh-CN" w:eastAsia="zh-CN" w:bidi="ar-SA"/>
        </w:rPr>
        <w:t>人，其中，离休干部76人、厅级老领导老干部109人（其中，在北京等7个省市易地安置和异地居住离退休干部12人）、建国初期参加革命工作人员96人，离休干部遗孀29人，走访慰问活动常态化制度化开展。做好老干部服务工作，确保离退休干部工作到位，保障服务离退休干部需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走访慰问离退休干部697人，走访慰问活动常态化制度化开展。做好老干部精准服务工作，确保离退休干部工作到位，保障服务离退休干部需求。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w:t>
      </w:r>
      <w:r>
        <w:rPr>
          <w:rFonts w:hint="eastAsia" w:ascii="方正仿宋_GBK" w:hAnsi="方正仿宋_GBK" w:eastAsia="方正仿宋_GBK" w:cs="方正仿宋_GBK"/>
          <w:sz w:val="32"/>
          <w:szCs w:val="32"/>
        </w:rPr>
        <w:t>一是要素完整。对当年</w:t>
      </w:r>
      <w:r>
        <w:rPr>
          <w:rFonts w:hint="eastAsia" w:ascii="方正仿宋_GBK" w:hAnsi="方正仿宋_GBK" w:eastAsia="方正仿宋_GBK" w:cs="方正仿宋_GBK"/>
          <w:sz w:val="32"/>
          <w:szCs w:val="32"/>
          <w:lang w:eastAsia="zh-CN"/>
        </w:rPr>
        <w:t>经费</w:t>
      </w:r>
      <w:r>
        <w:rPr>
          <w:rFonts w:hint="eastAsia" w:ascii="方正仿宋_GBK" w:hAnsi="方正仿宋_GBK" w:eastAsia="方正仿宋_GBK" w:cs="方正仿宋_GBK"/>
          <w:sz w:val="32"/>
          <w:szCs w:val="32"/>
        </w:rPr>
        <w:t>员</w:t>
      </w:r>
      <w:r>
        <w:rPr>
          <w:rFonts w:hint="eastAsia" w:ascii="方正仿宋_GBK" w:hAnsi="方正仿宋_GBK" w:eastAsia="方正仿宋_GBK" w:cs="方正仿宋_GBK"/>
          <w:sz w:val="32"/>
          <w:szCs w:val="32"/>
          <w:lang w:eastAsia="zh-CN"/>
        </w:rPr>
        <w:t>变化</w:t>
      </w:r>
      <w:r>
        <w:rPr>
          <w:rFonts w:hint="eastAsia" w:ascii="方正仿宋_GBK" w:hAnsi="方正仿宋_GBK" w:eastAsia="方正仿宋_GBK" w:cs="方正仿宋_GBK"/>
          <w:sz w:val="32"/>
          <w:szCs w:val="32"/>
        </w:rPr>
        <w:t>和工作</w:t>
      </w:r>
      <w:r>
        <w:rPr>
          <w:rFonts w:hint="eastAsia" w:ascii="方正仿宋_GBK" w:hAnsi="方正仿宋_GBK" w:eastAsia="方正仿宋_GBK" w:cs="方正仿宋_GBK"/>
          <w:sz w:val="32"/>
          <w:szCs w:val="32"/>
          <w:lang w:eastAsia="zh-CN"/>
        </w:rPr>
        <w:t>运行方向</w:t>
      </w:r>
      <w:r>
        <w:rPr>
          <w:rFonts w:hint="eastAsia" w:ascii="方正仿宋_GBK" w:hAnsi="方正仿宋_GBK" w:eastAsia="方正仿宋_GBK" w:cs="方正仿宋_GBK"/>
          <w:sz w:val="32"/>
          <w:szCs w:val="32"/>
        </w:rPr>
        <w:t>进行科学预测，提出单位综合年度目标。项目经费</w:t>
      </w:r>
      <w:r>
        <w:rPr>
          <w:rFonts w:hint="eastAsia" w:ascii="方正仿宋_GBK" w:hAnsi="方正仿宋_GBK" w:eastAsia="方正仿宋_GBK" w:cs="方正仿宋_GBK"/>
          <w:sz w:val="32"/>
          <w:szCs w:val="32"/>
          <w:lang w:eastAsia="zh-CN"/>
        </w:rPr>
        <w:t>绩效目标制定</w:t>
      </w:r>
      <w:r>
        <w:rPr>
          <w:rFonts w:hint="eastAsia" w:ascii="方正仿宋_GBK" w:hAnsi="方正仿宋_GBK" w:eastAsia="方正仿宋_GBK" w:cs="方正仿宋_GBK"/>
          <w:sz w:val="32"/>
          <w:szCs w:val="32"/>
        </w:rPr>
        <w:t>上，</w:t>
      </w:r>
      <w:r>
        <w:rPr>
          <w:rFonts w:hint="eastAsia" w:ascii="方正仿宋_GBK" w:hAnsi="方正仿宋_GBK" w:eastAsia="方正仿宋_GBK" w:cs="方正仿宋_GBK"/>
          <w:sz w:val="32"/>
          <w:szCs w:val="32"/>
          <w:lang w:eastAsia="zh-CN"/>
        </w:rPr>
        <w:t>由各业务科室（或部门）</w:t>
      </w:r>
      <w:r>
        <w:rPr>
          <w:rFonts w:hint="eastAsia" w:ascii="方正仿宋_GBK" w:hAnsi="方正仿宋_GBK" w:eastAsia="方正仿宋_GBK" w:cs="方正仿宋_GBK"/>
          <w:sz w:val="32"/>
          <w:szCs w:val="32"/>
        </w:rPr>
        <w:t>分管领导牵头，部室</w:t>
      </w:r>
      <w:r>
        <w:rPr>
          <w:rFonts w:hint="eastAsia" w:ascii="方正仿宋_GBK" w:hAnsi="方正仿宋_GBK" w:eastAsia="方正仿宋_GBK" w:cs="方正仿宋_GBK"/>
          <w:sz w:val="32"/>
          <w:szCs w:val="32"/>
          <w:lang w:eastAsia="zh-CN"/>
        </w:rPr>
        <w:t>同志全体参与</w:t>
      </w:r>
      <w:r>
        <w:rPr>
          <w:rFonts w:hint="eastAsia" w:ascii="方正仿宋_GBK" w:hAnsi="方正仿宋_GBK" w:eastAsia="方正仿宋_GBK" w:cs="方正仿宋_GBK"/>
          <w:sz w:val="32"/>
          <w:szCs w:val="32"/>
        </w:rPr>
        <w:t>研究当年重点工作任务，提出经费预算</w:t>
      </w:r>
      <w:r>
        <w:rPr>
          <w:rFonts w:hint="eastAsia" w:ascii="方正仿宋_GBK" w:hAnsi="方正仿宋_GBK" w:eastAsia="方正仿宋_GBK" w:cs="方正仿宋_GBK"/>
          <w:sz w:val="32"/>
          <w:szCs w:val="32"/>
          <w:lang w:eastAsia="zh-CN"/>
        </w:rPr>
        <w:t>方案和具体</w:t>
      </w:r>
      <w:r>
        <w:rPr>
          <w:rFonts w:hint="eastAsia" w:ascii="方正仿宋_GBK" w:hAnsi="方正仿宋_GBK" w:eastAsia="方正仿宋_GBK" w:cs="方正仿宋_GBK"/>
          <w:sz w:val="32"/>
          <w:szCs w:val="32"/>
        </w:rPr>
        <w:t>项目任务。二是</w:t>
      </w:r>
      <w:r>
        <w:rPr>
          <w:rFonts w:hint="eastAsia" w:ascii="方正仿宋_GBK" w:hAnsi="方正仿宋_GBK" w:eastAsia="方正仿宋_GBK" w:cs="方正仿宋_GBK"/>
          <w:sz w:val="32"/>
          <w:szCs w:val="32"/>
          <w:lang w:eastAsia="zh-CN"/>
        </w:rPr>
        <w:t>确定相关项目指标具体或大体额度。</w:t>
      </w:r>
      <w:r>
        <w:rPr>
          <w:rFonts w:hint="eastAsia" w:ascii="方正仿宋_GBK" w:hAnsi="方正仿宋_GBK" w:eastAsia="方正仿宋_GBK" w:cs="方正仿宋_GBK"/>
          <w:sz w:val="32"/>
          <w:szCs w:val="32"/>
        </w:rPr>
        <w:t>对可量化的指标必须进行量化分析测算，不能量化的采用定性方式测算经费。三是做到集体</w:t>
      </w:r>
      <w:r>
        <w:rPr>
          <w:rFonts w:hint="eastAsia" w:ascii="方正仿宋_GBK" w:hAnsi="方正仿宋_GBK" w:eastAsia="方正仿宋_GBK" w:cs="方正仿宋_GBK"/>
          <w:sz w:val="32"/>
          <w:szCs w:val="32"/>
          <w:lang w:eastAsia="zh-CN"/>
        </w:rPr>
        <w:t>研究科学</w:t>
      </w:r>
      <w:r>
        <w:rPr>
          <w:rFonts w:hint="eastAsia" w:ascii="方正仿宋_GBK" w:hAnsi="方正仿宋_GBK" w:eastAsia="方正仿宋_GBK" w:cs="方正仿宋_GBK"/>
          <w:sz w:val="32"/>
          <w:szCs w:val="32"/>
        </w:rPr>
        <w:t>决策。办公室</w:t>
      </w:r>
      <w:r>
        <w:rPr>
          <w:rFonts w:hint="eastAsia" w:ascii="方正仿宋_GBK" w:hAnsi="方正仿宋_GBK" w:eastAsia="方正仿宋_GBK" w:cs="方正仿宋_GBK"/>
          <w:sz w:val="32"/>
          <w:szCs w:val="32"/>
          <w:lang w:eastAsia="zh-CN"/>
        </w:rPr>
        <w:t>（财务）综合牵头，协调各科室或单位</w:t>
      </w:r>
      <w:r>
        <w:rPr>
          <w:rFonts w:hint="eastAsia" w:ascii="方正仿宋_GBK" w:hAnsi="方正仿宋_GBK" w:eastAsia="方正仿宋_GBK" w:cs="方正仿宋_GBK"/>
          <w:sz w:val="32"/>
          <w:szCs w:val="32"/>
        </w:rPr>
        <w:t>提出经费预算和部门绩效目标</w:t>
      </w:r>
      <w:r>
        <w:rPr>
          <w:rFonts w:hint="eastAsia" w:ascii="方正仿宋_GBK" w:hAnsi="方正仿宋_GBK" w:eastAsia="方正仿宋_GBK" w:cs="方正仿宋_GBK"/>
          <w:sz w:val="32"/>
          <w:szCs w:val="32"/>
          <w:lang w:eastAsia="zh-CN"/>
        </w:rPr>
        <w:t>方案</w:t>
      </w:r>
      <w:r>
        <w:rPr>
          <w:rFonts w:hint="eastAsia" w:ascii="方正仿宋_GBK" w:hAnsi="方正仿宋_GBK" w:eastAsia="方正仿宋_GBK" w:cs="方正仿宋_GBK"/>
          <w:sz w:val="32"/>
          <w:szCs w:val="32"/>
        </w:rPr>
        <w:t>后，提交</w:t>
      </w:r>
      <w:r>
        <w:rPr>
          <w:rFonts w:hint="eastAsia" w:ascii="方正仿宋_GBK" w:hAnsi="方正仿宋_GBK" w:eastAsia="方正仿宋_GBK" w:cs="方正仿宋_GBK"/>
          <w:sz w:val="32"/>
          <w:szCs w:val="32"/>
          <w:lang w:eastAsia="zh-CN"/>
        </w:rPr>
        <w:t>局务会议</w:t>
      </w:r>
      <w:r>
        <w:rPr>
          <w:rFonts w:hint="eastAsia" w:ascii="方正仿宋_GBK" w:hAnsi="方正仿宋_GBK" w:eastAsia="方正仿宋_GBK" w:cs="方正仿宋_GBK"/>
          <w:sz w:val="32"/>
          <w:szCs w:val="32"/>
        </w:rPr>
        <w:t>研究审定。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6"/>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w:t>
      </w:r>
      <w:r>
        <w:rPr>
          <w:rFonts w:hint="eastAsia" w:hAnsi="宋体"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en-US" w:eastAsia="zh-CN" w:bidi="ar-SA"/>
        </w:rPr>
        <w:t>年</w:t>
      </w:r>
      <w:r>
        <w:rPr>
          <w:rFonts w:hint="eastAsia" w:ascii="仿宋_GB2312" w:hAnsi="宋体" w:eastAsia="仿宋_GB2312" w:cs="Times New Roman"/>
          <w:color w:val="auto"/>
          <w:kern w:val="2"/>
          <w:sz w:val="32"/>
          <w:szCs w:val="32"/>
          <w:highlight w:val="none"/>
          <w:lang w:val="zh-CN" w:eastAsia="zh-CN" w:bidi="ar-SA"/>
        </w:rPr>
        <w:t>离退休干部走访慰问经费全年预算</w:t>
      </w:r>
      <w:r>
        <w:rPr>
          <w:rFonts w:hint="eastAsia" w:ascii="仿宋_GB2312" w:hAnsi="宋体" w:eastAsia="仿宋_GB2312" w:cs="Times New Roman"/>
          <w:color w:val="auto"/>
          <w:kern w:val="2"/>
          <w:sz w:val="32"/>
          <w:szCs w:val="32"/>
          <w:highlight w:val="none"/>
          <w:lang w:val="en-US" w:eastAsia="zh-CN" w:bidi="ar-SA"/>
        </w:rPr>
        <w:t>18万元，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年12月，所有计划资金全部到位，共计</w:t>
      </w:r>
      <w:r>
        <w:rPr>
          <w:rFonts w:hint="eastAsia" w:ascii="仿宋_GB2312" w:hAnsi="宋体" w:eastAsia="仿宋_GB2312" w:cs="Times New Roman"/>
          <w:color w:val="auto"/>
          <w:sz w:val="32"/>
          <w:szCs w:val="32"/>
          <w:highlight w:val="none"/>
          <w:lang w:val="en-US" w:eastAsia="zh-CN"/>
        </w:rPr>
        <w:t>18</w:t>
      </w:r>
      <w:r>
        <w:rPr>
          <w:rFonts w:hint="eastAsia" w:ascii="仿宋_GB2312" w:hAnsi="宋体" w:eastAsia="仿宋_GB2312" w:cs="Times New Roman"/>
          <w:color w:val="auto"/>
          <w:sz w:val="32"/>
          <w:szCs w:val="32"/>
          <w:highlight w:val="none"/>
          <w:lang w:val="zh-CN"/>
        </w:rPr>
        <w:t>万元。</w:t>
      </w:r>
    </w:p>
    <w:p>
      <w:pPr>
        <w:adjustRightInd w:val="0"/>
        <w:snapToGrid w:val="0"/>
        <w:spacing w:line="576" w:lineRule="exact"/>
        <w:ind w:firstLine="720"/>
        <w:rPr>
          <w:rFonts w:hint="eastAsia" w:ascii="仿宋_GB2312" w:hAnsi="宋体" w:eastAsia="仿宋_GB2312" w:cs="Times New Roman"/>
          <w:b/>
          <w:bCs/>
          <w:color w:val="auto"/>
          <w:sz w:val="32"/>
          <w:szCs w:val="32"/>
          <w:highlight w:val="none"/>
          <w:lang w:val="zh-CN"/>
        </w:rPr>
      </w:pPr>
      <w:r>
        <w:rPr>
          <w:rFonts w:hint="eastAsia" w:ascii="楷体_GB2312" w:hAnsi="宋体" w:eastAsia="楷体_GB2312" w:cs="Times New Roman"/>
          <w:color w:val="auto"/>
          <w:sz w:val="32"/>
          <w:szCs w:val="32"/>
          <w:highlight w:val="none"/>
          <w:lang w:val="zh-CN"/>
        </w:rPr>
        <w:t>2</w:t>
      </w:r>
      <w:r>
        <w:rPr>
          <w:rFonts w:hint="eastAsia" w:ascii="楷体_GB2312" w:hAnsi="宋体" w:eastAsia="楷体_GB2312" w:cs="Times New Roman"/>
          <w:color w:val="auto"/>
          <w:sz w:val="32"/>
          <w:szCs w:val="32"/>
          <w:highlight w:val="none"/>
          <w:lang w:val="en-US" w:eastAsia="zh-CN"/>
        </w:rPr>
        <w:t>.</w:t>
      </w:r>
      <w:r>
        <w:rPr>
          <w:rFonts w:hint="eastAsia" w:ascii="楷体_GB2312" w:hAnsi="宋体" w:eastAsia="楷体_GB2312" w:cs="Times New Roman"/>
          <w:color w:val="auto"/>
          <w:sz w:val="32"/>
          <w:szCs w:val="32"/>
          <w:highlight w:val="none"/>
          <w:lang w:val="zh-CN"/>
        </w:rPr>
        <w:t>资金使用。</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w:t>
      </w:r>
      <w:r>
        <w:rPr>
          <w:rFonts w:hint="eastAsia" w:ascii="仿宋_GB2312" w:hAnsi="宋体" w:eastAsia="仿宋_GB2312" w:cs="Times New Roman"/>
          <w:color w:val="auto"/>
          <w:sz w:val="32"/>
          <w:szCs w:val="32"/>
          <w:highlight w:val="none"/>
          <w:lang w:val="zh-CN" w:eastAsia="zh-CN"/>
        </w:rPr>
        <w:t>离退休干部走访慰问经费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18</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在数量指标方面全年共组织走访慰问</w:t>
      </w:r>
      <w:r>
        <w:rPr>
          <w:rFonts w:hint="eastAsia" w:ascii="仿宋_GB2312" w:hAnsi="宋体" w:eastAsia="仿宋_GB2312" w:cs="Times New Roman"/>
          <w:color w:val="auto"/>
          <w:sz w:val="32"/>
          <w:szCs w:val="32"/>
          <w:highlight w:val="none"/>
          <w:lang w:val="en-US" w:eastAsia="zh-CN"/>
        </w:rPr>
        <w:t>348人，实现全覆盖。</w:t>
      </w:r>
      <w:r>
        <w:rPr>
          <w:rFonts w:hint="eastAsia" w:ascii="仿宋_GB2312" w:hAnsi="宋体" w:eastAsia="仿宋_GB2312" w:cs="Times New Roman"/>
          <w:color w:val="auto"/>
          <w:sz w:val="32"/>
          <w:szCs w:val="32"/>
          <w:highlight w:val="none"/>
          <w:lang w:val="zh-CN"/>
        </w:rPr>
        <w:t>在质量指标方面走访慰问率达</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从社会效益方面老干部队伍稳定，该项目具有可持续发展需要，服务老干部满意。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color w:val="auto"/>
          <w:highlight w:val="none"/>
          <w:lang w:val="zh-CN"/>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0"/>
        <w:gridCol w:w="1080"/>
        <w:gridCol w:w="1680"/>
        <w:gridCol w:w="1620"/>
        <w:gridCol w:w="1027"/>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2022年部门预算项目绩效目标自评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32"/>
                <w:szCs w:val="3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预算数：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55" w:hRule="atLeast"/>
        </w:trPr>
        <w:tc>
          <w:tcPr>
            <w:tcW w:w="2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18"/>
                <w:szCs w:val="18"/>
                <w:highlight w:val="none"/>
                <w:u w:val="none"/>
              </w:rPr>
              <w:t>走访慰问离退休干部3</w:t>
            </w:r>
            <w:r>
              <w:rPr>
                <w:rFonts w:hint="eastAsia" w:ascii="宋体" w:hAnsi="宋体" w:eastAsia="宋体" w:cs="宋体"/>
                <w:i w:val="0"/>
                <w:color w:val="auto"/>
                <w:sz w:val="18"/>
                <w:szCs w:val="18"/>
                <w:highlight w:val="none"/>
                <w:u w:val="none"/>
                <w:lang w:val="en-US" w:eastAsia="zh-CN"/>
              </w:rPr>
              <w:t>48</w:t>
            </w:r>
            <w:r>
              <w:rPr>
                <w:rFonts w:hint="eastAsia" w:ascii="宋体" w:hAnsi="宋体" w:eastAsia="宋体" w:cs="宋体"/>
                <w:i w:val="0"/>
                <w:color w:val="auto"/>
                <w:sz w:val="18"/>
                <w:szCs w:val="18"/>
                <w:highlight w:val="none"/>
                <w:u w:val="none"/>
              </w:rPr>
              <w:t>人，其中，离休干部</w:t>
            </w:r>
            <w:r>
              <w:rPr>
                <w:rFonts w:hint="eastAsia" w:ascii="宋体" w:hAnsi="宋体" w:eastAsia="宋体" w:cs="宋体"/>
                <w:i w:val="0"/>
                <w:color w:val="auto"/>
                <w:sz w:val="18"/>
                <w:szCs w:val="18"/>
                <w:highlight w:val="none"/>
                <w:u w:val="none"/>
                <w:lang w:val="en-US" w:eastAsia="zh-CN"/>
              </w:rPr>
              <w:t>76</w:t>
            </w:r>
            <w:r>
              <w:rPr>
                <w:rFonts w:hint="eastAsia" w:ascii="宋体" w:hAnsi="宋体" w:eastAsia="宋体" w:cs="宋体"/>
                <w:i w:val="0"/>
                <w:color w:val="auto"/>
                <w:sz w:val="18"/>
                <w:szCs w:val="18"/>
                <w:highlight w:val="none"/>
                <w:u w:val="none"/>
              </w:rPr>
              <w:t>人、厅级老领导老干部</w:t>
            </w:r>
            <w:r>
              <w:rPr>
                <w:rFonts w:hint="eastAsia" w:ascii="宋体" w:hAnsi="宋体" w:eastAsia="宋体" w:cs="宋体"/>
                <w:i w:val="0"/>
                <w:color w:val="auto"/>
                <w:sz w:val="18"/>
                <w:szCs w:val="18"/>
                <w:highlight w:val="none"/>
                <w:u w:val="none"/>
                <w:lang w:val="en-US" w:eastAsia="zh-CN"/>
              </w:rPr>
              <w:t>111</w:t>
            </w:r>
            <w:r>
              <w:rPr>
                <w:rFonts w:hint="eastAsia" w:ascii="宋体" w:hAnsi="宋体" w:eastAsia="宋体" w:cs="宋体"/>
                <w:i w:val="0"/>
                <w:color w:val="auto"/>
                <w:sz w:val="18"/>
                <w:szCs w:val="18"/>
                <w:highlight w:val="none"/>
                <w:u w:val="none"/>
              </w:rPr>
              <w:t>人（其中，在北京等7个省市易地安置和异地居住离退休干部12人）、建国初期参加革命工作人员96人，离休干部遗孀29人，走访慰问活动常态化制度化开展。做好老干部服务工作，确保离退休干部工作到位，保障服务离退休干部需求。</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18"/>
                <w:szCs w:val="18"/>
                <w:highlight w:val="none"/>
                <w:u w:val="none"/>
              </w:rPr>
              <w:t>走访慰问离退休干部3</w:t>
            </w:r>
            <w:r>
              <w:rPr>
                <w:rFonts w:hint="eastAsia" w:ascii="宋体" w:hAnsi="宋体" w:eastAsia="宋体" w:cs="宋体"/>
                <w:i w:val="0"/>
                <w:color w:val="auto"/>
                <w:sz w:val="18"/>
                <w:szCs w:val="18"/>
                <w:highlight w:val="none"/>
                <w:u w:val="none"/>
                <w:lang w:val="en-US" w:eastAsia="zh-CN"/>
              </w:rPr>
              <w:t>48</w:t>
            </w:r>
            <w:r>
              <w:rPr>
                <w:rFonts w:hint="eastAsia" w:ascii="宋体" w:hAnsi="宋体" w:eastAsia="宋体" w:cs="宋体"/>
                <w:i w:val="0"/>
                <w:color w:val="auto"/>
                <w:sz w:val="18"/>
                <w:szCs w:val="18"/>
                <w:highlight w:val="none"/>
                <w:u w:val="none"/>
              </w:rPr>
              <w:t>人，其中，离休干部76人、厅级老领导老干部</w:t>
            </w:r>
            <w:r>
              <w:rPr>
                <w:rFonts w:hint="eastAsia" w:ascii="宋体" w:hAnsi="宋体" w:eastAsia="宋体" w:cs="宋体"/>
                <w:i w:val="0"/>
                <w:color w:val="auto"/>
                <w:sz w:val="18"/>
                <w:szCs w:val="18"/>
                <w:highlight w:val="none"/>
                <w:u w:val="none"/>
                <w:lang w:val="en-US" w:eastAsia="zh-CN"/>
              </w:rPr>
              <w:t>111</w:t>
            </w:r>
            <w:r>
              <w:rPr>
                <w:rFonts w:hint="eastAsia" w:ascii="宋体" w:hAnsi="宋体" w:eastAsia="宋体" w:cs="宋体"/>
                <w:i w:val="0"/>
                <w:color w:val="auto"/>
                <w:sz w:val="18"/>
                <w:szCs w:val="18"/>
                <w:highlight w:val="none"/>
                <w:u w:val="none"/>
              </w:rPr>
              <w:t>人（其中，在北京等7个省市易地安置和异地居住离退休干部12人）、建国初期参加革命工作人员96人，离休干部遗孀29人，走访慰问活动常态化制度化开展。做好老干部服务工作，确保离退休干部工作到位，保障服务离退休干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7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全年走访慰问14省市</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全年走访慰问14省市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走访慰问全覆盖</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飞机车船费用较高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飞机车船费用较高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老干部队伍稳定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老干部队伍稳定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7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满意度100%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满意度100%</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仿宋_GB2312" w:eastAsia="仿宋_GB2312" w:cs="仿宋_GB2312"/>
          <w:i w:val="0"/>
          <w:color w:val="auto"/>
          <w:sz w:val="28"/>
          <w:szCs w:val="28"/>
          <w:highlight w:val="none"/>
          <w:u w:val="none"/>
        </w:rPr>
        <w:t>离退休干部健康休养</w:t>
      </w:r>
      <w:r>
        <w:rPr>
          <w:rFonts w:hint="eastAsia" w:ascii="仿宋_GB2312" w:hAnsi="仿宋_GB2312" w:eastAsia="仿宋_GB2312" w:cs="仿宋_GB2312"/>
          <w:i w:val="0"/>
          <w:color w:val="auto"/>
          <w:sz w:val="28"/>
          <w:szCs w:val="28"/>
          <w:highlight w:val="none"/>
          <w:u w:val="none"/>
          <w:lang w:eastAsia="zh-CN"/>
        </w:rPr>
        <w:t>经费</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hAnsi="宋体" w:eastAsia="仿宋_GB2312" w:cs="Times New Roman"/>
          <w:color w:val="auto"/>
          <w:sz w:val="32"/>
          <w:szCs w:val="32"/>
          <w:highlight w:val="none"/>
          <w:lang w:val="zh-CN"/>
        </w:rPr>
        <w:t>落实离退休干部政治待遇、生活待遇，做好地厅级离退休干部健康休养等有关事宜。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劳动人事部印发《关于离休干部健康休养的几项规定的通知》（劳人老〔1983〕17号），要求“根据老干部离休后‘基本政治待遇不变，生活待遇略为从优’的原则，每年对离休干部进行健康休养，一般可安排十五天至二十天”。中共广元市市委委办公室、广元市人民政府办公室印发《关于进一步加强和改进新时期离退休干部工作的实施意见》（广委办发〔2016〕78号）文件，要求“坚持和完善离退休干部健康休养制度，适当扩大参加健康休养范围，发挥好健康休养活动在保障离退休干部身心健康方面的效益和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r>
        <w:rPr>
          <w:rFonts w:hint="eastAsia" w:ascii="仿宋_GB2312" w:hAnsi="宋体" w:eastAsia="仿宋_GB2312" w:cs="Times New Roman"/>
          <w:color w:val="auto"/>
          <w:sz w:val="32"/>
          <w:szCs w:val="32"/>
          <w:highlight w:val="none"/>
          <w:lang w:val="zh-CN" w:eastAsia="zh-CN"/>
        </w:rPr>
        <w:t>每年统筹组织离退休干部开展健康休养一次，一般时间为7至10天，休养地点安排在本地区或本省范围内进行。目前休养对象共计1</w:t>
      </w:r>
      <w:r>
        <w:rPr>
          <w:rFonts w:hint="eastAsia" w:ascii="仿宋_GB2312" w:hAnsi="宋体" w:eastAsia="仿宋_GB2312" w:cs="Times New Roman"/>
          <w:color w:val="auto"/>
          <w:sz w:val="32"/>
          <w:szCs w:val="32"/>
          <w:highlight w:val="none"/>
          <w:lang w:val="en-US" w:eastAsia="zh-CN"/>
        </w:rPr>
        <w:t>43</w:t>
      </w:r>
      <w:r>
        <w:rPr>
          <w:rFonts w:hint="eastAsia" w:ascii="仿宋_GB2312" w:hAnsi="宋体" w:eastAsia="仿宋_GB2312" w:cs="Times New Roman"/>
          <w:color w:val="auto"/>
          <w:sz w:val="32"/>
          <w:szCs w:val="32"/>
          <w:highlight w:val="none"/>
          <w:lang w:val="zh-CN" w:eastAsia="zh-CN"/>
        </w:rPr>
        <w:t>人，其中离休干部</w:t>
      </w:r>
      <w:r>
        <w:rPr>
          <w:rFonts w:hint="eastAsia" w:ascii="仿宋_GB2312" w:hAnsi="宋体" w:eastAsia="仿宋_GB2312" w:cs="Times New Roman"/>
          <w:color w:val="auto"/>
          <w:sz w:val="32"/>
          <w:szCs w:val="32"/>
          <w:highlight w:val="none"/>
          <w:lang w:val="en-US" w:eastAsia="zh-CN"/>
        </w:rPr>
        <w:t>76</w:t>
      </w:r>
      <w:r>
        <w:rPr>
          <w:rFonts w:hint="eastAsia" w:ascii="仿宋_GB2312" w:hAnsi="宋体" w:eastAsia="仿宋_GB2312" w:cs="Times New Roman"/>
          <w:color w:val="auto"/>
          <w:sz w:val="32"/>
          <w:szCs w:val="32"/>
          <w:highlight w:val="none"/>
          <w:lang w:val="zh-CN" w:eastAsia="zh-CN"/>
        </w:rPr>
        <w:t>人，厅级老领导</w:t>
      </w:r>
      <w:r>
        <w:rPr>
          <w:rFonts w:hint="eastAsia" w:ascii="仿宋_GB2312" w:hAnsi="宋体" w:eastAsia="仿宋_GB2312" w:cs="Times New Roman"/>
          <w:color w:val="auto"/>
          <w:sz w:val="32"/>
          <w:szCs w:val="32"/>
          <w:highlight w:val="none"/>
          <w:lang w:val="en-US" w:eastAsia="zh-CN"/>
        </w:rPr>
        <w:t>67</w:t>
      </w:r>
      <w:r>
        <w:rPr>
          <w:rFonts w:hint="eastAsia" w:ascii="仿宋_GB2312" w:hAnsi="宋体" w:eastAsia="仿宋_GB2312" w:cs="Times New Roman"/>
          <w:color w:val="auto"/>
          <w:sz w:val="32"/>
          <w:szCs w:val="32"/>
          <w:highlight w:val="none"/>
          <w:lang w:val="zh-CN" w:eastAsia="zh-CN"/>
        </w:rPr>
        <w:t>人。健康休养期间将组织离退休干部开展政治学习、参观考察、文娱健身、健康知识讲座等活动。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组织离退休干部开展健康休养，确保离退休干部基本政治待遇不变，生活待遇略为从优。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6"/>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w:t>
      </w:r>
      <w:r>
        <w:rPr>
          <w:rFonts w:hint="eastAsia" w:hAnsi="宋体"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en-US" w:eastAsia="zh-CN" w:bidi="ar-SA"/>
        </w:rPr>
        <w:t>年</w:t>
      </w: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健康休养</w:t>
      </w:r>
      <w:r>
        <w:rPr>
          <w:rFonts w:hint="eastAsia" w:ascii="仿宋_GB2312" w:hAnsi="宋体" w:eastAsia="仿宋_GB2312" w:cs="Times New Roman"/>
          <w:color w:val="auto"/>
          <w:kern w:val="2"/>
          <w:sz w:val="32"/>
          <w:szCs w:val="32"/>
          <w:highlight w:val="none"/>
          <w:lang w:val="zh-CN" w:eastAsia="zh-CN" w:bidi="ar-SA"/>
        </w:rPr>
        <w:t>经费全年预算</w:t>
      </w:r>
      <w:r>
        <w:rPr>
          <w:rFonts w:hint="eastAsia" w:hAnsi="宋体" w:cs="Times New Roman"/>
          <w:color w:val="auto"/>
          <w:kern w:val="2"/>
          <w:sz w:val="32"/>
          <w:szCs w:val="32"/>
          <w:highlight w:val="none"/>
          <w:lang w:val="en-US" w:eastAsia="zh-CN" w:bidi="ar-SA"/>
        </w:rPr>
        <w:t>20</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numPr>
          <w:ilvl w:val="-1"/>
          <w:numId w:val="0"/>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320" w:firstLineChars="10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年12月，所有计划资金全部到位，共计</w:t>
      </w:r>
      <w:r>
        <w:rPr>
          <w:rFonts w:hint="eastAsia" w:ascii="仿宋_GB2312" w:hAnsi="宋体" w:eastAsia="仿宋_GB2312" w:cs="Times New Roman"/>
          <w:color w:val="auto"/>
          <w:sz w:val="32"/>
          <w:szCs w:val="32"/>
          <w:highlight w:val="none"/>
          <w:lang w:val="en-US" w:eastAsia="zh-CN"/>
        </w:rPr>
        <w:t>20</w:t>
      </w:r>
      <w:r>
        <w:rPr>
          <w:rFonts w:hint="eastAsia" w:ascii="仿宋_GB2312" w:hAnsi="宋体" w:eastAsia="仿宋_GB2312" w:cs="Times New Roman"/>
          <w:color w:val="auto"/>
          <w:sz w:val="32"/>
          <w:szCs w:val="32"/>
          <w:highlight w:val="none"/>
          <w:lang w:val="zh-CN"/>
        </w:rPr>
        <w:t>万元。</w:t>
      </w:r>
      <w:r>
        <w:rPr>
          <w:rFonts w:hint="eastAsia" w:ascii="仿宋_GB2312" w:hAnsi="宋体" w:eastAsia="仿宋_GB2312" w:cs="Times New Roman"/>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2．资金使用。</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w:t>
      </w:r>
      <w:r>
        <w:rPr>
          <w:rFonts w:hint="eastAsia" w:ascii="仿宋_GB2312" w:hAnsi="宋体" w:eastAsia="仿宋_GB2312" w:cs="Times New Roman"/>
          <w:color w:val="auto"/>
          <w:sz w:val="32"/>
          <w:szCs w:val="32"/>
          <w:highlight w:val="none"/>
          <w:lang w:val="zh-CN" w:eastAsia="zh-CN"/>
        </w:rPr>
        <w:t>离退休干部健康休养经费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20</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在数量指标方面全年共组织健康休养</w:t>
      </w:r>
      <w:r>
        <w:rPr>
          <w:rFonts w:hint="eastAsia" w:ascii="仿宋_GB2312" w:hAnsi="宋体" w:eastAsia="仿宋_GB2312" w:cs="Times New Roman"/>
          <w:color w:val="auto"/>
          <w:sz w:val="32"/>
          <w:szCs w:val="32"/>
          <w:highlight w:val="none"/>
          <w:lang w:val="en-US" w:eastAsia="zh-CN"/>
        </w:rPr>
        <w:t>2次143人。</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从社会效益方面老干部队伍稳定，该项目具有可持续发展需要，服务老干部满意。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Style w:val="25"/>
          <w:rFonts w:ascii="黑体" w:hAnsi="黑体" w:eastAsia="黑体"/>
          <w:b w:val="0"/>
          <w:color w:val="auto"/>
          <w:highlight w:val="none"/>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2022年部门预算项目绩效目标自评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32"/>
                <w:szCs w:val="3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组织离退休干部开展健康休养，确保离退休干部基本政治待遇不变，生活待遇略为从优。</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组织离退休干部开展健康休养，确保离退休干部基本政治待遇不变，生活待遇略为从优。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组织2次,健康休养1</w:t>
            </w:r>
            <w:r>
              <w:rPr>
                <w:rFonts w:hint="eastAsia" w:ascii="仿宋_GB2312" w:hAnsi="仿宋_GB2312" w:eastAsia="仿宋_GB2312" w:cs="仿宋_GB2312"/>
                <w:i w:val="0"/>
                <w:color w:val="auto"/>
                <w:sz w:val="28"/>
                <w:szCs w:val="28"/>
                <w:highlight w:val="none"/>
                <w:u w:val="none"/>
                <w:lang w:val="en-US" w:eastAsia="zh-CN"/>
              </w:rPr>
              <w:t>43</w:t>
            </w:r>
            <w:r>
              <w:rPr>
                <w:rFonts w:hint="eastAsia" w:ascii="仿宋_GB2312" w:hAnsi="仿宋_GB2312" w:eastAsia="仿宋_GB2312" w:cs="仿宋_GB2312"/>
                <w:i w:val="0"/>
                <w:color w:val="auto"/>
                <w:sz w:val="28"/>
                <w:szCs w:val="28"/>
                <w:highlight w:val="none"/>
                <w:u w:val="none"/>
              </w:rPr>
              <w:t>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组织2次,健康休养1</w:t>
            </w:r>
            <w:r>
              <w:rPr>
                <w:rFonts w:hint="eastAsia" w:ascii="仿宋_GB2312" w:hAnsi="仿宋_GB2312" w:eastAsia="仿宋_GB2312" w:cs="仿宋_GB2312"/>
                <w:i w:val="0"/>
                <w:color w:val="auto"/>
                <w:sz w:val="28"/>
                <w:szCs w:val="28"/>
                <w:highlight w:val="none"/>
                <w:u w:val="none"/>
                <w:lang w:val="en-US" w:eastAsia="zh-CN"/>
              </w:rPr>
              <w:t>43</w:t>
            </w:r>
            <w:r>
              <w:rPr>
                <w:rFonts w:hint="eastAsia" w:ascii="仿宋_GB2312" w:hAnsi="仿宋_GB2312" w:eastAsia="仿宋_GB2312" w:cs="仿宋_GB2312"/>
                <w:i w:val="0"/>
                <w:color w:val="auto"/>
                <w:sz w:val="28"/>
                <w:szCs w:val="28"/>
                <w:highlight w:val="none"/>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安全出行、身心愉悦</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安全出行、身心愉悦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体现市委市政府关怀，享受改革发展成果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体现市委市政府关怀，享受改革发展成果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Style w:val="25"/>
          <w:rFonts w:ascii="黑体" w:hAnsi="黑体" w:eastAsia="黑体"/>
          <w:b w:val="0"/>
          <w:color w:val="auto"/>
          <w:highlight w:val="none"/>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6"/>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（老干部活动中心及老干部休养所运行经费）</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认真贯彻落实党中央、国务院、省委、省政府关于老干部工作的方针政策和市委、市政府有关部署，完成市老干部活动中心和老干部休养所日常活动开展。离退休干部活动阵地规范化运行、作用充分发挥。</w:t>
      </w:r>
    </w:p>
    <w:p>
      <w:pPr>
        <w:adjustRightInd w:val="0"/>
        <w:snapToGrid w:val="0"/>
        <w:spacing w:line="600" w:lineRule="exact"/>
        <w:ind w:firstLine="720" w:firstLineChars="0"/>
        <w:rPr>
          <w:lang w:val="zh-CN"/>
        </w:rPr>
      </w:pPr>
      <w:r>
        <w:rPr>
          <w:rFonts w:hint="eastAsia" w:ascii="仿宋_GB2312" w:hAnsi="宋体" w:eastAsia="仿宋_GB2312" w:cs="Times New Roman"/>
          <w:color w:val="auto"/>
          <w:sz w:val="32"/>
          <w:szCs w:val="32"/>
          <w:highlight w:val="none"/>
          <w:lang w:val="zh-CN"/>
        </w:rPr>
        <w:t>2．项目立项、资金申报的依据。中办发〔2016〕3号、川委办〔2016〕22号、广委办〔2016〕78号、川老发〔2012〕8号。“党委、政府要加大支持力度，强化活动阵地运行管理经费财政投入保障”、“鼓励整合老干部活动中心（馆、室）、老干部（老年）大学等资源开办离退休干部党校”、“要根据离退休干部队伍不断变化的实际，建立完善阵地建设的投入保障机制，做到阵地建设与本地经济社会发展水平相适应。老干部活动中心正常运行所需经费，要列入财政和单位预算，保证老干部学习活动的需要”。</w:t>
      </w:r>
    </w:p>
    <w:p>
      <w:pPr>
        <w:numPr>
          <w:ilvl w:val="0"/>
          <w:numId w:val="0"/>
        </w:numPr>
        <w:adjustRightInd w:val="0"/>
        <w:snapToGrid w:val="0"/>
        <w:spacing w:line="600"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sz w:val="32"/>
          <w:szCs w:val="32"/>
          <w:highlight w:val="none"/>
          <w:lang w:val="zh-CN"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r>
        <w:rPr>
          <w:rFonts w:hint="eastAsia" w:ascii="仿宋_GB2312" w:hAnsi="宋体" w:eastAsia="仿宋_GB2312" w:cs="Times New Roman"/>
          <w:color w:val="auto"/>
          <w:kern w:val="2"/>
          <w:sz w:val="32"/>
          <w:szCs w:val="32"/>
          <w:highlight w:val="none"/>
          <w:lang w:val="zh-CN" w:eastAsia="zh-CN" w:bidi="ar-SA"/>
        </w:rPr>
        <w:t>市老干部活动中心现有面积5520平方米，2013年投入使用，日均接待老干部220余人次。维持老干部日常活动的开展，针对退休干部逐年增多的实际情况，为切实加强老干部教育管理</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做好老干部精准服务工作，确保离退休干部工作到位，保障服务离退休干部需求。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6"/>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w:t>
      </w:r>
      <w:r>
        <w:rPr>
          <w:rFonts w:hint="eastAsia" w:hAnsi="宋体"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en-US" w:eastAsia="zh-CN" w:bidi="ar-SA"/>
        </w:rPr>
        <w:t>年</w:t>
      </w:r>
      <w:r>
        <w:rPr>
          <w:rFonts w:hint="eastAsia" w:ascii="仿宋_GB2312" w:hAnsi="宋体" w:eastAsia="仿宋_GB2312" w:cs="Times New Roman"/>
          <w:color w:val="auto"/>
          <w:kern w:val="2"/>
          <w:sz w:val="32"/>
          <w:szCs w:val="32"/>
          <w:highlight w:val="none"/>
          <w:lang w:val="zh-CN" w:eastAsia="zh-CN" w:bidi="ar-SA"/>
        </w:rPr>
        <w:t>老干部活动中心及老干部休养所运行经费全年预算</w:t>
      </w:r>
      <w:r>
        <w:rPr>
          <w:rFonts w:hint="eastAsia" w:hAnsi="宋体" w:cs="Times New Roman"/>
          <w:color w:val="auto"/>
          <w:kern w:val="2"/>
          <w:sz w:val="32"/>
          <w:szCs w:val="32"/>
          <w:highlight w:val="none"/>
          <w:lang w:val="en-US" w:eastAsia="zh-CN" w:bidi="ar-SA"/>
        </w:rPr>
        <w:t>60.39</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资金计划及到位。</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年12月，所有计划资金全部到位，共计</w:t>
      </w:r>
      <w:r>
        <w:rPr>
          <w:rFonts w:hint="eastAsia" w:ascii="仿宋_GB2312" w:hAnsi="宋体" w:eastAsia="仿宋_GB2312" w:cs="Times New Roman"/>
          <w:color w:val="auto"/>
          <w:sz w:val="32"/>
          <w:szCs w:val="32"/>
          <w:highlight w:val="none"/>
          <w:lang w:val="en-US" w:eastAsia="zh-CN"/>
        </w:rPr>
        <w:t>60.39</w:t>
      </w:r>
      <w:r>
        <w:rPr>
          <w:rFonts w:hint="eastAsia" w:ascii="仿宋_GB2312" w:hAnsi="宋体" w:eastAsia="仿宋_GB2312" w:cs="Times New Roman"/>
          <w:color w:val="auto"/>
          <w:sz w:val="32"/>
          <w:szCs w:val="32"/>
          <w:highlight w:val="none"/>
          <w:lang w:val="zh-CN"/>
        </w:rPr>
        <w:t>万元。</w:t>
      </w:r>
    </w:p>
    <w:p>
      <w:pPr>
        <w:adjustRightInd w:val="0"/>
        <w:snapToGrid w:val="0"/>
        <w:spacing w:line="576" w:lineRule="exact"/>
        <w:ind w:firstLine="720"/>
        <w:rPr>
          <w:rFonts w:hint="eastAsia" w:ascii="仿宋_GB2312" w:hAnsi="宋体" w:eastAsia="仿宋_GB2312" w:cs="Times New Roman"/>
          <w:b/>
          <w:bCs/>
          <w:color w:val="auto"/>
          <w:sz w:val="32"/>
          <w:szCs w:val="32"/>
          <w:highlight w:val="none"/>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资金使用。</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w:t>
      </w:r>
      <w:r>
        <w:rPr>
          <w:rFonts w:hint="eastAsia" w:ascii="仿宋_GB2312" w:hAnsi="宋体" w:eastAsia="仿宋_GB2312" w:cs="Times New Roman"/>
          <w:color w:val="auto"/>
          <w:kern w:val="2"/>
          <w:sz w:val="32"/>
          <w:szCs w:val="32"/>
          <w:highlight w:val="none"/>
          <w:lang w:val="zh-CN" w:eastAsia="zh-CN" w:bidi="ar-SA"/>
        </w:rPr>
        <w:t>老干部活动中心及老干部休养所运行经费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60.39</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w:t>
      </w:r>
      <w:r>
        <w:rPr>
          <w:rFonts w:hint="eastAsia" w:ascii="仿宋_GB2312" w:hAnsi="宋体" w:eastAsia="仿宋_GB2312" w:cs="Times New Roman"/>
          <w:color w:val="auto"/>
          <w:kern w:val="2"/>
          <w:sz w:val="32"/>
          <w:szCs w:val="32"/>
          <w:highlight w:val="none"/>
          <w:lang w:val="zh-CN" w:eastAsia="zh-CN" w:bidi="ar-SA"/>
        </w:rPr>
        <w:t>日均接待老干部220余人次</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在质量指标方面市老干部活动中心和干休所活动常态化开展</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从社会效益方面市老干部活动中心和干休所功能充分发挥，老干部凝聚力、向心力增强，该项目具有可持续发展需要，服务老干部满意。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p>
      <w:pPr>
        <w:pStyle w:val="6"/>
        <w:rPr>
          <w:rFonts w:hint="eastAsia" w:ascii="仿宋_GB2312" w:hAnsi="宋体" w:eastAsia="仿宋_GB2312" w:cs="Times New Roman"/>
          <w:color w:val="auto"/>
          <w:kern w:val="2"/>
          <w:sz w:val="32"/>
          <w:szCs w:val="32"/>
          <w:highlight w:val="none"/>
          <w:lang w:val="zh-CN" w:eastAsia="zh-CN" w:bidi="ar-SA"/>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宋体"/>
          <w:b w:val="0"/>
          <w:bCs w:val="0"/>
          <w:color w:val="auto"/>
          <w:kern w:val="0"/>
          <w:sz w:val="32"/>
          <w:szCs w:val="32"/>
          <w:highlight w:val="none"/>
          <w:shd w:val="clear" w:color="auto" w:fill="FFFFFF"/>
          <w:lang w:val="zh-CN"/>
        </w:rPr>
        <w:t>附表：</w:t>
      </w:r>
    </w:p>
    <w:tbl>
      <w:tblPr>
        <w:tblStyle w:val="13"/>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261"/>
        <w:gridCol w:w="1516"/>
        <w:gridCol w:w="1189"/>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2022年部门预算项目绩效目标自评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3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3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60.39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60.39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3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完成市老干部活动中心和老干部休养所日常活动开展。离退休干部活动阵地规范化运行、作用充分发挥。</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完成市老干部活动中心和老干部休养所日常活动开展。离退休干部活动阵地规范化运行、作用充分发挥。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2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2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完成指标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指标1：活动中心和干休所有序运行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市老干部活动中心和干休所活动常态化开展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市老干部活动中心和干休所活动常态化开展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261"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指标1：活动中心和干休所有序运行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市老干部活动中心和干休所功能充分发挥，老干部凝聚力、向心力增强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市老干部活动中心和干休所功能充分发挥，老干部凝聚力、向心力增强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2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指标1：活动中心和干休所有序运行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组织老干部活动完成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积极组织老干部参加各种活动，有益老干部身心健康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指标1：活动中心和干休所有序运行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default" w:ascii="仿宋_GB2312" w:hAnsi="仿宋_GB2312" w:eastAsia="仿宋_GB2312" w:cs="仿宋_GB2312"/>
                <w:i w:val="0"/>
                <w:color w:val="auto"/>
                <w:sz w:val="28"/>
                <w:szCs w:val="28"/>
                <w:highlight w:val="none"/>
                <w:u w:val="none"/>
                <w:lang w:val="en-US" w:eastAsia="zh-CN"/>
              </w:rPr>
            </w:pPr>
            <w:r>
              <w:rPr>
                <w:rFonts w:hint="eastAsia" w:ascii="仿宋_GB2312" w:hAnsi="仿宋_GB2312" w:eastAsia="仿宋_GB2312" w:cs="仿宋_GB2312"/>
                <w:i w:val="0"/>
                <w:color w:val="auto"/>
                <w:sz w:val="28"/>
                <w:szCs w:val="28"/>
                <w:highlight w:val="none"/>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default" w:ascii="仿宋_GB2312" w:hAnsi="仿宋_GB2312" w:eastAsia="仿宋_GB2312" w:cs="仿宋_GB2312"/>
                <w:i w:val="0"/>
                <w:color w:val="auto"/>
                <w:sz w:val="28"/>
                <w:szCs w:val="28"/>
                <w:highlight w:val="none"/>
                <w:u w:val="none"/>
                <w:lang w:val="en-US" w:eastAsia="zh-CN"/>
              </w:rPr>
            </w:pPr>
            <w:r>
              <w:rPr>
                <w:rFonts w:hint="eastAsia" w:ascii="仿宋_GB2312" w:hAnsi="仿宋_GB2312" w:eastAsia="仿宋_GB2312" w:cs="仿宋_GB2312"/>
                <w:i w:val="0"/>
                <w:color w:val="auto"/>
                <w:sz w:val="28"/>
                <w:szCs w:val="28"/>
                <w:highlight w:val="none"/>
                <w:u w:val="none"/>
                <w:lang w:val="en-US" w:eastAsia="zh-CN"/>
              </w:rPr>
              <w:t>90%</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调研参观考察</w:t>
      </w:r>
      <w:r>
        <w:rPr>
          <w:rFonts w:hint="eastAsia" w:ascii="仿宋_GB2312" w:hAnsi="宋体" w:eastAsia="仿宋_GB2312" w:cs="Times New Roman"/>
          <w:color w:val="auto"/>
          <w:kern w:val="2"/>
          <w:sz w:val="32"/>
          <w:szCs w:val="32"/>
          <w:highlight w:val="none"/>
          <w:lang w:val="zh-CN" w:eastAsia="zh-CN" w:bidi="ar-SA"/>
        </w:rPr>
        <w:t>经费）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hAnsi="宋体" w:eastAsia="仿宋_GB2312" w:cs="Times New Roman"/>
          <w:color w:val="auto"/>
          <w:sz w:val="32"/>
          <w:szCs w:val="32"/>
          <w:highlight w:val="none"/>
          <w:lang w:val="zh-CN"/>
        </w:rPr>
        <w:t>落实离退休干部政治待遇、生活待遇，指导、协调解决离退休干部及离休干部无工作遗属特殊困难问题；组织安排重大节日慰问、座谈等工作，指导、协调做好地厅级离退休干部参观考察等。</w:t>
      </w:r>
    </w:p>
    <w:p>
      <w:pPr>
        <w:adjustRightInd w:val="0"/>
        <w:snapToGrid w:val="0"/>
        <w:spacing w:line="600" w:lineRule="exact"/>
        <w:ind w:firstLine="640" w:firstLineChars="200"/>
        <w:rPr>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中办发〔2016〕3号、川委办〔2016〕22号、广委办〔2016〕78号、广委办函〔2014〕38号。“坚持季度通报情况与就近就地参观学习相结合，完善和落实阅读文件、参加重要会议和重大活动等制度”、“市委、市政府每季度召开一次工作情况通报（座谈）会，向离退休干部集中通报（座谈）工作情况”、“根据实际情况需要，可一并组织离退休干部到相关市级部门或县区现场参观考察。”</w:t>
      </w:r>
    </w:p>
    <w:p>
      <w:pPr>
        <w:adjustRightInd w:val="0"/>
        <w:snapToGrid w:val="0"/>
        <w:spacing w:line="600" w:lineRule="exact"/>
        <w:ind w:firstLine="640" w:firstLineChars="200"/>
        <w:rPr>
          <w:rFonts w:hint="eastAsia"/>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定期组织离退休干部参观考察经济社会发展是落实离退休干部政治待遇的一项重要政策规定。市委市政府明确规定，每季度召开1次全市工作情况通报（座谈）会，每年统筹组织市级老领导和厅级离退休干部10</w:t>
      </w:r>
      <w:r>
        <w:rPr>
          <w:rFonts w:hint="eastAsia" w:ascii="仿宋_GB2312" w:hAnsi="宋体" w:eastAsia="仿宋_GB2312" w:cs="Times New Roman"/>
          <w:color w:val="auto"/>
          <w:sz w:val="32"/>
          <w:szCs w:val="32"/>
          <w:highlight w:val="none"/>
          <w:lang w:val="en-US" w:eastAsia="zh-CN"/>
        </w:rPr>
        <w:t>5</w:t>
      </w:r>
      <w:r>
        <w:rPr>
          <w:rFonts w:hint="eastAsia" w:ascii="仿宋_GB2312" w:hAnsi="宋体" w:eastAsia="仿宋_GB2312" w:cs="Times New Roman"/>
          <w:color w:val="auto"/>
          <w:sz w:val="32"/>
          <w:szCs w:val="32"/>
          <w:highlight w:val="none"/>
          <w:lang w:val="zh-CN"/>
        </w:rPr>
        <w:t>人到县区和周边市县参观考察4次，省外参观考察1次，并征集意见建议，向市委市政府报送专题报告。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组织厅级离退休干部到县区和周边市县参观考察4次，充分体现市委市政府对厅级离退休干部政治上的关怀。</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6"/>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w:t>
      </w:r>
      <w:r>
        <w:rPr>
          <w:rFonts w:hint="eastAsia" w:hAnsi="宋体"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en-US" w:eastAsia="zh-CN" w:bidi="ar-SA"/>
        </w:rPr>
        <w:t>年</w:t>
      </w: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调研参观考察</w:t>
      </w:r>
      <w:r>
        <w:rPr>
          <w:rFonts w:hint="eastAsia" w:ascii="仿宋_GB2312" w:hAnsi="宋体" w:eastAsia="仿宋_GB2312" w:cs="Times New Roman"/>
          <w:color w:val="auto"/>
          <w:kern w:val="2"/>
          <w:sz w:val="32"/>
          <w:szCs w:val="32"/>
          <w:highlight w:val="none"/>
          <w:lang w:val="zh-CN" w:eastAsia="zh-CN" w:bidi="ar-SA"/>
        </w:rPr>
        <w:t>经费全年预算</w:t>
      </w:r>
      <w:r>
        <w:rPr>
          <w:rFonts w:hint="eastAsia" w:hAnsi="宋体" w:cs="Times New Roman"/>
          <w:color w:val="auto"/>
          <w:kern w:val="2"/>
          <w:sz w:val="32"/>
          <w:szCs w:val="32"/>
          <w:highlight w:val="none"/>
          <w:lang w:val="en-US" w:eastAsia="zh-CN" w:bidi="ar-SA"/>
        </w:rPr>
        <w:t>8</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numPr>
          <w:ilvl w:val="-1"/>
          <w:numId w:val="0"/>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320" w:firstLineChars="1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年12月，所有计划资金全部到位，共计</w:t>
      </w:r>
      <w:r>
        <w:rPr>
          <w:rFonts w:hint="eastAsia" w:ascii="仿宋_GB2312" w:hAnsi="宋体" w:eastAsia="仿宋_GB2312" w:cs="Times New Roman"/>
          <w:color w:val="auto"/>
          <w:sz w:val="32"/>
          <w:szCs w:val="32"/>
          <w:highlight w:val="none"/>
          <w:lang w:val="en-US" w:eastAsia="zh-CN"/>
        </w:rPr>
        <w:t>8</w:t>
      </w:r>
      <w:r>
        <w:rPr>
          <w:rFonts w:hint="eastAsia" w:ascii="仿宋_GB2312" w:hAnsi="宋体" w:eastAsia="仿宋_GB2312" w:cs="Times New Roman"/>
          <w:color w:val="auto"/>
          <w:sz w:val="32"/>
          <w:szCs w:val="32"/>
          <w:highlight w:val="none"/>
          <w:lang w:val="zh-CN"/>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2．资金使用。</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w:t>
      </w:r>
      <w:r>
        <w:rPr>
          <w:rFonts w:hint="eastAsia" w:ascii="仿宋_GB2312" w:hAnsi="宋体" w:eastAsia="仿宋_GB2312" w:cs="Times New Roman"/>
          <w:color w:val="auto"/>
          <w:sz w:val="32"/>
          <w:szCs w:val="32"/>
          <w:highlight w:val="none"/>
          <w:lang w:val="zh-CN" w:eastAsia="zh-CN"/>
        </w:rPr>
        <w:t>离退休干部</w:t>
      </w:r>
      <w:r>
        <w:rPr>
          <w:rFonts w:hint="eastAsia" w:hAnsi="宋体" w:cs="Times New Roman"/>
          <w:color w:val="auto"/>
          <w:kern w:val="2"/>
          <w:sz w:val="32"/>
          <w:szCs w:val="32"/>
          <w:highlight w:val="none"/>
          <w:lang w:val="zh-CN" w:eastAsia="zh-CN" w:bidi="ar-SA"/>
        </w:rPr>
        <w:t>调研参观考察</w:t>
      </w:r>
      <w:r>
        <w:rPr>
          <w:rFonts w:hint="eastAsia" w:ascii="仿宋_GB2312" w:hAnsi="宋体" w:eastAsia="仿宋_GB2312" w:cs="Times New Roman"/>
          <w:color w:val="auto"/>
          <w:sz w:val="32"/>
          <w:szCs w:val="32"/>
          <w:highlight w:val="none"/>
          <w:lang w:val="zh-CN" w:eastAsia="zh-CN"/>
        </w:rPr>
        <w:t>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8</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在数量指标方面全年共组织参观调研省内</w:t>
      </w:r>
      <w:r>
        <w:rPr>
          <w:rFonts w:hint="eastAsia" w:ascii="仿宋_GB2312" w:hAnsi="宋体" w:eastAsia="仿宋_GB2312" w:cs="Times New Roman"/>
          <w:color w:val="auto"/>
          <w:sz w:val="32"/>
          <w:szCs w:val="32"/>
          <w:highlight w:val="none"/>
          <w:lang w:val="en-US" w:eastAsia="zh-CN"/>
        </w:rPr>
        <w:t>4次，全覆盖。</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从社会效益方面组织老领导体会新发展新变化，积极建言献策，该项目具有可持续发展需要，服务老干部满意。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textAlignment w:val="auto"/>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2" w:firstLineChars="200"/>
        <w:textAlignment w:val="auto"/>
        <w:rPr>
          <w:rFonts w:hint="eastAsia"/>
          <w:color w:val="auto"/>
          <w:highlight w:val="none"/>
          <w:lang w:val="zh-CN"/>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tbl>
      <w:tblPr>
        <w:tblStyle w:val="13"/>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969"/>
        <w:gridCol w:w="1808"/>
        <w:gridCol w:w="1189"/>
        <w:gridCol w:w="1728"/>
        <w:gridCol w:w="1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2022年部门预算项目绩效目标自评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9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执行数：</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9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9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组织厅级离退休干部到县区和周边市县参观考察4次，省外参观考察1次，充分体现市委市政府对厅级离退休干部政治上的关怀。</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组织厅级离退休干部到县区和周边市县参观考察4次，省外参观考察1次，充分体现市委市政府对厅级离退休干部政治上的关怀。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9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组织到市级部门和周边市县4次,省外考察1次</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组织到市级部门和周边市县4次,省外考察1次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安全出行、每季度完成1次</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安全出行、每季度完成1次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组织老领导体会新发展新变化，积极建言献策</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组织老领导体会新发展新变化，积极建言献策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6"/>
        <w:keepNext w:val="0"/>
        <w:keepLines w:val="0"/>
        <w:pageBreakBefore w:val="0"/>
        <w:suppressLineNumbers w:val="0"/>
        <w:kinsoku/>
        <w:wordWrap/>
        <w:overflowPunct/>
        <w:topLinePunct w:val="0"/>
        <w:autoSpaceDE/>
        <w:autoSpaceDN/>
        <w:bidi w:val="0"/>
        <w:spacing w:beforeAutospacing="0" w:after="0" w:afterAutospacing="0" w:line="576" w:lineRule="exact"/>
        <w:ind w:left="0" w:right="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附件</w:t>
      </w:r>
    </w:p>
    <w:p>
      <w:pPr>
        <w:pStyle w:val="6"/>
        <w:keepNext w:val="0"/>
        <w:keepLines w:val="0"/>
        <w:pageBreakBefore w:val="0"/>
        <w:suppressLineNumbers w:val="0"/>
        <w:kinsoku/>
        <w:wordWrap/>
        <w:overflowPunct/>
        <w:topLinePunct w:val="0"/>
        <w:autoSpaceDE/>
        <w:autoSpaceDN/>
        <w:bidi w:val="0"/>
        <w:spacing w:beforeAutospacing="0" w:after="0" w:afterAutospacing="0" w:line="576" w:lineRule="exact"/>
        <w:ind w:left="0" w:right="0"/>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suppressLineNumbers w:val="0"/>
        <w:kinsoku/>
        <w:wordWrap/>
        <w:overflowPunct/>
        <w:topLinePunct w:val="0"/>
        <w:autoSpaceDE/>
        <w:autoSpaceDN/>
        <w:bidi w:val="0"/>
        <w:spacing w:beforeAutospacing="0" w:after="0" w:afterAutospacing="0" w:line="576" w:lineRule="exact"/>
        <w:ind w:left="0" w:right="0"/>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suppressLineNumbers w:val="0"/>
        <w:kinsoku/>
        <w:wordWrap/>
        <w:overflowPunct/>
        <w:topLinePunct w:val="0"/>
        <w:autoSpaceDE/>
        <w:autoSpaceDN/>
        <w:bidi w:val="0"/>
        <w:spacing w:beforeAutospacing="0" w:after="0" w:afterAutospacing="0" w:line="576" w:lineRule="exact"/>
        <w:ind w:right="0"/>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（离退休干部党建经费）</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firstLineChars="200"/>
        <w:textAlignment w:val="auto"/>
        <w:rPr>
          <w:rFonts w:hint="eastAsia" w:ascii="仿宋_GB2312" w:hAnsi="宋体" w:eastAsia="仿宋_GB2312" w:cs="Calibri"/>
          <w:color w:val="000000"/>
          <w:kern w:val="0"/>
          <w:sz w:val="44"/>
          <w:szCs w:val="44"/>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eastAsia="仿宋_GB2312"/>
          <w:sz w:val="32"/>
          <w:szCs w:val="32"/>
        </w:rPr>
        <w:t>指导和加强全市离退休干部活动阵地、学习阵地规范化建设。</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76" w:lineRule="exact"/>
        <w:ind w:left="0" w:right="0" w:firstLine="720" w:firstLineChars="0"/>
        <w:textAlignment w:val="auto"/>
        <w:rPr>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r>
        <w:rPr>
          <w:rFonts w:hint="eastAsia" w:ascii="仿宋_GB2312" w:eastAsia="仿宋_GB2312"/>
          <w:sz w:val="32"/>
          <w:szCs w:val="32"/>
        </w:rPr>
        <w:t xml:space="preserve">《中国共产党支部工作条例（试行）》、中办发〔2016〕3号、川委办〔2016〕22号、广委办〔2016〕78号、广委〔2017〕61号、广编发〔2018〕3号、广组发〔2018〕4号。“进一步规范和加强离退休干部党建工作机构建设，在老干部工作部门建立离退休干部党委（工委），负责指导、督促、检查离退休干部党建工作”、“落实离退休干部党组织工作经费保障机制，由财政预算保障离退休干部党建工作专项经费。” </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加强离退休干部党支部规范化标准化建设作出重要部署，要求把离退休干部党支部建设成组织老同志、凝聚老同志、教育老同志的坚强堡垒。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年，将进一步推进离退休干部党支部标准化建设。实现离退休干部党组织覆盖和党的工作覆盖达到“两个100%”，全面实现规范化标准化。</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指导、督促、检查全市离退休干部党支部标准化规范化建设，全面实施离退休干部党支部提升工程，着力提升支部建设质量，实现离退休干部党组织覆盖和党的工作覆盖达到“两个100%”，推进离退休干部党组织全面进步全面过硬。</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2"/>
        <w:keepNext w:val="0"/>
        <w:keepLines w:val="0"/>
        <w:pageBreakBefore w:val="0"/>
        <w:suppressLineNumbers w:val="0"/>
        <w:kinsoku/>
        <w:wordWrap/>
        <w:overflowPunct/>
        <w:topLinePunct w:val="0"/>
        <w:autoSpaceDE/>
        <w:autoSpaceDN/>
        <w:bidi w:val="0"/>
        <w:spacing w:beforeAutospacing="0" w:after="0" w:afterAutospacing="0" w:line="576"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6"/>
        <w:keepNext w:val="0"/>
        <w:keepLines w:val="0"/>
        <w:pageBreakBefore w:val="0"/>
        <w:numPr>
          <w:ilvl w:val="0"/>
          <w:numId w:val="0"/>
        </w:numPr>
        <w:suppressLineNumbers w:val="0"/>
        <w:kinsoku/>
        <w:wordWrap/>
        <w:overflowPunct/>
        <w:topLinePunct w:val="0"/>
        <w:autoSpaceDE/>
        <w:autoSpaceDN/>
        <w:bidi w:val="0"/>
        <w:spacing w:beforeAutospacing="0" w:after="0" w:afterAutospacing="0" w:line="576" w:lineRule="exact"/>
        <w:ind w:left="0" w:right="0"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w:t>
      </w:r>
      <w:r>
        <w:rPr>
          <w:rFonts w:hint="eastAsia" w:hAnsi="宋体"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en-US" w:eastAsia="zh-CN" w:bidi="ar-SA"/>
        </w:rPr>
        <w:t>年</w:t>
      </w: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党建</w:t>
      </w:r>
      <w:r>
        <w:rPr>
          <w:rFonts w:hint="eastAsia" w:ascii="仿宋_GB2312" w:hAnsi="宋体" w:eastAsia="仿宋_GB2312" w:cs="Times New Roman"/>
          <w:color w:val="auto"/>
          <w:kern w:val="2"/>
          <w:sz w:val="32"/>
          <w:szCs w:val="32"/>
          <w:highlight w:val="none"/>
          <w:lang w:val="zh-CN" w:eastAsia="zh-CN" w:bidi="ar-SA"/>
        </w:rPr>
        <w:t>经费全年预算</w:t>
      </w:r>
      <w:r>
        <w:rPr>
          <w:rFonts w:hint="eastAsia" w:hAnsi="宋体" w:cs="Times New Roman"/>
          <w:color w:val="auto"/>
          <w:kern w:val="2"/>
          <w:sz w:val="32"/>
          <w:szCs w:val="32"/>
          <w:highlight w:val="none"/>
          <w:lang w:val="en-US" w:eastAsia="zh-CN" w:bidi="ar-SA"/>
        </w:rPr>
        <w:t>10</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numPr>
          <w:ilvl w:val="0"/>
          <w:numId w:val="5"/>
        </w:numPr>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资金计划、到位及使用情况</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Autospacing="0" w:after="0" w:afterAutospacing="0" w:line="576" w:lineRule="exact"/>
        <w:ind w:right="0" w:rightChars="0" w:firstLine="640"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年12月，所有计划资金全部到位，共计</w:t>
      </w:r>
      <w:r>
        <w:rPr>
          <w:rFonts w:hint="eastAsia" w:ascii="仿宋_GB2312" w:hAnsi="宋体" w:eastAsia="仿宋_GB2312" w:cs="Times New Roman"/>
          <w:color w:val="auto"/>
          <w:sz w:val="32"/>
          <w:szCs w:val="32"/>
          <w:highlight w:val="none"/>
          <w:lang w:val="en-US" w:eastAsia="zh-CN"/>
        </w:rPr>
        <w:t>10</w:t>
      </w:r>
      <w:r>
        <w:rPr>
          <w:rFonts w:hint="eastAsia" w:ascii="仿宋_GB2312" w:hAnsi="宋体" w:eastAsia="仿宋_GB2312" w:cs="Times New Roman"/>
          <w:color w:val="auto"/>
          <w:sz w:val="32"/>
          <w:szCs w:val="32"/>
          <w:highlight w:val="none"/>
          <w:lang w:val="zh-CN"/>
        </w:rPr>
        <w:t>万元。</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right="0"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2．资金使用。</w:t>
      </w:r>
      <w:r>
        <w:rPr>
          <w:rFonts w:hint="eastAsia" w:ascii="仿宋_GB2312" w:hAnsi="宋体" w:eastAsia="仿宋_GB2312" w:cs="Times New Roman"/>
          <w:color w:val="auto"/>
          <w:sz w:val="32"/>
          <w:szCs w:val="32"/>
          <w:highlight w:val="none"/>
          <w:lang w:val="zh-CN"/>
        </w:rPr>
        <w:t>截止202</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年12月，</w:t>
      </w:r>
      <w:r>
        <w:rPr>
          <w:rFonts w:hint="eastAsia" w:ascii="仿宋_GB2312" w:hAnsi="宋体" w:eastAsia="仿宋_GB2312" w:cs="Times New Roman"/>
          <w:color w:val="auto"/>
          <w:sz w:val="32"/>
          <w:szCs w:val="32"/>
          <w:highlight w:val="none"/>
          <w:lang w:val="zh-CN" w:eastAsia="zh-CN"/>
        </w:rPr>
        <w:t>离退休干部党建经费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10</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在数量指标方面全年达到</w:t>
      </w:r>
      <w:r>
        <w:rPr>
          <w:rFonts w:hint="eastAsia" w:ascii="仿宋_GB2312" w:hAnsi="宋体" w:eastAsia="仿宋_GB2312" w:cs="Times New Roman"/>
          <w:color w:val="auto"/>
          <w:sz w:val="32"/>
          <w:szCs w:val="32"/>
          <w:highlight w:val="none"/>
          <w:lang w:val="en-US" w:eastAsia="zh-CN"/>
        </w:rPr>
        <w:t>2个全覆盖。</w:t>
      </w:r>
      <w:r>
        <w:rPr>
          <w:rFonts w:hint="eastAsia" w:ascii="仿宋_GB2312" w:hAnsi="宋体" w:eastAsia="仿宋_GB2312" w:cs="Times New Roman"/>
          <w:color w:val="auto"/>
          <w:sz w:val="32"/>
          <w:szCs w:val="32"/>
          <w:highlight w:val="none"/>
          <w:lang w:val="zh-CN"/>
        </w:rPr>
        <w:t>在质量指标方面覆盖率达</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从社会效益方面全面进步、全面过硬，该项目具有可持续发展需要，标准化服务满意度达100%。</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 w:hAnsi="仿宋" w:eastAsia="仿宋"/>
          <w:color w:val="000000"/>
          <w:sz w:val="32"/>
          <w:szCs w:val="32"/>
          <w:lang w:val="en-US" w:eastAsia="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p>
      <w:pPr>
        <w:pStyle w:val="6"/>
        <w:rPr>
          <w:rFonts w:hint="eastAsia"/>
        </w:rPr>
      </w:pPr>
    </w:p>
    <w:tbl>
      <w:tblPr>
        <w:tblStyle w:val="13"/>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467"/>
        <w:gridCol w:w="1149"/>
        <w:gridCol w:w="2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2022年部门预算项目绩效目标自评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预算数：</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执行数：</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4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4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督促、检查全市离退休干部党支部标准化规范化建设，全面实施离退休干部党支部提升工程，着力提升支部建设质量，实现离退休干部党组织覆盖和党的工作覆盖达到“两个100%”，推进离退休干部党组织全面进步全面过硬。</w:t>
            </w: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督促、检查全市离退休干部党支部标准化规范化建设，全面实施离退休干部党支部提升工程，着力提升支部建设质量，实现离退休干部党组织覆盖和党的工作覆盖达到“两个100%”，推进离退休干部党组织全面进步全面过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指标1：离退休干部党支部标准化建设</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两个覆盖率达到100%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两个覆盖率达到100%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指标1：离退休干部党支部标准化建设</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全面进步、全面过硬</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全面进步、全面过硬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指标1：离退休干部党支部标准化建设</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rPr>
              <w:t>标准化规范化建设达100%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标准化规范化建设达100%</w:t>
            </w:r>
          </w:p>
        </w:tc>
      </w:tr>
    </w:tbl>
    <w:p/>
    <w:p>
      <w:pPr>
        <w:spacing w:line="600" w:lineRule="exact"/>
        <w:jc w:val="center"/>
        <w:outlineLvl w:val="0"/>
        <w:rPr>
          <w:rFonts w:hint="eastAsia" w:ascii="仿宋" w:hAnsi="仿宋" w:eastAsia="仿宋"/>
          <w:b w:val="0"/>
          <w:color w:val="auto"/>
          <w:highlight w:val="none"/>
        </w:rPr>
      </w:pPr>
      <w:bookmarkStart w:id="235" w:name="_Toc15377226"/>
      <w:bookmarkStart w:id="236" w:name="_Toc1016001595"/>
      <w:bookmarkStart w:id="237" w:name="_Toc1681609087"/>
      <w:bookmarkStart w:id="238" w:name="_Toc1326713276"/>
      <w:bookmarkStart w:id="239" w:name="_Toc1115436238"/>
      <w:bookmarkStart w:id="240" w:name="_Toc541701523"/>
      <w:bookmarkStart w:id="241" w:name="_Toc1279085669"/>
      <w:bookmarkStart w:id="242" w:name="_Toc634241172"/>
      <w:bookmarkStart w:id="243" w:name="_Toc548414867"/>
      <w:bookmarkStart w:id="244" w:name="_Toc15396618"/>
      <w:bookmarkStart w:id="245" w:name="_Toc1516141978"/>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235"/>
      <w:bookmarkEnd w:id="236"/>
      <w:bookmarkEnd w:id="237"/>
      <w:bookmarkEnd w:id="238"/>
      <w:bookmarkEnd w:id="239"/>
      <w:bookmarkEnd w:id="240"/>
      <w:bookmarkEnd w:id="241"/>
      <w:bookmarkEnd w:id="242"/>
      <w:bookmarkEnd w:id="243"/>
      <w:bookmarkEnd w:id="244"/>
      <w:bookmarkEnd w:id="245"/>
      <w:bookmarkStart w:id="246" w:name="_Toc15396619"/>
    </w:p>
    <w:p>
      <w:pPr>
        <w:pStyle w:val="4"/>
        <w:rPr>
          <w:rFonts w:ascii="仿宋" w:hAnsi="仿宋" w:eastAsia="仿宋"/>
          <w:color w:val="auto"/>
          <w:highlight w:val="none"/>
        </w:rPr>
      </w:pPr>
      <w:bookmarkStart w:id="247" w:name="_Toc1926308955"/>
      <w:bookmarkStart w:id="248" w:name="_Toc450225784"/>
      <w:bookmarkStart w:id="249" w:name="_Toc612154069"/>
      <w:bookmarkStart w:id="250" w:name="_Toc887462972"/>
      <w:bookmarkStart w:id="251" w:name="_Toc417287527"/>
      <w:bookmarkStart w:id="252" w:name="_Toc653096961"/>
      <w:bookmarkStart w:id="253" w:name="_Toc1807880257"/>
      <w:bookmarkStart w:id="254" w:name="_Toc223171205"/>
      <w:bookmarkStart w:id="255" w:name="_Toc1895101132"/>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246"/>
      <w:bookmarkEnd w:id="247"/>
      <w:bookmarkEnd w:id="248"/>
      <w:bookmarkEnd w:id="249"/>
      <w:bookmarkEnd w:id="250"/>
      <w:bookmarkEnd w:id="251"/>
      <w:bookmarkEnd w:id="252"/>
      <w:bookmarkEnd w:id="253"/>
      <w:bookmarkEnd w:id="254"/>
      <w:bookmarkEnd w:id="255"/>
    </w:p>
    <w:p>
      <w:pPr>
        <w:pStyle w:val="4"/>
        <w:rPr>
          <w:rFonts w:ascii="仿宋" w:hAnsi="仿宋" w:eastAsia="仿宋"/>
          <w:color w:val="auto"/>
          <w:highlight w:val="none"/>
        </w:rPr>
      </w:pPr>
      <w:bookmarkStart w:id="256" w:name="_Toc16029568"/>
      <w:bookmarkStart w:id="257" w:name="_Toc15396620"/>
      <w:bookmarkStart w:id="258" w:name="_Toc1703159936"/>
      <w:bookmarkStart w:id="259" w:name="_Toc65126688"/>
      <w:bookmarkStart w:id="260" w:name="_Toc1583854209"/>
      <w:bookmarkStart w:id="261" w:name="_Toc185257978"/>
      <w:bookmarkStart w:id="262" w:name="_Toc1625148813"/>
      <w:bookmarkStart w:id="263" w:name="_Toc1959910143"/>
      <w:bookmarkStart w:id="264" w:name="_Toc841441912"/>
      <w:bookmarkStart w:id="265" w:name="_Toc161625371"/>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256"/>
      <w:bookmarkEnd w:id="257"/>
      <w:bookmarkEnd w:id="258"/>
      <w:bookmarkEnd w:id="259"/>
      <w:bookmarkEnd w:id="260"/>
      <w:bookmarkEnd w:id="261"/>
      <w:bookmarkEnd w:id="262"/>
      <w:bookmarkEnd w:id="263"/>
      <w:bookmarkEnd w:id="264"/>
      <w:bookmarkEnd w:id="265"/>
    </w:p>
    <w:p>
      <w:pPr>
        <w:pStyle w:val="4"/>
        <w:rPr>
          <w:rFonts w:ascii="仿宋" w:hAnsi="仿宋" w:eastAsia="仿宋"/>
          <w:color w:val="auto"/>
          <w:highlight w:val="none"/>
        </w:rPr>
      </w:pPr>
      <w:bookmarkStart w:id="266" w:name="_Toc854720949"/>
      <w:bookmarkStart w:id="267" w:name="_Toc15396621"/>
      <w:bookmarkStart w:id="268" w:name="_Toc389567440"/>
      <w:bookmarkStart w:id="269" w:name="_Toc2083218115"/>
      <w:bookmarkStart w:id="270" w:name="_Toc1844614178"/>
      <w:bookmarkStart w:id="271" w:name="_Toc971345637"/>
      <w:bookmarkStart w:id="272" w:name="_Toc1473855491"/>
      <w:bookmarkStart w:id="273" w:name="_Toc1947524758"/>
      <w:bookmarkStart w:id="274" w:name="_Toc164646622"/>
      <w:bookmarkStart w:id="275" w:name="_Toc1653059336"/>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266"/>
      <w:bookmarkEnd w:id="267"/>
      <w:bookmarkEnd w:id="268"/>
      <w:bookmarkEnd w:id="269"/>
      <w:bookmarkEnd w:id="270"/>
      <w:bookmarkEnd w:id="271"/>
      <w:bookmarkEnd w:id="272"/>
      <w:bookmarkEnd w:id="273"/>
      <w:bookmarkEnd w:id="274"/>
      <w:bookmarkEnd w:id="275"/>
    </w:p>
    <w:p>
      <w:pPr>
        <w:pStyle w:val="4"/>
        <w:rPr>
          <w:rFonts w:ascii="仿宋" w:hAnsi="仿宋" w:eastAsia="仿宋"/>
          <w:b w:val="0"/>
          <w:color w:val="auto"/>
          <w:highlight w:val="none"/>
        </w:rPr>
      </w:pPr>
      <w:bookmarkStart w:id="276" w:name="_Toc1037202800"/>
      <w:bookmarkStart w:id="277" w:name="_Toc236034341"/>
      <w:bookmarkStart w:id="278" w:name="_Toc1476329941"/>
      <w:bookmarkStart w:id="279" w:name="_Toc1413855900"/>
      <w:bookmarkStart w:id="280" w:name="_Toc15396622"/>
      <w:bookmarkStart w:id="281" w:name="_Toc389688337"/>
      <w:bookmarkStart w:id="282" w:name="_Toc149082598"/>
      <w:bookmarkStart w:id="283" w:name="_Toc1351642956"/>
      <w:bookmarkStart w:id="284" w:name="_Toc1483706523"/>
      <w:bookmarkStart w:id="285" w:name="_Toc1876536205"/>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276"/>
      <w:bookmarkEnd w:id="277"/>
      <w:bookmarkEnd w:id="278"/>
      <w:bookmarkEnd w:id="279"/>
      <w:bookmarkEnd w:id="280"/>
      <w:bookmarkEnd w:id="281"/>
      <w:bookmarkEnd w:id="282"/>
      <w:bookmarkEnd w:id="283"/>
      <w:bookmarkEnd w:id="284"/>
      <w:bookmarkEnd w:id="285"/>
    </w:p>
    <w:p>
      <w:pPr>
        <w:pStyle w:val="4"/>
        <w:rPr>
          <w:rStyle w:val="26"/>
          <w:rFonts w:ascii="仿宋" w:hAnsi="仿宋" w:eastAsia="仿宋"/>
          <w:b w:val="0"/>
          <w:bCs w:val="0"/>
          <w:color w:val="auto"/>
          <w:highlight w:val="none"/>
        </w:rPr>
      </w:pPr>
      <w:bookmarkStart w:id="286" w:name="_Toc1885389046"/>
      <w:bookmarkStart w:id="287" w:name="_Toc438639342"/>
      <w:bookmarkStart w:id="288" w:name="_Toc660025430"/>
      <w:bookmarkStart w:id="289" w:name="_Toc265314303"/>
      <w:bookmarkStart w:id="290" w:name="_Toc1004578894"/>
      <w:bookmarkStart w:id="291" w:name="_Toc1204455580"/>
      <w:bookmarkStart w:id="292" w:name="_Toc1469380565"/>
      <w:bookmarkStart w:id="293" w:name="_Toc1999482097"/>
      <w:bookmarkStart w:id="294" w:name="_Toc690045888"/>
      <w:bookmarkStart w:id="295"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286"/>
      <w:bookmarkEnd w:id="287"/>
      <w:bookmarkEnd w:id="288"/>
      <w:bookmarkEnd w:id="289"/>
      <w:bookmarkEnd w:id="290"/>
      <w:bookmarkEnd w:id="291"/>
      <w:bookmarkEnd w:id="292"/>
      <w:bookmarkEnd w:id="293"/>
      <w:bookmarkEnd w:id="294"/>
      <w:bookmarkEnd w:id="295"/>
      <w:bookmarkStart w:id="296" w:name="_Toc15396624"/>
    </w:p>
    <w:p>
      <w:pPr>
        <w:pStyle w:val="4"/>
        <w:rPr>
          <w:rFonts w:ascii="仿宋" w:hAnsi="仿宋" w:eastAsia="仿宋"/>
          <w:color w:val="auto"/>
          <w:highlight w:val="none"/>
        </w:rPr>
      </w:pPr>
      <w:bookmarkStart w:id="297" w:name="_Toc1181070164"/>
      <w:bookmarkStart w:id="298" w:name="_Toc384340019"/>
      <w:bookmarkStart w:id="299" w:name="_Toc551095269"/>
      <w:bookmarkStart w:id="300" w:name="_Toc1782983538"/>
      <w:bookmarkStart w:id="301" w:name="_Toc182046498"/>
      <w:bookmarkStart w:id="302" w:name="_Toc907835863"/>
      <w:bookmarkStart w:id="303" w:name="_Toc1545362037"/>
      <w:bookmarkStart w:id="304" w:name="_Toc1274454590"/>
      <w:bookmarkStart w:id="305" w:name="_Toc519204020"/>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296"/>
      <w:bookmarkEnd w:id="297"/>
      <w:bookmarkEnd w:id="298"/>
      <w:bookmarkEnd w:id="299"/>
      <w:bookmarkEnd w:id="300"/>
      <w:bookmarkEnd w:id="301"/>
      <w:bookmarkEnd w:id="302"/>
      <w:bookmarkEnd w:id="303"/>
      <w:bookmarkEnd w:id="304"/>
      <w:bookmarkEnd w:id="305"/>
    </w:p>
    <w:p>
      <w:pPr>
        <w:pStyle w:val="4"/>
        <w:rPr>
          <w:rFonts w:ascii="仿宋" w:hAnsi="仿宋" w:eastAsia="仿宋"/>
          <w:color w:val="auto"/>
          <w:highlight w:val="none"/>
        </w:rPr>
      </w:pPr>
      <w:bookmarkStart w:id="306" w:name="_Toc608868714"/>
      <w:bookmarkStart w:id="307" w:name="_Toc168998542"/>
      <w:bookmarkStart w:id="308" w:name="_Toc249368203"/>
      <w:bookmarkStart w:id="309" w:name="_Toc762351310"/>
      <w:bookmarkStart w:id="310" w:name="_Toc592162710"/>
      <w:bookmarkStart w:id="311" w:name="_Toc1461177617"/>
      <w:bookmarkStart w:id="312" w:name="_Toc684337511"/>
      <w:bookmarkStart w:id="313" w:name="_Toc1842947809"/>
      <w:bookmarkStart w:id="314" w:name="_Toc15396625"/>
      <w:bookmarkStart w:id="315" w:name="_Toc287444829"/>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306"/>
      <w:bookmarkEnd w:id="307"/>
      <w:bookmarkEnd w:id="308"/>
      <w:bookmarkEnd w:id="309"/>
      <w:bookmarkEnd w:id="310"/>
      <w:bookmarkEnd w:id="311"/>
      <w:bookmarkEnd w:id="312"/>
      <w:bookmarkEnd w:id="313"/>
      <w:bookmarkEnd w:id="314"/>
      <w:bookmarkEnd w:id="315"/>
    </w:p>
    <w:p>
      <w:pPr>
        <w:pStyle w:val="4"/>
        <w:rPr>
          <w:rFonts w:ascii="仿宋" w:hAnsi="仿宋" w:eastAsia="仿宋"/>
          <w:color w:val="auto"/>
          <w:highlight w:val="none"/>
        </w:rPr>
      </w:pPr>
      <w:bookmarkStart w:id="316" w:name="_Toc1089542500"/>
      <w:bookmarkStart w:id="317" w:name="_Toc760666869"/>
      <w:bookmarkStart w:id="318" w:name="_Toc333852242"/>
      <w:bookmarkStart w:id="319" w:name="_Toc1024948627"/>
      <w:bookmarkStart w:id="320" w:name="_Toc15396626"/>
      <w:bookmarkStart w:id="321" w:name="_Toc1470384227"/>
      <w:bookmarkStart w:id="322" w:name="_Toc1149791583"/>
      <w:bookmarkStart w:id="323" w:name="_Toc1152508730"/>
      <w:bookmarkStart w:id="324" w:name="_Toc1144862474"/>
      <w:bookmarkStart w:id="325" w:name="_Toc1351321251"/>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316"/>
      <w:bookmarkEnd w:id="317"/>
      <w:bookmarkEnd w:id="318"/>
      <w:bookmarkEnd w:id="319"/>
      <w:bookmarkEnd w:id="320"/>
      <w:bookmarkEnd w:id="321"/>
      <w:bookmarkEnd w:id="322"/>
      <w:bookmarkEnd w:id="323"/>
      <w:bookmarkEnd w:id="324"/>
      <w:bookmarkEnd w:id="325"/>
    </w:p>
    <w:p>
      <w:pPr>
        <w:pStyle w:val="4"/>
        <w:rPr>
          <w:rFonts w:ascii="仿宋" w:hAnsi="仿宋" w:eastAsia="仿宋"/>
          <w:color w:val="auto"/>
          <w:highlight w:val="none"/>
        </w:rPr>
      </w:pPr>
      <w:bookmarkStart w:id="326" w:name="_Toc411142490"/>
      <w:bookmarkStart w:id="327" w:name="_Toc2063428811"/>
      <w:bookmarkStart w:id="328" w:name="_Toc787003788"/>
      <w:bookmarkStart w:id="329" w:name="_Toc1480705194"/>
      <w:bookmarkStart w:id="330" w:name="_Toc875221389"/>
      <w:bookmarkStart w:id="331" w:name="_Toc90518968"/>
      <w:bookmarkStart w:id="332" w:name="_Toc1886009188"/>
      <w:bookmarkStart w:id="333" w:name="_Toc15396627"/>
      <w:bookmarkStart w:id="334" w:name="_Toc1858107974"/>
      <w:bookmarkStart w:id="335" w:name="_Toc1994305089"/>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326"/>
      <w:bookmarkEnd w:id="327"/>
      <w:bookmarkEnd w:id="328"/>
      <w:bookmarkEnd w:id="329"/>
      <w:bookmarkEnd w:id="330"/>
      <w:bookmarkEnd w:id="331"/>
      <w:bookmarkEnd w:id="332"/>
      <w:bookmarkEnd w:id="333"/>
      <w:bookmarkEnd w:id="334"/>
      <w:bookmarkEnd w:id="335"/>
    </w:p>
    <w:p>
      <w:pPr>
        <w:pStyle w:val="4"/>
        <w:rPr>
          <w:rFonts w:ascii="仿宋" w:hAnsi="仿宋" w:eastAsia="仿宋"/>
          <w:color w:val="auto"/>
          <w:highlight w:val="none"/>
        </w:rPr>
      </w:pPr>
      <w:bookmarkStart w:id="336" w:name="_Toc15396628"/>
      <w:bookmarkStart w:id="337" w:name="_Toc1938870597"/>
      <w:bookmarkStart w:id="338" w:name="_Toc216955185"/>
      <w:bookmarkStart w:id="339" w:name="_Toc1433407348"/>
      <w:bookmarkStart w:id="340" w:name="_Toc1906084882"/>
      <w:bookmarkStart w:id="341" w:name="_Toc1305155662"/>
      <w:bookmarkStart w:id="342" w:name="_Toc506782206"/>
      <w:bookmarkStart w:id="343" w:name="_Toc1196845236"/>
      <w:bookmarkStart w:id="344" w:name="_Toc1964665595"/>
      <w:bookmarkStart w:id="345" w:name="_Toc1255093485"/>
      <w:r>
        <w:rPr>
          <w:rStyle w:val="26"/>
          <w:rFonts w:hint="eastAsia" w:ascii="仿宋" w:hAnsi="仿宋" w:eastAsia="仿宋"/>
          <w:b w:val="0"/>
          <w:bCs w:val="0"/>
          <w:color w:val="auto"/>
          <w:highlight w:val="none"/>
        </w:rPr>
        <w:t>十、</w:t>
      </w:r>
      <w:bookmarkEnd w:id="336"/>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337"/>
      <w:bookmarkEnd w:id="338"/>
      <w:bookmarkEnd w:id="339"/>
      <w:bookmarkEnd w:id="340"/>
      <w:bookmarkEnd w:id="341"/>
      <w:bookmarkEnd w:id="342"/>
      <w:bookmarkEnd w:id="343"/>
      <w:bookmarkEnd w:id="344"/>
      <w:bookmarkEnd w:id="345"/>
    </w:p>
    <w:p>
      <w:pPr>
        <w:pStyle w:val="4"/>
        <w:rPr>
          <w:rFonts w:ascii="仿宋" w:hAnsi="仿宋" w:eastAsia="仿宋"/>
          <w:color w:val="auto"/>
          <w:highlight w:val="none"/>
        </w:rPr>
      </w:pPr>
      <w:bookmarkStart w:id="346" w:name="_Toc15396629"/>
      <w:bookmarkStart w:id="347" w:name="_Toc477320642"/>
      <w:bookmarkStart w:id="348" w:name="_Toc910778478"/>
      <w:bookmarkStart w:id="349" w:name="_Toc1519065434"/>
      <w:bookmarkStart w:id="350" w:name="_Toc1090234290"/>
      <w:bookmarkStart w:id="351" w:name="_Toc1785580559"/>
      <w:bookmarkStart w:id="352" w:name="_Toc891763227"/>
      <w:bookmarkStart w:id="353" w:name="_Toc574152756"/>
      <w:bookmarkStart w:id="354" w:name="_Toc1631857351"/>
      <w:bookmarkStart w:id="355" w:name="_Toc1571422739"/>
      <w:r>
        <w:rPr>
          <w:rStyle w:val="26"/>
          <w:rFonts w:hint="eastAsia" w:ascii="仿宋" w:hAnsi="仿宋" w:eastAsia="仿宋"/>
          <w:b w:val="0"/>
          <w:bCs w:val="0"/>
          <w:color w:val="auto"/>
          <w:highlight w:val="none"/>
        </w:rPr>
        <w:t>十一、</w:t>
      </w:r>
      <w:bookmarkEnd w:id="346"/>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347"/>
      <w:bookmarkEnd w:id="348"/>
      <w:bookmarkEnd w:id="349"/>
      <w:bookmarkEnd w:id="350"/>
      <w:bookmarkEnd w:id="351"/>
      <w:bookmarkEnd w:id="352"/>
      <w:bookmarkEnd w:id="353"/>
      <w:bookmarkEnd w:id="354"/>
      <w:bookmarkEnd w:id="355"/>
    </w:p>
    <w:p>
      <w:pPr>
        <w:pStyle w:val="4"/>
        <w:rPr>
          <w:rFonts w:ascii="仿宋" w:hAnsi="仿宋" w:eastAsia="仿宋"/>
          <w:color w:val="auto"/>
          <w:highlight w:val="none"/>
        </w:rPr>
      </w:pPr>
      <w:bookmarkStart w:id="356" w:name="_Toc15396630"/>
      <w:bookmarkStart w:id="357" w:name="_Toc1696633823"/>
      <w:bookmarkStart w:id="358" w:name="_Toc853402706"/>
      <w:bookmarkStart w:id="359" w:name="_Toc766763246"/>
      <w:bookmarkStart w:id="360" w:name="_Toc867506878"/>
      <w:bookmarkStart w:id="361" w:name="_Toc921782132"/>
      <w:bookmarkStart w:id="362" w:name="_Toc1044924252"/>
      <w:bookmarkStart w:id="363" w:name="_Toc1259121512"/>
      <w:bookmarkStart w:id="364" w:name="_Toc1059323011"/>
      <w:bookmarkStart w:id="365" w:name="_Toc1101202729"/>
      <w:r>
        <w:rPr>
          <w:rStyle w:val="26"/>
          <w:rFonts w:hint="eastAsia" w:ascii="仿宋" w:hAnsi="仿宋" w:eastAsia="仿宋"/>
          <w:b w:val="0"/>
          <w:bCs w:val="0"/>
          <w:color w:val="auto"/>
          <w:highlight w:val="none"/>
        </w:rPr>
        <w:t>十二、</w:t>
      </w:r>
      <w:bookmarkEnd w:id="356"/>
      <w:r>
        <w:rPr>
          <w:rStyle w:val="26"/>
          <w:rFonts w:hint="eastAsia" w:ascii="仿宋" w:hAnsi="仿宋" w:eastAsia="仿宋"/>
          <w:b w:val="0"/>
          <w:bCs w:val="0"/>
          <w:color w:val="auto"/>
          <w:highlight w:val="none"/>
          <w:lang w:eastAsia="zh-CN"/>
        </w:rPr>
        <w:t>国有资本经营预算财政拨款支出决算表</w:t>
      </w:r>
      <w:bookmarkEnd w:id="357"/>
      <w:bookmarkEnd w:id="358"/>
      <w:bookmarkEnd w:id="359"/>
      <w:bookmarkEnd w:id="360"/>
      <w:bookmarkEnd w:id="361"/>
      <w:bookmarkEnd w:id="362"/>
      <w:bookmarkEnd w:id="363"/>
      <w:bookmarkEnd w:id="364"/>
      <w:bookmarkEnd w:id="365"/>
    </w:p>
    <w:p>
      <w:pPr>
        <w:pStyle w:val="4"/>
        <w:rPr>
          <w:rFonts w:hint="eastAsia" w:eastAsia="仿宋"/>
          <w:color w:val="auto"/>
          <w:highlight w:val="none"/>
          <w:lang w:eastAsia="zh-CN"/>
        </w:rPr>
      </w:pPr>
      <w:bookmarkStart w:id="366" w:name="_Toc15396631"/>
      <w:bookmarkStart w:id="367" w:name="_Toc1315771918"/>
      <w:bookmarkStart w:id="368" w:name="_Toc185682796"/>
      <w:bookmarkStart w:id="369" w:name="_Toc1372776036"/>
      <w:bookmarkStart w:id="370" w:name="_Toc906551053"/>
      <w:bookmarkStart w:id="371" w:name="_Toc1836752941"/>
      <w:bookmarkStart w:id="372" w:name="_Toc305589004"/>
      <w:bookmarkStart w:id="373" w:name="_Toc2049500778"/>
      <w:bookmarkStart w:id="374" w:name="_Toc2063780690"/>
      <w:bookmarkStart w:id="375" w:name="_Toc94547559"/>
      <w:r>
        <w:rPr>
          <w:rStyle w:val="26"/>
          <w:rFonts w:hint="eastAsia" w:ascii="仿宋" w:hAnsi="仿宋" w:eastAsia="仿宋"/>
          <w:b w:val="0"/>
          <w:bCs w:val="0"/>
          <w:color w:val="auto"/>
          <w:highlight w:val="none"/>
        </w:rPr>
        <w:t>十三、</w:t>
      </w:r>
      <w:bookmarkEnd w:id="366"/>
      <w:r>
        <w:rPr>
          <w:rStyle w:val="26"/>
          <w:rFonts w:hint="eastAsia" w:ascii="仿宋" w:hAnsi="仿宋" w:eastAsia="仿宋"/>
          <w:b w:val="0"/>
          <w:bCs w:val="0"/>
          <w:color w:val="auto"/>
          <w:highlight w:val="none"/>
          <w:lang w:eastAsia="zh-CN"/>
        </w:rPr>
        <w:t>财政拨款“三公”经费支出决算表</w:t>
      </w:r>
      <w:bookmarkEnd w:id="367"/>
      <w:bookmarkEnd w:id="368"/>
      <w:bookmarkEnd w:id="369"/>
      <w:bookmarkEnd w:id="370"/>
      <w:bookmarkEnd w:id="371"/>
      <w:bookmarkEnd w:id="372"/>
      <w:bookmarkEnd w:id="373"/>
      <w:bookmarkEnd w:id="374"/>
      <w:bookmarkEnd w:id="375"/>
    </w:p>
    <w:p>
      <w:pPr>
        <w:widowControl/>
        <w:spacing w:line="440" w:lineRule="exact"/>
        <w:jc w:val="left"/>
        <w:rPr>
          <w:rFonts w:hint="eastAsia" w:ascii="仿宋" w:hAnsi="仿宋" w:eastAsia="仿宋"/>
          <w:bCs/>
          <w:color w:val="auto"/>
          <w:kern w:val="44"/>
          <w:sz w:val="24"/>
          <w:highlight w:val="none"/>
          <w:lang w:eastAsia="zh-CN"/>
        </w:rPr>
      </w:pPr>
    </w:p>
    <w:sectPr>
      <w:pgSz w:w="11906" w:h="16838"/>
      <w:pgMar w:top="1440" w:right="1803" w:bottom="1440" w:left="1803" w:header="851" w:footer="992" w:gutter="0"/>
      <w:pgNumType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F31C2"/>
    <w:multiLevelType w:val="singleLevel"/>
    <w:tmpl w:val="89EF31C2"/>
    <w:lvl w:ilvl="0" w:tentative="0">
      <w:start w:val="4"/>
      <w:numFmt w:val="decimal"/>
      <w:suff w:val="nothing"/>
      <w:lvlText w:val="（%1）"/>
      <w:lvlJc w:val="left"/>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abstractNum w:abstractNumId="2">
    <w:nsid w:val="00000005"/>
    <w:multiLevelType w:val="singleLevel"/>
    <w:tmpl w:val="00000005"/>
    <w:lvl w:ilvl="0" w:tentative="0">
      <w:start w:val="2"/>
      <w:numFmt w:val="chineseCounting"/>
      <w:suff w:val="nothing"/>
      <w:lvlText w:val="（%1）"/>
      <w:lvlJc w:val="left"/>
      <w:rPr>
        <w:rFonts w:hint="eastAsia"/>
      </w:rPr>
    </w:lvl>
  </w:abstractNum>
  <w:abstractNum w:abstractNumId="3">
    <w:nsid w:val="011A9999"/>
    <w:multiLevelType w:val="singleLevel"/>
    <w:tmpl w:val="011A9999"/>
    <w:lvl w:ilvl="0" w:tentative="0">
      <w:start w:val="1"/>
      <w:numFmt w:val="chineseCounting"/>
      <w:suff w:val="nothing"/>
      <w:lvlText w:val="%1、"/>
      <w:lvlJc w:val="left"/>
      <w:rPr>
        <w:rFonts w:hint="eastAsia"/>
      </w:rPr>
    </w:lvl>
  </w:abstractNum>
  <w:abstractNum w:abstractNumId="4">
    <w:nsid w:val="6A528973"/>
    <w:multiLevelType w:val="singleLevel"/>
    <w:tmpl w:val="6A528973"/>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YTFiNjg2ZjE3NGY5M2E0M2ZjZTNhOGUzNTJjN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221218"/>
    <w:rsid w:val="053A62B5"/>
    <w:rsid w:val="095A5B83"/>
    <w:rsid w:val="0983157E"/>
    <w:rsid w:val="0A2032A3"/>
    <w:rsid w:val="0B8A37D8"/>
    <w:rsid w:val="0BD279F0"/>
    <w:rsid w:val="10C055FF"/>
    <w:rsid w:val="118107EC"/>
    <w:rsid w:val="11DD6519"/>
    <w:rsid w:val="139D3DFC"/>
    <w:rsid w:val="152B4878"/>
    <w:rsid w:val="16BB723D"/>
    <w:rsid w:val="18015F3F"/>
    <w:rsid w:val="18554231"/>
    <w:rsid w:val="1A9911B5"/>
    <w:rsid w:val="1BE8440E"/>
    <w:rsid w:val="1D155CEE"/>
    <w:rsid w:val="1ECB3353"/>
    <w:rsid w:val="1F7D5D8B"/>
    <w:rsid w:val="1FDC5D5D"/>
    <w:rsid w:val="1FEF18DF"/>
    <w:rsid w:val="20F57F95"/>
    <w:rsid w:val="240371BF"/>
    <w:rsid w:val="256B59EC"/>
    <w:rsid w:val="25711CC6"/>
    <w:rsid w:val="25C741E6"/>
    <w:rsid w:val="276DA903"/>
    <w:rsid w:val="27842671"/>
    <w:rsid w:val="27932534"/>
    <w:rsid w:val="29FD04D3"/>
    <w:rsid w:val="2ABE7A3E"/>
    <w:rsid w:val="2CA234A8"/>
    <w:rsid w:val="2EFA178C"/>
    <w:rsid w:val="2FFB5B4E"/>
    <w:rsid w:val="30B46D73"/>
    <w:rsid w:val="319D28DB"/>
    <w:rsid w:val="319F7F4E"/>
    <w:rsid w:val="35F26FC0"/>
    <w:rsid w:val="367859EF"/>
    <w:rsid w:val="36B129D7"/>
    <w:rsid w:val="36EF64F9"/>
    <w:rsid w:val="377C1237"/>
    <w:rsid w:val="383D272C"/>
    <w:rsid w:val="39AE70AB"/>
    <w:rsid w:val="3AF83934"/>
    <w:rsid w:val="3C0C0783"/>
    <w:rsid w:val="3C7FE793"/>
    <w:rsid w:val="3D773D9B"/>
    <w:rsid w:val="3EAF2D25"/>
    <w:rsid w:val="3F9F3A96"/>
    <w:rsid w:val="3FB532BB"/>
    <w:rsid w:val="41085755"/>
    <w:rsid w:val="433E0F02"/>
    <w:rsid w:val="44FF0DB1"/>
    <w:rsid w:val="46965745"/>
    <w:rsid w:val="471274C2"/>
    <w:rsid w:val="48BF60AB"/>
    <w:rsid w:val="48FC3F85"/>
    <w:rsid w:val="493C27E9"/>
    <w:rsid w:val="496F39ED"/>
    <w:rsid w:val="49FF41D3"/>
    <w:rsid w:val="4BE068DB"/>
    <w:rsid w:val="4BF6002B"/>
    <w:rsid w:val="4BFFB599"/>
    <w:rsid w:val="4ECE2238"/>
    <w:rsid w:val="51DB4B86"/>
    <w:rsid w:val="51F970B7"/>
    <w:rsid w:val="5256797E"/>
    <w:rsid w:val="55333C3E"/>
    <w:rsid w:val="567D422C"/>
    <w:rsid w:val="58D04AE7"/>
    <w:rsid w:val="59597E79"/>
    <w:rsid w:val="59AC5554"/>
    <w:rsid w:val="5BB7BB92"/>
    <w:rsid w:val="5BDB98D1"/>
    <w:rsid w:val="5C180C7F"/>
    <w:rsid w:val="5DF97E37"/>
    <w:rsid w:val="60E9572D"/>
    <w:rsid w:val="64CA39A1"/>
    <w:rsid w:val="6535A626"/>
    <w:rsid w:val="6635242D"/>
    <w:rsid w:val="69630ADE"/>
    <w:rsid w:val="6C4A05C8"/>
    <w:rsid w:val="6CBE13CE"/>
    <w:rsid w:val="6D3B1A89"/>
    <w:rsid w:val="71BF4EC2"/>
    <w:rsid w:val="72734D90"/>
    <w:rsid w:val="72742CF6"/>
    <w:rsid w:val="72CC6BB8"/>
    <w:rsid w:val="73BFFF35"/>
    <w:rsid w:val="7412278C"/>
    <w:rsid w:val="7473FFC5"/>
    <w:rsid w:val="75933079"/>
    <w:rsid w:val="75A44ED9"/>
    <w:rsid w:val="76880357"/>
    <w:rsid w:val="77CE528A"/>
    <w:rsid w:val="77FBEC98"/>
    <w:rsid w:val="78F30652"/>
    <w:rsid w:val="7904082E"/>
    <w:rsid w:val="79450781"/>
    <w:rsid w:val="79E7B28D"/>
    <w:rsid w:val="7C1FFD89"/>
    <w:rsid w:val="7D67500D"/>
    <w:rsid w:val="7D6F9EBA"/>
    <w:rsid w:val="7F9F20EE"/>
    <w:rsid w:val="7FBFC0F1"/>
    <w:rsid w:val="7FCFE882"/>
    <w:rsid w:val="7FFF7046"/>
    <w:rsid w:val="9E3A10E2"/>
    <w:rsid w:val="A7BD0FD2"/>
    <w:rsid w:val="BBFDAD59"/>
    <w:rsid w:val="BF75F3A6"/>
    <w:rsid w:val="BFB78A41"/>
    <w:rsid w:val="CBDF866A"/>
    <w:rsid w:val="DAEF6FDF"/>
    <w:rsid w:val="DCD53580"/>
    <w:rsid w:val="E79AE2B2"/>
    <w:rsid w:val="EBAD89E6"/>
    <w:rsid w:val="F2E1F9D4"/>
    <w:rsid w:val="F7880819"/>
    <w:rsid w:val="FCCDDC18"/>
    <w:rsid w:val="FDED07CE"/>
    <w:rsid w:val="FEC0282B"/>
    <w:rsid w:val="FEEB7719"/>
    <w:rsid w:val="FFF79B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正文首行缩进 21"/>
    <w:basedOn w:val="1"/>
    <w:next w:val="1"/>
    <w:qFormat/>
    <w:uiPriority w:val="0"/>
    <w:pPr>
      <w:spacing w:line="600" w:lineRule="atLeast"/>
      <w:ind w:firstLine="420" w:firstLineChars="200"/>
    </w:pPr>
    <w:rPr>
      <w:rFonts w:eastAsia="宋体"/>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Sheet1!$A$3:$A$5</c:f>
              <c:strCache>
                <c:ptCount val="3"/>
                <c:pt idx="0">
                  <c:v>2021年</c:v>
                </c:pt>
                <c:pt idx="1">
                  <c:v>2022年</c:v>
                </c:pt>
              </c:strCache>
            </c:strRef>
          </c:cat>
          <c:val>
            <c:numRef>
              <c:f>Sheet1!$B$3:$B$5</c:f>
              <c:numCache>
                <c:formatCode>General</c:formatCode>
                <c:ptCount val="3"/>
                <c:pt idx="0">
                  <c:v>815.15</c:v>
                </c:pt>
                <c:pt idx="1">
                  <c:v>928.22</c:v>
                </c:pt>
              </c:numCache>
            </c:numRef>
          </c:val>
        </c:ser>
        <c:ser>
          <c:idx val="1"/>
          <c:order val="1"/>
          <c:tx>
            <c:strRef>
              <c:f>Sheet1!$C$1</c:f>
              <c:strCache>
                <c:ptCount val="1"/>
                <c:pt idx="0">
                  <c:v>系列 2</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Sheet1!$A$3:$A$5</c:f>
              <c:strCache>
                <c:ptCount val="3"/>
                <c:pt idx="0">
                  <c:v>2021年</c:v>
                </c:pt>
                <c:pt idx="1">
                  <c:v>2022年</c:v>
                </c:pt>
              </c:strCache>
            </c:strRef>
          </c:cat>
          <c:val>
            <c:numRef>
              <c:f>Sheet1!$C$3:$C$5</c:f>
              <c:numCache>
                <c:formatCode>General</c:formatCode>
                <c:ptCount val="3"/>
              </c:numCache>
            </c:numRef>
          </c:val>
        </c:ser>
        <c:ser>
          <c:idx val="2"/>
          <c:order val="2"/>
          <c:tx>
            <c:strRef>
              <c:f>Sheet1!$D$1</c:f>
              <c:strCache>
                <c:ptCount val="1"/>
                <c:pt idx="0">
                  <c:v>列1</c:v>
                </c:pt>
              </c:strCache>
            </c:strRef>
          </c:tx>
          <c:invertIfNegative val="false"/>
          <c:dLbls>
            <c:delete val="true"/>
          </c:dLbls>
          <c:cat>
            <c:strRef>
              <c:f>Sheet1!$A$3:$A$5</c:f>
              <c:strCache>
                <c:ptCount val="3"/>
                <c:pt idx="0">
                  <c:v>2021年</c:v>
                </c:pt>
                <c:pt idx="1">
                  <c:v>2022年</c:v>
                </c:pt>
              </c:strCache>
            </c:strRef>
          </c:cat>
          <c:val>
            <c:numRef>
              <c:f>Sheet1!$D$3:$D$5</c:f>
              <c:numCache>
                <c:formatCode>General</c:formatCode>
                <c:ptCount val="3"/>
              </c:numCache>
            </c:numRef>
          </c:val>
        </c:ser>
        <c:dLbls>
          <c:showLegendKey val="false"/>
          <c:showVal val="false"/>
          <c:showCatName val="false"/>
          <c:showSerName val="false"/>
          <c:showPercent val="false"/>
          <c:showBubbleSize val="false"/>
        </c:dLbls>
        <c:gapWidth val="150"/>
        <c:axId val="69263360"/>
        <c:axId val="69265280"/>
      </c:barChart>
      <c:catAx>
        <c:axId val="6926336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9265280"/>
        <c:crosses val="autoZero"/>
        <c:auto val="true"/>
        <c:lblAlgn val="ctr"/>
        <c:lblOffset val="100"/>
        <c:noMultiLvlLbl val="false"/>
      </c:catAx>
      <c:valAx>
        <c:axId val="692652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9263360"/>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359533333333333"/>
          <c:y val="0.371867924528302"/>
          <c:w val="0.295219047619048"/>
          <c:h val="0.389911949685535"/>
        </c:manualLayout>
      </c:layout>
      <c:pieChart>
        <c:varyColors val="true"/>
        <c:ser>
          <c:idx val="0"/>
          <c:order val="0"/>
          <c:tx>
            <c:strRef>
              <c:f>Sheet1!$B$1</c:f>
              <c:strCache>
                <c:ptCount val="1"/>
                <c:pt idx="0">
                  <c:v>一般公共预算财政拨款收入</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其它收入</c:v>
                </c:pt>
              </c:strCache>
            </c:strRef>
          </c:cat>
          <c:val>
            <c:numRef>
              <c:f>Sheet1!$B$2:$B$4</c:f>
              <c:numCache>
                <c:formatCode>General</c:formatCode>
                <c:ptCount val="3"/>
                <c:pt idx="0">
                  <c:v>928.22</c:v>
                </c:pt>
                <c:pt idx="1">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本年支出</c:v>
                </c:pt>
              </c:strCache>
            </c:strRef>
          </c:tx>
          <c:explosion val="0"/>
          <c:dPt>
            <c:idx val="0"/>
            <c:bubble3D val="false"/>
          </c:dPt>
          <c:dPt>
            <c:idx val="1"/>
            <c:bubble3D val="false"/>
          </c:dPt>
          <c:dPt>
            <c:idx val="2"/>
            <c:bubble3D val="false"/>
          </c:dPt>
          <c:dPt>
            <c:idx val="3"/>
            <c:bubble3D val="false"/>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基本支出</c:v>
                </c:pt>
                <c:pt idx="1">
                  <c:v>项目支出</c:v>
                </c:pt>
                <c:pt idx="2">
                  <c:v> </c:v>
                </c:pt>
                <c:pt idx="3">
                  <c:v> </c:v>
                </c:pt>
              </c:strCache>
            </c:strRef>
          </c:cat>
          <c:val>
            <c:numRef>
              <c:f>Sheet1!$B$2:$B$5</c:f>
              <c:numCache>
                <c:formatCode>0%</c:formatCode>
                <c:ptCount val="4"/>
                <c:pt idx="0">
                  <c:v>0.74</c:v>
                </c:pt>
                <c:pt idx="1">
                  <c:v>0.26</c:v>
                </c:pt>
                <c:pt idx="2" c:formatCode="General">
                  <c:v>0</c:v>
                </c:pt>
                <c:pt idx="3" c:formatCode="General">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8980127484065"/>
          <c:y val="0.139665672858853"/>
          <c:w val="0.778638920134984"/>
          <c:h val="0.712761511607166"/>
        </c:manualLayout>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Sheet1!$A$3:$A$5</c:f>
              <c:strCache>
                <c:ptCount val="3"/>
                <c:pt idx="0">
                  <c:v>2021年</c:v>
                </c:pt>
                <c:pt idx="1">
                  <c:v>2022年</c:v>
                </c:pt>
              </c:strCache>
            </c:strRef>
          </c:cat>
          <c:val>
            <c:numRef>
              <c:f>Sheet1!$B$3:$B$5</c:f>
              <c:numCache>
                <c:formatCode>General</c:formatCode>
                <c:ptCount val="3"/>
                <c:pt idx="0">
                  <c:v>815.13</c:v>
                </c:pt>
                <c:pt idx="1">
                  <c:v>928.22</c:v>
                </c:pt>
              </c:numCache>
            </c:numRef>
          </c:val>
        </c:ser>
        <c:ser>
          <c:idx val="1"/>
          <c:order val="1"/>
          <c:tx>
            <c:strRef>
              <c:f>Sheet1!$C$1</c:f>
              <c:strCache>
                <c:ptCount val="1"/>
                <c:pt idx="0">
                  <c:v>列2</c:v>
                </c:pt>
              </c:strCache>
            </c:strRef>
          </c:tx>
          <c:invertIfNegative val="false"/>
          <c:dLbls>
            <c:delete val="true"/>
          </c:dLbls>
          <c:cat>
            <c:strRef>
              <c:f>Sheet1!$A$3:$A$5</c:f>
              <c:strCache>
                <c:ptCount val="3"/>
                <c:pt idx="0">
                  <c:v>2021年</c:v>
                </c:pt>
                <c:pt idx="1">
                  <c:v>2022年</c:v>
                </c:pt>
              </c:strCache>
            </c:strRef>
          </c:cat>
          <c:val>
            <c:numRef>
              <c:f>Sheet1!$C$3:$C$5</c:f>
              <c:numCache>
                <c:formatCode>General</c:formatCode>
                <c:ptCount val="3"/>
              </c:numCache>
            </c:numRef>
          </c:val>
        </c:ser>
        <c:ser>
          <c:idx val="2"/>
          <c:order val="2"/>
          <c:tx>
            <c:strRef>
              <c:f>Sheet1!$D$1</c:f>
              <c:strCache>
                <c:ptCount val="1"/>
                <c:pt idx="0">
                  <c:v>列1</c:v>
                </c:pt>
              </c:strCache>
            </c:strRef>
          </c:tx>
          <c:invertIfNegative val="false"/>
          <c:dLbls>
            <c:delete val="true"/>
          </c:dLbls>
          <c:cat>
            <c:strRef>
              <c:f>Sheet1!$A$3:$A$5</c:f>
              <c:strCache>
                <c:ptCount val="3"/>
                <c:pt idx="0">
                  <c:v>2021年</c:v>
                </c:pt>
                <c:pt idx="1">
                  <c:v>2022年</c:v>
                </c:pt>
              </c:strCache>
            </c:strRef>
          </c:cat>
          <c:val>
            <c:numRef>
              <c:f>Sheet1!$D$3:$D$5</c:f>
              <c:numCache>
                <c:formatCode>General</c:formatCode>
                <c:ptCount val="3"/>
              </c:numCache>
            </c:numRef>
          </c:val>
        </c:ser>
        <c:dLbls>
          <c:showLegendKey val="false"/>
          <c:showVal val="false"/>
          <c:showCatName val="false"/>
          <c:showSerName val="false"/>
          <c:showPercent val="false"/>
          <c:showBubbleSize val="false"/>
        </c:dLbls>
        <c:gapWidth val="150"/>
        <c:axId val="131102976"/>
        <c:axId val="131178880"/>
      </c:barChart>
      <c:catAx>
        <c:axId val="13110297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1178880"/>
        <c:crosses val="autoZero"/>
        <c:auto val="true"/>
        <c:lblAlgn val="ctr"/>
        <c:lblOffset val="100"/>
        <c:noMultiLvlLbl val="false"/>
      </c:catAx>
      <c:valAx>
        <c:axId val="131178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1102976"/>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8980127484065"/>
          <c:y val="0.139665672858853"/>
          <c:w val="0.778638920134984"/>
          <c:h val="0.712761511607166"/>
        </c:manualLayout>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Sheet1!$A$3:$A$5</c:f>
              <c:strCache>
                <c:ptCount val="3"/>
                <c:pt idx="0">
                  <c:v>2021年</c:v>
                </c:pt>
                <c:pt idx="1">
                  <c:v>2022年</c:v>
                </c:pt>
              </c:strCache>
            </c:strRef>
          </c:cat>
          <c:val>
            <c:numRef>
              <c:f>Sheet1!$B$3:$B$5</c:f>
              <c:numCache>
                <c:formatCode>General</c:formatCode>
                <c:ptCount val="3"/>
                <c:pt idx="0">
                  <c:v>815.13</c:v>
                </c:pt>
                <c:pt idx="1">
                  <c:v>928.22</c:v>
                </c:pt>
              </c:numCache>
            </c:numRef>
          </c:val>
        </c:ser>
        <c:ser>
          <c:idx val="1"/>
          <c:order val="1"/>
          <c:tx>
            <c:strRef>
              <c:f>Sheet1!$C$1</c:f>
              <c:strCache>
                <c:ptCount val="1"/>
                <c:pt idx="0">
                  <c:v>列2</c:v>
                </c:pt>
              </c:strCache>
            </c:strRef>
          </c:tx>
          <c:invertIfNegative val="false"/>
          <c:dLbls>
            <c:delete val="true"/>
          </c:dLbls>
          <c:cat>
            <c:strRef>
              <c:f>Sheet1!$A$3:$A$5</c:f>
              <c:strCache>
                <c:ptCount val="3"/>
                <c:pt idx="0">
                  <c:v>2021年</c:v>
                </c:pt>
                <c:pt idx="1">
                  <c:v>2022年</c:v>
                </c:pt>
              </c:strCache>
            </c:strRef>
          </c:cat>
          <c:val>
            <c:numRef>
              <c:f>Sheet1!$C$3:$C$5</c:f>
              <c:numCache>
                <c:formatCode>General</c:formatCode>
                <c:ptCount val="3"/>
              </c:numCache>
            </c:numRef>
          </c:val>
        </c:ser>
        <c:ser>
          <c:idx val="2"/>
          <c:order val="2"/>
          <c:tx>
            <c:strRef>
              <c:f>Sheet1!$D$1</c:f>
              <c:strCache>
                <c:ptCount val="1"/>
                <c:pt idx="0">
                  <c:v>列1</c:v>
                </c:pt>
              </c:strCache>
            </c:strRef>
          </c:tx>
          <c:invertIfNegative val="false"/>
          <c:dLbls>
            <c:delete val="true"/>
          </c:dLbls>
          <c:cat>
            <c:strRef>
              <c:f>Sheet1!$A$3:$A$5</c:f>
              <c:strCache>
                <c:ptCount val="3"/>
                <c:pt idx="0">
                  <c:v>2021年</c:v>
                </c:pt>
                <c:pt idx="1">
                  <c:v>2022年</c:v>
                </c:pt>
              </c:strCache>
            </c:strRef>
          </c:cat>
          <c:val>
            <c:numRef>
              <c:f>Sheet1!$D$3:$D$5</c:f>
              <c:numCache>
                <c:formatCode>General</c:formatCode>
                <c:ptCount val="3"/>
              </c:numCache>
            </c:numRef>
          </c:val>
        </c:ser>
        <c:dLbls>
          <c:showLegendKey val="false"/>
          <c:showVal val="false"/>
          <c:showCatName val="false"/>
          <c:showSerName val="false"/>
          <c:showPercent val="false"/>
          <c:showBubbleSize val="false"/>
        </c:dLbls>
        <c:gapWidth val="150"/>
        <c:axId val="131102976"/>
        <c:axId val="131178880"/>
      </c:barChart>
      <c:catAx>
        <c:axId val="13110297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1178880"/>
        <c:crosses val="autoZero"/>
        <c:auto val="true"/>
        <c:lblAlgn val="ctr"/>
        <c:lblOffset val="100"/>
        <c:noMultiLvlLbl val="false"/>
      </c:catAx>
      <c:valAx>
        <c:axId val="131178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1102976"/>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一般公共预算财政拨款收入</c:v>
                </c:pt>
              </c:strCache>
            </c:strRef>
          </c:tx>
          <c:explosion val="0"/>
          <c:dPt>
            <c:idx val="0"/>
            <c:bubble3D val="false"/>
          </c:dPt>
          <c:dPt>
            <c:idx val="1"/>
            <c:bubble3D val="false"/>
          </c:dPt>
          <c:dPt>
            <c:idx val="2"/>
            <c:bubble3D val="false"/>
          </c:dPt>
          <c:dPt>
            <c:idx val="3"/>
            <c:bubble3D val="false"/>
          </c:dPt>
          <c:dLbls>
            <c:dLbl>
              <c:idx val="1"/>
              <c:layout>
                <c:manualLayout>
                  <c:x val="-0.147282339707537"/>
                  <c:y val="0.1108952517298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6809148856393"/>
                  <c:y val="-0.01743259365306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numRef>
              <c:f>Sheet1!$A$2:$A$5</c:f>
              <c:numCache>
                <c:formatCode>General</c:formatCode>
                <c:ptCount val="4"/>
                <c:pt idx="0">
                  <c:v>1</c:v>
                </c:pt>
                <c:pt idx="1">
                  <c:v>2</c:v>
                </c:pt>
                <c:pt idx="2">
                  <c:v>3</c:v>
                </c:pt>
              </c:numCache>
            </c:numRef>
          </c:cat>
          <c:val>
            <c:numRef>
              <c:f>Sheet1!$B$2:$B$5</c:f>
              <c:numCache>
                <c:formatCode>0.00%</c:formatCode>
                <c:ptCount val="4"/>
                <c:pt idx="0">
                  <c:v>0.9141</c:v>
                </c:pt>
                <c:pt idx="1">
                  <c:v>0.019</c:v>
                </c:pt>
                <c:pt idx="2">
                  <c:v>0.0669</c:v>
                </c:pt>
              </c:numCache>
            </c:numRef>
          </c:val>
        </c:ser>
        <c:dLbls>
          <c:showLegendKey val="false"/>
          <c:showVal val="true"/>
          <c:showCatName val="false"/>
          <c:showSerName val="false"/>
          <c:showPercent val="false"/>
          <c:showBubbleSize val="false"/>
          <c:showLeaderLines val="true"/>
        </c:dLbls>
        <c:firstSliceAng val="0"/>
      </c:pieChart>
    </c:plotArea>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explosion val="0"/>
          <c:dPt>
            <c:idx val="0"/>
            <c:bubble3D val="false"/>
          </c:dPt>
          <c:dPt>
            <c:idx val="1"/>
            <c:bubble3D val="false"/>
          </c:dPt>
          <c:dPt>
            <c:idx val="2"/>
            <c:bubble3D val="false"/>
          </c:dPt>
          <c:dPt>
            <c:idx val="3"/>
            <c:bubble3D val="false"/>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公务用车</c:v>
                </c:pt>
                <c:pt idx="1">
                  <c:v>公务接待</c:v>
                </c:pt>
                <c:pt idx="2">
                  <c:v> </c:v>
                </c:pt>
                <c:pt idx="3">
                  <c:v> </c:v>
                </c:pt>
              </c:strCache>
            </c:strRef>
          </c:cat>
          <c:val>
            <c:numRef>
              <c:f>Sheet1!$B$2:$B$5</c:f>
              <c:numCache>
                <c:formatCode>General</c:formatCode>
                <c:ptCount val="4"/>
                <c:pt idx="0">
                  <c:v>10.77</c:v>
                </c:pt>
                <c:pt idx="1">
                  <c:v>0.73</c:v>
                </c:pt>
                <c:pt idx="2">
                  <c:v>0</c:v>
                </c:pt>
                <c:pt idx="3">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Pages>
  <Words>15446</Words>
  <Characters>17497</Characters>
  <Lines>1</Lines>
  <Paragraphs>1</Paragraphs>
  <TotalTime>78</TotalTime>
  <ScaleCrop>false</ScaleCrop>
  <LinksUpToDate>false</LinksUpToDate>
  <CharactersWithSpaces>17563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 </cp:lastModifiedBy>
  <cp:lastPrinted>2023-08-02T02:35:00Z</cp:lastPrinted>
  <dcterms:modified xsi:type="dcterms:W3CDTF">2024-08-05T16:51:19Z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6B70361D626A4593B4A9C4A901EC4F63</vt:lpwstr>
  </property>
</Properties>
</file>