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425"/>
      <w:bookmarkStart w:id="2" w:name="_Toc15378441"/>
      <w:bookmarkStart w:id="3" w:name="_Toc15396597"/>
      <w:bookmarkStart w:id="4" w:name="_Toc15377193"/>
      <w:bookmarkStart w:id="5" w:name="_Toc10639"/>
      <w:bookmarkStart w:id="6" w:name="_Toc1539647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13699"/>
      <w:bookmarkStart w:id="8" w:name="_Toc15396476"/>
      <w:bookmarkStart w:id="9" w:name="_Toc15377426"/>
      <w:bookmarkStart w:id="10" w:name="_Toc15377194"/>
      <w:bookmarkStart w:id="11" w:name="_Toc15396598"/>
      <w:bookmarkStart w:id="12" w:name="_Toc15378442"/>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财政评审中心</w:t>
      </w:r>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4" w:name="_Toc24831"/>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1"/>
        <w:rPr>
          <w:rFonts w:hint="eastAsia" w:eastAsia="仿宋"/>
          <w:color w:val="auto"/>
          <w:highlight w:val="yellow"/>
          <w:lang w:val="en-US" w:eastAsia="zh-CN"/>
        </w:rPr>
      </w:pPr>
      <w:r>
        <w:rPr>
          <w:rFonts w:hint="eastAsia"/>
          <w:color w:val="auto"/>
          <w:highlight w:val="yellow"/>
        </w:rPr>
        <w:t>公开时间：20</w:t>
      </w:r>
      <w:r>
        <w:rPr>
          <w:rFonts w:hint="eastAsia"/>
          <w:color w:val="auto"/>
          <w:highlight w:val="yellow"/>
          <w:lang w:val="en-US" w:eastAsia="zh-CN"/>
        </w:rPr>
        <w:t>23</w:t>
      </w:r>
      <w:r>
        <w:rPr>
          <w:rFonts w:hint="eastAsia"/>
          <w:color w:val="auto"/>
          <w:highlight w:val="yellow"/>
        </w:rPr>
        <w:t>年</w:t>
      </w:r>
      <w:r>
        <w:rPr>
          <w:rFonts w:hint="eastAsia"/>
          <w:color w:val="auto"/>
          <w:highlight w:val="yellow"/>
          <w:lang w:val="en-US" w:eastAsia="zh-CN"/>
        </w:rPr>
        <w:t>10</w:t>
      </w:r>
      <w:r>
        <w:rPr>
          <w:rFonts w:hint="eastAsia"/>
          <w:color w:val="auto"/>
          <w:highlight w:val="yellow"/>
        </w:rPr>
        <w:t>月</w:t>
      </w:r>
      <w:r>
        <w:rPr>
          <w:rFonts w:hint="eastAsia"/>
          <w:color w:val="auto"/>
          <w:highlight w:val="yellow"/>
          <w:lang w:val="en-US" w:eastAsia="zh-CN"/>
        </w:rPr>
        <w:t>15</w:t>
      </w:r>
      <w:r>
        <w:rPr>
          <w:rFonts w:hint="eastAsia"/>
          <w:color w:val="auto"/>
          <w:highlight w:val="yellow"/>
        </w:rPr>
        <w:t>日</w:t>
      </w:r>
    </w:p>
    <w:sdt>
      <w:sdtPr>
        <w:rPr>
          <w:rFonts w:ascii="宋体" w:hAnsi="宋体" w:eastAsia="宋体" w:cs="Times New Roman"/>
          <w:kern w:val="2"/>
          <w:sz w:val="21"/>
          <w:szCs w:val="24"/>
          <w:lang w:val="en-US" w:eastAsia="zh-CN" w:bidi="ar-SA"/>
        </w:rPr>
        <w:id w:val="147476899"/>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bookmarkStart w:id="15" w:name="_Toc15377196"/>
          <w:bookmarkStart w:id="16" w:name="_Toc15396599"/>
          <w:r>
            <w:fldChar w:fldCharType="begin"/>
          </w:r>
          <w:r>
            <w:instrText xml:space="preserve">TOC \o "1-2" \h \u </w:instrText>
          </w:r>
          <w:r>
            <w:fldChar w:fldCharType="separate"/>
          </w:r>
        </w:p>
        <w:p>
          <w:pPr>
            <w:pStyle w:val="32"/>
            <w:tabs>
              <w:tab w:val="right" w:leader="dot" w:pos="8306"/>
            </w:tabs>
            <w:rPr>
              <w:b/>
            </w:rPr>
          </w:pPr>
          <w:r>
            <w:rPr>
              <w:b/>
            </w:rPr>
            <w:fldChar w:fldCharType="begin"/>
          </w:r>
          <w:r>
            <w:rPr>
              <w:b/>
            </w:rPr>
            <w:instrText xml:space="preserve"> HYPERLINK \l _Toc13936 </w:instrText>
          </w:r>
          <w:r>
            <w:rPr>
              <w:b/>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_Toc13936 \h </w:instrText>
          </w:r>
          <w:r>
            <w:rPr>
              <w:b/>
            </w:rPr>
            <w:fldChar w:fldCharType="separate"/>
          </w:r>
          <w:r>
            <w:rPr>
              <w:b/>
            </w:rPr>
            <w:t>1</w:t>
          </w:r>
          <w:r>
            <w:rPr>
              <w:b/>
            </w:rPr>
            <w:fldChar w:fldCharType="end"/>
          </w:r>
          <w:r>
            <w:rPr>
              <w:b/>
            </w:rPr>
            <w:fldChar w:fldCharType="end"/>
          </w:r>
        </w:p>
        <w:p>
          <w:pPr>
            <w:pStyle w:val="33"/>
            <w:tabs>
              <w:tab w:val="right" w:leader="dot" w:pos="8306"/>
            </w:tabs>
          </w:pPr>
          <w:r>
            <w:fldChar w:fldCharType="begin"/>
          </w:r>
          <w:r>
            <w:instrText xml:space="preserve"> HYPERLINK \l _Toc7324 </w:instrText>
          </w:r>
          <w:r>
            <w:fldChar w:fldCharType="separate"/>
          </w:r>
          <w:r>
            <w:rPr>
              <w:rFonts w:hint="eastAsia" w:ascii="黑体" w:hAnsi="黑体" w:eastAsia="黑体"/>
              <w:bCs w:val="0"/>
              <w:highlight w:val="none"/>
              <w:lang w:eastAsia="zh-CN"/>
            </w:rPr>
            <w:t>一、主要职责</w:t>
          </w:r>
          <w:r>
            <w:tab/>
          </w:r>
          <w:r>
            <w:fldChar w:fldCharType="begin"/>
          </w:r>
          <w:r>
            <w:instrText xml:space="preserve"> PAGEREF _Toc7324 \h </w:instrText>
          </w:r>
          <w:r>
            <w:fldChar w:fldCharType="separate"/>
          </w:r>
          <w:r>
            <w:t>1</w:t>
          </w:r>
          <w:r>
            <w:fldChar w:fldCharType="end"/>
          </w:r>
          <w:r>
            <w:fldChar w:fldCharType="end"/>
          </w:r>
        </w:p>
        <w:p>
          <w:pPr>
            <w:pStyle w:val="33"/>
            <w:tabs>
              <w:tab w:val="right" w:leader="dot" w:pos="8306"/>
            </w:tabs>
          </w:pPr>
          <w:r>
            <w:fldChar w:fldCharType="begin"/>
          </w:r>
          <w:r>
            <w:instrText xml:space="preserve"> HYPERLINK \l _Toc6029 </w:instrText>
          </w:r>
          <w:r>
            <w:fldChar w:fldCharType="separate"/>
          </w:r>
          <w:r>
            <w:rPr>
              <w:rFonts w:hint="eastAsia" w:ascii="黑体" w:hAnsi="黑体" w:eastAsia="黑体"/>
              <w:lang w:val="en-US" w:eastAsia="zh-CN"/>
            </w:rPr>
            <w:t xml:space="preserve">二、 </w:t>
          </w:r>
          <w:r>
            <w:rPr>
              <w:rFonts w:hint="eastAsia" w:ascii="黑体" w:hAnsi="黑体" w:eastAsia="黑体"/>
              <w:highlight w:val="none"/>
              <w:lang w:val="en-US" w:eastAsia="zh-CN"/>
            </w:rPr>
            <w:t>机构设置</w:t>
          </w:r>
          <w:r>
            <w:tab/>
          </w:r>
          <w:r>
            <w:fldChar w:fldCharType="begin"/>
          </w:r>
          <w:r>
            <w:instrText xml:space="preserve"> PAGEREF _Toc6029 \h </w:instrText>
          </w:r>
          <w:r>
            <w:fldChar w:fldCharType="separate"/>
          </w:r>
          <w:r>
            <w:t>1</w:t>
          </w:r>
          <w:r>
            <w:fldChar w:fldCharType="end"/>
          </w:r>
          <w:r>
            <w:fldChar w:fldCharType="end"/>
          </w:r>
        </w:p>
        <w:p>
          <w:pPr>
            <w:pStyle w:val="32"/>
            <w:tabs>
              <w:tab w:val="right" w:leader="dot" w:pos="8306"/>
            </w:tabs>
            <w:rPr>
              <w:b/>
            </w:rPr>
          </w:pPr>
          <w:r>
            <w:rPr>
              <w:b/>
            </w:rPr>
            <w:fldChar w:fldCharType="begin"/>
          </w:r>
          <w:r>
            <w:rPr>
              <w:b/>
            </w:rPr>
            <w:instrText xml:space="preserve"> HYPERLINK \l _Toc10370 </w:instrText>
          </w:r>
          <w:r>
            <w:rPr>
              <w:b/>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_Toc10370 \h </w:instrText>
          </w:r>
          <w:r>
            <w:rPr>
              <w:b/>
            </w:rPr>
            <w:fldChar w:fldCharType="separate"/>
          </w:r>
          <w:r>
            <w:rPr>
              <w:b/>
            </w:rPr>
            <w:t>2</w:t>
          </w:r>
          <w:r>
            <w:rPr>
              <w:b/>
            </w:rPr>
            <w:fldChar w:fldCharType="end"/>
          </w:r>
          <w:r>
            <w:rPr>
              <w:b/>
            </w:rPr>
            <w:fldChar w:fldCharType="end"/>
          </w:r>
        </w:p>
        <w:p>
          <w:pPr>
            <w:pStyle w:val="33"/>
            <w:tabs>
              <w:tab w:val="right" w:leader="dot" w:pos="8306"/>
            </w:tabs>
          </w:pPr>
          <w:r>
            <w:fldChar w:fldCharType="begin"/>
          </w:r>
          <w:r>
            <w:instrText xml:space="preserve"> HYPERLINK \l _Toc22644 </w:instrText>
          </w:r>
          <w: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_Toc22644 \h </w:instrText>
          </w:r>
          <w:r>
            <w:fldChar w:fldCharType="separate"/>
          </w:r>
          <w:r>
            <w:t>2</w:t>
          </w:r>
          <w:r>
            <w:fldChar w:fldCharType="end"/>
          </w:r>
          <w:r>
            <w:fldChar w:fldCharType="end"/>
          </w:r>
        </w:p>
        <w:p>
          <w:pPr>
            <w:pStyle w:val="33"/>
            <w:tabs>
              <w:tab w:val="right" w:leader="dot" w:pos="8306"/>
            </w:tabs>
          </w:pPr>
          <w:r>
            <w:fldChar w:fldCharType="begin"/>
          </w:r>
          <w:r>
            <w:instrText xml:space="preserve"> HYPERLINK \l _Toc18591 </w:instrText>
          </w:r>
          <w: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_Toc18591 \h </w:instrText>
          </w:r>
          <w:r>
            <w:fldChar w:fldCharType="separate"/>
          </w:r>
          <w:r>
            <w:t>2</w:t>
          </w:r>
          <w:r>
            <w:fldChar w:fldCharType="end"/>
          </w:r>
          <w:r>
            <w:fldChar w:fldCharType="end"/>
          </w:r>
        </w:p>
        <w:p>
          <w:pPr>
            <w:pStyle w:val="33"/>
            <w:tabs>
              <w:tab w:val="right" w:leader="dot" w:pos="8306"/>
            </w:tabs>
          </w:pPr>
          <w:r>
            <w:fldChar w:fldCharType="begin"/>
          </w:r>
          <w:r>
            <w:instrText xml:space="preserve"> HYPERLINK \l _Toc29757 </w:instrText>
          </w:r>
          <w: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_Toc29757 \h </w:instrText>
          </w:r>
          <w:r>
            <w:fldChar w:fldCharType="separate"/>
          </w:r>
          <w:r>
            <w:t>3</w:t>
          </w:r>
          <w:r>
            <w:fldChar w:fldCharType="end"/>
          </w:r>
          <w:r>
            <w:fldChar w:fldCharType="end"/>
          </w:r>
        </w:p>
        <w:p>
          <w:pPr>
            <w:pStyle w:val="33"/>
            <w:tabs>
              <w:tab w:val="right" w:leader="dot" w:pos="8306"/>
            </w:tabs>
          </w:pPr>
          <w:r>
            <w:fldChar w:fldCharType="begin"/>
          </w:r>
          <w:r>
            <w:instrText xml:space="preserve"> HYPERLINK \l _Toc31383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_Toc31383 \h </w:instrText>
          </w:r>
          <w:r>
            <w:fldChar w:fldCharType="separate"/>
          </w:r>
          <w:r>
            <w:t>3</w:t>
          </w:r>
          <w:r>
            <w:fldChar w:fldCharType="end"/>
          </w:r>
          <w:r>
            <w:fldChar w:fldCharType="end"/>
          </w:r>
        </w:p>
        <w:p>
          <w:pPr>
            <w:pStyle w:val="33"/>
            <w:tabs>
              <w:tab w:val="right" w:leader="dot" w:pos="8306"/>
            </w:tabs>
          </w:pPr>
          <w:r>
            <w:fldChar w:fldCharType="begin"/>
          </w:r>
          <w:r>
            <w:instrText xml:space="preserve"> HYPERLINK \l _Toc30247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_Toc30247 \h </w:instrText>
          </w:r>
          <w:r>
            <w:fldChar w:fldCharType="separate"/>
          </w:r>
          <w:r>
            <w:t>3</w:t>
          </w:r>
          <w:r>
            <w:fldChar w:fldCharType="end"/>
          </w:r>
          <w:r>
            <w:fldChar w:fldCharType="end"/>
          </w:r>
        </w:p>
        <w:p>
          <w:pPr>
            <w:pStyle w:val="33"/>
            <w:tabs>
              <w:tab w:val="right" w:leader="dot" w:pos="8306"/>
            </w:tabs>
          </w:pPr>
          <w:r>
            <w:fldChar w:fldCharType="begin"/>
          </w:r>
          <w:r>
            <w:instrText xml:space="preserve"> HYPERLINK \l _Toc15162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_Toc15162 \h </w:instrText>
          </w:r>
          <w:r>
            <w:fldChar w:fldCharType="separate"/>
          </w:r>
          <w:r>
            <w:t>5</w:t>
          </w:r>
          <w:r>
            <w:fldChar w:fldCharType="end"/>
          </w:r>
          <w:r>
            <w:fldChar w:fldCharType="end"/>
          </w:r>
        </w:p>
        <w:p>
          <w:pPr>
            <w:pStyle w:val="33"/>
            <w:tabs>
              <w:tab w:val="right" w:leader="dot" w:pos="8306"/>
            </w:tabs>
          </w:pPr>
          <w:r>
            <w:fldChar w:fldCharType="begin"/>
          </w:r>
          <w:r>
            <w:instrText xml:space="preserve"> HYPERLINK \l _Toc17918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_Toc17918 \h </w:instrText>
          </w:r>
          <w:r>
            <w:fldChar w:fldCharType="separate"/>
          </w:r>
          <w:r>
            <w:t>6</w:t>
          </w:r>
          <w:r>
            <w:fldChar w:fldCharType="end"/>
          </w:r>
          <w:r>
            <w:fldChar w:fldCharType="end"/>
          </w:r>
        </w:p>
        <w:p>
          <w:pPr>
            <w:pStyle w:val="33"/>
            <w:tabs>
              <w:tab w:val="right" w:leader="dot" w:pos="8306"/>
            </w:tabs>
          </w:pPr>
          <w:r>
            <w:fldChar w:fldCharType="begin"/>
          </w:r>
          <w:r>
            <w:instrText xml:space="preserve"> HYPERLINK \l _Toc23580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_Toc23580 \h </w:instrText>
          </w:r>
          <w:r>
            <w:fldChar w:fldCharType="separate"/>
          </w:r>
          <w:r>
            <w:t>7</w:t>
          </w:r>
          <w:r>
            <w:fldChar w:fldCharType="end"/>
          </w:r>
          <w:r>
            <w:fldChar w:fldCharType="end"/>
          </w:r>
        </w:p>
        <w:p>
          <w:pPr>
            <w:pStyle w:val="33"/>
            <w:tabs>
              <w:tab w:val="right" w:leader="dot" w:pos="8306"/>
            </w:tabs>
          </w:pPr>
          <w:r>
            <w:fldChar w:fldCharType="begin"/>
          </w:r>
          <w:r>
            <w:instrText xml:space="preserve"> HYPERLINK \l _Toc18545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_Toc18545 \h </w:instrText>
          </w:r>
          <w:r>
            <w:fldChar w:fldCharType="separate"/>
          </w:r>
          <w:r>
            <w:t>7</w:t>
          </w:r>
          <w:r>
            <w:fldChar w:fldCharType="end"/>
          </w:r>
          <w:r>
            <w:fldChar w:fldCharType="end"/>
          </w:r>
        </w:p>
        <w:p>
          <w:pPr>
            <w:pStyle w:val="33"/>
            <w:tabs>
              <w:tab w:val="right" w:leader="dot" w:pos="8306"/>
            </w:tabs>
          </w:pPr>
          <w:r>
            <w:fldChar w:fldCharType="begin"/>
          </w:r>
          <w:r>
            <w:instrText xml:space="preserve"> HYPERLINK \l _Toc16795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_Toc16795 \h </w:instrText>
          </w:r>
          <w:r>
            <w:fldChar w:fldCharType="separate"/>
          </w:r>
          <w:r>
            <w:t>7</w:t>
          </w:r>
          <w:r>
            <w:fldChar w:fldCharType="end"/>
          </w:r>
          <w:r>
            <w:fldChar w:fldCharType="end"/>
          </w:r>
        </w:p>
        <w:p>
          <w:pPr>
            <w:pStyle w:val="32"/>
            <w:tabs>
              <w:tab w:val="right" w:leader="dot" w:pos="8306"/>
            </w:tabs>
            <w:rPr>
              <w:b/>
            </w:rPr>
          </w:pPr>
          <w:r>
            <w:rPr>
              <w:b/>
            </w:rPr>
            <w:fldChar w:fldCharType="begin"/>
          </w:r>
          <w:r>
            <w:rPr>
              <w:b/>
            </w:rPr>
            <w:instrText xml:space="preserve"> HYPERLINK \l _Toc32014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_Toc32014 \h </w:instrText>
          </w:r>
          <w:r>
            <w:rPr>
              <w:b/>
            </w:rPr>
            <w:fldChar w:fldCharType="separate"/>
          </w:r>
          <w:r>
            <w:rPr>
              <w:b/>
            </w:rPr>
            <w:t>9</w:t>
          </w:r>
          <w:r>
            <w:rPr>
              <w:b/>
            </w:rPr>
            <w:fldChar w:fldCharType="end"/>
          </w:r>
          <w:r>
            <w:rPr>
              <w:b/>
            </w:rPr>
            <w:fldChar w:fldCharType="end"/>
          </w:r>
        </w:p>
        <w:p>
          <w:pPr>
            <w:pStyle w:val="32"/>
            <w:tabs>
              <w:tab w:val="right" w:leader="dot" w:pos="8306"/>
            </w:tabs>
            <w:rPr>
              <w:b/>
            </w:rPr>
          </w:pPr>
          <w:r>
            <w:rPr>
              <w:b/>
            </w:rPr>
            <w:fldChar w:fldCharType="begin"/>
          </w:r>
          <w:r>
            <w:rPr>
              <w:b/>
            </w:rPr>
            <w:instrText xml:space="preserve"> HYPERLINK \l _Toc29069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_Toc29069 \h </w:instrText>
          </w:r>
          <w:r>
            <w:rPr>
              <w:b/>
            </w:rPr>
            <w:fldChar w:fldCharType="separate"/>
          </w:r>
          <w:r>
            <w:rPr>
              <w:b/>
            </w:rPr>
            <w:t>11</w:t>
          </w:r>
          <w:r>
            <w:rPr>
              <w:b/>
            </w:rPr>
            <w:fldChar w:fldCharType="end"/>
          </w:r>
          <w:r>
            <w:rPr>
              <w:b/>
            </w:rPr>
            <w:fldChar w:fldCharType="end"/>
          </w:r>
        </w:p>
        <w:p>
          <w:pPr>
            <w:pStyle w:val="32"/>
            <w:tabs>
              <w:tab w:val="right" w:leader="dot" w:pos="8306"/>
            </w:tabs>
            <w:rPr>
              <w:b/>
            </w:rPr>
          </w:pPr>
          <w:r>
            <w:rPr>
              <w:b/>
            </w:rPr>
            <w:fldChar w:fldCharType="begin"/>
          </w:r>
          <w:r>
            <w:rPr>
              <w:b/>
            </w:rPr>
            <w:instrText xml:space="preserve"> HYPERLINK \l _Toc30099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_Toc30099 \h </w:instrText>
          </w:r>
          <w:r>
            <w:rPr>
              <w:b/>
            </w:rPr>
            <w:fldChar w:fldCharType="separate"/>
          </w:r>
          <w:r>
            <w:rPr>
              <w:b/>
            </w:rPr>
            <w:t>2</w:t>
          </w:r>
          <w:r>
            <w:rPr>
              <w:rFonts w:hint="eastAsia"/>
              <w:b/>
              <w:lang w:val="en-US" w:eastAsia="zh-CN"/>
            </w:rPr>
            <w:t>3</w:t>
          </w:r>
          <w:r>
            <w:rPr>
              <w:b/>
            </w:rPr>
            <w:fldChar w:fldCharType="end"/>
          </w:r>
          <w:r>
            <w:rPr>
              <w:b/>
            </w:rPr>
            <w:fldChar w:fldCharType="end"/>
          </w:r>
        </w:p>
        <w:p>
          <w:pPr>
            <w:pStyle w:val="33"/>
            <w:tabs>
              <w:tab w:val="right" w:leader="dot" w:pos="8306"/>
            </w:tabs>
          </w:pPr>
          <w:r>
            <w:fldChar w:fldCharType="begin"/>
          </w:r>
          <w:r>
            <w:instrText xml:space="preserve"> HYPERLINK \l _Toc19964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_Toc19964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_Toc23552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_Toc23552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_Toc18984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_Toc18984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_Toc23877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_Toc23877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_Toc22688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_Toc22688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_Toc8234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_Toc8234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_Toc21934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_Toc21934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_Toc9705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_Toc9705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_Toc25431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_Toc25431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_Toc24413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_Toc24413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_Toc21066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_Toc21066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_Toc30902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_Toc30902 \h </w:instrText>
          </w:r>
          <w:r>
            <w:fldChar w:fldCharType="separate"/>
          </w:r>
          <w:r>
            <w:t>2</w:t>
          </w:r>
          <w:r>
            <w:rPr>
              <w:rFonts w:hint="eastAsia"/>
              <w:lang w:val="en-US" w:eastAsia="zh-CN"/>
            </w:rPr>
            <w:t>3</w:t>
          </w:r>
          <w:r>
            <w:fldChar w:fldCharType="end"/>
          </w:r>
          <w:r>
            <w:fldChar w:fldCharType="end"/>
          </w:r>
        </w:p>
        <w:p>
          <w:pPr>
            <w:pStyle w:val="33"/>
            <w:tabs>
              <w:tab w:val="right" w:leader="dot" w:pos="8306"/>
            </w:tabs>
          </w:pPr>
          <w:r>
            <w:fldChar w:fldCharType="begin"/>
          </w:r>
          <w:r>
            <w:instrText xml:space="preserve"> HYPERLINK \l _Toc11083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_Toc11083 \h </w:instrText>
          </w:r>
          <w:r>
            <w:fldChar w:fldCharType="separate"/>
          </w:r>
          <w:r>
            <w:t>2</w:t>
          </w:r>
          <w:r>
            <w:rPr>
              <w:rFonts w:hint="eastAsia"/>
              <w:lang w:val="en-US" w:eastAsia="zh-CN"/>
            </w:rPr>
            <w:t>3</w:t>
          </w:r>
          <w:r>
            <w:fldChar w:fldCharType="end"/>
          </w:r>
          <w:r>
            <w:fldChar w:fldCharType="end"/>
          </w:r>
        </w:p>
        <w:p>
          <w:r>
            <w:rPr>
              <w:b/>
            </w:rPr>
            <w:fldChar w:fldCharType="end"/>
          </w:r>
        </w:p>
      </w:sdtContent>
    </w:sdt>
    <w:p>
      <w:pPr>
        <w:pStyle w:val="3"/>
        <w:jc w:val="center"/>
        <w:rPr>
          <w:rFonts w:hint="eastAsia" w:ascii="黑体" w:hAnsi="黑体" w:eastAsia="黑体"/>
          <w:b w:val="0"/>
          <w:color w:val="auto"/>
          <w:highlight w:val="none"/>
        </w:rPr>
        <w:sectPr>
          <w:footerReference r:id="rId4" w:type="first"/>
          <w:footerReference r:id="rId3" w:type="default"/>
          <w:pgSz w:w="11906" w:h="16838"/>
          <w:pgMar w:top="1440" w:right="1800" w:bottom="1440" w:left="1800" w:header="851" w:footer="992" w:gutter="0"/>
          <w:pgNumType w:fmt="decimal" w:start="1"/>
          <w:cols w:space="425" w:num="1"/>
          <w:docGrid w:type="lines" w:linePitch="312" w:charSpace="0"/>
        </w:sectPr>
      </w:pPr>
      <w:bookmarkStart w:id="17" w:name="_Toc13936"/>
    </w:p>
    <w:p>
      <w:pPr>
        <w:pStyle w:val="3"/>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5"/>
      <w:bookmarkEnd w:id="16"/>
      <w:bookmarkEnd w:id="17"/>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firstLine="640" w:firstLineChars="200"/>
        <w:textAlignment w:val="auto"/>
        <w:rPr>
          <w:rStyle w:val="18"/>
          <w:rFonts w:hint="eastAsia" w:ascii="黑体" w:hAnsi="黑体" w:eastAsia="黑体"/>
          <w:b w:val="0"/>
          <w:bCs w:val="0"/>
          <w:color w:val="auto"/>
          <w:highlight w:val="none"/>
          <w:lang w:eastAsia="zh-CN"/>
        </w:rPr>
      </w:pPr>
      <w:bookmarkStart w:id="18" w:name="_Toc7324"/>
      <w:bookmarkStart w:id="19" w:name="_Toc15396600"/>
      <w:bookmarkStart w:id="20" w:name="_Toc15377197"/>
      <w:r>
        <w:rPr>
          <w:rStyle w:val="18"/>
          <w:rFonts w:hint="eastAsia" w:ascii="黑体" w:hAnsi="黑体" w:eastAsia="黑体"/>
          <w:b w:val="0"/>
          <w:bCs w:val="0"/>
          <w:color w:val="auto"/>
          <w:highlight w:val="none"/>
          <w:lang w:eastAsia="zh-CN"/>
        </w:rPr>
        <w:t>一、主要职责</w:t>
      </w:r>
      <w:bookmarkEnd w:id="18"/>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b w:val="0"/>
          <w:color w:val="auto"/>
          <w:highlight w:val="none"/>
          <w:lang w:val="en-US" w:eastAsia="zh-CN"/>
        </w:rPr>
      </w:pPr>
      <w:bookmarkStart w:id="21" w:name="_Toc11277"/>
      <w:r>
        <w:rPr>
          <w:rFonts w:hint="eastAsia" w:ascii="仿宋_GB2312" w:hAnsi="微软雅黑" w:eastAsia="仿宋_GB2312"/>
          <w:b w:val="0"/>
          <w:bCs w:val="0"/>
          <w:sz w:val="32"/>
          <w:szCs w:val="32"/>
        </w:rPr>
        <w:t>负责本级部门项目支出预算的专业审核，按照部门预算编制的要求，提出项目支出预算审核意见；负责本级重大基本建设项目财政监管和安全拨付的专业审核，审查工程变更，提出项目资金拨付审核意见；负责本级基本建设项目竣工决算的专业审核，提出交付使用资产价值意见；负责本级财政支出预算绩效考评专业评价工作，提出预算执行绩效意见；配合本级财政部门做好安全专项核查及追踪问效工作。</w:t>
      </w:r>
      <w:bookmarkEnd w:id="21"/>
    </w:p>
    <w:p>
      <w:pPr>
        <w:pStyle w:val="4"/>
        <w:keepNext/>
        <w:keepLines/>
        <w:pageBreakBefore w:val="0"/>
        <w:widowControl w:val="0"/>
        <w:numPr>
          <w:ilvl w:val="0"/>
          <w:numId w:val="1"/>
        </w:numPr>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b w:val="0"/>
          <w:color w:val="auto"/>
          <w:highlight w:val="none"/>
          <w:lang w:val="en-US" w:eastAsia="zh-CN"/>
        </w:rPr>
      </w:pPr>
      <w:bookmarkStart w:id="22" w:name="_Toc6029"/>
      <w:r>
        <w:rPr>
          <w:rFonts w:hint="eastAsia" w:ascii="黑体" w:hAnsi="黑体" w:eastAsia="黑体"/>
          <w:b w:val="0"/>
          <w:color w:val="auto"/>
          <w:highlight w:val="none"/>
          <w:lang w:val="en-US" w:eastAsia="zh-CN"/>
        </w:rPr>
        <w:t>机构设置</w:t>
      </w:r>
      <w:bookmarkEnd w:id="22"/>
    </w:p>
    <w:bookmarkEnd w:id="19"/>
    <w:bookmarkEnd w:id="20"/>
    <w:p>
      <w:pPr>
        <w:widowControl/>
        <w:ind w:firstLine="640" w:firstLineChars="200"/>
        <w:jc w:val="left"/>
        <w:rPr>
          <w:rFonts w:ascii="仿宋" w:hAnsi="仿宋" w:eastAsia="仿宋"/>
          <w:color w:val="auto"/>
          <w:kern w:val="0"/>
          <w:sz w:val="32"/>
          <w:szCs w:val="32"/>
          <w:highlight w:val="none"/>
        </w:rPr>
      </w:pPr>
      <w:r>
        <w:rPr>
          <w:rFonts w:hint="eastAsia" w:ascii="仿宋_GB2312" w:hAnsi="仿宋_GB2312" w:eastAsia="仿宋_GB2312" w:cs="仿宋_GB2312"/>
          <w:b w:val="0"/>
          <w:bCs w:val="0"/>
          <w:kern w:val="0"/>
          <w:sz w:val="32"/>
          <w:szCs w:val="32"/>
        </w:rPr>
        <w:t>广元</w:t>
      </w:r>
      <w:r>
        <w:rPr>
          <w:rFonts w:hint="eastAsia" w:ascii="仿宋_GB2312" w:hAnsi="仿宋_GB2312" w:eastAsia="仿宋_GB2312" w:cs="仿宋_GB2312"/>
          <w:b w:val="0"/>
          <w:bCs w:val="0"/>
          <w:color w:val="auto"/>
          <w:kern w:val="0"/>
          <w:sz w:val="32"/>
          <w:szCs w:val="32"/>
        </w:rPr>
        <w:t>市财政评审中心</w:t>
      </w:r>
      <w:r>
        <w:rPr>
          <w:rFonts w:hint="eastAsia" w:ascii="仿宋_GB2312" w:hAnsi="仿宋_GB2312" w:eastAsia="仿宋_GB2312" w:cs="仿宋_GB2312"/>
          <w:b w:val="0"/>
          <w:bCs w:val="0"/>
          <w:color w:val="auto"/>
          <w:kern w:val="0"/>
          <w:sz w:val="32"/>
          <w:szCs w:val="32"/>
          <w:lang w:val="en-US" w:eastAsia="zh-CN"/>
        </w:rPr>
        <w:t>为</w:t>
      </w: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广元市财政局下属</w:t>
      </w:r>
      <w:r>
        <w:rPr>
          <w:rFonts w:hint="default" w:ascii="仿宋_GB2312" w:eastAsia="仿宋_GB2312" w:cs="仿宋_GB2312"/>
          <w:b w:val="0"/>
          <w:bCs w:val="0"/>
          <w:i w:val="0"/>
          <w:caps w:val="0"/>
          <w:color w:val="auto"/>
          <w:spacing w:val="0"/>
          <w:kern w:val="0"/>
          <w:sz w:val="32"/>
          <w:szCs w:val="32"/>
          <w:shd w:val="clear" w:color="auto" w:fill="FFFFFF"/>
          <w:lang w:eastAsia="zh-CN" w:bidi="ar"/>
        </w:rPr>
        <w:t>二级预算单位，为其他</w:t>
      </w: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事业单位</w:t>
      </w:r>
      <w:r>
        <w:rPr>
          <w:rFonts w:hint="eastAsia" w:ascii="仿宋_GB2312" w:hAnsi="Times New Roman" w:eastAsia="仿宋_GB2312" w:cs="仿宋_GB2312"/>
          <w:b w:val="0"/>
          <w:bCs w:val="0"/>
          <w:i w:val="0"/>
          <w:caps w:val="0"/>
          <w:color w:val="333333"/>
          <w:spacing w:val="0"/>
          <w:kern w:val="0"/>
          <w:sz w:val="32"/>
          <w:szCs w:val="32"/>
          <w:shd w:val="clear" w:color="auto" w:fill="FFFFFF"/>
          <w:lang w:val="en-US" w:eastAsia="zh-CN" w:bidi="ar"/>
        </w:rPr>
        <w:t>。</w:t>
      </w:r>
    </w:p>
    <w:p>
      <w:pPr>
        <w:pStyle w:val="6"/>
        <w:rPr>
          <w:rFonts w:ascii="仿宋" w:hAnsi="仿宋" w:eastAsia="仿宋"/>
          <w:color w:val="auto"/>
          <w:kern w:val="0"/>
          <w:sz w:val="32"/>
          <w:szCs w:val="32"/>
          <w:highlight w:val="none"/>
        </w:rPr>
      </w:pPr>
    </w:p>
    <w:p>
      <w:pPr>
        <w:pStyle w:val="6"/>
        <w:rPr>
          <w:rFonts w:ascii="仿宋" w:hAnsi="仿宋" w:eastAsia="仿宋"/>
          <w:color w:val="auto"/>
          <w:kern w:val="0"/>
          <w:sz w:val="32"/>
          <w:szCs w:val="32"/>
          <w:highlight w:val="none"/>
        </w:rPr>
      </w:pPr>
    </w:p>
    <w:p>
      <w:pPr>
        <w:pStyle w:val="3"/>
        <w:keepNext/>
        <w:keepLines/>
        <w:pageBreakBefore w:val="0"/>
        <w:widowControl w:val="0"/>
        <w:kinsoku/>
        <w:wordWrap/>
        <w:overflowPunct/>
        <w:topLinePunct w:val="0"/>
        <w:autoSpaceDE/>
        <w:autoSpaceDN/>
        <w:bidi w:val="0"/>
        <w:adjustRightInd/>
        <w:snapToGrid/>
        <w:spacing w:before="0" w:after="0" w:line="576" w:lineRule="exact"/>
        <w:ind w:right="442"/>
        <w:jc w:val="both"/>
        <w:textAlignment w:val="auto"/>
        <w:outlineLvl w:val="9"/>
        <w:rPr>
          <w:rFonts w:hint="eastAsia" w:ascii="黑体" w:hAnsi="黑体" w:eastAsia="黑体"/>
          <w:b w:val="0"/>
          <w:bCs/>
          <w:color w:val="auto"/>
          <w:highlight w:val="none"/>
        </w:rPr>
      </w:pPr>
      <w:bookmarkStart w:id="23" w:name="_Toc15377204"/>
      <w:bookmarkStart w:id="24" w:name="_Toc15396602"/>
    </w:p>
    <w:p>
      <w:pPr>
        <w:pStyle w:val="3"/>
        <w:keepNext/>
        <w:keepLines/>
        <w:pageBreakBefore w:val="0"/>
        <w:widowControl w:val="0"/>
        <w:kinsoku/>
        <w:wordWrap/>
        <w:overflowPunct/>
        <w:topLinePunct w:val="0"/>
        <w:autoSpaceDE/>
        <w:autoSpaceDN/>
        <w:bidi w:val="0"/>
        <w:adjustRightInd/>
        <w:snapToGrid/>
        <w:spacing w:before="0" w:after="0" w:line="576" w:lineRule="exact"/>
        <w:ind w:right="442"/>
        <w:jc w:val="both"/>
        <w:textAlignment w:val="auto"/>
        <w:outlineLvl w:val="9"/>
        <w:rPr>
          <w:rFonts w:hint="eastAsia" w:ascii="黑体" w:hAnsi="黑体" w:eastAsia="黑体"/>
          <w:b w:val="0"/>
          <w:bCs/>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76" w:lineRule="exact"/>
        <w:ind w:right="442"/>
        <w:jc w:val="both"/>
        <w:textAlignment w:val="auto"/>
        <w:outlineLvl w:val="9"/>
        <w:rPr>
          <w:rFonts w:hint="eastAsia" w:ascii="黑体" w:hAnsi="黑体" w:eastAsia="黑体"/>
          <w:b w:val="0"/>
          <w:bCs/>
          <w:color w:val="auto"/>
          <w:highlight w:val="none"/>
        </w:rPr>
      </w:pPr>
    </w:p>
    <w:p>
      <w:pPr>
        <w:rPr>
          <w:rFonts w:hint="eastAsia" w:ascii="黑体" w:hAnsi="黑体" w:eastAsia="黑体"/>
          <w:b w:val="0"/>
          <w:bCs/>
          <w:color w:val="auto"/>
          <w:highlight w:val="none"/>
        </w:rPr>
      </w:pPr>
    </w:p>
    <w:p>
      <w:pPr>
        <w:pStyle w:val="6"/>
        <w:rPr>
          <w:rFonts w:hint="eastAsia" w:ascii="黑体" w:hAnsi="黑体" w:eastAsia="黑体"/>
          <w:b w:val="0"/>
          <w:bCs/>
          <w:color w:val="auto"/>
          <w:highlight w:val="none"/>
        </w:rPr>
      </w:pPr>
    </w:p>
    <w:p>
      <w:pPr>
        <w:pStyle w:val="6"/>
        <w:rPr>
          <w:rFonts w:hint="eastAsia" w:ascii="黑体" w:hAnsi="黑体" w:eastAsia="黑体"/>
          <w:b w:val="0"/>
          <w:bCs/>
          <w:color w:val="auto"/>
          <w:highlight w:val="none"/>
        </w:rPr>
      </w:pPr>
    </w:p>
    <w:p>
      <w:pPr>
        <w:pStyle w:val="6"/>
        <w:rPr>
          <w:rFonts w:hint="eastAsia" w:ascii="黑体" w:hAnsi="黑体" w:eastAsia="黑体"/>
          <w:b w:val="0"/>
          <w:bCs/>
          <w:color w:val="auto"/>
          <w:highlight w:val="none"/>
        </w:rPr>
      </w:pPr>
    </w:p>
    <w:p>
      <w:pPr>
        <w:pStyle w:val="6"/>
        <w:rPr>
          <w:rFonts w:hint="eastAsia" w:ascii="黑体" w:hAnsi="黑体" w:eastAsia="黑体"/>
          <w:b w:val="0"/>
          <w:bCs/>
          <w:color w:val="auto"/>
          <w:highlight w:val="none"/>
        </w:rPr>
      </w:pPr>
    </w:p>
    <w:p>
      <w:pPr>
        <w:pStyle w:val="3"/>
        <w:keepNext/>
        <w:keepLines/>
        <w:pageBreakBefore w:val="0"/>
        <w:widowControl w:val="0"/>
        <w:kinsoku/>
        <w:wordWrap/>
        <w:overflowPunct/>
        <w:topLinePunct w:val="0"/>
        <w:autoSpaceDE/>
        <w:autoSpaceDN/>
        <w:bidi w:val="0"/>
        <w:adjustRightInd/>
        <w:snapToGrid/>
        <w:spacing w:before="0" w:after="0" w:line="576" w:lineRule="exact"/>
        <w:ind w:right="442"/>
        <w:jc w:val="center"/>
        <w:textAlignment w:val="auto"/>
        <w:rPr>
          <w:rStyle w:val="17"/>
          <w:rFonts w:ascii="黑体" w:hAnsi="黑体" w:eastAsia="黑体"/>
          <w:b w:val="0"/>
          <w:bCs/>
          <w:color w:val="auto"/>
          <w:highlight w:val="none"/>
        </w:rPr>
      </w:pPr>
      <w:bookmarkStart w:id="25" w:name="_Toc10370"/>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3"/>
      <w:bookmarkEnd w:id="24"/>
      <w:bookmarkEnd w:id="25"/>
    </w:p>
    <w:p>
      <w:pPr>
        <w:rPr>
          <w:color w:val="auto"/>
          <w:highlight w:val="none"/>
        </w:rPr>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6" w:name="_Toc15396603"/>
      <w:bookmarkStart w:id="27" w:name="_Toc22644"/>
      <w:bookmarkStart w:id="28" w:name="_Toc1537720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6"/>
      <w:bookmarkEnd w:id="27"/>
      <w:bookmarkEnd w:id="28"/>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626.29</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80.02</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14.65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必须开展项目评审工作引起的项目收支增加。</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spacing w:line="600" w:lineRule="exact"/>
        <w:jc w:val="center"/>
      </w:pPr>
      <w:r>
        <w:drawing>
          <wp:anchor distT="0" distB="0" distL="114300" distR="114300" simplePos="0" relativeHeight="251659264" behindDoc="0" locked="0" layoutInCell="1" allowOverlap="1">
            <wp:simplePos x="0" y="0"/>
            <wp:positionH relativeFrom="column">
              <wp:posOffset>922020</wp:posOffset>
            </wp:positionH>
            <wp:positionV relativeFrom="paragraph">
              <wp:posOffset>156845</wp:posOffset>
            </wp:positionV>
            <wp:extent cx="3017520" cy="1948180"/>
            <wp:effectExtent l="4445" t="4445" r="6985" b="9525"/>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spacing w:line="600" w:lineRule="exact"/>
        <w:jc w:val="left"/>
        <w:rPr>
          <w:rFonts w:ascii="仿宋_GB2312" w:eastAsia="仿宋_GB2312"/>
          <w:color w:val="auto"/>
          <w:sz w:val="32"/>
          <w:szCs w:val="32"/>
          <w:highlight w:val="none"/>
        </w:rPr>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9" w:name="_Toc18591"/>
      <w:bookmarkStart w:id="30" w:name="_Toc15396604"/>
      <w:bookmarkStart w:id="31" w:name="_Toc15377206"/>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9"/>
      <w:bookmarkEnd w:id="30"/>
      <w:bookmarkEnd w:id="31"/>
    </w:p>
    <w:p>
      <w:pPr>
        <w:spacing w:line="600" w:lineRule="exact"/>
        <w:ind w:firstLine="640" w:firstLineChars="200"/>
        <w:outlineLvl w:val="1"/>
        <w:rPr>
          <w:rFonts w:ascii="仿宋" w:hAnsi="仿宋" w:eastAsia="仿宋"/>
          <w:color w:val="auto"/>
          <w:sz w:val="32"/>
          <w:szCs w:val="32"/>
          <w:highlight w:val="none"/>
        </w:rPr>
      </w:pPr>
      <w:bookmarkStart w:id="32" w:name="_Toc1607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543.38</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543.35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99.99</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0.03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2"/>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6"/>
        <w:jc w:val="center"/>
        <w:rPr>
          <w:rFonts w:ascii="仿宋_GB2312" w:eastAsia="仿宋_GB2312"/>
          <w:color w:val="auto"/>
          <w:sz w:val="32"/>
          <w:szCs w:val="32"/>
          <w:highlight w:val="none"/>
        </w:rPr>
      </w:pPr>
      <w:r>
        <w:drawing>
          <wp:inline distT="0" distB="0" distL="114300" distR="114300">
            <wp:extent cx="3180080" cy="1871980"/>
            <wp:effectExtent l="4445" t="4445" r="15875" b="952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33" w:name="_Toc29757"/>
      <w:bookmarkStart w:id="34" w:name="_Toc15396605"/>
      <w:bookmarkStart w:id="35" w:name="_Toc15377207"/>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3"/>
      <w:bookmarkEnd w:id="34"/>
      <w:bookmarkEnd w:id="35"/>
    </w:p>
    <w:p>
      <w:pPr>
        <w:spacing w:line="600" w:lineRule="exact"/>
        <w:ind w:firstLine="640" w:firstLineChars="200"/>
        <w:outlineLvl w:val="1"/>
        <w:rPr>
          <w:rFonts w:ascii="仿宋" w:hAnsi="仿宋" w:eastAsia="仿宋"/>
          <w:color w:val="auto"/>
          <w:sz w:val="32"/>
          <w:szCs w:val="32"/>
          <w:highlight w:val="none"/>
          <w:shd w:val="pct10" w:color="auto" w:fill="FFFFFF"/>
        </w:rPr>
      </w:pPr>
      <w:bookmarkStart w:id="36" w:name="_Toc2109"/>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603.27</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117.16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19.42</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486.11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80.58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6"/>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pStyle w:val="6"/>
        <w:jc w:val="center"/>
        <w:rPr>
          <w:rFonts w:ascii="仿宋_GB2312" w:eastAsia="仿宋_GB2312"/>
          <w:color w:val="auto"/>
          <w:sz w:val="32"/>
          <w:szCs w:val="32"/>
          <w:highlight w:val="none"/>
        </w:rPr>
      </w:pPr>
      <w:r>
        <w:drawing>
          <wp:inline distT="0" distB="0" distL="114300" distR="114300">
            <wp:extent cx="2841625" cy="1701165"/>
            <wp:effectExtent l="4445" t="4445" r="11430" b="8890"/>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1"/>
        <w:rPr>
          <w:rStyle w:val="18"/>
          <w:rFonts w:ascii="黑体" w:hAnsi="黑体" w:eastAsia="黑体"/>
          <w:b w:val="0"/>
          <w:color w:val="auto"/>
          <w:highlight w:val="none"/>
        </w:rPr>
      </w:pPr>
      <w:bookmarkStart w:id="37" w:name="_Toc15377208"/>
      <w:bookmarkStart w:id="38" w:name="_Toc15396606"/>
      <w:bookmarkStart w:id="39" w:name="_Toc31383"/>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7"/>
      <w:bookmarkEnd w:id="38"/>
      <w:bookmarkEnd w:id="39"/>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605.83</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80.03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15.22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因必需开展的项目评审工作引起的项目收支增加。</w:t>
      </w:r>
    </w:p>
    <w:p>
      <w:pPr>
        <w:spacing w:line="600" w:lineRule="exact"/>
        <w:ind w:firstLine="640" w:firstLineChars="200"/>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Style w:val="6"/>
        <w:jc w:val="center"/>
        <w:rPr>
          <w:rFonts w:ascii="仿宋" w:hAnsi="仿宋" w:eastAsia="仿宋"/>
          <w:b/>
          <w:color w:val="auto"/>
          <w:sz w:val="32"/>
          <w:szCs w:val="32"/>
          <w:highlight w:val="none"/>
        </w:rPr>
      </w:pPr>
      <w:r>
        <w:drawing>
          <wp:inline distT="0" distB="0" distL="114300" distR="114300">
            <wp:extent cx="3542665" cy="1985645"/>
            <wp:effectExtent l="4445" t="4445" r="15240" b="1016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outlineLvl w:val="1"/>
        <w:rPr>
          <w:rStyle w:val="18"/>
          <w:rFonts w:ascii="黑体" w:hAnsi="黑体" w:eastAsia="黑体"/>
          <w:b w:val="0"/>
          <w:color w:val="auto"/>
          <w:highlight w:val="none"/>
        </w:rPr>
      </w:pPr>
      <w:bookmarkStart w:id="40" w:name="_Toc15396607"/>
      <w:bookmarkStart w:id="41" w:name="_Toc30247"/>
      <w:bookmarkStart w:id="42"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40"/>
      <w:bookmarkEnd w:id="41"/>
      <w:bookmarkEnd w:id="42"/>
    </w:p>
    <w:p>
      <w:pPr>
        <w:spacing w:line="600" w:lineRule="exact"/>
        <w:ind w:firstLine="642" w:firstLineChars="200"/>
        <w:outlineLvl w:val="2"/>
        <w:rPr>
          <w:rFonts w:ascii="仿宋" w:hAnsi="仿宋" w:eastAsia="仿宋"/>
          <w:b/>
          <w:color w:val="auto"/>
          <w:sz w:val="32"/>
          <w:szCs w:val="32"/>
          <w:highlight w:val="none"/>
        </w:rPr>
      </w:pPr>
      <w:bookmarkStart w:id="43" w:name="_Toc15377210"/>
      <w:r>
        <w:rPr>
          <w:rFonts w:hint="eastAsia" w:ascii="仿宋" w:hAnsi="仿宋" w:eastAsia="仿宋"/>
          <w:b/>
          <w:color w:val="auto"/>
          <w:sz w:val="32"/>
          <w:szCs w:val="32"/>
          <w:highlight w:val="none"/>
        </w:rPr>
        <w:t>（一）一般公共预算财政拨款支出决算总体情况</w:t>
      </w:r>
      <w:bookmarkEnd w:id="43"/>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601.92</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99.78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288.06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91.78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开展政府性投资项目财政评审工作增加的项目支出。</w:t>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pStyle w:val="6"/>
        <w:jc w:val="center"/>
        <w:rPr>
          <w:rFonts w:ascii="仿宋" w:hAnsi="仿宋" w:eastAsia="仿宋"/>
          <w:color w:val="auto"/>
          <w:sz w:val="32"/>
          <w:szCs w:val="32"/>
          <w:highlight w:val="none"/>
        </w:rPr>
      </w:pPr>
      <w:r>
        <w:drawing>
          <wp:inline distT="0" distB="0" distL="114300" distR="114300">
            <wp:extent cx="4086860" cy="2111375"/>
            <wp:effectExtent l="5080" t="5080" r="22860" b="1714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2" w:firstLineChars="200"/>
        <w:outlineLvl w:val="2"/>
        <w:rPr>
          <w:rFonts w:ascii="仿宋" w:hAnsi="仿宋" w:eastAsia="仿宋"/>
          <w:b/>
          <w:color w:val="auto"/>
          <w:sz w:val="32"/>
          <w:szCs w:val="32"/>
          <w:highlight w:val="none"/>
        </w:rPr>
      </w:pPr>
      <w:bookmarkStart w:id="44" w:name="_Toc15377211"/>
      <w:r>
        <w:rPr>
          <w:rFonts w:hint="eastAsia" w:ascii="仿宋" w:hAnsi="仿宋" w:eastAsia="仿宋"/>
          <w:b/>
          <w:color w:val="auto"/>
          <w:sz w:val="32"/>
          <w:szCs w:val="32"/>
          <w:highlight w:val="none"/>
        </w:rPr>
        <w:t>（二）一般公共预算财政拨款支出决算结构情况</w:t>
      </w:r>
      <w:bookmarkEnd w:id="44"/>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601.92</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581.65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96.63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7.31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1.21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4.31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0.72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8.65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1.44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pStyle w:val="6"/>
        <w:jc w:val="center"/>
        <w:rPr>
          <w:rFonts w:ascii="仿宋" w:hAnsi="仿宋" w:eastAsia="仿宋"/>
          <w:color w:val="auto"/>
          <w:sz w:val="32"/>
          <w:szCs w:val="32"/>
          <w:highlight w:val="none"/>
        </w:rPr>
      </w:pPr>
      <w:r>
        <w:drawing>
          <wp:inline distT="0" distB="0" distL="114300" distR="114300">
            <wp:extent cx="3447415" cy="1935480"/>
            <wp:effectExtent l="4445" t="4445" r="15240" b="22225"/>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2" w:firstLineChars="200"/>
        <w:outlineLvl w:val="2"/>
        <w:rPr>
          <w:rFonts w:ascii="仿宋" w:hAnsi="仿宋" w:eastAsia="仿宋"/>
          <w:b/>
          <w:color w:val="auto"/>
          <w:sz w:val="32"/>
          <w:szCs w:val="32"/>
          <w:highlight w:val="none"/>
        </w:rPr>
      </w:pPr>
      <w:bookmarkStart w:id="45" w:name="_Toc15377212"/>
      <w:r>
        <w:rPr>
          <w:rFonts w:hint="eastAsia" w:ascii="仿宋" w:hAnsi="仿宋" w:eastAsia="仿宋"/>
          <w:b/>
          <w:color w:val="auto"/>
          <w:sz w:val="32"/>
          <w:szCs w:val="32"/>
          <w:highlight w:val="none"/>
        </w:rPr>
        <w:t>（三）一般公共预算财政拨款支出决算具体情况</w:t>
      </w:r>
      <w:bookmarkEnd w:id="45"/>
    </w:p>
    <w:p>
      <w:pPr>
        <w:spacing w:line="600" w:lineRule="exact"/>
        <w:ind w:firstLine="642" w:firstLineChars="200"/>
        <w:outlineLvl w:val="1"/>
        <w:rPr>
          <w:rFonts w:ascii="仿宋" w:hAnsi="仿宋" w:eastAsia="仿宋"/>
          <w:color w:val="auto"/>
          <w:sz w:val="32"/>
          <w:szCs w:val="32"/>
          <w:highlight w:val="none"/>
        </w:rPr>
      </w:pPr>
      <w:bookmarkStart w:id="46" w:name="_Toc15377444"/>
      <w:bookmarkStart w:id="47" w:name="_Toc12944"/>
      <w:bookmarkStart w:id="48" w:name="_Toc15377213"/>
      <w:bookmarkStart w:id="49"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601.92万元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99.35</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6"/>
      <w:bookmarkEnd w:id="47"/>
      <w:bookmarkEnd w:id="48"/>
      <w:bookmarkEnd w:id="49"/>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bookmarkStart w:id="50" w:name="_Toc15377214"/>
      <w:bookmarkStart w:id="51" w:name="_Toc15396608"/>
      <w:r>
        <w:rPr>
          <w:rStyle w:val="15"/>
          <w:rFonts w:hint="eastAsia" w:ascii="仿宋_GB2312" w:hAnsi="仿宋_GB2312" w:eastAsia="仿宋_GB2312" w:cs="仿宋_GB2312"/>
          <w:bCs/>
          <w:color w:val="auto"/>
          <w:sz w:val="32"/>
          <w:szCs w:val="32"/>
          <w:highlight w:val="none"/>
          <w:lang w:val="en-US" w:eastAsia="zh-CN"/>
        </w:rPr>
        <w:t>1</w:t>
      </w:r>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事业运行</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96.89</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2</w:t>
      </w:r>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其他财政事务支出</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484.76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99.2</w:t>
      </w:r>
      <w:r>
        <w:rPr>
          <w:rStyle w:val="15"/>
          <w:rFonts w:hint="eastAsia" w:ascii="仿宋_GB2312" w:hAnsi="仿宋_GB2312" w:eastAsia="仿宋_GB2312" w:cs="仿宋_GB2312"/>
          <w:b w:val="0"/>
          <w:bCs/>
          <w:color w:val="auto"/>
          <w:sz w:val="32"/>
          <w:szCs w:val="32"/>
          <w:highlight w:val="none"/>
        </w:rPr>
        <w:t>%，决算数小于预算数的主要原因是</w:t>
      </w:r>
      <w:r>
        <w:rPr>
          <w:rStyle w:val="15"/>
          <w:rFonts w:hint="eastAsia" w:ascii="仿宋_GB2312" w:hAnsi="仿宋_GB2312" w:eastAsia="仿宋_GB2312" w:cs="仿宋_GB2312"/>
          <w:b w:val="0"/>
          <w:bCs/>
          <w:color w:val="auto"/>
          <w:sz w:val="32"/>
          <w:szCs w:val="32"/>
          <w:highlight w:val="none"/>
          <w:lang w:eastAsia="zh-CN"/>
        </w:rPr>
        <w:t>部分</w:t>
      </w:r>
      <w:r>
        <w:rPr>
          <w:rStyle w:val="15"/>
          <w:rFonts w:hint="eastAsia" w:ascii="仿宋_GB2312" w:hAnsi="仿宋_GB2312" w:eastAsia="仿宋_GB2312" w:cs="仿宋_GB2312"/>
          <w:b w:val="0"/>
          <w:bCs/>
          <w:color w:val="000000"/>
          <w:sz w:val="32"/>
          <w:szCs w:val="32"/>
        </w:rPr>
        <w:t>项目支出202</w:t>
      </w:r>
      <w:r>
        <w:rPr>
          <w:rStyle w:val="15"/>
          <w:rFonts w:hint="eastAsia" w:ascii="仿宋_GB2312" w:hAnsi="仿宋_GB2312" w:eastAsia="仿宋_GB2312" w:cs="仿宋_GB2312"/>
          <w:b w:val="0"/>
          <w:bCs/>
          <w:color w:val="000000"/>
          <w:sz w:val="32"/>
          <w:szCs w:val="32"/>
          <w:lang w:val="en-US" w:eastAsia="zh-CN"/>
        </w:rPr>
        <w:t>2</w:t>
      </w:r>
      <w:r>
        <w:rPr>
          <w:rStyle w:val="15"/>
          <w:rFonts w:hint="eastAsia" w:ascii="仿宋_GB2312" w:hAnsi="仿宋_GB2312" w:eastAsia="仿宋_GB2312" w:cs="仿宋_GB2312"/>
          <w:b w:val="0"/>
          <w:bCs/>
          <w:color w:val="000000"/>
          <w:sz w:val="32"/>
          <w:szCs w:val="32"/>
        </w:rPr>
        <w:t>年未完成，202</w:t>
      </w:r>
      <w:r>
        <w:rPr>
          <w:rStyle w:val="15"/>
          <w:rFonts w:hint="eastAsia" w:ascii="仿宋_GB2312" w:hAnsi="仿宋_GB2312" w:eastAsia="仿宋_GB2312" w:cs="仿宋_GB2312"/>
          <w:b w:val="0"/>
          <w:bCs/>
          <w:color w:val="000000"/>
          <w:sz w:val="32"/>
          <w:szCs w:val="32"/>
          <w:lang w:val="en-US" w:eastAsia="zh-CN"/>
        </w:rPr>
        <w:t>3</w:t>
      </w:r>
      <w:r>
        <w:rPr>
          <w:rStyle w:val="15"/>
          <w:rFonts w:hint="eastAsia" w:ascii="仿宋_GB2312" w:hAnsi="仿宋_GB2312" w:eastAsia="仿宋_GB2312" w:cs="仿宋_GB2312"/>
          <w:b w:val="0"/>
          <w:bCs/>
          <w:color w:val="000000"/>
          <w:sz w:val="32"/>
          <w:szCs w:val="32"/>
        </w:rPr>
        <w:t>年还将继续实施</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3.社会保障</w:t>
      </w:r>
      <w:r>
        <w:rPr>
          <w:rStyle w:val="15"/>
          <w:rFonts w:hint="eastAsia" w:ascii="仿宋_GB2312" w:hAnsi="仿宋_GB2312" w:eastAsia="仿宋_GB2312" w:cs="仿宋_GB2312"/>
          <w:bCs/>
          <w:color w:val="auto"/>
          <w:sz w:val="32"/>
          <w:szCs w:val="32"/>
          <w:highlight w:val="none"/>
        </w:rPr>
        <w:t>和就业（类）</w:t>
      </w:r>
      <w:r>
        <w:rPr>
          <w:rStyle w:val="15"/>
          <w:rFonts w:hint="eastAsia" w:ascii="仿宋_GB2312" w:hAnsi="仿宋_GB2312" w:eastAsia="仿宋_GB2312" w:cs="仿宋_GB2312"/>
          <w:bCs/>
          <w:color w:val="auto"/>
          <w:sz w:val="32"/>
          <w:szCs w:val="32"/>
          <w:highlight w:val="none"/>
          <w:lang w:val="en-US" w:eastAsia="zh-CN"/>
        </w:rPr>
        <w:t>行政事业单位养老支出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机关事业单位基本养老保险缴费支出</w:t>
      </w:r>
      <w:r>
        <w:rPr>
          <w:rStyle w:val="15"/>
          <w:rFonts w:hint="eastAsia" w:ascii="仿宋_GB2312" w:hAnsi="仿宋_GB2312" w:eastAsia="仿宋_GB2312" w:cs="仿宋_GB2312"/>
          <w:bCs/>
          <w:color w:val="auto"/>
          <w:sz w:val="32"/>
          <w:szCs w:val="32"/>
          <w:highlight w:val="none"/>
        </w:rPr>
        <w:t>（项）</w:t>
      </w:r>
      <w:r>
        <w:rPr>
          <w:rStyle w:val="15"/>
          <w:rFonts w:hint="eastAsia" w:hAnsi="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7.31</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4</w:t>
      </w:r>
      <w:r>
        <w:rPr>
          <w:rStyle w:val="15"/>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
          <w:bCs/>
          <w:color w:val="auto"/>
          <w:sz w:val="32"/>
          <w:szCs w:val="32"/>
          <w:highlight w:val="none"/>
        </w:rPr>
        <w:t>卫生健康</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行政事业单位医疗</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事业单位医疗</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4.31</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pStyle w:val="6"/>
        <w:ind w:firstLine="642" w:firstLineChars="200"/>
        <w:rPr>
          <w:rStyle w:val="15"/>
          <w:rFonts w:hint="eastAsia" w:hAnsi="仿宋_GB2312" w:cs="仿宋_GB2312"/>
          <w:bCs/>
          <w:color w:val="auto"/>
          <w:sz w:val="32"/>
          <w:szCs w:val="32"/>
          <w:highlight w:val="none"/>
          <w:lang w:val="en-US" w:eastAsia="zh-CN"/>
        </w:rPr>
      </w:pPr>
      <w:r>
        <w:rPr>
          <w:rStyle w:val="15"/>
          <w:rFonts w:hint="eastAsia" w:hAnsi="仿宋_GB2312" w:cs="仿宋_GB2312"/>
          <w:bCs/>
          <w:color w:val="000000"/>
          <w:sz w:val="32"/>
          <w:szCs w:val="32"/>
          <w:lang w:val="en-US" w:eastAsia="zh-CN"/>
        </w:rPr>
        <w:t>5</w:t>
      </w:r>
      <w:r>
        <w:rPr>
          <w:rStyle w:val="15"/>
          <w:rFonts w:hint="eastAsia" w:ascii="仿宋_GB2312" w:hAnsi="仿宋_GB2312" w:eastAsia="仿宋_GB2312" w:cs="仿宋_GB2312"/>
          <w:bCs/>
          <w:color w:val="000000"/>
          <w:sz w:val="32"/>
          <w:szCs w:val="32"/>
          <w:lang w:val="en-US" w:eastAsia="zh-CN"/>
        </w:rPr>
        <w:t>.</w:t>
      </w:r>
      <w:r>
        <w:rPr>
          <w:rStyle w:val="15"/>
          <w:rFonts w:hint="eastAsia" w:ascii="仿宋_GB2312" w:hAnsi="仿宋_GB2312" w:eastAsia="仿宋_GB2312" w:cs="仿宋_GB2312"/>
          <w:bCs/>
          <w:color w:val="000000"/>
          <w:sz w:val="32"/>
          <w:szCs w:val="32"/>
        </w:rPr>
        <w:t>住房保障（类）住房改革</w:t>
      </w:r>
      <w:r>
        <w:rPr>
          <w:rStyle w:val="15"/>
          <w:rFonts w:hint="eastAsia" w:ascii="仿宋_GB2312" w:hAnsi="仿宋_GB2312" w:eastAsia="仿宋_GB2312" w:cs="仿宋_GB2312"/>
          <w:bCs/>
          <w:color w:val="000000"/>
          <w:sz w:val="32"/>
          <w:szCs w:val="32"/>
          <w:lang w:val="en-US" w:eastAsia="zh-CN"/>
        </w:rPr>
        <w:t>支出</w:t>
      </w:r>
      <w:r>
        <w:rPr>
          <w:rStyle w:val="15"/>
          <w:rFonts w:hint="eastAsia" w:ascii="仿宋_GB2312" w:hAnsi="仿宋_GB2312" w:eastAsia="仿宋_GB2312" w:cs="仿宋_GB2312"/>
          <w:bCs/>
          <w:color w:val="000000"/>
          <w:sz w:val="32"/>
          <w:szCs w:val="32"/>
        </w:rPr>
        <w:t>（款）住房公积金（项）:</w:t>
      </w:r>
      <w:r>
        <w:rPr>
          <w:rStyle w:val="15"/>
          <w:rFonts w:hint="eastAsia" w:ascii="仿宋_GB2312" w:hAnsi="仿宋_GB2312" w:eastAsia="仿宋_GB2312" w:cs="仿宋_GB2312"/>
          <w:b w:val="0"/>
          <w:bCs/>
          <w:color w:val="000000"/>
          <w:sz w:val="32"/>
          <w:szCs w:val="32"/>
        </w:rPr>
        <w:t>支出决算为</w:t>
      </w:r>
      <w:r>
        <w:rPr>
          <w:rStyle w:val="15"/>
          <w:rFonts w:hint="eastAsia" w:hAnsi="仿宋_GB2312" w:cs="仿宋_GB2312"/>
          <w:b w:val="0"/>
          <w:bCs/>
          <w:color w:val="000000"/>
          <w:sz w:val="32"/>
          <w:szCs w:val="32"/>
          <w:lang w:val="en-US" w:eastAsia="zh-CN"/>
        </w:rPr>
        <w:t>8.65</w:t>
      </w:r>
      <w:r>
        <w:rPr>
          <w:rStyle w:val="15"/>
          <w:rFonts w:hint="eastAsia" w:ascii="仿宋_GB2312" w:hAnsi="仿宋_GB2312" w:eastAsia="仿宋_GB2312" w:cs="仿宋_GB2312"/>
          <w:b w:val="0"/>
          <w:bCs/>
          <w:color w:val="000000"/>
          <w:sz w:val="32"/>
          <w:szCs w:val="32"/>
        </w:rPr>
        <w:t>万元，完成预算</w:t>
      </w:r>
      <w:r>
        <w:rPr>
          <w:rStyle w:val="15"/>
          <w:rFonts w:hint="eastAsia" w:ascii="仿宋_GB2312" w:hAnsi="仿宋_GB2312" w:eastAsia="仿宋_GB2312" w:cs="仿宋_GB2312"/>
          <w:b w:val="0"/>
          <w:bCs/>
          <w:color w:val="000000"/>
          <w:sz w:val="32"/>
          <w:szCs w:val="32"/>
          <w:lang w:val="en-US" w:eastAsia="zh-CN"/>
        </w:rPr>
        <w:t>100</w:t>
      </w:r>
      <w:r>
        <w:rPr>
          <w:rStyle w:val="15"/>
          <w:rFonts w:hint="eastAsia" w:ascii="仿宋_GB2312" w:hAnsi="仿宋_GB2312" w:eastAsia="仿宋_GB2312" w:cs="仿宋_GB2312"/>
          <w:b w:val="0"/>
          <w:bCs/>
          <w:color w:val="000000"/>
          <w:sz w:val="32"/>
          <w:szCs w:val="32"/>
        </w:rPr>
        <w:t>%，</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tabs>
          <w:tab w:val="right" w:pos="8306"/>
        </w:tabs>
        <w:spacing w:line="600" w:lineRule="exact"/>
        <w:ind w:firstLine="640"/>
        <w:outlineLvl w:val="1"/>
        <w:rPr>
          <w:rStyle w:val="18"/>
          <w:color w:val="auto"/>
          <w:highlight w:val="none"/>
        </w:rPr>
      </w:pPr>
      <w:bookmarkStart w:id="52" w:name="_Toc15162"/>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50"/>
      <w:bookmarkEnd w:id="51"/>
      <w:bookmarkEnd w:id="52"/>
      <w:r>
        <w:rPr>
          <w:rStyle w:val="1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117.16</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106.52</w:t>
      </w:r>
      <w:r>
        <w:rPr>
          <w:rFonts w:hint="eastAsia" w:ascii="仿宋" w:hAnsi="仿宋" w:eastAsia="仿宋"/>
          <w:color w:val="auto"/>
          <w:sz w:val="32"/>
          <w:szCs w:val="32"/>
          <w:highlight w:val="none"/>
        </w:rPr>
        <w:t>万元，主要包括：基本工资、津贴补贴、奖金、伙食补助费、绩效工资、机关事业单位基本养老保险缴费、</w:t>
      </w:r>
      <w:r>
        <w:rPr>
          <w:rFonts w:hint="eastAsia" w:ascii="仿宋_GB2312" w:hAnsi="仿宋_GB2312" w:eastAsia="仿宋_GB2312" w:cs="仿宋_GB2312"/>
          <w:color w:val="auto"/>
          <w:sz w:val="32"/>
          <w:szCs w:val="32"/>
          <w:highlight w:val="none"/>
          <w:lang w:val="en-US" w:eastAsia="zh-CN"/>
        </w:rPr>
        <w:t>职工基本医疗保险缴费、</w:t>
      </w:r>
      <w:r>
        <w:rPr>
          <w:rFonts w:hint="eastAsia" w:ascii="仿宋" w:hAnsi="仿宋" w:eastAsia="仿宋"/>
          <w:color w:val="auto"/>
          <w:sz w:val="32"/>
          <w:szCs w:val="32"/>
          <w:highlight w:val="none"/>
        </w:rPr>
        <w:t>其他社会保障缴费、住房公积金、其他工资福利支出。</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10.65</w:t>
      </w:r>
      <w:r>
        <w:rPr>
          <w:rFonts w:hint="eastAsia" w:ascii="仿宋" w:hAnsi="仿宋" w:eastAsia="仿宋"/>
          <w:color w:val="auto"/>
          <w:sz w:val="32"/>
          <w:szCs w:val="32"/>
          <w:highlight w:val="none"/>
        </w:rPr>
        <w:t>万元，主要包括：办公费、差旅费、工会经费、福利费、公务用车运行维护费、其他交通费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p>
    <w:p>
      <w:pPr>
        <w:spacing w:line="600" w:lineRule="exact"/>
        <w:ind w:firstLine="640"/>
        <w:outlineLvl w:val="1"/>
        <w:rPr>
          <w:rStyle w:val="18"/>
          <w:rFonts w:ascii="黑体" w:hAnsi="黑体" w:eastAsia="黑体"/>
          <w:b w:val="0"/>
          <w:color w:val="auto"/>
          <w:highlight w:val="none"/>
        </w:rPr>
      </w:pPr>
      <w:bookmarkStart w:id="53" w:name="_Toc15396609"/>
      <w:bookmarkStart w:id="54" w:name="_Toc15377215"/>
      <w:bookmarkStart w:id="55" w:name="_Toc17918"/>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3"/>
      <w:bookmarkEnd w:id="54"/>
      <w:bookmarkEnd w:id="55"/>
    </w:p>
    <w:p>
      <w:pPr>
        <w:spacing w:line="600" w:lineRule="exact"/>
        <w:ind w:firstLine="640"/>
        <w:outlineLvl w:val="2"/>
        <w:rPr>
          <w:rFonts w:ascii="仿宋" w:hAnsi="仿宋" w:eastAsia="仿宋"/>
          <w:b/>
          <w:color w:val="auto"/>
          <w:sz w:val="32"/>
          <w:szCs w:val="32"/>
          <w:highlight w:val="none"/>
        </w:rPr>
      </w:pPr>
      <w:bookmarkStart w:id="56" w:name="_Toc15377216"/>
      <w:r>
        <w:rPr>
          <w:rFonts w:hint="eastAsia" w:ascii="仿宋" w:hAnsi="仿宋" w:eastAsia="仿宋"/>
          <w:b/>
          <w:color w:val="auto"/>
          <w:sz w:val="32"/>
          <w:szCs w:val="32"/>
          <w:highlight w:val="none"/>
        </w:rPr>
        <w:t>（一）“三公”经费财政拨款支出决算总体情况说明</w:t>
      </w:r>
      <w:bookmarkEnd w:id="56"/>
    </w:p>
    <w:p>
      <w:pPr>
        <w:spacing w:line="600" w:lineRule="exact"/>
        <w:ind w:firstLine="640"/>
        <w:rPr>
          <w:rFonts w:hint="default"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5.88</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减少3.83万元，下降39.44%。</w:t>
      </w:r>
      <w:r>
        <w:rPr>
          <w:rFonts w:hint="default" w:ascii="仿宋" w:hAnsi="仿宋" w:eastAsia="仿宋"/>
          <w:color w:val="auto"/>
          <w:sz w:val="32"/>
          <w:szCs w:val="32"/>
          <w:highlight w:val="none"/>
          <w:lang w:eastAsia="zh-CN"/>
        </w:rPr>
        <w:t>决算数与预算数持平</w:t>
      </w:r>
      <w:r>
        <w:rPr>
          <w:rFonts w:hint="eastAsia" w:ascii="仿宋" w:hAnsi="仿宋" w:eastAsia="仿宋"/>
          <w:color w:val="auto"/>
          <w:sz w:val="32"/>
          <w:szCs w:val="32"/>
          <w:highlight w:val="none"/>
          <w:lang w:eastAsia="zh-CN"/>
        </w:rPr>
        <w:t>。</w:t>
      </w:r>
    </w:p>
    <w:p>
      <w:pPr>
        <w:spacing w:line="600" w:lineRule="exact"/>
        <w:ind w:firstLine="640"/>
        <w:outlineLvl w:val="2"/>
        <w:rPr>
          <w:rFonts w:ascii="仿宋" w:hAnsi="仿宋" w:eastAsia="仿宋"/>
          <w:b/>
          <w:color w:val="auto"/>
          <w:sz w:val="32"/>
          <w:szCs w:val="32"/>
          <w:highlight w:val="none"/>
        </w:rPr>
      </w:pPr>
      <w:bookmarkStart w:id="57" w:name="_Toc15377217"/>
      <w:r>
        <w:rPr>
          <w:rFonts w:hint="eastAsia" w:ascii="仿宋" w:hAnsi="仿宋" w:eastAsia="仿宋"/>
          <w:b/>
          <w:color w:val="auto"/>
          <w:sz w:val="32"/>
          <w:szCs w:val="32"/>
          <w:highlight w:val="none"/>
        </w:rPr>
        <w:t>（二）“三公”经费财政拨款支出决算具体情况说明</w:t>
      </w:r>
      <w:bookmarkEnd w:id="5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5.88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Style w:val="2"/>
        <w:ind w:left="0" w:leftChars="0" w:firstLine="0" w:firstLineChars="0"/>
        <w:jc w:val="center"/>
        <w:rPr>
          <w:rFonts w:hint="eastAsia" w:ascii="仿宋" w:hAnsi="仿宋" w:eastAsia="仿宋"/>
          <w:color w:val="auto"/>
          <w:sz w:val="32"/>
          <w:szCs w:val="32"/>
          <w:highlight w:val="none"/>
        </w:rPr>
      </w:pPr>
      <w:r>
        <w:drawing>
          <wp:inline distT="0" distB="0" distL="114300" distR="114300">
            <wp:extent cx="3298825" cy="1845945"/>
            <wp:effectExtent l="4445" t="4445" r="11430" b="16510"/>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numPr>
          <w:ilvl w:val="0"/>
          <w:numId w:val="3"/>
        </w:num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b w:val="0"/>
          <w:bCs/>
          <w:color w:val="auto"/>
          <w:sz w:val="32"/>
          <w:szCs w:val="32"/>
          <w:highlight w:val="none"/>
          <w:lang w:val="en-US" w:eastAsia="zh-CN"/>
        </w:rPr>
        <w:t>年初未安排预算</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因公出国（境）支出决算</w:t>
      </w:r>
      <w:r>
        <w:rPr>
          <w:rFonts w:hint="eastAsia" w:ascii="仿宋_GB2312" w:hAnsi="仿宋_GB2312" w:eastAsia="仿宋_GB2312" w:cs="仿宋_GB2312"/>
          <w:color w:val="auto"/>
          <w:sz w:val="32"/>
          <w:szCs w:val="32"/>
          <w:highlight w:val="none"/>
          <w:lang w:val="en-US" w:eastAsia="zh-CN"/>
        </w:rPr>
        <w:t>较</w:t>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无变化</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bidi w:val="0"/>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5.88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 w:hAnsi="仿宋" w:eastAsia="仿宋"/>
          <w:color w:val="auto"/>
          <w:sz w:val="32"/>
          <w:szCs w:val="32"/>
          <w:highlight w:val="none"/>
          <w:lang w:val="en-US" w:eastAsia="zh-CN"/>
        </w:rPr>
        <w:t>3.83</w:t>
      </w:r>
      <w:r>
        <w:rPr>
          <w:rFonts w:hint="eastAsia" w:ascii="仿宋_GB2312" w:eastAsia="仿宋_GB2312"/>
          <w:color w:val="auto"/>
          <w:sz w:val="32"/>
          <w:szCs w:val="32"/>
          <w:highlight w:val="none"/>
        </w:rPr>
        <w:t>万元，下降</w:t>
      </w:r>
      <w:r>
        <w:rPr>
          <w:rFonts w:hint="eastAsia" w:ascii="仿宋" w:hAnsi="仿宋" w:eastAsia="仿宋"/>
          <w:color w:val="auto"/>
          <w:sz w:val="32"/>
          <w:szCs w:val="32"/>
          <w:highlight w:val="none"/>
          <w:lang w:val="en-US" w:eastAsia="zh-CN"/>
        </w:rPr>
        <w:t>39.44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w:t>
      </w:r>
      <w:r>
        <w:rPr>
          <w:rFonts w:hint="eastAsia" w:ascii="仿宋_GB2312" w:hAnsi="仿宋_GB2312" w:eastAsia="仿宋_GB2312" w:cs="仿宋_GB2312"/>
          <w:color w:val="auto"/>
          <w:sz w:val="32"/>
          <w:szCs w:val="32"/>
          <w:highlight w:val="none"/>
        </w:rPr>
        <w:t>是</w:t>
      </w:r>
      <w:r>
        <w:rPr>
          <w:rFonts w:hint="eastAsia" w:ascii="仿宋_GB2312" w:hAnsi="仿宋_GB2312" w:eastAsia="仿宋_GB2312" w:cs="仿宋_GB2312"/>
          <w:color w:val="auto"/>
          <w:sz w:val="32"/>
          <w:szCs w:val="32"/>
          <w:highlight w:val="none"/>
          <w:lang w:val="en-US" w:eastAsia="zh-CN"/>
        </w:rPr>
        <w:t>2022年公务用车购置及运行维护费预算进行了压减，同时严格车辆管理，压减</w:t>
      </w:r>
      <w:r>
        <w:rPr>
          <w:rFonts w:hint="eastAsia" w:ascii="仿宋_GB2312" w:hAnsi="仿宋_GB2312" w:eastAsia="仿宋_GB2312" w:cs="仿宋_GB2312"/>
          <w:color w:val="auto"/>
          <w:sz w:val="32"/>
          <w:szCs w:val="32"/>
          <w:highlight w:val="none"/>
        </w:rPr>
        <w:t>公务用车运行维护费支出</w:t>
      </w:r>
      <w:r>
        <w:rPr>
          <w:rFonts w:hint="eastAsia" w:ascii="仿宋_GB2312" w:hAnsi="仿宋_GB2312" w:eastAsia="仿宋_GB2312" w:cs="仿宋_GB2312"/>
          <w:color w:val="auto"/>
          <w:sz w:val="32"/>
          <w:szCs w:val="32"/>
          <w:highlight w:val="none"/>
          <w:lang w:val="en-US" w:eastAsia="zh-CN"/>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年12月底，</w:t>
      </w:r>
      <w:r>
        <w:rPr>
          <w:rFonts w:hint="eastAsia" w:ascii="仿宋_GB2312" w:hAnsi="仿宋_GB2312" w:eastAsia="仿宋_GB2312" w:cs="仿宋_GB2312"/>
          <w:color w:val="auto"/>
          <w:sz w:val="32"/>
          <w:szCs w:val="32"/>
          <w:highlight w:val="none"/>
          <w:lang w:eastAsia="zh-CN"/>
        </w:rPr>
        <w:t>部门</w:t>
      </w:r>
      <w:r>
        <w:rPr>
          <w:rFonts w:hint="eastAsia" w:ascii="仿宋_GB2312" w:hAnsi="仿宋_GB2312" w:eastAsia="仿宋_GB2312" w:cs="仿宋_GB2312"/>
          <w:color w:val="auto"/>
          <w:sz w:val="32"/>
          <w:szCs w:val="32"/>
          <w:highlight w:val="none"/>
        </w:rPr>
        <w:t>共有公务用车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辆，其中：越野车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w:t>
      </w:r>
    </w:p>
    <w:p>
      <w:pPr>
        <w:keepNext w:val="0"/>
        <w:keepLines w:val="0"/>
        <w:pageBreakBefore w:val="0"/>
        <w:widowControl w:val="0"/>
        <w:kinsoku/>
        <w:wordWrap/>
        <w:overflowPunct/>
        <w:topLinePunct w:val="0"/>
        <w:bidi w:val="0"/>
        <w:snapToGrid/>
        <w:spacing w:line="576" w:lineRule="exact"/>
        <w:ind w:firstLine="642" w:firstLineChars="200"/>
        <w:textAlignment w:val="auto"/>
        <w:rPr>
          <w:rFonts w:hint="eastAsia" w:ascii="仿宋_GB2312" w:hAnsi="仿宋_GB2312" w:eastAsia="仿宋_GB2312" w:cs="仿宋_GB2312"/>
          <w:sz w:val="32"/>
          <w:szCs w:val="32"/>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5.88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sz w:val="32"/>
          <w:szCs w:val="32"/>
          <w:highlight w:val="none"/>
        </w:rPr>
        <w:t>主要用于</w:t>
      </w:r>
      <w:r>
        <w:rPr>
          <w:rFonts w:hint="eastAsia" w:ascii="仿宋_GB2312" w:hAnsi="仿宋_GB2312" w:eastAsia="仿宋_GB2312" w:cs="仿宋_GB2312"/>
          <w:sz w:val="32"/>
          <w:szCs w:val="32"/>
        </w:rPr>
        <w:t>开展评审业务工作、</w:t>
      </w:r>
      <w:r>
        <w:rPr>
          <w:rFonts w:hint="eastAsia" w:ascii="仿宋_GB2312" w:hAnsi="仿宋_GB2312" w:eastAsia="仿宋_GB2312" w:cs="仿宋_GB2312"/>
          <w:sz w:val="32"/>
          <w:szCs w:val="32"/>
          <w:lang w:eastAsia="zh-CN"/>
        </w:rPr>
        <w:t>项目勘察及监督检查</w:t>
      </w:r>
      <w:r>
        <w:rPr>
          <w:rFonts w:hint="eastAsia" w:ascii="仿宋_GB2312" w:hAnsi="仿宋_GB2312" w:eastAsia="仿宋_GB2312" w:cs="仿宋_GB2312"/>
          <w:sz w:val="32"/>
          <w:szCs w:val="32"/>
        </w:rPr>
        <w:t>等所需的公务用车燃料费、维修费、过路过桥费、保险费等支出。</w:t>
      </w:r>
    </w:p>
    <w:p>
      <w:pPr>
        <w:numPr>
          <w:ilvl w:val="0"/>
          <w:numId w:val="0"/>
        </w:numPr>
        <w:spacing w:line="600" w:lineRule="exact"/>
        <w:ind w:firstLine="642" w:firstLineChars="200"/>
        <w:rPr>
          <w:rFonts w:hint="eastAsia" w:ascii="仿宋_GB2312" w:hAnsi="仿宋_GB2312" w:eastAsia="仿宋_GB2312" w:cs="仿宋_GB2312"/>
          <w:color w:val="auto"/>
          <w:sz w:val="32"/>
          <w:szCs w:val="32"/>
          <w:highlight w:val="none"/>
        </w:rPr>
      </w:pPr>
      <w:r>
        <w:rPr>
          <w:rFonts w:hint="eastAsia" w:ascii="仿宋_GB2312" w:eastAsia="仿宋_GB2312"/>
          <w:b/>
          <w:color w:val="auto"/>
          <w:sz w:val="32"/>
          <w:szCs w:val="32"/>
          <w:highlight w:val="none"/>
          <w:lang w:val="en-US" w:eastAsia="zh-CN"/>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b w:val="0"/>
          <w:bCs/>
          <w:color w:val="auto"/>
          <w:sz w:val="32"/>
          <w:szCs w:val="32"/>
          <w:highlight w:val="none"/>
          <w:lang w:val="en-US" w:eastAsia="zh-CN"/>
        </w:rPr>
        <w:t>年初未安排预算</w:t>
      </w:r>
      <w:r>
        <w:rPr>
          <w:rStyle w:val="15"/>
          <w:rFonts w:hint="eastAsia" w:ascii="仿宋" w:hAnsi="仿宋" w:eastAsia="仿宋"/>
          <w:b w:val="0"/>
          <w:bCs/>
          <w:color w:val="auto"/>
          <w:sz w:val="32"/>
          <w:szCs w:val="32"/>
          <w:highlight w:val="none"/>
        </w:rPr>
        <w:t>。</w:t>
      </w:r>
      <w:r>
        <w:rPr>
          <w:rFonts w:hint="eastAsia" w:ascii="仿宋" w:hAnsi="仿宋" w:eastAsia="仿宋"/>
          <w:color w:val="auto"/>
          <w:sz w:val="32"/>
          <w:szCs w:val="32"/>
          <w:highlight w:val="none"/>
        </w:rPr>
        <w:t>公务接待费支出</w:t>
      </w:r>
      <w:r>
        <w:rPr>
          <w:rFonts w:hint="eastAsia" w:ascii="仿宋_GB2312" w:hAnsi="仿宋_GB2312" w:eastAsia="仿宋_GB2312" w:cs="仿宋_GB2312"/>
          <w:color w:val="auto"/>
          <w:sz w:val="32"/>
          <w:szCs w:val="32"/>
          <w:highlight w:val="none"/>
        </w:rPr>
        <w:t>决算</w:t>
      </w:r>
      <w:r>
        <w:rPr>
          <w:rFonts w:hint="eastAsia" w:ascii="仿宋_GB2312" w:hAnsi="仿宋_GB2312" w:eastAsia="仿宋_GB2312" w:cs="仿宋_GB2312"/>
          <w:color w:val="auto"/>
          <w:sz w:val="32"/>
          <w:szCs w:val="32"/>
          <w:highlight w:val="none"/>
          <w:lang w:val="en-US" w:eastAsia="zh-CN"/>
        </w:rPr>
        <w:t>较</w:t>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无变化</w:t>
      </w:r>
      <w:r>
        <w:rPr>
          <w:rFonts w:hint="eastAsia" w:ascii="仿宋_GB2312" w:hAnsi="仿宋_GB2312" w:eastAsia="仿宋_GB2312" w:cs="仿宋_GB2312"/>
          <w:color w:val="auto"/>
          <w:sz w:val="32"/>
          <w:szCs w:val="32"/>
          <w:highlight w:val="none"/>
        </w:rPr>
        <w:t>。</w:t>
      </w:r>
      <w:bookmarkStart w:id="108" w:name="_GoBack"/>
      <w:bookmarkEnd w:id="108"/>
    </w:p>
    <w:p>
      <w:pPr>
        <w:spacing w:line="600" w:lineRule="exact"/>
        <w:ind w:firstLine="640"/>
        <w:outlineLvl w:val="1"/>
        <w:rPr>
          <w:rStyle w:val="18"/>
          <w:rFonts w:ascii="黑体" w:hAnsi="黑体" w:eastAsia="黑体"/>
          <w:color w:val="auto"/>
          <w:highlight w:val="none"/>
        </w:rPr>
      </w:pPr>
      <w:bookmarkStart w:id="58" w:name="_Toc23580"/>
      <w:bookmarkStart w:id="59" w:name="_Toc15396610"/>
      <w:bookmarkStart w:id="60" w:name="_Toc15377218"/>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8"/>
      <w:bookmarkEnd w:id="59"/>
      <w:bookmarkEnd w:id="60"/>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000000"/>
          <w:sz w:val="32"/>
          <w:szCs w:val="32"/>
          <w:highlight w:val="none"/>
        </w:rPr>
        <w:t>202</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年本</w:t>
      </w:r>
      <w:r>
        <w:rPr>
          <w:rFonts w:hint="eastAsia" w:ascii="仿宋_GB2312" w:hAnsi="仿宋_GB2312" w:eastAsia="仿宋_GB2312" w:cs="仿宋_GB2312"/>
          <w:color w:val="000000"/>
          <w:sz w:val="32"/>
          <w:szCs w:val="32"/>
          <w:highlight w:val="none"/>
          <w:lang w:eastAsia="zh-CN"/>
        </w:rPr>
        <w:t>单位</w:t>
      </w:r>
      <w:r>
        <w:rPr>
          <w:rFonts w:hint="eastAsia" w:ascii="仿宋_GB2312" w:hAnsi="仿宋_GB2312" w:eastAsia="仿宋_GB2312" w:cs="仿宋_GB2312"/>
          <w:color w:val="000000"/>
          <w:sz w:val="32"/>
          <w:szCs w:val="32"/>
          <w:highlight w:val="none"/>
        </w:rPr>
        <w:t>未在政府性基金预算</w:t>
      </w:r>
      <w:r>
        <w:rPr>
          <w:rFonts w:hint="eastAsia" w:ascii="仿宋_GB2312" w:eastAsia="仿宋_GB2312"/>
          <w:color w:val="auto"/>
          <w:sz w:val="32"/>
          <w:szCs w:val="32"/>
          <w:highlight w:val="none"/>
          <w:lang w:eastAsia="zh-CN"/>
        </w:rPr>
        <w:t>财政</w:t>
      </w:r>
      <w:r>
        <w:rPr>
          <w:rFonts w:hint="eastAsia" w:ascii="仿宋_GB2312" w:hAnsi="仿宋_GB2312" w:eastAsia="仿宋_GB2312" w:cs="仿宋_GB2312"/>
          <w:color w:val="000000"/>
          <w:sz w:val="32"/>
          <w:szCs w:val="32"/>
          <w:highlight w:val="none"/>
        </w:rPr>
        <w:t>拨款安排“三公”经费支出。</w:t>
      </w:r>
    </w:p>
    <w:p>
      <w:pPr>
        <w:numPr>
          <w:ilvl w:val="0"/>
          <w:numId w:val="4"/>
        </w:numPr>
        <w:spacing w:line="600" w:lineRule="exact"/>
        <w:ind w:firstLine="640"/>
        <w:outlineLvl w:val="1"/>
        <w:rPr>
          <w:rStyle w:val="18"/>
          <w:rFonts w:ascii="黑体" w:hAnsi="黑体" w:eastAsia="黑体"/>
          <w:b w:val="0"/>
          <w:color w:val="auto"/>
          <w:highlight w:val="none"/>
        </w:rPr>
      </w:pPr>
      <w:bookmarkStart w:id="61" w:name="_Toc18545"/>
      <w:bookmarkStart w:id="62" w:name="_Toc15396611"/>
      <w:bookmarkStart w:id="63" w:name="_Toc15377219"/>
      <w:r>
        <w:rPr>
          <w:rStyle w:val="18"/>
          <w:rFonts w:hint="eastAsia" w:ascii="黑体" w:hAnsi="黑体" w:eastAsia="黑体"/>
          <w:b w:val="0"/>
          <w:color w:val="auto"/>
          <w:highlight w:val="none"/>
        </w:rPr>
        <w:t>国有资本经营预算支出决算情况说明</w:t>
      </w:r>
      <w:bookmarkEnd w:id="61"/>
      <w:bookmarkEnd w:id="62"/>
      <w:bookmarkEnd w:id="63"/>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18"/>
          <w:rFonts w:hint="eastAsia" w:ascii="黑体" w:hAnsi="黑体" w:eastAsia="黑体"/>
          <w:b w:val="0"/>
          <w:color w:val="auto"/>
          <w:highlight w:val="none"/>
        </w:rPr>
      </w:pPr>
      <w:bookmarkStart w:id="64" w:name="_Toc15396612"/>
      <w:bookmarkStart w:id="65" w:name="_Toc15377221"/>
      <w:bookmarkStart w:id="66" w:name="_Toc16795"/>
      <w:r>
        <w:rPr>
          <w:rStyle w:val="18"/>
          <w:rFonts w:hint="eastAsia" w:ascii="黑体" w:hAnsi="黑体" w:eastAsia="黑体"/>
          <w:b w:val="0"/>
          <w:color w:val="auto"/>
          <w:highlight w:val="none"/>
        </w:rPr>
        <w:t>其他重要事项的情况说明</w:t>
      </w:r>
      <w:bookmarkEnd w:id="64"/>
      <w:bookmarkEnd w:id="65"/>
      <w:bookmarkEnd w:id="66"/>
    </w:p>
    <w:p>
      <w:pPr>
        <w:spacing w:line="600" w:lineRule="exact"/>
        <w:ind w:firstLine="642" w:firstLineChars="200"/>
        <w:outlineLvl w:val="2"/>
        <w:rPr>
          <w:rFonts w:ascii="仿宋" w:hAnsi="仿宋" w:eastAsia="仿宋"/>
          <w:color w:val="auto"/>
          <w:sz w:val="32"/>
          <w:szCs w:val="32"/>
          <w:highlight w:val="none"/>
        </w:rPr>
      </w:pPr>
      <w:bookmarkStart w:id="67" w:name="_Toc15377222"/>
      <w:r>
        <w:rPr>
          <w:rFonts w:hint="eastAsia" w:ascii="仿宋" w:hAnsi="仿宋" w:eastAsia="仿宋"/>
          <w:b/>
          <w:color w:val="auto"/>
          <w:sz w:val="32"/>
          <w:szCs w:val="32"/>
          <w:highlight w:val="none"/>
        </w:rPr>
        <w:t>（一）机关运行经费支出情况</w:t>
      </w:r>
      <w:bookmarkEnd w:id="67"/>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bookmarkStart w:id="68" w:name="_Toc15377223"/>
      <w:r>
        <w:rPr>
          <w:rFonts w:hint="eastAsia" w:ascii="仿宋_GB2312" w:hAnsi="仿宋_GB2312" w:eastAsia="仿宋_GB2312" w:cs="仿宋_GB2312"/>
          <w:b w:val="0"/>
          <w:bCs/>
          <w:color w:val="auto"/>
          <w:sz w:val="32"/>
          <w:szCs w:val="32"/>
          <w:highlight w:val="none"/>
          <w:lang w:val="en-US" w:eastAsia="zh-CN"/>
        </w:rPr>
        <w:t>2022年</w:t>
      </w:r>
      <w:r>
        <w:rPr>
          <w:rFonts w:hint="eastAsia" w:ascii="仿宋_GB2312" w:hAnsi="仿宋_GB2312" w:eastAsia="仿宋_GB2312" w:cs="仿宋_GB2312"/>
          <w:b w:val="0"/>
          <w:bCs/>
          <w:i w:val="0"/>
          <w:iCs w:val="0"/>
          <w:caps w:val="0"/>
          <w:color w:val="000000"/>
          <w:spacing w:val="0"/>
          <w:sz w:val="32"/>
          <w:szCs w:val="32"/>
          <w:highlight w:val="none"/>
        </w:rPr>
        <w:t>未发生机关运行经费支出</w:t>
      </w:r>
      <w:r>
        <w:rPr>
          <w:rFonts w:hint="eastAsia" w:ascii="仿宋_GB2312" w:hAnsi="仿宋_GB2312" w:eastAsia="仿宋_GB2312" w:cs="仿宋_GB2312"/>
          <w:b w:val="0"/>
          <w:bCs/>
          <w:i w:val="0"/>
          <w:iCs w:val="0"/>
          <w:caps w:val="0"/>
          <w:color w:val="000000"/>
          <w:spacing w:val="0"/>
          <w:sz w:val="32"/>
          <w:szCs w:val="32"/>
          <w:highlight w:val="none"/>
          <w:lang w:eastAsia="zh-CN"/>
        </w:rPr>
        <w:t>，</w:t>
      </w:r>
      <w:r>
        <w:rPr>
          <w:rFonts w:hint="eastAsia" w:ascii="仿宋_GB2312" w:hAnsi="仿宋_GB2312" w:eastAsia="仿宋_GB2312" w:cs="仿宋_GB2312"/>
          <w:b w:val="0"/>
          <w:bCs/>
          <w:i w:val="0"/>
          <w:iCs w:val="0"/>
          <w:caps w:val="0"/>
          <w:color w:val="000000"/>
          <w:spacing w:val="0"/>
          <w:sz w:val="32"/>
          <w:szCs w:val="32"/>
          <w:highlight w:val="none"/>
          <w:lang w:val="en-US" w:eastAsia="zh-CN"/>
        </w:rPr>
        <w:t>与2021年决算数持平。</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8"/>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广元市财政评审中心</w:t>
      </w:r>
      <w:r>
        <w:rPr>
          <w:rFonts w:hint="eastAsia" w:ascii="仿宋_GB2312" w:hAnsi="仿宋_GB2312" w:eastAsia="仿宋_GB2312" w:cs="仿宋_GB2312"/>
          <w:color w:val="auto"/>
          <w:sz w:val="32"/>
          <w:szCs w:val="32"/>
          <w:highlight w:val="none"/>
        </w:rPr>
        <w:t>政府采购支出总额</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9" w:name="_Toc15377224"/>
      <w:r>
        <w:rPr>
          <w:rFonts w:hint="eastAsia" w:ascii="仿宋" w:hAnsi="仿宋" w:eastAsia="仿宋"/>
          <w:b/>
          <w:color w:val="auto"/>
          <w:sz w:val="32"/>
          <w:szCs w:val="32"/>
          <w:highlight w:val="none"/>
        </w:rPr>
        <w:t>（三）国有资产占有使用情况</w:t>
      </w:r>
      <w:bookmarkEnd w:id="69"/>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广元市财政评审中心</w:t>
      </w:r>
      <w:r>
        <w:rPr>
          <w:rFonts w:hint="eastAsia" w:ascii="仿宋_GB2312" w:hAnsi="仿宋_GB2312" w:eastAsia="仿宋_GB2312" w:cs="仿宋_GB2312"/>
          <w:color w:val="auto"/>
          <w:sz w:val="32"/>
          <w:szCs w:val="32"/>
          <w:highlight w:val="none"/>
        </w:rPr>
        <w:t>共有车辆</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w:t>
      </w:r>
      <w:r>
        <w:rPr>
          <w:rFonts w:hint="eastAsia" w:ascii="仿宋_GB2312" w:eastAsia="仿宋_GB2312"/>
          <w:color w:val="auto"/>
          <w:sz w:val="32"/>
          <w:szCs w:val="32"/>
          <w:highlight w:val="none"/>
        </w:rPr>
        <w:t>其中：其他用车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sz w:val="32"/>
          <w:szCs w:val="32"/>
        </w:rPr>
        <w:t>其他用车均为一般公务用车</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政府性投资</w:t>
      </w:r>
      <w:r>
        <w:rPr>
          <w:rFonts w:hint="eastAsia" w:ascii="仿宋_GB2312" w:hAnsi="仿宋_GB2312" w:eastAsia="仿宋_GB2312" w:cs="仿宋_GB2312"/>
          <w:color w:val="auto"/>
          <w:sz w:val="32"/>
          <w:szCs w:val="32"/>
          <w:highlight w:val="none"/>
        </w:rPr>
        <w:t>项目</w:t>
      </w:r>
      <w:r>
        <w:rPr>
          <w:rFonts w:hint="eastAsia" w:hAnsi="仿宋_GB2312" w:cs="仿宋_GB2312"/>
          <w:color w:val="auto"/>
          <w:sz w:val="32"/>
          <w:szCs w:val="32"/>
          <w:highlight w:val="none"/>
          <w:lang w:eastAsia="zh-CN"/>
        </w:rPr>
        <w:t>评审经费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17"/>
          <w:rFonts w:ascii="黑体" w:hAnsi="黑体" w:eastAsia="黑体"/>
          <w:b w:val="0"/>
          <w:color w:val="auto"/>
          <w:highlight w:val="none"/>
        </w:rPr>
      </w:pPr>
      <w:bookmarkStart w:id="70" w:name="_Toc32014"/>
      <w:bookmarkStart w:id="71" w:name="_Toc15396613"/>
      <w:bookmarkStart w:id="72" w:name="_Toc15377225"/>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70"/>
      <w:bookmarkEnd w:id="71"/>
      <w:bookmarkEnd w:id="72"/>
    </w:p>
    <w:p>
      <w:pPr>
        <w:spacing w:line="600" w:lineRule="exact"/>
        <w:jc w:val="left"/>
        <w:rPr>
          <w:rFonts w:ascii="宋体"/>
          <w:b/>
          <w:color w:val="auto"/>
          <w:sz w:val="44"/>
          <w:szCs w:val="44"/>
          <w:highlight w:val="none"/>
        </w:rPr>
      </w:pPr>
    </w:p>
    <w:p>
      <w:pPr>
        <w:pStyle w:val="26"/>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val="en-US" w:eastAsia="zh-CN"/>
        </w:rPr>
        <w:t>利息收入、疫情防控专项收入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年末结转和结余：指单位按有关规定结转到下年或以后年度继续使用的资金。</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5</w:t>
      </w:r>
      <w:r>
        <w:rPr>
          <w:rFonts w:hint="eastAsia" w:ascii="仿宋_GB2312" w:hAnsi="仿宋_GB2312" w:eastAsia="仿宋_GB2312" w:cs="仿宋_GB2312"/>
          <w:sz w:val="32"/>
          <w:szCs w:val="32"/>
          <w:shd w:val="clear" w:color="auto" w:fill="FFFFFF"/>
        </w:rPr>
        <w:t>.一般公共服务（类）财政事务（款）事业运行（项）：指事业单位用于保障机构正常运行、开展日常工作的基本支出。</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6</w:t>
      </w:r>
      <w:r>
        <w:rPr>
          <w:rFonts w:hint="eastAsia" w:ascii="仿宋_GB2312" w:hAnsi="仿宋_GB2312" w:eastAsia="仿宋_GB2312" w:cs="仿宋_GB2312"/>
          <w:sz w:val="32"/>
          <w:szCs w:val="32"/>
          <w:shd w:val="clear" w:color="auto" w:fill="FFFFFF"/>
        </w:rPr>
        <w:t>.一般公共服务（类）财政事务（款）其他财政事务支出</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项）：指事业单位用于除上述项目以外其他财政事务等方面支出。</w:t>
      </w:r>
    </w:p>
    <w:p>
      <w:pPr>
        <w:pStyle w:val="6"/>
        <w:keepNext w:val="0"/>
        <w:keepLines w:val="0"/>
        <w:pageBreakBefore w:val="0"/>
        <w:widowControl w:val="0"/>
        <w:kinsoku/>
        <w:wordWrap/>
        <w:overflowPunct/>
        <w:topLinePunct w:val="0"/>
        <w:bidi w:val="0"/>
        <w:snapToGrid/>
        <w:spacing w:beforeLines="0" w:line="576" w:lineRule="exact"/>
        <w:ind w:firstLine="640" w:firstLineChars="200"/>
        <w:textAlignment w:val="auto"/>
        <w:rPr>
          <w:rStyle w:val="15"/>
          <w:rFonts w:ascii="仿宋_GB2312" w:hAnsi="仿宋_GB2312" w:eastAsia="仿宋_GB2312" w:cs="仿宋_GB2312"/>
          <w:b w:val="0"/>
          <w:color w:val="000000"/>
          <w:sz w:val="32"/>
          <w:szCs w:val="32"/>
        </w:rPr>
      </w:pPr>
      <w:r>
        <w:rPr>
          <w:rStyle w:val="15"/>
          <w:rFonts w:hint="eastAsia" w:hAnsi="仿宋_GB2312" w:cs="仿宋_GB2312"/>
          <w:b w:val="0"/>
          <w:sz w:val="32"/>
          <w:szCs w:val="32"/>
          <w:lang w:val="en-US" w:eastAsia="zh-CN"/>
        </w:rPr>
        <w:t>7</w:t>
      </w:r>
      <w:r>
        <w:rPr>
          <w:rStyle w:val="15"/>
          <w:rFonts w:hint="eastAsia" w:ascii="仿宋_GB2312" w:hAnsi="仿宋_GB2312" w:eastAsia="仿宋_GB2312" w:cs="仿宋_GB2312"/>
          <w:b w:val="0"/>
          <w:sz w:val="32"/>
          <w:szCs w:val="32"/>
        </w:rPr>
        <w:t>.社会保障和就业（类）行政事业单位养老支出（款）机关事业单位基本养老保险缴费</w:t>
      </w:r>
      <w:r>
        <w:rPr>
          <w:rStyle w:val="15"/>
          <w:rFonts w:hint="eastAsia" w:ascii="仿宋_GB2312" w:hAnsi="仿宋_GB2312" w:eastAsia="仿宋_GB2312" w:cs="仿宋_GB2312"/>
          <w:b w:val="0"/>
          <w:sz w:val="32"/>
          <w:szCs w:val="32"/>
          <w:lang w:val="en-US" w:eastAsia="zh-CN"/>
        </w:rPr>
        <w:t>支出</w:t>
      </w:r>
      <w:r>
        <w:rPr>
          <w:rStyle w:val="15"/>
          <w:rFonts w:hint="eastAsia" w:ascii="仿宋_GB2312" w:hAnsi="仿宋_GB2312" w:eastAsia="仿宋_GB2312" w:cs="仿宋_GB2312"/>
          <w:b w:val="0"/>
          <w:sz w:val="32"/>
          <w:szCs w:val="32"/>
        </w:rPr>
        <w:t>（项）：指机关事业单位</w:t>
      </w:r>
      <w:r>
        <w:rPr>
          <w:rStyle w:val="15"/>
          <w:rFonts w:hint="eastAsia" w:ascii="仿宋_GB2312" w:hAnsi="仿宋_GB2312" w:eastAsia="仿宋_GB2312" w:cs="仿宋_GB2312"/>
          <w:b w:val="0"/>
          <w:color w:val="000000"/>
          <w:sz w:val="32"/>
          <w:szCs w:val="32"/>
        </w:rPr>
        <w:t>实施养老保险制度由单位缴纳的基本养老保险费支出。</w:t>
      </w:r>
    </w:p>
    <w:p>
      <w:pPr>
        <w:keepNext w:val="0"/>
        <w:keepLines w:val="0"/>
        <w:pageBreakBefore w:val="0"/>
        <w:widowControl w:val="0"/>
        <w:kinsoku/>
        <w:wordWrap/>
        <w:overflowPunct/>
        <w:topLinePunct w:val="0"/>
        <w:bidi w:val="0"/>
        <w:snapToGrid/>
        <w:spacing w:line="576" w:lineRule="exact"/>
        <w:ind w:firstLine="640" w:firstLineChars="200"/>
        <w:textAlignment w:val="auto"/>
        <w:rPr>
          <w:rStyle w:val="15"/>
          <w:rFonts w:ascii="仿宋_GB2312" w:hAnsi="仿宋_GB2312" w:eastAsia="仿宋_GB2312" w:cs="仿宋_GB2312"/>
          <w:sz w:val="32"/>
          <w:szCs w:val="32"/>
        </w:rPr>
      </w:pPr>
      <w:r>
        <w:rPr>
          <w:rStyle w:val="15"/>
          <w:rFonts w:hint="eastAsia" w:ascii="仿宋_GB2312" w:hAnsi="仿宋_GB2312" w:eastAsia="仿宋_GB2312" w:cs="仿宋_GB2312"/>
          <w:b w:val="0"/>
          <w:sz w:val="32"/>
          <w:szCs w:val="32"/>
          <w:lang w:val="en-US" w:eastAsia="zh-CN"/>
        </w:rPr>
        <w:t>8</w:t>
      </w:r>
      <w:r>
        <w:rPr>
          <w:rStyle w:val="15"/>
          <w:rFonts w:hint="eastAsia" w:ascii="仿宋_GB2312" w:hAnsi="仿宋_GB2312" w:eastAsia="仿宋_GB2312" w:cs="仿宋_GB2312"/>
          <w:b w:val="0"/>
          <w:sz w:val="32"/>
          <w:szCs w:val="32"/>
        </w:rPr>
        <w:t>.卫生健康支出（类）行政事业单位医疗（款）事业单位医疗（项）：指</w:t>
      </w:r>
      <w:r>
        <w:rPr>
          <w:rFonts w:hint="eastAsia" w:ascii="仿宋_GB2312" w:hAnsi="仿宋_GB2312" w:eastAsia="仿宋_GB2312" w:cs="仿宋_GB2312"/>
          <w:sz w:val="32"/>
          <w:szCs w:val="32"/>
          <w:shd w:val="clear" w:color="auto" w:fill="FFFFFF"/>
        </w:rPr>
        <w:t>事业单位用于缴纳单位基本医疗保险支出。</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.住房保障（类）住房改革（款）住房公积金（项）：指局机关及事业单位按行政事业单位按人力资源部和社会保障部、财政部规定的基本工资和津贴补贴以及规定比例为职工缴纳的住房公积金。</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2" w:firstLineChars="200"/>
        <w:rPr>
          <w:rFonts w:ascii="仿宋" w:hAnsi="仿宋" w:eastAsia="仿宋"/>
          <w:b/>
          <w:color w:val="auto"/>
          <w:sz w:val="32"/>
          <w:szCs w:val="32"/>
          <w:highlight w:val="none"/>
        </w:rPr>
      </w:pPr>
    </w:p>
    <w:p>
      <w:pPr>
        <w:spacing w:line="600" w:lineRule="exact"/>
        <w:jc w:val="center"/>
        <w:outlineLvl w:val="9"/>
        <w:rPr>
          <w:rFonts w:ascii="宋体"/>
          <w:b/>
          <w:color w:val="auto"/>
          <w:sz w:val="44"/>
          <w:szCs w:val="44"/>
          <w:highlight w:val="none"/>
        </w:rPr>
        <w:sectPr>
          <w:footerReference r:id="rId5" w:type="default"/>
          <w:pgSz w:w="11906" w:h="16838"/>
          <w:pgMar w:top="1440" w:right="1800" w:bottom="1440" w:left="1800" w:header="851" w:footer="992" w:gutter="0"/>
          <w:pgNumType w:fmt="decimal" w:start="1"/>
          <w:cols w:space="425" w:num="1"/>
          <w:docGrid w:type="lines" w:linePitch="312" w:charSpace="0"/>
        </w:sectPr>
      </w:pPr>
      <w:bookmarkStart w:id="73" w:name="_Toc15377226"/>
    </w:p>
    <w:p>
      <w:pPr>
        <w:spacing w:line="600" w:lineRule="exact"/>
        <w:jc w:val="center"/>
        <w:outlineLvl w:val="0"/>
        <w:rPr>
          <w:rStyle w:val="17"/>
          <w:rFonts w:ascii="黑体" w:hAnsi="黑体" w:eastAsia="黑体"/>
          <w:b w:val="0"/>
          <w:color w:val="auto"/>
          <w:highlight w:val="none"/>
        </w:rPr>
      </w:pPr>
      <w:bookmarkStart w:id="74" w:name="_Toc15396614"/>
      <w:bookmarkStart w:id="75" w:name="_Toc29069"/>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4"/>
      <w:bookmarkEnd w:id="75"/>
    </w:p>
    <w:p>
      <w:pPr>
        <w:spacing w:line="600" w:lineRule="exact"/>
        <w:jc w:val="center"/>
        <w:outlineLvl w:val="1"/>
        <w:rPr>
          <w:rStyle w:val="17"/>
          <w:rFonts w:hint="eastAsia" w:ascii="黑体" w:hAnsi="黑体" w:eastAsia="黑体" w:cstheme="minorBidi"/>
          <w:b w:val="0"/>
          <w:color w:val="auto"/>
          <w:sz w:val="32"/>
          <w:szCs w:val="32"/>
          <w:highlight w:val="none"/>
        </w:rPr>
      </w:pPr>
      <w:r>
        <w:rPr>
          <w:rStyle w:val="17"/>
          <w:rFonts w:hint="eastAsia" w:ascii="黑体" w:hAnsi="黑体" w:eastAsia="黑体" w:cstheme="minorBidi"/>
          <w:b w:val="0"/>
          <w:color w:val="auto"/>
          <w:sz w:val="32"/>
          <w:szCs w:val="32"/>
          <w:highlight w:val="none"/>
        </w:rPr>
        <w:t>部门预算项目支出绩效自评表（2022年度）</w:t>
      </w:r>
    </w:p>
    <w:tbl>
      <w:tblPr>
        <w:tblStyle w:val="13"/>
        <w:tblW w:w="13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3"/>
        <w:gridCol w:w="1817"/>
        <w:gridCol w:w="1471"/>
        <w:gridCol w:w="1912"/>
        <w:gridCol w:w="713"/>
        <w:gridCol w:w="1500"/>
        <w:gridCol w:w="614"/>
        <w:gridCol w:w="1090"/>
        <w:gridCol w:w="531"/>
        <w:gridCol w:w="630"/>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bookmarkStart w:id="76" w:name="_Toc3196"/>
            <w:bookmarkStart w:id="77" w:name="_Toc15396618"/>
            <w:r>
              <w:rPr>
                <w:rFonts w:ascii="宋体" w:hAnsi="宋体" w:eastAsia="宋体" w:cs="宋体"/>
                <w:b/>
                <w:i w:val="0"/>
                <w:color w:val="000000"/>
                <w:kern w:val="0"/>
                <w:sz w:val="18"/>
                <w:szCs w:val="18"/>
                <w:u w:val="none"/>
                <w:lang w:val="en-US" w:eastAsia="zh-CN" w:bidi="ar"/>
              </w:rPr>
              <w:t>项目名称</w:t>
            </w:r>
          </w:p>
        </w:tc>
        <w:tc>
          <w:tcPr>
            <w:tcW w:w="110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主管部门</w:t>
            </w:r>
          </w:p>
        </w:tc>
        <w:tc>
          <w:tcPr>
            <w:tcW w:w="6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广元市财政评审中心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项目基本情况</w:t>
            </w:r>
          </w:p>
        </w:tc>
        <w:tc>
          <w:tcPr>
            <w:tcW w:w="1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1.项目年度目标完成情况</w:t>
            </w:r>
          </w:p>
        </w:tc>
        <w:tc>
          <w:tcPr>
            <w:tcW w:w="6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项目年度目标</w:t>
            </w:r>
          </w:p>
        </w:tc>
        <w:tc>
          <w:tcPr>
            <w:tcW w:w="4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6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4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严格执行相关政策，保障了人员经费，确保了财政工作顺利开展。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2.项目实施内容及过程概述</w:t>
            </w:r>
          </w:p>
        </w:tc>
        <w:tc>
          <w:tcPr>
            <w:tcW w:w="110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预算编制环节对人员经费绩效目标进行了绩效指标设定。在预算执行中，人员经费支出严格根据各项管理规定执行，保障了人员工资津补贴按时足额发放，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预算执行情况（10分）</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年度预算数（万元）</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年初预算</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调整后预算数</w:t>
            </w:r>
          </w:p>
        </w:tc>
        <w:tc>
          <w:tcPr>
            <w:tcW w:w="28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预算执行率</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总额</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75.68</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106.52</w:t>
            </w:r>
          </w:p>
        </w:tc>
        <w:tc>
          <w:tcPr>
            <w:tcW w:w="28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106.52</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其中：财政资金</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75.68</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106.52</w:t>
            </w:r>
          </w:p>
        </w:tc>
        <w:tc>
          <w:tcPr>
            <w:tcW w:w="28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106.52</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财政专户管理资金</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8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单位资金</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8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其他资金</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8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9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绩效指标（90分）</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一级指标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二级指标</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三级指标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指标性质</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指标值</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完成值</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产出指标</w:t>
            </w:r>
          </w:p>
        </w:tc>
        <w:tc>
          <w:tcPr>
            <w:tcW w:w="14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效益指标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      计</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评价结论</w:t>
            </w:r>
          </w:p>
        </w:tc>
        <w:tc>
          <w:tcPr>
            <w:tcW w:w="128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人员经费支出严格根据各项管理规定执行，保障了人员工资津补贴按时足额发放，预算执行进度达到预算管理要求，完成了年度预算绩效目标。项目自评得分100分。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存在问题</w:t>
            </w:r>
          </w:p>
        </w:tc>
        <w:tc>
          <w:tcPr>
            <w:tcW w:w="128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改进措施</w:t>
            </w:r>
          </w:p>
        </w:tc>
        <w:tc>
          <w:tcPr>
            <w:tcW w:w="128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项目负责人：朴锦阳</w:t>
            </w:r>
          </w:p>
        </w:tc>
        <w:tc>
          <w:tcPr>
            <w:tcW w:w="69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财务负责人：衡云云</w:t>
            </w:r>
          </w:p>
        </w:tc>
      </w:tr>
    </w:tbl>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cstheme="minorBidi"/>
          <w:b w:val="0"/>
          <w:color w:val="auto"/>
          <w:sz w:val="32"/>
          <w:szCs w:val="32"/>
          <w:highlight w:val="none"/>
        </w:rPr>
      </w:pPr>
      <w:r>
        <w:rPr>
          <w:rStyle w:val="17"/>
          <w:rFonts w:hint="eastAsia" w:ascii="黑体" w:hAnsi="黑体" w:eastAsia="黑体" w:cstheme="minorBidi"/>
          <w:b w:val="0"/>
          <w:color w:val="auto"/>
          <w:sz w:val="32"/>
          <w:szCs w:val="32"/>
          <w:highlight w:val="none"/>
        </w:rPr>
        <w:t>部门预算项目支出绩效自评表（2022年度）</w:t>
      </w:r>
    </w:p>
    <w:tbl>
      <w:tblPr>
        <w:tblStyle w:val="13"/>
        <w:tblW w:w="133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590"/>
        <w:gridCol w:w="1206"/>
        <w:gridCol w:w="2112"/>
        <w:gridCol w:w="750"/>
        <w:gridCol w:w="1038"/>
        <w:gridCol w:w="684"/>
        <w:gridCol w:w="1080"/>
        <w:gridCol w:w="1080"/>
        <w:gridCol w:w="1080"/>
        <w:gridCol w:w="1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项目名称</w:t>
            </w:r>
          </w:p>
        </w:tc>
        <w:tc>
          <w:tcPr>
            <w:tcW w:w="106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主管部门</w:t>
            </w:r>
          </w:p>
        </w:tc>
        <w:tc>
          <w:tcPr>
            <w:tcW w:w="57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3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广元市财政评审中心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项目基本情况</w:t>
            </w: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1.项目年度目标完成情况</w:t>
            </w:r>
          </w:p>
        </w:tc>
        <w:tc>
          <w:tcPr>
            <w:tcW w:w="57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项目年度目标</w:t>
            </w:r>
          </w:p>
        </w:tc>
        <w:tc>
          <w:tcPr>
            <w:tcW w:w="48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57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预算编制科学合理，严格执行相关政策，保障单位日常运转，严格执行预算。</w:t>
            </w:r>
          </w:p>
        </w:tc>
        <w:tc>
          <w:tcPr>
            <w:tcW w:w="48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公用经费支出保障了财政工作顺利开展，预算执行进度达到预算管理要求，完成了年度预算绩效目标。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2.项目实施内容及过程概述</w:t>
            </w:r>
          </w:p>
        </w:tc>
        <w:tc>
          <w:tcPr>
            <w:tcW w:w="106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预算编制环节对公用经费绩效目标进行了绩效指标设定，准确预测全年运转支出项目。在预算执行中，加强日常运转经费管理，严格支出审批及报销，公用经费支出严格根据各项管理规定执行，保障了财政工作顺利开展，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预算执行情况（10分）</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年度预算数（万元）</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年初预算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调整后预算数</w:t>
            </w:r>
          </w:p>
        </w:tc>
        <w:tc>
          <w:tcPr>
            <w:tcW w:w="2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总额</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12.58</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10.65</w:t>
            </w:r>
          </w:p>
        </w:tc>
        <w:tc>
          <w:tcPr>
            <w:tcW w:w="2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10.65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其中：财政资金</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12.58</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10.65</w:t>
            </w:r>
          </w:p>
        </w:tc>
        <w:tc>
          <w:tcPr>
            <w:tcW w:w="2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10.65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财政专户管理资金</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单位资金</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其他资金</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绩效指标（90分）</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一级指标</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二级指标</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三级指标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指标性质</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指标值</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产出指标</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效益指标</w:t>
            </w:r>
          </w:p>
        </w:tc>
        <w:tc>
          <w:tcPr>
            <w:tcW w:w="12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5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      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评价结论</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公用经费支出严格根据各项管理规定执行，保障了财政评审工作顺利开展，预算执行进度达到预算管理要求，完成了年度预算绩效目标。项目自评得分100分。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存在问题</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改进措施</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7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项目负责人：朴锦阳</w:t>
            </w:r>
          </w:p>
        </w:tc>
        <w:tc>
          <w:tcPr>
            <w:tcW w:w="65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财务负责人：衡云云</w:t>
            </w:r>
          </w:p>
        </w:tc>
      </w:tr>
    </w:tbl>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Fonts w:hint="eastAsia" w:ascii="黑体" w:hAnsi="黑体" w:eastAsia="黑体"/>
          <w:color w:val="auto"/>
          <w:sz w:val="44"/>
          <w:szCs w:val="44"/>
          <w:highlight w:val="none"/>
        </w:rPr>
      </w:pPr>
      <w:r>
        <w:rPr>
          <w:rStyle w:val="17"/>
          <w:rFonts w:hint="eastAsia" w:ascii="黑体" w:hAnsi="黑体" w:eastAsia="黑体"/>
          <w:b w:val="0"/>
          <w:color w:val="auto"/>
          <w:sz w:val="32"/>
          <w:szCs w:val="32"/>
          <w:highlight w:val="none"/>
        </w:rPr>
        <w:t>部门预算、专项资金预算项目支出绩效目标自评表（2022年度）</w:t>
      </w:r>
      <w:bookmarkEnd w:id="76"/>
    </w:p>
    <w:tbl>
      <w:tblPr>
        <w:tblStyle w:val="1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37"/>
        <w:gridCol w:w="1422"/>
        <w:gridCol w:w="1405"/>
        <w:gridCol w:w="1591"/>
        <w:gridCol w:w="650"/>
        <w:gridCol w:w="950"/>
        <w:gridCol w:w="605"/>
        <w:gridCol w:w="890"/>
        <w:gridCol w:w="635"/>
        <w:gridCol w:w="762"/>
        <w:gridCol w:w="923"/>
        <w:gridCol w:w="29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9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40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政府性投资项目评审经费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9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8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广元市财政评审中心</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87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广元市财政评审中心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8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1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8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依据中心职能职责完成政府性投资项目预决算审核工作，负责本级重大基本建设项目、专项债券资金项目财政监管和资金拨付的专业审核工作。</w:t>
            </w:r>
          </w:p>
        </w:tc>
        <w:tc>
          <w:tcPr>
            <w:tcW w:w="21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市本级共计完成评审项目119个，送审金额60.97亿元，审定金额57.00亿元，节约财政资金3.97亿元，审减率6.51%，相关工作人员无违纪违规。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40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在接到评审任务后，了解评审项目基本情况，审查评审资料并制定评审方案，坚持公平、公正、公开、控制风险以及质量和效率并重的原则按序委派评审任务。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实施阶段：协作机构按委托开展工作，在项目监管负责人的组织下，按期提交项目工作成果，并对项目工作成果的有效性、真实性、合法性负责，在协作过程中接受评审中心及财政局相关科室的监督。通过开展计量、价格调查、核价等工作，复核，形成完整的审核初稿报评审中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完成阶段：报告复核前，编写报告及其附件，签署，发送报告，资料归还，总结，数据信息化处理及归档。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458.54</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458.54</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458.54</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458.54</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458.54</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458.54</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16"/>
                <w:szCs w:val="16"/>
                <w:u w:val="none"/>
                <w:lang w:val="en-US" w:eastAsia="zh-CN" w:bidi="ar"/>
              </w:rPr>
            </w:pPr>
            <w:r>
              <w:rPr>
                <w:rFonts w:hint="eastAsia" w:ascii="宋体" w:hAnsi="宋体" w:eastAsia="宋体" w:cs="宋体"/>
                <w:b/>
                <w:i w:val="0"/>
                <w:color w:val="000000"/>
                <w:kern w:val="0"/>
                <w:sz w:val="16"/>
                <w:szCs w:val="16"/>
                <w:u w:val="none"/>
                <w:lang w:val="en-US" w:eastAsia="zh-CN" w:bidi="ar"/>
              </w:rPr>
              <w:t>财政专户管理</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资金</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产出指标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成本指标</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评审协作费用</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458.54</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458.54</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产出指标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数量指标</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评审项目</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119</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产出指标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质量指标</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评审质量</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产出指标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时效指标</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工作完成时效率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效益指标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社会效益指标</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民生项目推进</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效益指标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经济效益指标</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节约财政资金</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亿元</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3.97</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满意度指标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服务对象满意度指标</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部门满意度</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2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2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通过该项目实施，市本级共计完成评审项目119个，送审金额60.97亿元，审定金额57.00亿元，节约财政资金3.97亿元，审减率6.51%，取得了良好的经济、社会效益。自评得分100分。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2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2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2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73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单位财务负责人：朴锦阳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73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0"/>
        <w:rPr>
          <w:rStyle w:val="17"/>
          <w:rFonts w:hint="eastAsia" w:ascii="黑体" w:hAnsi="黑体" w:eastAsia="黑体"/>
          <w:b w:val="0"/>
          <w:color w:val="auto"/>
          <w:sz w:val="32"/>
          <w:szCs w:val="32"/>
          <w:highlight w:val="none"/>
        </w:rPr>
      </w:pPr>
      <w:bookmarkStart w:id="78" w:name="_Toc19354"/>
    </w:p>
    <w:p>
      <w:pPr>
        <w:spacing w:line="600" w:lineRule="exact"/>
        <w:jc w:val="center"/>
        <w:outlineLvl w:val="0"/>
        <w:rPr>
          <w:rStyle w:val="17"/>
          <w:rFonts w:hint="eastAsia" w:ascii="黑体" w:hAnsi="黑体" w:eastAsia="黑体"/>
          <w:b w:val="0"/>
          <w:color w:val="auto"/>
          <w:sz w:val="32"/>
          <w:szCs w:val="32"/>
          <w:highlight w:val="none"/>
        </w:rPr>
      </w:pPr>
    </w:p>
    <w:p>
      <w:pPr>
        <w:spacing w:line="600" w:lineRule="exact"/>
        <w:jc w:val="center"/>
        <w:outlineLvl w:val="0"/>
        <w:rPr>
          <w:rStyle w:val="17"/>
          <w:rFonts w:hint="eastAsia" w:ascii="黑体" w:hAnsi="黑体" w:eastAsia="黑体"/>
          <w:b w:val="0"/>
          <w:color w:val="auto"/>
          <w:sz w:val="32"/>
          <w:szCs w:val="32"/>
          <w:highlight w:val="none"/>
        </w:rPr>
      </w:pPr>
    </w:p>
    <w:p>
      <w:pPr>
        <w:spacing w:line="600" w:lineRule="exact"/>
        <w:jc w:val="center"/>
        <w:outlineLvl w:val="0"/>
        <w:rPr>
          <w:rFonts w:hint="eastAsia" w:ascii="黑体" w:hAnsi="黑体" w:eastAsia="黑体"/>
          <w:color w:val="auto"/>
          <w:sz w:val="44"/>
          <w:szCs w:val="44"/>
          <w:highlight w:val="none"/>
        </w:rPr>
      </w:pPr>
      <w:r>
        <w:rPr>
          <w:rStyle w:val="17"/>
          <w:rFonts w:hint="eastAsia" w:ascii="黑体" w:hAnsi="黑体" w:eastAsia="黑体"/>
          <w:b w:val="0"/>
          <w:color w:val="auto"/>
          <w:sz w:val="32"/>
          <w:szCs w:val="32"/>
          <w:highlight w:val="none"/>
        </w:rPr>
        <w:t>部门预算、专项资金预算项目支出绩效目标自评表（2022年度）</w:t>
      </w:r>
      <w:bookmarkEnd w:id="78"/>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36"/>
        <w:gridCol w:w="1501"/>
        <w:gridCol w:w="1210"/>
        <w:gridCol w:w="1467"/>
        <w:gridCol w:w="651"/>
        <w:gridCol w:w="1076"/>
        <w:gridCol w:w="601"/>
        <w:gridCol w:w="932"/>
        <w:gridCol w:w="654"/>
        <w:gridCol w:w="807"/>
        <w:gridCol w:w="994"/>
        <w:gridCol w:w="28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10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评审专家聘用及工作经费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广元市财政评审中心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8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广元市财政评审中心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紧紧围绕财政中心工作，积极开展政府投资建设项目评审，节约财政资金，助推项目有序推进，确保评审力量，保障评审专家人员及工作经费，建设高效廉洁的评审队伍。</w:t>
            </w:r>
          </w:p>
        </w:tc>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市本级共计完成评审项目119个，送审金额60.97亿元，审定金额57.00亿元，节约财政资金3.97亿元，审减率6.51%，相关工作人员无违纪违规。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5"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在接到评审任务后，了解评审项目基本情况，审查评审资料并制定评审方案，坚持公平、公正、公开、控制风险以及质量和效率并重的原则按序委派评审任务。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实施阶段：协作机构按委托开展工作，在项目监管负责人的组织下，按期提交项目工作成果，并对项目工作成果的有效性、真实性、合法性负责，在协作过程中接受评审中心及财政局相关科室的监督。通过开展计量、价格调查、核价等工作，复核，形成完整的审核初稿报评审中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完成阶段：报告复核前，编写报告及其附件，签署，发送报告，资料归还，总结，数据信息化处理及归档。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（10分）</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8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196.56</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196.56</w:t>
            </w:r>
          </w:p>
        </w:tc>
        <w:tc>
          <w:tcPr>
            <w:tcW w:w="8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192.65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98</w:t>
            </w:r>
            <w:r>
              <w:rPr>
                <w:rFonts w:hint="eastAsia" w:ascii="宋体" w:hAnsi="宋体" w:eastAsia="宋体" w:cs="宋体"/>
                <w:i w:val="0"/>
                <w:color w:val="000000"/>
                <w:kern w:val="0"/>
                <w:sz w:val="16"/>
                <w:szCs w:val="16"/>
                <w:u w:val="none"/>
                <w:lang w:val="en-US" w:eastAsia="zh-CN" w:bidi="ar"/>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196.56</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196.56</w:t>
            </w:r>
          </w:p>
        </w:tc>
        <w:tc>
          <w:tcPr>
            <w:tcW w:w="8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192.65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98</w:t>
            </w:r>
            <w:r>
              <w:rPr>
                <w:rFonts w:hint="eastAsia" w:ascii="宋体" w:hAnsi="宋体" w:eastAsia="宋体" w:cs="宋体"/>
                <w:i w:val="0"/>
                <w:color w:val="000000"/>
                <w:kern w:val="0"/>
                <w:sz w:val="16"/>
                <w:szCs w:val="16"/>
                <w:u w:val="none"/>
                <w:lang w:val="en-US" w:eastAsia="zh-CN" w:bidi="ar"/>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16"/>
                <w:szCs w:val="16"/>
                <w:u w:val="none"/>
                <w:lang w:val="en-US" w:eastAsia="zh-CN" w:bidi="ar"/>
              </w:rPr>
            </w:pPr>
            <w:r>
              <w:rPr>
                <w:rFonts w:hint="eastAsia" w:ascii="宋体" w:hAnsi="宋体" w:eastAsia="宋体" w:cs="宋体"/>
                <w:b/>
                <w:i w:val="0"/>
                <w:color w:val="000000"/>
                <w:kern w:val="0"/>
                <w:sz w:val="16"/>
                <w:szCs w:val="16"/>
                <w:u w:val="none"/>
                <w:lang w:val="en-US" w:eastAsia="zh-CN" w:bidi="ar"/>
              </w:rPr>
              <w:t>财政专户管理</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资金</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工作完成及时率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聘用人员经费</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196.56</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192.65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8</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评审质量</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人员工资及保险</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项目建设</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节约财政资金</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39700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可持续影响指标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经济发展</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社会认可度</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98</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49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通过该项目实施，取得了良好的经济、社会效益。自评得分98分。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49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预算编制不精准，预算执行进度不够高。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49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细化人员经费测算标准，加强预算编制，提高预算执行进度。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49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78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单位财务负责人：朴锦阳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78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9"/>
        <w:rPr>
          <w:rStyle w:val="17"/>
          <w:rFonts w:hint="eastAsia" w:ascii="黑体" w:hAnsi="黑体" w:eastAsia="黑体"/>
          <w:b w:val="0"/>
          <w:color w:val="auto"/>
          <w:sz w:val="32"/>
          <w:szCs w:val="32"/>
          <w:highlight w:val="none"/>
        </w:rPr>
      </w:pPr>
    </w:p>
    <w:p>
      <w:pPr>
        <w:spacing w:line="600" w:lineRule="exact"/>
        <w:jc w:val="center"/>
        <w:outlineLvl w:val="0"/>
        <w:rPr>
          <w:rFonts w:hint="eastAsia" w:ascii="黑体" w:hAnsi="黑体" w:eastAsia="黑体"/>
          <w:color w:val="auto"/>
          <w:sz w:val="44"/>
          <w:szCs w:val="44"/>
          <w:highlight w:val="none"/>
        </w:rPr>
      </w:pPr>
      <w:bookmarkStart w:id="79" w:name="_Toc13041"/>
      <w:r>
        <w:rPr>
          <w:rStyle w:val="17"/>
          <w:rFonts w:hint="eastAsia" w:ascii="黑体" w:hAnsi="黑体" w:eastAsia="黑体"/>
          <w:b w:val="0"/>
          <w:color w:val="auto"/>
          <w:sz w:val="32"/>
          <w:szCs w:val="32"/>
          <w:highlight w:val="none"/>
        </w:rPr>
        <w:t>部门预算、专项资金预算项目支出绩效目标自评表（2022年度）</w:t>
      </w:r>
      <w:bookmarkEnd w:id="79"/>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9"/>
        <w:gridCol w:w="1365"/>
        <w:gridCol w:w="1096"/>
        <w:gridCol w:w="1481"/>
        <w:gridCol w:w="623"/>
        <w:gridCol w:w="841"/>
        <w:gridCol w:w="657"/>
        <w:gridCol w:w="867"/>
        <w:gridCol w:w="601"/>
        <w:gridCol w:w="734"/>
        <w:gridCol w:w="904"/>
        <w:gridCol w:w="36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9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40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评审工作经费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9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广元市财政评审中心</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b/>
                <w:i w:val="0"/>
                <w:color w:val="000000"/>
                <w:kern w:val="0"/>
                <w:sz w:val="16"/>
                <w:szCs w:val="16"/>
                <w:u w:val="none"/>
                <w:lang w:val="en-US" w:eastAsia="zh-CN" w:bidi="ar"/>
              </w:rPr>
            </w:pPr>
            <w:r>
              <w:rPr>
                <w:rFonts w:hint="eastAsia" w:ascii="宋体" w:hAnsi="宋体" w:eastAsia="宋体" w:cs="宋体"/>
                <w:b/>
                <w:i w:val="0"/>
                <w:color w:val="000000"/>
                <w:kern w:val="0"/>
                <w:sz w:val="16"/>
                <w:szCs w:val="16"/>
                <w:u w:val="none"/>
                <w:lang w:val="en-US" w:eastAsia="zh-CN" w:bidi="ar"/>
              </w:rPr>
              <w:t>实施单位</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（盖章）</w:t>
            </w:r>
          </w:p>
        </w:tc>
        <w:tc>
          <w:tcPr>
            <w:tcW w:w="209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广元市财政评审中心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3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紧紧围绕全市财政中心工作，按质按量完成政府投资建设项目评审，节约财政资金，助推项目的有序推进。</w:t>
            </w:r>
          </w:p>
        </w:tc>
        <w:tc>
          <w:tcPr>
            <w:tcW w:w="23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紧紧围绕全市财政中心工作，按质按量完成政府投资建设项目评审，节约财政资金，助推项目的有序推进。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40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项目主要保障评审工作开展，包括调研指导政府性投资项目差旅费、开展项目监管验收、保障财政评审工作开展的网络费和印刷费等其他费用。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（万元）</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33.27</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33.27</w:t>
            </w:r>
          </w:p>
        </w:tc>
        <w:tc>
          <w:tcPr>
            <w:tcW w:w="7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14.15</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42.53</w:t>
            </w:r>
            <w:r>
              <w:rPr>
                <w:rFonts w:hint="eastAsia" w:ascii="宋体" w:hAnsi="宋体" w:eastAsia="宋体" w:cs="宋体"/>
                <w:i w:val="0"/>
                <w:color w:val="000000"/>
                <w:kern w:val="0"/>
                <w:sz w:val="16"/>
                <w:szCs w:val="16"/>
                <w:u w:val="none"/>
                <w:lang w:val="en-US" w:eastAsia="zh-CN" w:bidi="ar"/>
              </w:rPr>
              <w:t>%</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因受疫情影响，检查调研项目次数减少，同时压减一般性支出，该项目预算当年未全部执行。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12.81</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12.81</w:t>
            </w:r>
          </w:p>
        </w:tc>
        <w:tc>
          <w:tcPr>
            <w:tcW w:w="7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12.81</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16"/>
                <w:szCs w:val="16"/>
                <w:u w:val="none"/>
                <w:lang w:val="en-US" w:eastAsia="zh-CN" w:bidi="ar"/>
              </w:rPr>
            </w:pPr>
            <w:r>
              <w:rPr>
                <w:rFonts w:hint="eastAsia" w:ascii="宋体" w:hAnsi="宋体" w:eastAsia="宋体" w:cs="宋体"/>
                <w:b/>
                <w:i w:val="0"/>
                <w:color w:val="000000"/>
                <w:kern w:val="0"/>
                <w:sz w:val="16"/>
                <w:szCs w:val="16"/>
                <w:u w:val="none"/>
                <w:lang w:val="en-US" w:eastAsia="zh-CN" w:bidi="ar"/>
              </w:rPr>
              <w:t>财政专户管理</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资金</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20.46</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20.46</w:t>
            </w:r>
          </w:p>
        </w:tc>
        <w:tc>
          <w:tcPr>
            <w:tcW w:w="7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1.34</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评审质量</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项目完成及时率</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专项债券资金项目监管</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配合其他主管部门验收</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财政专项资金检查</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工作经费</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33.27</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14.15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项目建设</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节约财政资金</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社会认可度</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9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3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受相关科室委派任务，开展相关工作经费，有力保障财政资金使用安全高效，自评得分95.5分。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3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项目测算标准有待细化，测算准确率有待提高。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3" w:hRule="atLeast"/>
        </w:trPr>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3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细化预算编制工作，提升预算编制准确度。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3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92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单位财务负责人：朴锦阳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92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9"/>
        <w:rPr>
          <w:rStyle w:val="17"/>
          <w:rFonts w:hint="eastAsia" w:ascii="黑体" w:hAnsi="黑体" w:eastAsia="黑体"/>
          <w:b w:val="0"/>
          <w:color w:val="auto"/>
          <w:sz w:val="32"/>
          <w:szCs w:val="32"/>
          <w:highlight w:val="none"/>
        </w:rPr>
        <w:sectPr>
          <w:pgSz w:w="16838" w:h="11906" w:orient="landscape"/>
          <w:pgMar w:top="1800" w:right="1440" w:bottom="1800" w:left="1440" w:header="851" w:footer="992" w:gutter="0"/>
          <w:pgNumType w:fmt="decimal"/>
          <w:cols w:space="425" w:num="1"/>
          <w:titlePg/>
          <w:docGrid w:type="lines" w:linePitch="312" w:charSpace="0"/>
        </w:sectPr>
      </w:pPr>
    </w:p>
    <w:p>
      <w:pPr>
        <w:spacing w:line="600" w:lineRule="exact"/>
        <w:jc w:val="center"/>
        <w:outlineLvl w:val="0"/>
        <w:rPr>
          <w:rFonts w:hint="eastAsia" w:ascii="黑体" w:hAnsi="黑体" w:eastAsia="黑体"/>
          <w:color w:val="auto"/>
          <w:sz w:val="44"/>
          <w:szCs w:val="44"/>
          <w:highlight w:val="none"/>
        </w:rPr>
      </w:pPr>
      <w:bookmarkStart w:id="80" w:name="_Toc11889"/>
      <w:r>
        <w:rPr>
          <w:rStyle w:val="17"/>
          <w:rFonts w:hint="eastAsia" w:ascii="黑体" w:hAnsi="黑体" w:eastAsia="黑体"/>
          <w:b w:val="0"/>
          <w:color w:val="auto"/>
          <w:sz w:val="32"/>
          <w:szCs w:val="32"/>
          <w:highlight w:val="none"/>
        </w:rPr>
        <w:t>部门预算、专项资金预算项目支出绩效目标自评表（2022年度）</w:t>
      </w:r>
      <w:bookmarkEnd w:id="80"/>
    </w:p>
    <w:tbl>
      <w:tblPr>
        <w:tblStyle w:val="1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3"/>
        <w:gridCol w:w="1535"/>
        <w:gridCol w:w="1238"/>
        <w:gridCol w:w="1731"/>
        <w:gridCol w:w="618"/>
        <w:gridCol w:w="943"/>
        <w:gridCol w:w="595"/>
        <w:gridCol w:w="963"/>
        <w:gridCol w:w="674"/>
        <w:gridCol w:w="830"/>
        <w:gridCol w:w="1017"/>
        <w:gridCol w:w="25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3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公务车辆购置经费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80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广元市财政评审中心</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78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广元市财政评审中心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80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1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80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采购公务车1辆，保证评审工作开展，确保政府性投资项目顺利推进。</w:t>
            </w:r>
          </w:p>
        </w:tc>
        <w:tc>
          <w:tcPr>
            <w:tcW w:w="21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因该项目在年末下达，同时需按规定完成政府采购所有流程，因此2022年未完成采购，在2023年完成。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3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该项目属公务车辆采购，我单位严格按照政府采购管理规定实施。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（万元）</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35.00</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0</w:t>
            </w:r>
          </w:p>
        </w:tc>
        <w:tc>
          <w:tcPr>
            <w:tcW w:w="7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10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因该项目在年末下达，同时需按规定完成政府采购所有流程，因此2022年未完成采购，在2023年完成。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35.00</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0</w:t>
            </w:r>
          </w:p>
        </w:tc>
        <w:tc>
          <w:tcPr>
            <w:tcW w:w="7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采购车辆合格率</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购买完成时限</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采购车辆</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经济成本指标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车辆购置费</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财政评审工作顺利开展</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可持续影响指标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使用时间</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达到车辆使用年限规定</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使用人员满意度</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东文宋体" w:hAnsi="东文宋体" w:eastAsia="东文宋体" w:cs="东文宋体"/>
                <w:i w:val="0"/>
                <w:color w:val="000000"/>
                <w:sz w:val="16"/>
                <w:szCs w:val="16"/>
                <w:u w:val="none"/>
              </w:rPr>
            </w:pPr>
            <w:r>
              <w:rPr>
                <w:rFonts w:hint="default" w:ascii="东文宋体" w:hAnsi="东文宋体" w:eastAsia="东文宋体" w:cs="东文宋体"/>
                <w:i w:val="0"/>
                <w:color w:val="000000"/>
                <w:kern w:val="0"/>
                <w:sz w:val="16"/>
                <w:szCs w:val="16"/>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1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47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因该项目在年末下达，同时需按规定完成政府采购所有流程，因此2022年未完成采购，在2023年完成。项目自评得分90分。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47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47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47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67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单位财务负责人：朴锦阳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67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sectPr>
          <w:footerReference r:id="rId8" w:type="first"/>
          <w:headerReference r:id="rId6" w:type="default"/>
          <w:footerReference r:id="rId7" w:type="default"/>
          <w:pgSz w:w="16838" w:h="11906" w:orient="landscape"/>
          <w:pgMar w:top="1800" w:right="1440" w:bottom="1800" w:left="1440" w:header="851" w:footer="992" w:gutter="0"/>
          <w:pgNumType w:fmt="decimal"/>
          <w:cols w:space="425" w:num="1"/>
          <w:titlePg/>
          <w:docGrid w:type="lines" w:linePitch="312" w:charSpace="0"/>
        </w:sectPr>
      </w:pPr>
    </w:p>
    <w:p>
      <w:pPr>
        <w:spacing w:line="600" w:lineRule="exact"/>
        <w:jc w:val="center"/>
        <w:outlineLvl w:val="0"/>
        <w:rPr>
          <w:rFonts w:hint="eastAsia" w:ascii="仿宋" w:hAnsi="仿宋" w:eastAsia="仿宋"/>
          <w:b w:val="0"/>
          <w:color w:val="auto"/>
          <w:highlight w:val="none"/>
        </w:rPr>
      </w:pPr>
      <w:bookmarkStart w:id="81" w:name="_Toc30099"/>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3"/>
      <w:bookmarkEnd w:id="77"/>
      <w:bookmarkEnd w:id="81"/>
      <w:bookmarkStart w:id="82" w:name="_Toc15396619"/>
    </w:p>
    <w:p>
      <w:pPr>
        <w:pStyle w:val="4"/>
        <w:rPr>
          <w:rFonts w:ascii="仿宋" w:hAnsi="仿宋" w:eastAsia="仿宋"/>
          <w:color w:val="auto"/>
          <w:highlight w:val="none"/>
        </w:rPr>
      </w:pPr>
      <w:bookmarkStart w:id="83" w:name="_Toc19964"/>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82"/>
      <w:bookmarkEnd w:id="83"/>
    </w:p>
    <w:p>
      <w:pPr>
        <w:pStyle w:val="4"/>
        <w:rPr>
          <w:rFonts w:ascii="仿宋" w:hAnsi="仿宋" w:eastAsia="仿宋"/>
          <w:color w:val="auto"/>
          <w:highlight w:val="none"/>
        </w:rPr>
      </w:pPr>
      <w:bookmarkStart w:id="84" w:name="_Toc15396620"/>
      <w:bookmarkStart w:id="85" w:name="_Toc23552"/>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84"/>
      <w:bookmarkEnd w:id="85"/>
    </w:p>
    <w:p>
      <w:pPr>
        <w:pStyle w:val="4"/>
        <w:rPr>
          <w:rFonts w:ascii="仿宋" w:hAnsi="仿宋" w:eastAsia="仿宋"/>
          <w:color w:val="auto"/>
          <w:highlight w:val="none"/>
        </w:rPr>
      </w:pPr>
      <w:bookmarkStart w:id="86" w:name="_Toc18984"/>
      <w:bookmarkStart w:id="87"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86"/>
      <w:bookmarkEnd w:id="87"/>
    </w:p>
    <w:p>
      <w:pPr>
        <w:pStyle w:val="4"/>
        <w:rPr>
          <w:rFonts w:ascii="仿宋" w:hAnsi="仿宋" w:eastAsia="仿宋"/>
          <w:b w:val="0"/>
          <w:color w:val="auto"/>
          <w:highlight w:val="none"/>
        </w:rPr>
      </w:pPr>
      <w:bookmarkStart w:id="88" w:name="_Toc15396622"/>
      <w:bookmarkStart w:id="89" w:name="_Toc23877"/>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8"/>
      <w:bookmarkEnd w:id="89"/>
    </w:p>
    <w:p>
      <w:pPr>
        <w:pStyle w:val="4"/>
        <w:rPr>
          <w:rStyle w:val="18"/>
          <w:rFonts w:ascii="仿宋" w:hAnsi="仿宋" w:eastAsia="仿宋"/>
          <w:b w:val="0"/>
          <w:bCs w:val="0"/>
          <w:color w:val="auto"/>
          <w:highlight w:val="none"/>
        </w:rPr>
      </w:pPr>
      <w:bookmarkStart w:id="90" w:name="_Toc15396623"/>
      <w:bookmarkStart w:id="91" w:name="_Toc22688"/>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90"/>
      <w:bookmarkEnd w:id="91"/>
      <w:bookmarkStart w:id="92" w:name="_Toc15396624"/>
    </w:p>
    <w:p>
      <w:pPr>
        <w:pStyle w:val="4"/>
        <w:rPr>
          <w:rFonts w:ascii="仿宋" w:hAnsi="仿宋" w:eastAsia="仿宋"/>
          <w:color w:val="auto"/>
          <w:highlight w:val="none"/>
        </w:rPr>
      </w:pPr>
      <w:bookmarkStart w:id="93" w:name="_Toc8234"/>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92"/>
      <w:bookmarkEnd w:id="93"/>
    </w:p>
    <w:p>
      <w:pPr>
        <w:pStyle w:val="4"/>
        <w:rPr>
          <w:rFonts w:ascii="仿宋" w:hAnsi="仿宋" w:eastAsia="仿宋"/>
          <w:color w:val="auto"/>
          <w:highlight w:val="none"/>
        </w:rPr>
      </w:pPr>
      <w:bookmarkStart w:id="94" w:name="_Toc15396625"/>
      <w:bookmarkStart w:id="95" w:name="_Toc21934"/>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94"/>
      <w:bookmarkEnd w:id="95"/>
    </w:p>
    <w:p>
      <w:pPr>
        <w:pStyle w:val="4"/>
        <w:rPr>
          <w:rFonts w:ascii="仿宋" w:hAnsi="仿宋" w:eastAsia="仿宋"/>
          <w:color w:val="auto"/>
          <w:highlight w:val="none"/>
        </w:rPr>
      </w:pPr>
      <w:bookmarkStart w:id="96" w:name="_Toc15396626"/>
      <w:bookmarkStart w:id="97" w:name="_Toc9705"/>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96"/>
      <w:bookmarkEnd w:id="97"/>
    </w:p>
    <w:p>
      <w:pPr>
        <w:pStyle w:val="4"/>
        <w:rPr>
          <w:rFonts w:ascii="仿宋" w:hAnsi="仿宋" w:eastAsia="仿宋"/>
          <w:color w:val="auto"/>
          <w:highlight w:val="none"/>
        </w:rPr>
      </w:pPr>
      <w:bookmarkStart w:id="98" w:name="_Toc15396627"/>
      <w:bookmarkStart w:id="99" w:name="_Toc25431"/>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8"/>
      <w:bookmarkEnd w:id="99"/>
    </w:p>
    <w:p>
      <w:pPr>
        <w:pStyle w:val="4"/>
        <w:rPr>
          <w:rFonts w:ascii="仿宋" w:hAnsi="仿宋" w:eastAsia="仿宋"/>
          <w:color w:val="auto"/>
          <w:highlight w:val="none"/>
        </w:rPr>
      </w:pPr>
      <w:bookmarkStart w:id="100" w:name="_Toc15396628"/>
      <w:bookmarkStart w:id="101" w:name="_Toc24413"/>
      <w:r>
        <w:rPr>
          <w:rStyle w:val="18"/>
          <w:rFonts w:hint="eastAsia" w:ascii="仿宋" w:hAnsi="仿宋" w:eastAsia="仿宋"/>
          <w:b w:val="0"/>
          <w:bCs w:val="0"/>
          <w:color w:val="auto"/>
          <w:highlight w:val="none"/>
        </w:rPr>
        <w:t>十、</w:t>
      </w:r>
      <w:bookmarkEnd w:id="100"/>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101"/>
    </w:p>
    <w:p>
      <w:pPr>
        <w:pStyle w:val="4"/>
        <w:rPr>
          <w:rFonts w:ascii="仿宋" w:hAnsi="仿宋" w:eastAsia="仿宋"/>
          <w:color w:val="auto"/>
          <w:highlight w:val="none"/>
        </w:rPr>
      </w:pPr>
      <w:bookmarkStart w:id="102" w:name="_Toc15396629"/>
      <w:bookmarkStart w:id="103" w:name="_Toc21066"/>
      <w:r>
        <w:rPr>
          <w:rStyle w:val="18"/>
          <w:rFonts w:hint="eastAsia" w:ascii="仿宋" w:hAnsi="仿宋" w:eastAsia="仿宋"/>
          <w:b w:val="0"/>
          <w:bCs w:val="0"/>
          <w:color w:val="auto"/>
          <w:highlight w:val="none"/>
        </w:rPr>
        <w:t>十一、</w:t>
      </w:r>
      <w:bookmarkEnd w:id="102"/>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103"/>
    </w:p>
    <w:p>
      <w:pPr>
        <w:pStyle w:val="4"/>
        <w:rPr>
          <w:rFonts w:ascii="仿宋" w:hAnsi="仿宋" w:eastAsia="仿宋"/>
          <w:color w:val="auto"/>
          <w:highlight w:val="none"/>
        </w:rPr>
      </w:pPr>
      <w:bookmarkStart w:id="104" w:name="_Toc15396630"/>
      <w:bookmarkStart w:id="105" w:name="_Toc30902"/>
      <w:r>
        <w:rPr>
          <w:rStyle w:val="18"/>
          <w:rFonts w:hint="eastAsia" w:ascii="仿宋" w:hAnsi="仿宋" w:eastAsia="仿宋"/>
          <w:b w:val="0"/>
          <w:bCs w:val="0"/>
          <w:color w:val="auto"/>
          <w:highlight w:val="none"/>
        </w:rPr>
        <w:t>十二、</w:t>
      </w:r>
      <w:bookmarkEnd w:id="104"/>
      <w:r>
        <w:rPr>
          <w:rStyle w:val="18"/>
          <w:rFonts w:hint="eastAsia" w:ascii="仿宋" w:hAnsi="仿宋" w:eastAsia="仿宋"/>
          <w:b w:val="0"/>
          <w:bCs w:val="0"/>
          <w:color w:val="auto"/>
          <w:highlight w:val="none"/>
          <w:lang w:eastAsia="zh-CN"/>
        </w:rPr>
        <w:t>国有资本经营预算财政拨款支出决算表</w:t>
      </w:r>
      <w:bookmarkEnd w:id="105"/>
    </w:p>
    <w:p>
      <w:pPr>
        <w:pStyle w:val="4"/>
        <w:rPr>
          <w:rFonts w:hint="eastAsia" w:eastAsia="仿宋"/>
          <w:color w:val="auto"/>
          <w:highlight w:val="none"/>
          <w:lang w:eastAsia="zh-CN"/>
        </w:rPr>
      </w:pPr>
      <w:bookmarkStart w:id="106" w:name="_Toc15396631"/>
      <w:bookmarkStart w:id="107" w:name="_Toc11083"/>
      <w:r>
        <w:rPr>
          <w:rStyle w:val="18"/>
          <w:rFonts w:hint="eastAsia" w:ascii="仿宋" w:hAnsi="仿宋" w:eastAsia="仿宋"/>
          <w:b w:val="0"/>
          <w:bCs w:val="0"/>
          <w:color w:val="auto"/>
          <w:highlight w:val="none"/>
        </w:rPr>
        <w:t>十三、</w:t>
      </w:r>
      <w:bookmarkEnd w:id="106"/>
      <w:r>
        <w:rPr>
          <w:rStyle w:val="18"/>
          <w:rFonts w:hint="eastAsia" w:ascii="仿宋" w:hAnsi="仿宋" w:eastAsia="仿宋"/>
          <w:b w:val="0"/>
          <w:bCs w:val="0"/>
          <w:color w:val="auto"/>
          <w:highlight w:val="none"/>
          <w:lang w:eastAsia="zh-CN"/>
        </w:rPr>
        <w:t>财政拨款“三公”经费支出决算表</w:t>
      </w:r>
      <w:bookmarkEnd w:id="107"/>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2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
    <w:altName w:val="URW Book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simhei">
    <w:altName w:val="URW Bookman"/>
    <w:panose1 w:val="00000000000000000000"/>
    <w:charset w:val="00"/>
    <w:family w:val="auto"/>
    <w:pitch w:val="default"/>
    <w:sig w:usb0="00000000" w:usb1="00000000" w:usb2="00000000" w:usb3="00000000" w:csb0="00000000" w:csb1="00000000"/>
  </w:font>
  <w:font w:name="东文宋体">
    <w:altName w:val="方正书宋_GBK"/>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 w:name="URW Bookman">
    <w:panose1 w:val="00000400000000000000"/>
    <w:charset w:val="00"/>
    <w:family w:val="auto"/>
    <w:pitch w:val="default"/>
    <w:sig w:usb0="00000287" w:usb1="00000800" w:usb2="00000000" w:usb3="00000000" w:csb0="6000009F" w:csb1="00000000"/>
  </w:font>
  <w:font w:name="方正宋体S-超大字符集">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5B405"/>
    <w:multiLevelType w:val="singleLevel"/>
    <w:tmpl w:val="93F5B405"/>
    <w:lvl w:ilvl="0" w:tentative="0">
      <w:start w:val="1"/>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FFE4DA1B"/>
    <w:multiLevelType w:val="singleLevel"/>
    <w:tmpl w:val="FFE4DA1B"/>
    <w:lvl w:ilvl="0" w:tentative="0">
      <w:start w:val="2"/>
      <w:numFmt w:val="chineseCounting"/>
      <w:suff w:val="nothing"/>
      <w:lvlText w:val="%1、"/>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true"/>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F36342"/>
    <w:rsid w:val="053A62B5"/>
    <w:rsid w:val="0A2032A3"/>
    <w:rsid w:val="0B8A37D8"/>
    <w:rsid w:val="0F63954D"/>
    <w:rsid w:val="10C055FF"/>
    <w:rsid w:val="118107EC"/>
    <w:rsid w:val="11DD6519"/>
    <w:rsid w:val="136856AC"/>
    <w:rsid w:val="16BB723D"/>
    <w:rsid w:val="18015F3F"/>
    <w:rsid w:val="1AEFE33B"/>
    <w:rsid w:val="1BE8440E"/>
    <w:rsid w:val="1D155CEE"/>
    <w:rsid w:val="20F57F95"/>
    <w:rsid w:val="240371BF"/>
    <w:rsid w:val="25711CC6"/>
    <w:rsid w:val="25C741E6"/>
    <w:rsid w:val="26B7D9D0"/>
    <w:rsid w:val="276D4C4D"/>
    <w:rsid w:val="27842671"/>
    <w:rsid w:val="29FD04D3"/>
    <w:rsid w:val="2ABE7A3E"/>
    <w:rsid w:val="2CA234A8"/>
    <w:rsid w:val="2EFA178C"/>
    <w:rsid w:val="2FF5DD1E"/>
    <w:rsid w:val="30B46D73"/>
    <w:rsid w:val="319F7F4E"/>
    <w:rsid w:val="33EBFD58"/>
    <w:rsid w:val="383D272C"/>
    <w:rsid w:val="397D2E59"/>
    <w:rsid w:val="39AE70AB"/>
    <w:rsid w:val="3B7C8684"/>
    <w:rsid w:val="3BFE682A"/>
    <w:rsid w:val="3C0C0783"/>
    <w:rsid w:val="3E764918"/>
    <w:rsid w:val="3F6F8CD8"/>
    <w:rsid w:val="3F9F3A96"/>
    <w:rsid w:val="3FBCDF6E"/>
    <w:rsid w:val="41085755"/>
    <w:rsid w:val="48BF60AB"/>
    <w:rsid w:val="493C27E9"/>
    <w:rsid w:val="496F39ED"/>
    <w:rsid w:val="49FF41D3"/>
    <w:rsid w:val="4BE068DB"/>
    <w:rsid w:val="4BF6002B"/>
    <w:rsid w:val="4ECE2238"/>
    <w:rsid w:val="4F775FE3"/>
    <w:rsid w:val="50F54408"/>
    <w:rsid w:val="51DB4B86"/>
    <w:rsid w:val="55333C3E"/>
    <w:rsid w:val="56EF7589"/>
    <w:rsid w:val="57A94E10"/>
    <w:rsid w:val="58F5EFA9"/>
    <w:rsid w:val="63A92EAE"/>
    <w:rsid w:val="64CA39A1"/>
    <w:rsid w:val="69630ADE"/>
    <w:rsid w:val="6AFE0C7A"/>
    <w:rsid w:val="6C4A05C8"/>
    <w:rsid w:val="6D3B1A89"/>
    <w:rsid w:val="6D9F0391"/>
    <w:rsid w:val="6DEFCE6E"/>
    <w:rsid w:val="6EFE41C8"/>
    <w:rsid w:val="6F9FD0A6"/>
    <w:rsid w:val="6FDA95D0"/>
    <w:rsid w:val="71BF4EC2"/>
    <w:rsid w:val="72734D90"/>
    <w:rsid w:val="7412278C"/>
    <w:rsid w:val="7477BCA2"/>
    <w:rsid w:val="76F39EE9"/>
    <w:rsid w:val="7904082E"/>
    <w:rsid w:val="79E7B28D"/>
    <w:rsid w:val="7B0FCEAB"/>
    <w:rsid w:val="7D3ED039"/>
    <w:rsid w:val="7DF576D5"/>
    <w:rsid w:val="7E7ED8C2"/>
    <w:rsid w:val="7EBD5593"/>
    <w:rsid w:val="7F5FB055"/>
    <w:rsid w:val="7F9F20EE"/>
    <w:rsid w:val="7FDF009A"/>
    <w:rsid w:val="7FE5006F"/>
    <w:rsid w:val="7FFF7DCF"/>
    <w:rsid w:val="9E3A10E2"/>
    <w:rsid w:val="9EAF9ED9"/>
    <w:rsid w:val="9F7F7090"/>
    <w:rsid w:val="AFF7A6A5"/>
    <w:rsid w:val="AFFF2C2B"/>
    <w:rsid w:val="B7546EEB"/>
    <w:rsid w:val="BCAD1211"/>
    <w:rsid w:val="BDDB2481"/>
    <w:rsid w:val="BFF601D8"/>
    <w:rsid w:val="BFFBA393"/>
    <w:rsid w:val="BFFDF3B7"/>
    <w:rsid w:val="CFFCB65D"/>
    <w:rsid w:val="D3FBEA1E"/>
    <w:rsid w:val="D7BF5D88"/>
    <w:rsid w:val="DB3FAAD8"/>
    <w:rsid w:val="DEFF09D9"/>
    <w:rsid w:val="DF7B5D84"/>
    <w:rsid w:val="DFBBFDAE"/>
    <w:rsid w:val="DFCF5AFB"/>
    <w:rsid w:val="E374F5F1"/>
    <w:rsid w:val="E5EB03FE"/>
    <w:rsid w:val="E75A34AE"/>
    <w:rsid w:val="E7E7ECD5"/>
    <w:rsid w:val="E8B9053E"/>
    <w:rsid w:val="EDBF9EB3"/>
    <w:rsid w:val="EF7BB11F"/>
    <w:rsid w:val="EFB79C1C"/>
    <w:rsid w:val="EFDC66D2"/>
    <w:rsid w:val="F1BBA5FA"/>
    <w:rsid w:val="F2E1F9D4"/>
    <w:rsid w:val="F3B9723C"/>
    <w:rsid w:val="F3BAA3F8"/>
    <w:rsid w:val="F51721EB"/>
    <w:rsid w:val="F5FF7C9E"/>
    <w:rsid w:val="F67653D6"/>
    <w:rsid w:val="F77E710F"/>
    <w:rsid w:val="F7880819"/>
    <w:rsid w:val="FAF5EBC9"/>
    <w:rsid w:val="FB2DFF5A"/>
    <w:rsid w:val="FC4FC628"/>
    <w:rsid w:val="FDDE04CE"/>
    <w:rsid w:val="FDFDE3A1"/>
    <w:rsid w:val="FDFF9370"/>
    <w:rsid w:val="FFBF0E7B"/>
    <w:rsid w:val="FFD9F853"/>
    <w:rsid w:val="FFDD0C9C"/>
    <w:rsid w:val="FFE45F6C"/>
    <w:rsid w:val="FFF9BE89"/>
    <w:rsid w:val="FFFABFA6"/>
    <w:rsid w:val="FFFD0766"/>
    <w:rsid w:val="FFFFDFF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2"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2"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2"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2"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2"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2022年度收、支</c:v>
                </c:pt>
                <c:pt idx="1">
                  <c:v>2021年度收、支</c:v>
                </c:pt>
              </c:strCache>
            </c:strRef>
          </c:cat>
          <c:val>
            <c:numRef>
              <c:f>[工作簿2]Sheet1!$B$1:$B$2</c:f>
              <c:numCache>
                <c:formatCode>General</c:formatCode>
                <c:ptCount val="2"/>
                <c:pt idx="0">
                  <c:v>626.29</c:v>
                </c:pt>
                <c:pt idx="1">
                  <c:v>546.27</c:v>
                </c:pt>
              </c:numCache>
            </c:numRef>
          </c:val>
        </c:ser>
        <c:dLbls>
          <c:showLegendKey val="false"/>
          <c:showVal val="true"/>
          <c:showCatName val="false"/>
          <c:showSerName val="false"/>
          <c:showPercent val="false"/>
          <c:showBubbleSize val="false"/>
        </c:dLbls>
        <c:gapWidth val="219"/>
        <c:overlap val="-27"/>
        <c:axId val="966212287"/>
        <c:axId val="16877989"/>
      </c:barChart>
      <c:catAx>
        <c:axId val="966212287"/>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877989"/>
        <c:crosses val="autoZero"/>
        <c:auto val="true"/>
        <c:lblAlgn val="ctr"/>
        <c:lblOffset val="100"/>
        <c:noMultiLvlLbl val="false"/>
      </c:catAx>
      <c:valAx>
        <c:axId val="1687798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66212287"/>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99.99</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0.01</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一般公共预算财政拨款收入</c:v>
                </c:pt>
                <c:pt idx="1">
                  <c:v>其他收入</c:v>
                </c:pt>
              </c:strCache>
            </c:strRef>
          </c:cat>
          <c:val>
            <c:numRef>
              <c:f>[工作簿2]Sheet1!$B$1:$B$2</c:f>
              <c:numCache>
                <c:formatCode>General</c:formatCode>
                <c:ptCount val="2"/>
                <c:pt idx="0">
                  <c:v>543.35</c:v>
                </c:pt>
                <c:pt idx="1">
                  <c:v>0.03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0485411805010781"/>
                  <c:y val="0.0578310115827916"/>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19.42</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1"/>
              <c:layout>
                <c:manualLayout>
                  <c:x val="0.128640556073522"/>
                  <c:y val="-0.12406816755346"/>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80.58</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基本支出</c:v>
                </c:pt>
                <c:pt idx="1">
                  <c:v>项目支出</c:v>
                </c:pt>
              </c:strCache>
            </c:strRef>
          </c:cat>
          <c:val>
            <c:numRef>
              <c:f>[工作簿2]Sheet1!$B$1:$B$2</c:f>
              <c:numCache>
                <c:formatCode>General</c:formatCode>
                <c:ptCount val="2"/>
                <c:pt idx="0">
                  <c:v>117.16</c:v>
                </c:pt>
                <c:pt idx="1">
                  <c:v>486.11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2022年财政拨款收、支总计</c:v>
                </c:pt>
                <c:pt idx="1">
                  <c:v>2021年财政拨款收、支总计</c:v>
                </c:pt>
              </c:strCache>
            </c:strRef>
          </c:cat>
          <c:val>
            <c:numRef>
              <c:f>[工作簿2]Sheet1!$B$1:$B$2</c:f>
              <c:numCache>
                <c:formatCode>General</c:formatCode>
                <c:ptCount val="2"/>
                <c:pt idx="0">
                  <c:v>605.83</c:v>
                </c:pt>
                <c:pt idx="1">
                  <c:v>525.8</c:v>
                </c:pt>
              </c:numCache>
            </c:numRef>
          </c:val>
        </c:ser>
        <c:dLbls>
          <c:showLegendKey val="false"/>
          <c:showVal val="true"/>
          <c:showCatName val="false"/>
          <c:showSerName val="false"/>
          <c:showPercent val="false"/>
          <c:showBubbleSize val="false"/>
        </c:dLbls>
        <c:gapWidth val="219"/>
        <c:overlap val="-27"/>
        <c:axId val="909735108"/>
        <c:axId val="385170220"/>
      </c:barChart>
      <c:catAx>
        <c:axId val="90973510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85170220"/>
        <c:crosses val="autoZero"/>
        <c:auto val="true"/>
        <c:lblAlgn val="ctr"/>
        <c:lblOffset val="100"/>
        <c:noMultiLvlLbl val="false"/>
      </c:catAx>
      <c:valAx>
        <c:axId val="38517022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09735108"/>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manualLayout>
          <c:xMode val="edge"/>
          <c:yMode val="edge"/>
          <c:x val="0.168611111111111"/>
          <c:y val="0.01388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delete val="true"/>
          </c:dLbls>
          <c:cat>
            <c:strRef>
              <c:f>[工作簿2]Sheet1!$A$1:$A$2</c:f>
              <c:strCache>
                <c:ptCount val="2"/>
                <c:pt idx="0">
                  <c:v>2022年一般公共预算财政拨款支出</c:v>
                </c:pt>
                <c:pt idx="1">
                  <c:v>2021年一般公共预算财政拨款支出</c:v>
                </c:pt>
              </c:strCache>
            </c:strRef>
          </c:cat>
          <c:val>
            <c:numRef>
              <c:f>[工作簿2]Sheet1!$B$1:$B$2</c:f>
              <c:numCache>
                <c:formatCode>General</c:formatCode>
                <c:ptCount val="2"/>
                <c:pt idx="0">
                  <c:v>601.92</c:v>
                </c:pt>
                <c:pt idx="1">
                  <c:v>313.86</c:v>
                </c:pt>
              </c:numCache>
            </c:numRef>
          </c:val>
        </c:ser>
        <c:dLbls>
          <c:showLegendKey val="false"/>
          <c:showVal val="false"/>
          <c:showCatName val="false"/>
          <c:showSerName val="false"/>
          <c:showPercent val="false"/>
          <c:showBubbleSize val="false"/>
        </c:dLbls>
        <c:gapWidth val="219"/>
        <c:overlap val="-27"/>
        <c:axId val="317672429"/>
        <c:axId val="326004354"/>
      </c:barChart>
      <c:catAx>
        <c:axId val="31767242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26004354"/>
        <c:crosses val="autoZero"/>
        <c:auto val="true"/>
        <c:lblAlgn val="ctr"/>
        <c:lblOffset val="100"/>
        <c:noMultiLvlLbl val="false"/>
      </c:catAx>
      <c:valAx>
        <c:axId val="32600435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17672429"/>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sz="1200"/>
              <a:t>一般公共预算财政拨款支出决算结构</a:t>
            </a:r>
            <a:endParaRPr sz="1200"/>
          </a:p>
        </c:rich>
      </c:tx>
      <c:layout>
        <c:manualLayout>
          <c:xMode val="edge"/>
          <c:yMode val="edge"/>
          <c:x val="0.134935096498229"/>
          <c:y val="0.00984251968503937"/>
        </c:manualLayout>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9</a:t>
                    </a:r>
                    <a:r>
                      <a:rPr lang="en-US" altLang="zh-CN"/>
                      <a:t>6.63</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extLst>
            </c:dLbl>
            <c:dLbl>
              <c:idx val="1"/>
              <c:layout>
                <c:manualLayout>
                  <c:x val="-0.137177650820641"/>
                  <c:y val="-0.033319945627462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 1</a:t>
                    </a:r>
                    <a:r>
                      <a:rPr lang="en-US" altLang="zh-CN"/>
                      <a:t>.21</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2"/>
              <c:layout>
                <c:manualLayout>
                  <c:x val="0.13844051387012"/>
                  <c:y val="-0.039762489877834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0.72</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3"/>
              <c:layout>
                <c:manualLayout>
                  <c:x val="0.174577617684884"/>
                  <c:y val="0.0292152427779546"/>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1.44</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[工作簿1]Sheet1!$A$3:$A$6</c:f>
              <c:strCache>
                <c:ptCount val="4"/>
                <c:pt idx="0">
                  <c:v>一般公共服务支出</c:v>
                </c:pt>
                <c:pt idx="1">
                  <c:v>社会保障和就业支出</c:v>
                </c:pt>
                <c:pt idx="2">
                  <c:v>卫生健康支出</c:v>
                </c:pt>
                <c:pt idx="3">
                  <c:v>住房保障支出</c:v>
                </c:pt>
              </c:strCache>
            </c:strRef>
          </c:cat>
          <c:val>
            <c:numRef>
              <c:f>[工作簿1]Sheet1!$B$3:$B$6</c:f>
              <c:numCache>
                <c:formatCode>General</c:formatCode>
                <c:ptCount val="4"/>
                <c:pt idx="0">
                  <c:v>581.65</c:v>
                </c:pt>
                <c:pt idx="1">
                  <c:v>7.31</c:v>
                </c:pt>
                <c:pt idx="2">
                  <c:v>4.31</c:v>
                </c:pt>
                <c:pt idx="3">
                  <c:v>8.65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“三公”经费财政拨款支出结构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layout>
                <c:manualLayout>
                  <c:x val="0.0895833333333333"/>
                  <c:y val="-0.0104166666666667"/>
                </c:manualLayout>
              </c:layout>
              <c:dLblPos val="bestFit"/>
              <c:showLegendKey val="tru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979166666666667"/>
                  <c:y val="0.00694444444444444"/>
                </c:manualLayout>
              </c:layout>
              <c:dLblPos val="bestFit"/>
              <c:showLegendKey val="tru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[工作簿1]Sheet1!$A$3:$A$5</c:f>
              <c:strCache>
                <c:ptCount val="3"/>
                <c:pt idx="0">
                  <c:v>因公出国（境）费支出</c:v>
                </c:pt>
                <c:pt idx="1">
                  <c:v>公务用车购置及运行维护费支出</c:v>
                </c:pt>
                <c:pt idx="2">
                  <c:v>公务接待费支出</c:v>
                </c:pt>
              </c:strCache>
            </c:strRef>
          </c:cat>
          <c:val>
            <c:numRef>
              <c:f>[工作簿1]Sheet1!$B$3:$B$5</c:f>
              <c:numCache>
                <c:formatCode>General</c:formatCode>
                <c:ptCount val="3"/>
                <c:pt idx="0">
                  <c:v>0</c:v>
                </c:pt>
                <c:pt idx="1">
                  <c:v>5.88</c:v>
                </c:pt>
                <c:pt idx="2">
                  <c:v>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3</TotalTime>
  <ScaleCrop>false</ScaleCrop>
  <LinksUpToDate>false</LinksUpToDate>
  <CharactersWithSpaces>8692</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2020-08-07T09:49:00Z</dcterms:created>
  <dc:creator>曹颖</dc:creator>
  <cp:lastModifiedBy> </cp:lastModifiedBy>
  <cp:lastPrinted>2023-08-02T10:35:00Z</cp:lastPrinted>
  <dcterms:modified xsi:type="dcterms:W3CDTF">2024-09-19T15:45:42Z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6B70361D626A4593B4A9C4A901EC4F63</vt:lpwstr>
  </property>
</Properties>
</file>