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600" w:lineRule="exact"/>
        <w:jc w:val="center"/>
        <w:outlineLvl w:val="9"/>
        <w:rPr>
          <w:rFonts w:hint="default" w:ascii="方正小标宋简体" w:hAnsi="宋体" w:eastAsia="方正小标宋简体"/>
          <w:color w:val="auto"/>
          <w:sz w:val="72"/>
          <w:szCs w:val="72"/>
          <w:highlight w:val="none"/>
          <w:lang w:val="en-US" w:eastAsia="zh-CN"/>
        </w:rPr>
      </w:pPr>
      <w:bookmarkStart w:id="0" w:name="_Toc15378441"/>
      <w:bookmarkStart w:id="1" w:name="_Toc15396475"/>
      <w:bookmarkStart w:id="2" w:name="_Toc15377425"/>
      <w:bookmarkStart w:id="3" w:name="_Toc15396597"/>
      <w:bookmarkStart w:id="4" w:name="_Toc15377193"/>
      <w:bookmarkStart w:id="5" w:name="_Toc15306267"/>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spacing w:line="600" w:lineRule="exact"/>
        <w:jc w:val="center"/>
        <w:outlineLvl w:val="9"/>
        <w:rPr>
          <w:rFonts w:ascii="方正小标宋简体" w:hAnsi="宋体" w:eastAsia="方正小标宋简体"/>
          <w:color w:val="auto"/>
          <w:sz w:val="72"/>
          <w:szCs w:val="72"/>
          <w:highlight w:val="none"/>
        </w:rPr>
      </w:pPr>
    </w:p>
    <w:p>
      <w:pPr>
        <w:shd w:val="clear"/>
        <w:adjustRightInd w:val="0"/>
        <w:snapToGrid w:val="0"/>
        <w:spacing w:line="360" w:lineRule="auto"/>
        <w:jc w:val="center"/>
        <w:outlineLvl w:val="9"/>
        <w:rPr>
          <w:rFonts w:hint="eastAsia" w:ascii="方正小标宋简体" w:hAnsi="方正小标宋简体" w:eastAsia="方正小标宋简体" w:cs="方正小标宋简体"/>
          <w:color w:val="auto"/>
          <w:sz w:val="72"/>
          <w:szCs w:val="72"/>
          <w:highlight w:val="none"/>
        </w:rPr>
      </w:pPr>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2722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23</w:t>
      </w:r>
      <w:r>
        <w:rPr>
          <w:rFonts w:hint="eastAsia" w:ascii="方正小标宋简体" w:hAnsi="方正小标宋简体" w:eastAsia="方正小标宋简体" w:cs="方正小标宋简体"/>
          <w:color w:val="auto"/>
          <w:sz w:val="72"/>
          <w:szCs w:val="72"/>
          <w:highlight w:val="none"/>
        </w:rPr>
        <w:t>年度</w:t>
      </w:r>
      <w:bookmarkEnd w:id="0"/>
      <w:bookmarkEnd w:id="1"/>
      <w:bookmarkEnd w:id="2"/>
      <w:bookmarkEnd w:id="3"/>
      <w:bookmarkEnd w:id="4"/>
      <w:bookmarkEnd w:id="6"/>
    </w:p>
    <w:p>
      <w:pPr>
        <w:shd w:val="clea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96476"/>
      <w:bookmarkStart w:id="8" w:name="_Toc1088"/>
      <w:bookmarkStart w:id="9" w:name="_Toc15396598"/>
      <w:bookmarkStart w:id="10" w:name="_Toc15377426"/>
      <w:bookmarkStart w:id="11" w:name="_Toc15377194"/>
      <w:bookmarkStart w:id="12" w:name="_Toc15378442"/>
      <w:r>
        <w:rPr>
          <w:rFonts w:hint="eastAsia" w:ascii="方正小标宋简体" w:hAnsi="方正小标宋简体" w:eastAsia="方正小标宋简体" w:cs="方正小标宋简体"/>
          <w:color w:val="auto"/>
          <w:sz w:val="72"/>
          <w:szCs w:val="72"/>
          <w:highlight w:val="none"/>
          <w:lang w:val="en-US" w:eastAsia="zh-CN"/>
        </w:rPr>
        <w:t>广元市</w:t>
      </w:r>
      <w:bookmarkEnd w:id="5"/>
      <w:bookmarkStart w:id="13" w:name="_Toc15306268"/>
      <w:r>
        <w:rPr>
          <w:rFonts w:hint="eastAsia" w:ascii="方正小标宋简体" w:hAnsi="方正小标宋简体" w:eastAsia="方正小标宋简体" w:cs="方正小标宋简体"/>
          <w:color w:val="auto"/>
          <w:sz w:val="72"/>
          <w:szCs w:val="72"/>
          <w:highlight w:val="none"/>
          <w:lang w:eastAsia="zh-CN"/>
        </w:rPr>
        <w:t>水利局</w:t>
      </w:r>
      <w:r>
        <w:rPr>
          <w:rFonts w:hint="eastAsia" w:ascii="方正小标宋简体" w:hAnsi="方正小标宋简体" w:eastAsia="方正小标宋简体" w:cs="方正小标宋简体"/>
          <w:color w:val="auto"/>
          <w:sz w:val="72"/>
          <w:szCs w:val="72"/>
          <w:highlight w:val="none"/>
        </w:rPr>
        <w:t>部门决算</w:t>
      </w:r>
      <w:bookmarkEnd w:id="7"/>
      <w:bookmarkEnd w:id="8"/>
      <w:bookmarkEnd w:id="9"/>
      <w:bookmarkEnd w:id="10"/>
      <w:bookmarkEnd w:id="11"/>
      <w:bookmarkEnd w:id="12"/>
      <w:bookmarkEnd w:id="13"/>
    </w:p>
    <w:p>
      <w:pPr>
        <w:widowControl/>
        <w:shd w:val="clear"/>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2"/>
        <w:keepNext w:val="0"/>
        <w:keepLines w:val="0"/>
        <w:pageBreakBefore w:val="0"/>
        <w:shd w:val="clear"/>
        <w:kinsoku/>
        <w:wordWrap/>
        <w:overflowPunct/>
        <w:topLinePunct w:val="0"/>
        <w:autoSpaceDE/>
        <w:autoSpaceDN/>
        <w:bidi w:val="0"/>
        <w:spacing w:before="0" w:line="576" w:lineRule="exact"/>
        <w:ind w:left="0" w:leftChars="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公开时间：20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日</w:t>
      </w:r>
    </w:p>
    <w:sdt>
      <w:sdtPr>
        <w:rPr>
          <w:rFonts w:ascii="宋体" w:hAnsi="宋体" w:eastAsia="宋体" w:cs="Times New Roman"/>
          <w:color w:val="auto"/>
          <w:kern w:val="2"/>
          <w:sz w:val="21"/>
          <w:szCs w:val="24"/>
          <w:highlight w:val="none"/>
          <w:lang w:val="en-US" w:eastAsia="zh-CN" w:bidi="ar-SA"/>
        </w:rPr>
        <w:id w:val="147458281"/>
        <w15:color w:val="DBDBDB"/>
        <w:docPartObj>
          <w:docPartGallery w:val="Table of Contents"/>
          <w:docPartUnique/>
        </w:docPartObj>
      </w:sdtPr>
      <w:sdtEndPr>
        <w:rPr>
          <w:rFonts w:hint="eastAsia" w:ascii="仿宋_GB2312" w:hAnsi="仿宋_GB2312" w:eastAsia="仿宋_GB2312" w:cs="仿宋_GB2312"/>
          <w:b/>
          <w:color w:val="auto"/>
          <w:kern w:val="2"/>
          <w:sz w:val="21"/>
          <w:szCs w:val="32"/>
          <w:highlight w:val="none"/>
          <w:lang w:val="en-US" w:eastAsia="zh-CN" w:bidi="ar-SA"/>
        </w:rPr>
      </w:sdtEndPr>
      <w:sdtContent>
        <w:p>
          <w:pPr>
            <w:shd w:val="clear"/>
            <w:spacing w:before="0" w:beforeLines="0" w:after="0" w:afterLines="0" w:line="240" w:lineRule="auto"/>
            <w:ind w:left="0" w:leftChars="0" w:right="0" w:rightChars="0" w:firstLine="0" w:firstLineChars="0"/>
            <w:jc w:val="center"/>
            <w:rPr>
              <w:color w:val="auto"/>
              <w:highlight w:val="none"/>
            </w:rPr>
          </w:pPr>
          <w:bookmarkStart w:id="97" w:name="_GoBack"/>
          <w:bookmarkEnd w:id="97"/>
        </w:p>
        <w:p>
          <w:pPr>
            <w:pStyle w:val="12"/>
            <w:tabs>
              <w:tab w:val="right" w:leader="dot" w:pos="8732"/>
              <w:tab w:val="clear" w:pos="8296"/>
            </w:tabs>
            <w:spacing w:line="360" w:lineRule="auto"/>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"1-2"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_Toc16785 </w:instrText>
          </w:r>
          <w:r>
            <w:rPr>
              <w:rFonts w:hint="eastAsia" w:ascii="仿宋_GB2312" w:hAnsi="仿宋_GB2312" w:eastAsia="仿宋_GB2312" w:cs="仿宋_GB2312"/>
              <w:szCs w:val="32"/>
              <w:highlight w:val="none"/>
            </w:rPr>
            <w:fldChar w:fldCharType="separate"/>
          </w:r>
          <w:r>
            <w:rPr>
              <w:rFonts w:hint="eastAsia" w:ascii="黑体" w:hAnsi="黑体" w:eastAsia="黑体"/>
              <w:highlight w:val="none"/>
            </w:rPr>
            <w:t xml:space="preserve">第一部分 </w:t>
          </w:r>
          <w:r>
            <w:rPr>
              <w:rFonts w:hint="eastAsia" w:ascii="黑体" w:hAnsi="黑体" w:eastAsia="黑体"/>
              <w:bCs w:val="0"/>
              <w:highlight w:val="none"/>
            </w:rPr>
            <w:t>部门概况</w:t>
          </w:r>
          <w:r>
            <w:tab/>
          </w:r>
          <w:r>
            <w:fldChar w:fldCharType="begin"/>
          </w:r>
          <w:r>
            <w:instrText xml:space="preserve"> PAGEREF _Toc16785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_Toc28111 </w:instrText>
          </w:r>
          <w:r>
            <w:rPr>
              <w:rFonts w:hint="eastAsia" w:ascii="仿宋_GB2312" w:hAnsi="仿宋_GB2312" w:eastAsia="仿宋_GB2312" w:cs="仿宋_GB2312"/>
              <w:szCs w:val="32"/>
              <w:highlight w:val="none"/>
            </w:rPr>
            <w:fldChar w:fldCharType="separate"/>
          </w:r>
          <w:r>
            <w:rPr>
              <w:rFonts w:hint="eastAsia" w:ascii="黑体" w:hAnsi="黑体" w:eastAsia="黑体"/>
              <w:highlight w:val="none"/>
              <w:lang w:eastAsia="zh-CN"/>
            </w:rPr>
            <w:t>一、部门职责</w:t>
          </w:r>
          <w:r>
            <w:tab/>
          </w:r>
          <w:r>
            <w:fldChar w:fldCharType="begin"/>
          </w:r>
          <w:r>
            <w:instrText xml:space="preserve"> PAGEREF _Toc28111 \h </w:instrText>
          </w:r>
          <w:r>
            <w:fldChar w:fldCharType="separate"/>
          </w:r>
          <w:r>
            <w:t>1</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732"/>
              <w:tab w:val="clear" w:pos="8296"/>
            </w:tabs>
            <w:spacing w:line="360" w:lineRule="auto"/>
          </w:pPr>
          <w:r>
            <w:rPr>
              <w:rFonts w:hint="eastAsia" w:ascii="仿宋_GB2312" w:hAnsi="仿宋_GB2312" w:eastAsia="仿宋_GB2312" w:cs="仿宋_GB2312"/>
              <w:color w:val="auto"/>
              <w:szCs w:val="32"/>
              <w:highlight w:val="none"/>
              <w:lang w:val="en-US" w:eastAsia="zh-CN"/>
            </w:rPr>
            <w:t xml:space="preserve"> </w:t>
          </w:r>
          <w:r>
            <w:rPr>
              <w:rFonts w:hint="eastAsia" w:ascii="黑体" w:hAnsi="黑体" w:eastAsia="黑体" w:cs="Times New Roman"/>
              <w:kern w:val="2"/>
              <w:sz w:val="21"/>
              <w:szCs w:val="24"/>
              <w:highlight w:val="none"/>
              <w:lang w:val="en-US" w:eastAsia="zh-CN" w:bidi="ar-SA"/>
            </w:rPr>
            <w:t xml:space="preserve">  </w:t>
          </w:r>
          <w:r>
            <w:rPr>
              <w:rFonts w:hint="eastAsia" w:ascii="黑体" w:hAnsi="黑体" w:eastAsia="黑体" w:cs="Times New Roman"/>
              <w:kern w:val="2"/>
              <w:sz w:val="21"/>
              <w:szCs w:val="24"/>
              <w:highlight w:val="none"/>
              <w:lang w:val="en-US" w:eastAsia="zh-CN" w:bidi="ar-SA"/>
            </w:rPr>
            <w:fldChar w:fldCharType="begin"/>
          </w:r>
          <w:r>
            <w:rPr>
              <w:rFonts w:hint="eastAsia" w:ascii="黑体" w:hAnsi="黑体" w:eastAsia="黑体" w:cs="Times New Roman"/>
              <w:kern w:val="2"/>
              <w:sz w:val="21"/>
              <w:szCs w:val="24"/>
              <w:highlight w:val="none"/>
              <w:lang w:val="en-US" w:eastAsia="zh-CN" w:bidi="ar-SA"/>
            </w:rPr>
            <w:instrText xml:space="preserve"> HYPERLINK \l _Toc4773 </w:instrText>
          </w:r>
          <w:r>
            <w:rPr>
              <w:rFonts w:hint="eastAsia" w:ascii="黑体" w:hAnsi="黑体" w:eastAsia="黑体" w:cs="Times New Roman"/>
              <w:kern w:val="2"/>
              <w:sz w:val="21"/>
              <w:szCs w:val="24"/>
              <w:highlight w:val="none"/>
              <w:lang w:val="en-US" w:eastAsia="zh-CN" w:bidi="ar-SA"/>
            </w:rPr>
            <w:fldChar w:fldCharType="separate"/>
          </w:r>
          <w:r>
            <w:rPr>
              <w:rFonts w:hint="eastAsia" w:ascii="黑体" w:hAnsi="黑体" w:eastAsia="黑体" w:cs="Times New Roman"/>
              <w:kern w:val="2"/>
              <w:sz w:val="21"/>
              <w:szCs w:val="24"/>
              <w:highlight w:val="none"/>
              <w:lang w:val="en-US" w:eastAsia="zh-CN" w:bidi="ar-SA"/>
            </w:rPr>
            <w:t>二、机构设置</w:t>
          </w:r>
          <w:r>
            <w:rPr>
              <w:rFonts w:hint="eastAsia" w:ascii="黑体" w:hAnsi="黑体" w:eastAsia="黑体" w:cs="Times New Roman"/>
              <w:kern w:val="2"/>
              <w:sz w:val="21"/>
              <w:szCs w:val="24"/>
              <w:highlight w:val="none"/>
              <w:lang w:val="en-US" w:eastAsia="zh-CN" w:bidi="ar-SA"/>
            </w:rPr>
            <w:tab/>
          </w:r>
          <w:r>
            <w:rPr>
              <w:rFonts w:hint="eastAsia" w:ascii="黑体" w:hAnsi="黑体" w:eastAsia="黑体" w:cs="Times New Roman"/>
              <w:kern w:val="2"/>
              <w:sz w:val="21"/>
              <w:szCs w:val="24"/>
              <w:highlight w:val="none"/>
              <w:lang w:val="en-US" w:eastAsia="zh-CN" w:bidi="ar-SA"/>
            </w:rPr>
            <w:fldChar w:fldCharType="begin"/>
          </w:r>
          <w:r>
            <w:rPr>
              <w:rFonts w:hint="eastAsia" w:ascii="黑体" w:hAnsi="黑体" w:eastAsia="黑体" w:cs="Times New Roman"/>
              <w:kern w:val="2"/>
              <w:sz w:val="21"/>
              <w:szCs w:val="24"/>
              <w:highlight w:val="none"/>
              <w:lang w:val="en-US" w:eastAsia="zh-CN" w:bidi="ar-SA"/>
            </w:rPr>
            <w:instrText xml:space="preserve"> PAGEREF _Toc4773 \h </w:instrText>
          </w:r>
          <w:r>
            <w:rPr>
              <w:rFonts w:hint="eastAsia" w:ascii="黑体" w:hAnsi="黑体" w:eastAsia="黑体" w:cs="Times New Roman"/>
              <w:kern w:val="2"/>
              <w:sz w:val="21"/>
              <w:szCs w:val="24"/>
              <w:highlight w:val="none"/>
              <w:lang w:val="en-US" w:eastAsia="zh-CN" w:bidi="ar-SA"/>
            </w:rPr>
            <w:fldChar w:fldCharType="separate"/>
          </w:r>
          <w:r>
            <w:rPr>
              <w:rFonts w:hint="eastAsia" w:ascii="黑体" w:hAnsi="黑体" w:eastAsia="黑体" w:cs="Times New Roman"/>
              <w:kern w:val="2"/>
              <w:sz w:val="21"/>
              <w:szCs w:val="24"/>
              <w:highlight w:val="none"/>
              <w:lang w:val="en-US" w:eastAsia="zh-CN" w:bidi="ar-SA"/>
            </w:rPr>
            <w:t>3</w:t>
          </w:r>
          <w:r>
            <w:rPr>
              <w:rFonts w:hint="eastAsia" w:ascii="黑体" w:hAnsi="黑体" w:eastAsia="黑体" w:cs="Times New Roman"/>
              <w:kern w:val="2"/>
              <w:sz w:val="21"/>
              <w:szCs w:val="24"/>
              <w:highlight w:val="none"/>
              <w:lang w:val="en-US" w:eastAsia="zh-CN" w:bidi="ar-SA"/>
            </w:rPr>
            <w:fldChar w:fldCharType="end"/>
          </w:r>
          <w:r>
            <w:rPr>
              <w:rFonts w:hint="eastAsia" w:ascii="黑体" w:hAnsi="黑体" w:eastAsia="黑体" w:cs="Times New Roman"/>
              <w:kern w:val="2"/>
              <w:sz w:val="21"/>
              <w:szCs w:val="24"/>
              <w:highlight w:val="none"/>
              <w:lang w:val="en-US" w:eastAsia="zh-CN" w:bidi="ar-SA"/>
            </w:rPr>
            <w:fldChar w:fldCharType="end"/>
          </w:r>
        </w:p>
        <w:p>
          <w:pPr>
            <w:pStyle w:val="12"/>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_Toc27689 </w:instrText>
          </w:r>
          <w:r>
            <w:rPr>
              <w:rFonts w:hint="eastAsia" w:ascii="仿宋_GB2312" w:hAnsi="仿宋_GB2312" w:eastAsia="仿宋_GB2312" w:cs="仿宋_GB2312"/>
              <w:szCs w:val="32"/>
              <w:highlight w:val="none"/>
            </w:rP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rPr>
            <w:t>部门决算情况说明</w:t>
          </w:r>
          <w:r>
            <w:tab/>
          </w:r>
          <w:r>
            <w:fldChar w:fldCharType="begin"/>
          </w:r>
          <w:r>
            <w:instrText xml:space="preserve"> PAGEREF _Toc27689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_Toc9211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_Toc9211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_Toc729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_Toc729 \h </w:instrText>
          </w:r>
          <w:r>
            <w:fldChar w:fldCharType="separate"/>
          </w:r>
          <w:r>
            <w:t>4</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_Toc11670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_Toc11670 \h </w:instrText>
          </w:r>
          <w:r>
            <w:fldChar w:fldCharType="separate"/>
          </w:r>
          <w:r>
            <w:t>5</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_Toc26457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_Toc26457 \h </w:instrText>
          </w:r>
          <w:r>
            <w:fldChar w:fldCharType="separate"/>
          </w:r>
          <w:r>
            <w:t>5</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_Toc2003 </w:instrText>
          </w:r>
          <w:r>
            <w:rPr>
              <w:rFonts w:hint="eastAsia" w:ascii="仿宋_GB2312" w:hAnsi="仿宋_GB2312" w:eastAsia="仿宋_GB2312" w:cs="仿宋_GB2312"/>
              <w:szCs w:val="32"/>
              <w:highlight w:val="none"/>
            </w:rPr>
            <w:fldChar w:fldCharType="separate"/>
          </w:r>
          <w:r>
            <w:rPr>
              <w:rFonts w:hint="eastAsia" w:ascii="黑体" w:hAnsi="黑体" w:eastAsia="黑体"/>
              <w:szCs w:val="32"/>
              <w:highlight w:val="none"/>
            </w:rPr>
            <w:t>五、</w:t>
          </w:r>
          <w:r>
            <w:rPr>
              <w:rFonts w:hint="eastAsia" w:ascii="黑体" w:hAnsi="黑体" w:eastAsia="黑体"/>
              <w:highlight w:val="none"/>
            </w:rPr>
            <w:t>一般公共预算财政拨款支出决算情况说明</w:t>
          </w:r>
          <w:r>
            <w:tab/>
          </w:r>
          <w:r>
            <w:fldChar w:fldCharType="begin"/>
          </w:r>
          <w:r>
            <w:instrText xml:space="preserve"> PAGEREF _Toc2003 \h </w:instrText>
          </w:r>
          <w:r>
            <w:fldChar w:fldCharType="separate"/>
          </w:r>
          <w:r>
            <w:t>6</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_Toc3067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_Toc3067 \h </w:instrText>
          </w:r>
          <w:r>
            <w:fldChar w:fldCharType="separate"/>
          </w:r>
          <w:r>
            <w:t>10</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_Toc16621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七、</w:t>
          </w:r>
          <w:r>
            <w:rPr>
              <w:rFonts w:hint="eastAsia" w:ascii="黑体" w:eastAsia="黑体"/>
              <w:szCs w:val="32"/>
              <w:highlight w:val="none"/>
              <w:lang w:eastAsia="zh-CN"/>
            </w:rPr>
            <w:t>财政拨款</w:t>
          </w:r>
          <w:r>
            <w:rPr>
              <w:rFonts w:hint="eastAsia" w:ascii="黑体" w:hAnsi="黑体" w:eastAsia="黑体"/>
              <w:highlight w:val="none"/>
            </w:rPr>
            <w:t>“三公”经费支出决算情况说明</w:t>
          </w:r>
          <w:r>
            <w:tab/>
          </w:r>
          <w:r>
            <w:fldChar w:fldCharType="begin"/>
          </w:r>
          <w:r>
            <w:instrText xml:space="preserve"> PAGEREF _Toc16621 \h </w:instrText>
          </w:r>
          <w:r>
            <w:fldChar w:fldCharType="separate"/>
          </w:r>
          <w:r>
            <w:t>10</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_Toc18246 </w:instrText>
          </w:r>
          <w:r>
            <w:rPr>
              <w:rFonts w:hint="eastAsia" w:ascii="仿宋_GB2312" w:hAnsi="仿宋_GB2312" w:eastAsia="仿宋_GB2312" w:cs="仿宋_GB2312"/>
              <w:szCs w:val="32"/>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_Toc18246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_Toc18530 </w:instrText>
          </w:r>
          <w:r>
            <w:rPr>
              <w:rFonts w:hint="eastAsia" w:ascii="仿宋_GB2312" w:hAnsi="仿宋_GB2312" w:eastAsia="仿宋_GB2312" w:cs="仿宋_GB2312"/>
              <w:szCs w:val="32"/>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_Toc18530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3"/>
            <w:tabs>
              <w:tab w:val="right" w:leader="dot" w:pos="8732"/>
              <w:tab w:val="clear" w:pos="8296"/>
            </w:tabs>
            <w:spacing w:line="360" w:lineRule="auto"/>
          </w:pPr>
          <w:r>
            <w:rPr>
              <w:rFonts w:hint="eastAsia" w:ascii="仿宋_GB2312" w:hAnsi="仿宋_GB2312" w:eastAsia="仿宋_GB2312" w:cs="仿宋_GB2312"/>
              <w:color w:val="auto"/>
              <w:szCs w:val="32"/>
              <w:highlight w:val="none"/>
            </w:rPr>
            <w:fldChar w:fldCharType="begin"/>
          </w:r>
          <w:r>
            <w:rPr>
              <w:rFonts w:hint="eastAsia" w:ascii="仿宋_GB2312" w:hAnsi="仿宋_GB2312" w:eastAsia="仿宋_GB2312" w:cs="仿宋_GB2312"/>
              <w:szCs w:val="32"/>
              <w:highlight w:val="none"/>
            </w:rPr>
            <w:instrText xml:space="preserve"> HYPERLINK \l _Toc15749 </w:instrText>
          </w:r>
          <w:r>
            <w:rPr>
              <w:rFonts w:hint="eastAsia" w:ascii="仿宋_GB2312" w:hAnsi="仿宋_GB2312" w:eastAsia="仿宋_GB2312" w:cs="仿宋_GB2312"/>
              <w:szCs w:val="32"/>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_Toc15749 \h </w:instrText>
          </w:r>
          <w:r>
            <w:fldChar w:fldCharType="separate"/>
          </w:r>
          <w:r>
            <w:t>12</w:t>
          </w:r>
          <w:r>
            <w:fldChar w:fldCharType="end"/>
          </w:r>
          <w:r>
            <w:rPr>
              <w:rFonts w:hint="eastAsia" w:ascii="仿宋_GB2312" w:hAnsi="仿宋_GB2312" w:eastAsia="仿宋_GB2312" w:cs="仿宋_GB2312"/>
              <w:color w:val="auto"/>
              <w:szCs w:val="32"/>
              <w:highlight w:val="none"/>
            </w:rPr>
            <w:fldChar w:fldCharType="end"/>
          </w:r>
        </w:p>
        <w:p>
          <w:pPr>
            <w:pStyle w:val="12"/>
            <w:tabs>
              <w:tab w:val="right" w:leader="dot" w:pos="8732"/>
              <w:tab w:val="clear" w:pos="8296"/>
            </w:tabs>
            <w:spacing w:line="360" w:lineRule="auto"/>
            <w:rPr>
              <w:rFonts w:hint="eastAsia" w:ascii="黑体" w:hAnsi="黑体" w:eastAsia="黑体" w:cs="黑体"/>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_Toc5607 </w:instrText>
          </w:r>
          <w:r>
            <w:rPr>
              <w:rFonts w:hint="eastAsia" w:ascii="黑体" w:hAnsi="黑体" w:eastAsia="黑体" w:cs="黑体"/>
              <w:szCs w:val="32"/>
              <w:highlight w:val="none"/>
            </w:rPr>
            <w:fldChar w:fldCharType="separate"/>
          </w:r>
          <w:r>
            <w:rPr>
              <w:rFonts w:hint="eastAsia" w:ascii="黑体" w:hAnsi="黑体" w:eastAsia="黑体" w:cs="黑体"/>
            </w:rPr>
            <w:t xml:space="preserve">第三部分 </w:t>
          </w:r>
          <w:r>
            <w:rPr>
              <w:rFonts w:hint="eastAsia" w:ascii="黑体" w:hAnsi="黑体" w:eastAsia="黑体" w:cs="黑体"/>
              <w:szCs w:val="44"/>
              <w:highlight w:val="none"/>
            </w:rPr>
            <w:t>名</w:t>
          </w:r>
          <w:r>
            <w:rPr>
              <w:rFonts w:hint="eastAsia" w:ascii="黑体" w:hAnsi="黑体" w:eastAsia="黑体" w:cs="黑体"/>
              <w:highlight w:val="none"/>
            </w:rPr>
            <w:t>词解释</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_Toc5607 \h </w:instrText>
          </w:r>
          <w:r>
            <w:rPr>
              <w:rFonts w:hint="eastAsia" w:ascii="黑体" w:hAnsi="黑体" w:eastAsia="黑体" w:cs="黑体"/>
            </w:rPr>
            <w:fldChar w:fldCharType="separate"/>
          </w:r>
          <w:r>
            <w:rPr>
              <w:rFonts w:hint="eastAsia" w:ascii="黑体" w:hAnsi="黑体" w:eastAsia="黑体" w:cs="黑体"/>
            </w:rPr>
            <w:t>15</w:t>
          </w:r>
          <w:r>
            <w:rPr>
              <w:rFonts w:hint="eastAsia" w:ascii="黑体" w:hAnsi="黑体" w:eastAsia="黑体" w:cs="黑体"/>
            </w:rPr>
            <w:fldChar w:fldCharType="end"/>
          </w:r>
          <w:r>
            <w:rPr>
              <w:rFonts w:hint="eastAsia" w:ascii="黑体" w:hAnsi="黑体" w:eastAsia="黑体" w:cs="黑体"/>
              <w:color w:val="auto"/>
              <w:szCs w:val="32"/>
              <w:highlight w:val="none"/>
            </w:rPr>
            <w:fldChar w:fldCharType="end"/>
          </w:r>
        </w:p>
        <w:p>
          <w:pPr>
            <w:pStyle w:val="12"/>
            <w:tabs>
              <w:tab w:val="right" w:leader="dot" w:pos="8732"/>
              <w:tab w:val="clear" w:pos="8296"/>
            </w:tabs>
            <w:spacing w:line="360" w:lineRule="auto"/>
            <w:rPr>
              <w:rFonts w:hint="eastAsia" w:ascii="黑体" w:hAnsi="黑体" w:eastAsia="黑体" w:cs="黑体"/>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_Toc16844 </w:instrText>
          </w:r>
          <w:r>
            <w:rPr>
              <w:rFonts w:hint="eastAsia" w:ascii="黑体" w:hAnsi="黑体" w:eastAsia="黑体" w:cs="黑体"/>
              <w:szCs w:val="32"/>
              <w:highlight w:val="none"/>
            </w:rPr>
            <w:fldChar w:fldCharType="separate"/>
          </w:r>
          <w:r>
            <w:rPr>
              <w:rFonts w:hint="eastAsia" w:ascii="黑体" w:hAnsi="黑体" w:eastAsia="黑体" w:cs="黑体"/>
              <w:szCs w:val="44"/>
              <w:highlight w:val="none"/>
            </w:rPr>
            <w:t>第</w:t>
          </w:r>
          <w:r>
            <w:rPr>
              <w:rFonts w:hint="eastAsia" w:ascii="黑体" w:hAnsi="黑体" w:eastAsia="黑体" w:cs="黑体"/>
              <w:highlight w:val="none"/>
            </w:rPr>
            <w:t>四部分 附件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_Toc16844 \h </w:instrText>
          </w:r>
          <w:r>
            <w:rPr>
              <w:rFonts w:hint="eastAsia" w:ascii="黑体" w:hAnsi="黑体" w:eastAsia="黑体" w:cs="黑体"/>
            </w:rPr>
            <w:fldChar w:fldCharType="separate"/>
          </w:r>
          <w:r>
            <w:rPr>
              <w:rFonts w:hint="eastAsia" w:ascii="黑体" w:hAnsi="黑体" w:eastAsia="黑体" w:cs="黑体"/>
            </w:rPr>
            <w:t>21</w:t>
          </w:r>
          <w:r>
            <w:rPr>
              <w:rFonts w:hint="eastAsia" w:ascii="黑体" w:hAnsi="黑体" w:eastAsia="黑体" w:cs="黑体"/>
            </w:rPr>
            <w:fldChar w:fldCharType="end"/>
          </w:r>
          <w:r>
            <w:rPr>
              <w:rFonts w:hint="eastAsia" w:ascii="黑体" w:hAnsi="黑体" w:eastAsia="黑体" w:cs="黑体"/>
              <w:color w:val="auto"/>
              <w:szCs w:val="32"/>
              <w:highlight w:val="none"/>
            </w:rPr>
            <w:fldChar w:fldCharType="end"/>
          </w:r>
        </w:p>
        <w:p>
          <w:pPr>
            <w:pStyle w:val="12"/>
            <w:tabs>
              <w:tab w:val="right" w:leader="dot" w:pos="8732"/>
              <w:tab w:val="clear" w:pos="8296"/>
            </w:tabs>
            <w:spacing w:line="360" w:lineRule="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lang w:val="en-US" w:eastAsia="zh-CN"/>
            </w:rPr>
            <w:t xml:space="preserve">    </w:t>
          </w:r>
          <w:r>
            <w:rPr>
              <w:rFonts w:hint="eastAsia" w:ascii="黑体" w:hAnsi="黑体" w:eastAsia="黑体" w:cs="黑体"/>
              <w:color w:val="auto"/>
              <w:sz w:val="21"/>
              <w:szCs w:val="21"/>
              <w:highlight w:val="none"/>
            </w:rPr>
            <w:fldChar w:fldCharType="begin"/>
          </w:r>
          <w:r>
            <w:rPr>
              <w:rFonts w:hint="eastAsia" w:ascii="黑体" w:hAnsi="黑体" w:eastAsia="黑体" w:cs="黑体"/>
              <w:sz w:val="21"/>
              <w:szCs w:val="21"/>
              <w:highlight w:val="none"/>
            </w:rPr>
            <w:instrText xml:space="preserve"> HYPERLINK \l _Toc18861 </w:instrText>
          </w:r>
          <w:r>
            <w:rPr>
              <w:rFonts w:hint="eastAsia" w:ascii="黑体" w:hAnsi="黑体" w:eastAsia="黑体" w:cs="黑体"/>
              <w:sz w:val="21"/>
              <w:szCs w:val="21"/>
              <w:highlight w:val="none"/>
            </w:rPr>
            <w:fldChar w:fldCharType="separate"/>
          </w:r>
          <w:r>
            <w:rPr>
              <w:rFonts w:hint="eastAsia" w:ascii="黑体" w:hAnsi="黑体" w:eastAsia="黑体" w:cs="黑体"/>
              <w:sz w:val="21"/>
              <w:szCs w:val="21"/>
              <w:highlight w:val="none"/>
            </w:rPr>
            <w:t>附</w:t>
          </w:r>
          <w:r>
            <w:rPr>
              <w:rFonts w:hint="eastAsia" w:ascii="黑体" w:hAnsi="黑体" w:eastAsia="黑体" w:cs="黑体"/>
              <w:kern w:val="2"/>
              <w:sz w:val="21"/>
              <w:szCs w:val="24"/>
              <w:highlight w:val="none"/>
              <w:lang w:val="en-US" w:eastAsia="zh-CN" w:bidi="ar-SA"/>
            </w:rPr>
            <w:t>件1部门整体绩效自评</w:t>
          </w:r>
          <w:r>
            <w:rPr>
              <w:rFonts w:hint="eastAsia" w:ascii="黑体" w:hAnsi="黑体" w:eastAsia="黑体" w:cs="黑体"/>
              <w:sz w:val="21"/>
              <w:szCs w:val="21"/>
              <w:highlight w:val="none"/>
              <w:lang w:val="en-US" w:eastAsia="zh-CN"/>
            </w:rPr>
            <w:t>报告</w:t>
          </w:r>
          <w:r>
            <w:rPr>
              <w:rFonts w:hint="eastAsia" w:ascii="黑体" w:hAnsi="黑体" w:eastAsia="黑体" w:cs="黑体"/>
              <w:sz w:val="21"/>
              <w:szCs w:val="21"/>
            </w:rPr>
            <w:tab/>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PAGEREF _Toc18861 \h </w:instrText>
          </w:r>
          <w:r>
            <w:rPr>
              <w:rFonts w:hint="eastAsia" w:ascii="黑体" w:hAnsi="黑体" w:eastAsia="黑体" w:cs="黑体"/>
              <w:sz w:val="21"/>
              <w:szCs w:val="21"/>
            </w:rPr>
            <w:fldChar w:fldCharType="separate"/>
          </w:r>
          <w:r>
            <w:rPr>
              <w:rFonts w:hint="eastAsia" w:ascii="黑体" w:hAnsi="黑体" w:eastAsia="黑体" w:cs="黑体"/>
              <w:sz w:val="21"/>
              <w:szCs w:val="21"/>
            </w:rPr>
            <w:t>21</w:t>
          </w:r>
          <w:r>
            <w:rPr>
              <w:rFonts w:hint="eastAsia" w:ascii="黑体" w:hAnsi="黑体" w:eastAsia="黑体" w:cs="黑体"/>
              <w:sz w:val="21"/>
              <w:szCs w:val="21"/>
            </w:rPr>
            <w:fldChar w:fldCharType="end"/>
          </w:r>
          <w:r>
            <w:rPr>
              <w:rFonts w:hint="eastAsia" w:ascii="黑体" w:hAnsi="黑体" w:eastAsia="黑体" w:cs="黑体"/>
              <w:color w:val="auto"/>
              <w:sz w:val="21"/>
              <w:szCs w:val="21"/>
              <w:highlight w:val="none"/>
            </w:rPr>
            <w:fldChar w:fldCharType="end"/>
          </w:r>
        </w:p>
        <w:p>
          <w:pPr>
            <w:ind w:firstLine="420" w:firstLineChars="200"/>
            <w:rPr>
              <w:rFonts w:hint="default" w:ascii="黑体" w:hAnsi="黑体" w:eastAsia="黑体" w:cs="黑体"/>
              <w:color w:val="auto"/>
              <w:sz w:val="21"/>
              <w:szCs w:val="21"/>
              <w:highlight w:val="none"/>
              <w:lang w:val="en-US" w:eastAsia="zh-CN"/>
            </w:rPr>
          </w:pPr>
          <w:r>
            <w:rPr>
              <w:rFonts w:hint="eastAsia" w:ascii="黑体" w:hAnsi="黑体" w:eastAsia="黑体" w:cs="黑体"/>
              <w:kern w:val="2"/>
              <w:sz w:val="21"/>
              <w:szCs w:val="21"/>
              <w:highlight w:val="none"/>
              <w:lang w:val="en-US" w:eastAsia="zh-CN" w:bidi="ar-SA"/>
            </w:rPr>
            <w:t>附件2专项项目绩效自评报告</w:t>
          </w:r>
          <w:r>
            <w:rPr>
              <w:rFonts w:hint="eastAsia" w:ascii="黑体" w:hAnsi="黑体" w:eastAsia="黑体" w:cs="黑体"/>
              <w:color w:val="auto"/>
              <w:sz w:val="21"/>
              <w:szCs w:val="21"/>
              <w:highlight w:val="none"/>
              <w:lang w:val="en-US" w:eastAsia="zh-CN"/>
            </w:rPr>
            <w:t>…………………………………………………………………28</w:t>
          </w:r>
        </w:p>
        <w:p>
          <w:pPr>
            <w:pStyle w:val="2"/>
            <w:ind w:firstLine="420" w:firstLineChars="200"/>
            <w:rPr>
              <w:rFonts w:hint="default"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附件3绩效目标自评表</w:t>
          </w:r>
          <w:r>
            <w:rPr>
              <w:rFonts w:hint="eastAsia" w:ascii="黑体" w:hAnsi="黑体" w:eastAsia="黑体" w:cs="黑体"/>
              <w:color w:val="auto"/>
              <w:sz w:val="21"/>
              <w:szCs w:val="21"/>
              <w:highlight w:val="none"/>
              <w:lang w:val="en-US" w:eastAsia="zh-CN"/>
            </w:rPr>
            <w:t>…………………………………………………………………………28</w:t>
          </w:r>
        </w:p>
        <w:p>
          <w:pPr>
            <w:pStyle w:val="12"/>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_Toc20300 </w:instrText>
          </w:r>
          <w:r>
            <w:rPr>
              <w:rFonts w:hint="eastAsia" w:ascii="黑体" w:hAnsi="黑体" w:eastAsia="黑体" w:cs="黑体"/>
              <w:szCs w:val="32"/>
              <w:highlight w:val="none"/>
            </w:rPr>
            <w:fldChar w:fldCharType="separate"/>
          </w:r>
          <w:r>
            <w:rPr>
              <w:rFonts w:hint="eastAsia" w:ascii="黑体" w:hAnsi="黑体" w:eastAsia="黑体" w:cs="黑体"/>
              <w:szCs w:val="44"/>
              <w:highlight w:val="none"/>
            </w:rPr>
            <w:t>第</w:t>
          </w:r>
          <w:r>
            <w:rPr>
              <w:rFonts w:hint="eastAsia" w:ascii="黑体" w:hAnsi="黑体" w:eastAsia="黑体" w:cs="黑体"/>
              <w:highlight w:val="none"/>
            </w:rPr>
            <w:t>五部分 附表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_Toc26327 </w:instrText>
          </w:r>
          <w:r>
            <w:rPr>
              <w:rFonts w:hint="eastAsia" w:ascii="黑体" w:hAnsi="黑体" w:eastAsia="黑体" w:cs="黑体"/>
              <w:szCs w:val="32"/>
              <w:highlight w:val="none"/>
            </w:rPr>
            <w:fldChar w:fldCharType="separate"/>
          </w:r>
          <w:r>
            <w:rPr>
              <w:rFonts w:hint="eastAsia" w:ascii="黑体" w:hAnsi="黑体" w:eastAsia="黑体" w:cs="黑体"/>
              <w:highlight w:val="none"/>
            </w:rPr>
            <w:t>一、收入支出决算总表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_Toc26220 </w:instrText>
          </w:r>
          <w:r>
            <w:rPr>
              <w:rFonts w:hint="eastAsia" w:ascii="黑体" w:hAnsi="黑体" w:eastAsia="黑体" w:cs="黑体"/>
              <w:szCs w:val="32"/>
              <w:highlight w:val="none"/>
            </w:rPr>
            <w:fldChar w:fldCharType="separate"/>
          </w:r>
          <w:r>
            <w:rPr>
              <w:rFonts w:hint="eastAsia" w:ascii="黑体" w:hAnsi="黑体" w:eastAsia="黑体" w:cs="黑体"/>
              <w:highlight w:val="none"/>
            </w:rPr>
            <w:t>二、收入决算表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eastAsia="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_Toc5825 </w:instrText>
          </w:r>
          <w:r>
            <w:rPr>
              <w:rFonts w:hint="eastAsia" w:ascii="黑体" w:hAnsi="黑体" w:eastAsia="黑体" w:cs="黑体"/>
              <w:szCs w:val="32"/>
              <w:highlight w:val="none"/>
            </w:rPr>
            <w:fldChar w:fldCharType="separate"/>
          </w:r>
          <w:r>
            <w:rPr>
              <w:rFonts w:hint="eastAsia" w:ascii="黑体" w:hAnsi="黑体" w:eastAsia="黑体" w:cs="黑体"/>
              <w:highlight w:val="none"/>
            </w:rPr>
            <w:t>三、支出决算表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_Toc13179 </w:instrText>
          </w:r>
          <w:r>
            <w:rPr>
              <w:rFonts w:hint="eastAsia" w:ascii="黑体" w:hAnsi="黑体" w:eastAsia="黑体" w:cs="黑体"/>
              <w:szCs w:val="32"/>
              <w:highlight w:val="none"/>
            </w:rPr>
            <w:fldChar w:fldCharType="separate"/>
          </w:r>
          <w:r>
            <w:rPr>
              <w:rFonts w:hint="eastAsia" w:ascii="黑体" w:hAnsi="黑体" w:eastAsia="黑体" w:cs="黑体"/>
              <w:highlight w:val="none"/>
            </w:rPr>
            <w:t>四、财政拨款收入支出决算总表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_Toc25422 </w:instrText>
          </w:r>
          <w:r>
            <w:rPr>
              <w:rFonts w:hint="eastAsia" w:ascii="黑体" w:hAnsi="黑体" w:eastAsia="黑体" w:cs="黑体"/>
              <w:szCs w:val="32"/>
              <w:highlight w:val="none"/>
            </w:rPr>
            <w:fldChar w:fldCharType="separate"/>
          </w:r>
          <w:r>
            <w:rPr>
              <w:rFonts w:hint="eastAsia" w:ascii="黑体" w:hAnsi="黑体" w:eastAsia="黑体" w:cs="黑体"/>
              <w:highlight w:val="none"/>
            </w:rPr>
            <w:t>五、财政拨款支出决算明细表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_Toc21569 </w:instrText>
          </w:r>
          <w:r>
            <w:rPr>
              <w:rFonts w:hint="eastAsia" w:ascii="黑体" w:hAnsi="黑体" w:eastAsia="黑体" w:cs="黑体"/>
              <w:szCs w:val="32"/>
              <w:highlight w:val="none"/>
            </w:rPr>
            <w:fldChar w:fldCharType="separate"/>
          </w:r>
          <w:r>
            <w:rPr>
              <w:rFonts w:hint="eastAsia" w:ascii="黑体" w:hAnsi="黑体" w:eastAsia="黑体" w:cs="黑体"/>
              <w:highlight w:val="none"/>
            </w:rPr>
            <w:t>六、一般公共预算财政拨款支出决算表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_Toc2264 </w:instrText>
          </w:r>
          <w:r>
            <w:rPr>
              <w:rFonts w:hint="eastAsia" w:ascii="黑体" w:hAnsi="黑体" w:eastAsia="黑体" w:cs="黑体"/>
              <w:szCs w:val="32"/>
              <w:highlight w:val="none"/>
            </w:rPr>
            <w:fldChar w:fldCharType="separate"/>
          </w:r>
          <w:r>
            <w:rPr>
              <w:rFonts w:hint="eastAsia" w:ascii="黑体" w:hAnsi="黑体" w:eastAsia="黑体" w:cs="黑体"/>
              <w:highlight w:val="none"/>
            </w:rPr>
            <w:t>七、一般公共预算财政拨款支出决算明细表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_Toc31409 </w:instrText>
          </w:r>
          <w:r>
            <w:rPr>
              <w:rFonts w:hint="eastAsia" w:ascii="黑体" w:hAnsi="黑体" w:eastAsia="黑体" w:cs="黑体"/>
              <w:szCs w:val="32"/>
              <w:highlight w:val="none"/>
            </w:rPr>
            <w:fldChar w:fldCharType="separate"/>
          </w:r>
          <w:r>
            <w:rPr>
              <w:rFonts w:hint="eastAsia" w:ascii="黑体" w:hAnsi="黑体" w:eastAsia="黑体" w:cs="黑体"/>
              <w:highlight w:val="none"/>
            </w:rPr>
            <w:t>八、一般公共预算财政拨款基本支出决算</w:t>
          </w:r>
          <w:r>
            <w:rPr>
              <w:rFonts w:hint="eastAsia" w:ascii="黑体" w:hAnsi="黑体" w:eastAsia="黑体" w:cs="黑体"/>
              <w:highlight w:val="none"/>
              <w:lang w:eastAsia="zh-CN"/>
            </w:rPr>
            <w:t>明细</w:t>
          </w:r>
          <w:r>
            <w:rPr>
              <w:rFonts w:hint="eastAsia" w:ascii="黑体" w:hAnsi="黑体" w:eastAsia="黑体" w:cs="黑体"/>
              <w:highlight w:val="none"/>
            </w:rPr>
            <w:t>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_Toc17532 </w:instrText>
          </w:r>
          <w:r>
            <w:rPr>
              <w:rFonts w:hint="eastAsia" w:ascii="黑体" w:hAnsi="黑体" w:eastAsia="黑体" w:cs="黑体"/>
              <w:szCs w:val="32"/>
              <w:highlight w:val="none"/>
            </w:rPr>
            <w:fldChar w:fldCharType="separate"/>
          </w:r>
          <w:r>
            <w:rPr>
              <w:rFonts w:hint="eastAsia" w:ascii="黑体" w:hAnsi="黑体" w:eastAsia="黑体" w:cs="黑体"/>
              <w:highlight w:val="none"/>
            </w:rPr>
            <w:t>九、一般公共预算财政拨款项目支出决算表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_Toc24200 </w:instrText>
          </w:r>
          <w:r>
            <w:rPr>
              <w:rFonts w:hint="eastAsia" w:ascii="黑体" w:hAnsi="黑体" w:eastAsia="黑体" w:cs="黑体"/>
              <w:szCs w:val="32"/>
              <w:highlight w:val="none"/>
            </w:rPr>
            <w:fldChar w:fldCharType="separate"/>
          </w:r>
          <w:r>
            <w:rPr>
              <w:rFonts w:hint="eastAsia" w:ascii="黑体" w:hAnsi="黑体" w:eastAsia="黑体" w:cs="黑体"/>
              <w:highlight w:val="none"/>
            </w:rPr>
            <w:t>十、政府性基金预算财政拨款收入支出决算表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_Toc27087 </w:instrText>
          </w:r>
          <w:r>
            <w:rPr>
              <w:rFonts w:hint="eastAsia" w:ascii="黑体" w:hAnsi="黑体" w:eastAsia="黑体" w:cs="黑体"/>
              <w:szCs w:val="32"/>
              <w:highlight w:val="none"/>
            </w:rPr>
            <w:fldChar w:fldCharType="separate"/>
          </w:r>
          <w:r>
            <w:rPr>
              <w:rFonts w:hint="eastAsia" w:ascii="黑体" w:hAnsi="黑体" w:eastAsia="黑体" w:cs="黑体"/>
              <w:highlight w:val="none"/>
            </w:rPr>
            <w:t>十</w:t>
          </w:r>
          <w:r>
            <w:rPr>
              <w:rFonts w:hint="eastAsia" w:ascii="黑体" w:hAnsi="黑体" w:eastAsia="黑体" w:cs="黑体"/>
              <w:highlight w:val="none"/>
              <w:lang w:eastAsia="zh-CN"/>
            </w:rPr>
            <w:t>一</w:t>
          </w:r>
          <w:r>
            <w:rPr>
              <w:rFonts w:hint="eastAsia" w:ascii="黑体" w:hAnsi="黑体" w:eastAsia="黑体" w:cs="黑体"/>
              <w:highlight w:val="none"/>
            </w:rPr>
            <w:t>、国有资本经营预算</w:t>
          </w:r>
          <w:r>
            <w:rPr>
              <w:rFonts w:hint="eastAsia" w:ascii="黑体" w:hAnsi="黑体" w:eastAsia="黑体" w:cs="黑体"/>
              <w:highlight w:val="none"/>
              <w:lang w:eastAsia="zh-CN"/>
            </w:rPr>
            <w:t>财政拨款收入</w:t>
          </w:r>
          <w:r>
            <w:rPr>
              <w:rFonts w:hint="eastAsia" w:ascii="黑体" w:hAnsi="黑体" w:eastAsia="黑体" w:cs="黑体"/>
              <w:highlight w:val="none"/>
            </w:rPr>
            <w:t>支出决算表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ascii="黑体" w:hAnsi="黑体" w:eastAsia="黑体" w:cs="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_Toc15527 </w:instrText>
          </w:r>
          <w:r>
            <w:rPr>
              <w:rFonts w:hint="eastAsia" w:ascii="黑体" w:hAnsi="黑体" w:eastAsia="黑体" w:cs="黑体"/>
              <w:szCs w:val="32"/>
              <w:highlight w:val="none"/>
            </w:rPr>
            <w:fldChar w:fldCharType="separate"/>
          </w:r>
          <w:r>
            <w:rPr>
              <w:rFonts w:hint="eastAsia" w:ascii="黑体" w:hAnsi="黑体" w:eastAsia="黑体" w:cs="黑体"/>
              <w:highlight w:val="none"/>
              <w:lang w:val="en-US" w:eastAsia="zh-CN"/>
            </w:rPr>
            <w:t>十二、国有资本经营预算财政拨款支出决算表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pStyle w:val="13"/>
            <w:tabs>
              <w:tab w:val="right" w:leader="dot" w:pos="8732"/>
              <w:tab w:val="clear" w:pos="8296"/>
            </w:tabs>
            <w:spacing w:line="360" w:lineRule="auto"/>
            <w:rPr>
              <w:rFonts w:hint="eastAsia" w:eastAsia="黑体"/>
              <w:lang w:val="en-US" w:eastAsia="zh-CN"/>
            </w:rPr>
          </w:pPr>
          <w:r>
            <w:rPr>
              <w:rFonts w:hint="eastAsia" w:ascii="黑体" w:hAnsi="黑体" w:eastAsia="黑体" w:cs="黑体"/>
              <w:color w:val="auto"/>
              <w:szCs w:val="32"/>
              <w:highlight w:val="none"/>
            </w:rPr>
            <w:fldChar w:fldCharType="begin"/>
          </w:r>
          <w:r>
            <w:rPr>
              <w:rFonts w:hint="eastAsia" w:ascii="黑体" w:hAnsi="黑体" w:eastAsia="黑体" w:cs="黑体"/>
              <w:szCs w:val="32"/>
              <w:highlight w:val="none"/>
            </w:rPr>
            <w:instrText xml:space="preserve"> HYPERLINK \l _Toc9031 </w:instrText>
          </w:r>
          <w:r>
            <w:rPr>
              <w:rFonts w:hint="eastAsia" w:ascii="黑体" w:hAnsi="黑体" w:eastAsia="黑体" w:cs="黑体"/>
              <w:szCs w:val="32"/>
              <w:highlight w:val="none"/>
            </w:rPr>
            <w:fldChar w:fldCharType="separate"/>
          </w:r>
          <w:r>
            <w:rPr>
              <w:rFonts w:hint="eastAsia" w:ascii="黑体" w:hAnsi="黑体" w:eastAsia="黑体" w:cs="黑体"/>
              <w:highlight w:val="none"/>
            </w:rPr>
            <w:t>十</w:t>
          </w:r>
          <w:r>
            <w:rPr>
              <w:rFonts w:hint="eastAsia" w:ascii="黑体" w:hAnsi="黑体" w:eastAsia="黑体" w:cs="黑体"/>
              <w:highlight w:val="none"/>
              <w:lang w:eastAsia="zh-CN"/>
            </w:rPr>
            <w:t>三</w:t>
          </w:r>
          <w:r>
            <w:rPr>
              <w:rFonts w:hint="eastAsia" w:ascii="黑体" w:hAnsi="黑体" w:eastAsia="黑体" w:cs="黑体"/>
              <w:highlight w:val="none"/>
            </w:rPr>
            <w:t>、财政拨款“三公”经费支出决算表</w:t>
          </w:r>
          <w:r>
            <w:rPr>
              <w:rFonts w:hint="eastAsia" w:ascii="黑体" w:hAnsi="黑体" w:eastAsia="黑体" w:cs="黑体"/>
            </w:rPr>
            <w:tab/>
          </w:r>
          <w:r>
            <w:rPr>
              <w:rFonts w:hint="eastAsia" w:ascii="黑体" w:hAnsi="黑体" w:eastAsia="黑体" w:cs="黑体"/>
              <w:lang w:val="en-US" w:eastAsia="zh-CN"/>
            </w:rPr>
            <w:t>7</w:t>
          </w:r>
          <w:r>
            <w:rPr>
              <w:rFonts w:hint="eastAsia" w:ascii="黑体" w:hAnsi="黑体" w:eastAsia="黑体" w:cs="黑体"/>
              <w:color w:val="auto"/>
              <w:szCs w:val="32"/>
              <w:highlight w:val="none"/>
            </w:rPr>
            <w:fldChar w:fldCharType="end"/>
          </w:r>
          <w:r>
            <w:rPr>
              <w:rFonts w:hint="eastAsia" w:ascii="黑体" w:hAnsi="黑体" w:eastAsia="黑体" w:cs="黑体"/>
              <w:color w:val="auto"/>
              <w:szCs w:val="32"/>
              <w:highlight w:val="none"/>
              <w:lang w:val="en-US" w:eastAsia="zh-CN"/>
            </w:rPr>
            <w:t>4</w:t>
          </w:r>
        </w:p>
        <w:p>
          <w:pPr>
            <w:keepNext w:val="0"/>
            <w:keepLines w:val="0"/>
            <w:pageBreakBefore w:val="0"/>
            <w:shd w:val="clear"/>
            <w:kinsoku/>
            <w:wordWrap/>
            <w:overflowPunct/>
            <w:topLinePunct w:val="0"/>
            <w:autoSpaceDE/>
            <w:autoSpaceDN/>
            <w:bidi w:val="0"/>
            <w:spacing w:line="360" w:lineRule="auto"/>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Cs w:val="32"/>
              <w:highlight w:val="none"/>
            </w:rPr>
            <w:fldChar w:fldCharType="end"/>
          </w:r>
        </w:p>
      </w:sdtContent>
    </w:sdt>
    <w:p>
      <w:pPr>
        <w:shd w:val="clear"/>
        <w:rPr>
          <w:rFonts w:hint="eastAsia"/>
          <w:color w:val="auto"/>
          <w:highlight w:val="none"/>
          <w:lang w:val="en-US" w:eastAsia="zh-CN"/>
        </w:rPr>
      </w:pPr>
    </w:p>
    <w:p>
      <w:pPr>
        <w:shd w:val="clear"/>
        <w:rPr>
          <w:rFonts w:hint="eastAsia"/>
          <w:color w:val="auto"/>
          <w:highlight w:val="none"/>
          <w:lang w:val="en-US" w:eastAsia="zh-CN"/>
        </w:rPr>
      </w:pPr>
    </w:p>
    <w:p>
      <w:pPr>
        <w:pStyle w:val="3"/>
        <w:shd w:val="clear"/>
        <w:jc w:val="center"/>
        <w:rPr>
          <w:rFonts w:hint="eastAsia" w:ascii="黑体" w:hAnsi="黑体" w:eastAsia="黑体"/>
          <w:b w:val="0"/>
          <w:color w:val="auto"/>
          <w:highlight w:val="none"/>
        </w:rPr>
        <w:sectPr>
          <w:headerReference r:id="rId3" w:type="default"/>
          <w:pgSz w:w="11906" w:h="16838"/>
          <w:pgMar w:top="1701" w:right="1587" w:bottom="1701" w:left="1587" w:header="851" w:footer="992" w:gutter="0"/>
          <w:pgNumType w:start="1"/>
          <w:cols w:space="425" w:num="1"/>
          <w:titlePg/>
          <w:docGrid w:type="lines" w:linePitch="312" w:charSpace="0"/>
        </w:sectPr>
      </w:pPr>
      <w:bookmarkStart w:id="14" w:name="_Toc15377196"/>
      <w:bookmarkStart w:id="15" w:name="_Toc16785"/>
      <w:bookmarkStart w:id="16" w:name="_Toc15396599"/>
    </w:p>
    <w:p>
      <w:pPr>
        <w:pStyle w:val="3"/>
        <w:shd w:val="clear"/>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Style w:val="19"/>
          <w:rFonts w:hint="eastAsia" w:ascii="黑体" w:hAnsi="黑体" w:eastAsia="黑体"/>
          <w:b w:val="0"/>
          <w:bCs w:val="0"/>
          <w:color w:val="auto"/>
          <w:highlight w:val="none"/>
        </w:rPr>
        <w:t>部门概况</w:t>
      </w:r>
      <w:bookmarkEnd w:id="14"/>
      <w:bookmarkEnd w:id="15"/>
      <w:bookmarkEnd w:id="16"/>
    </w:p>
    <w:p>
      <w:pPr>
        <w:pStyle w:val="4"/>
        <w:pageBreakBefore w:val="0"/>
        <w:numPr>
          <w:ilvl w:val="0"/>
          <w:numId w:val="0"/>
        </w:numPr>
        <w:shd w:val="clear"/>
        <w:kinsoku/>
        <w:wordWrap/>
        <w:overflowPunct/>
        <w:topLinePunct w:val="0"/>
        <w:autoSpaceDE/>
        <w:autoSpaceDN/>
        <w:bidi w:val="0"/>
        <w:adjustRightInd/>
        <w:snapToGrid/>
        <w:spacing w:before="0" w:after="0" w:line="576" w:lineRule="exact"/>
        <w:ind w:firstLine="640" w:firstLineChars="200"/>
        <w:jc w:val="both"/>
        <w:textAlignment w:val="auto"/>
        <w:rPr>
          <w:rStyle w:val="20"/>
          <w:rFonts w:hint="eastAsia" w:ascii="黑体" w:hAnsi="黑体" w:eastAsia="黑体"/>
          <w:b w:val="0"/>
          <w:bCs w:val="0"/>
          <w:color w:val="auto"/>
          <w:highlight w:val="none"/>
          <w:lang w:eastAsia="zh-CN"/>
        </w:rPr>
      </w:pPr>
      <w:bookmarkStart w:id="17" w:name="_Toc15377197"/>
      <w:bookmarkStart w:id="18" w:name="_Toc15396600"/>
      <w:bookmarkStart w:id="19" w:name="_Toc28111"/>
      <w:r>
        <w:rPr>
          <w:rFonts w:hint="eastAsia" w:ascii="黑体" w:hAnsi="黑体" w:eastAsia="黑体"/>
          <w:b w:val="0"/>
          <w:color w:val="auto"/>
          <w:highlight w:val="none"/>
          <w:lang w:eastAsia="zh-CN"/>
        </w:rPr>
        <w:t>一、</w:t>
      </w:r>
      <w:bookmarkEnd w:id="17"/>
      <w:bookmarkEnd w:id="18"/>
      <w:bookmarkStart w:id="20" w:name="_Toc15378445"/>
      <w:bookmarkStart w:id="21" w:name="_Toc15377198"/>
      <w:r>
        <w:rPr>
          <w:rFonts w:hint="eastAsia" w:ascii="黑体" w:hAnsi="黑体" w:eastAsia="黑体"/>
          <w:b w:val="0"/>
          <w:color w:val="auto"/>
          <w:highlight w:val="none"/>
          <w:lang w:eastAsia="zh-CN"/>
        </w:rPr>
        <w:t>部门职责</w:t>
      </w:r>
      <w:bookmarkEnd w:id="19"/>
    </w:p>
    <w:p>
      <w:pPr>
        <w:pStyle w:val="4"/>
        <w:pageBreakBefore w:val="0"/>
        <w:numPr>
          <w:ilvl w:val="0"/>
          <w:numId w:val="0"/>
        </w:numPr>
        <w:shd w:val="clear"/>
        <w:kinsoku/>
        <w:wordWrap/>
        <w:overflowPunct/>
        <w:topLinePunct w:val="0"/>
        <w:autoSpaceDE/>
        <w:autoSpaceDN/>
        <w:bidi w:val="0"/>
        <w:adjustRightInd/>
        <w:snapToGrid/>
        <w:spacing w:before="0" w:after="0" w:line="576" w:lineRule="exact"/>
        <w:ind w:firstLine="640" w:firstLineChars="200"/>
        <w:jc w:val="both"/>
        <w:textAlignment w:val="auto"/>
        <w:rPr>
          <w:rFonts w:hint="eastAsia" w:ascii="楷体_GB2312" w:hAnsi="楷体_GB2312" w:eastAsia="楷体_GB2312" w:cs="楷体_GB2312"/>
          <w:b w:val="0"/>
          <w:bCs w:val="0"/>
          <w:color w:val="auto"/>
          <w:sz w:val="32"/>
          <w:szCs w:val="32"/>
          <w:highlight w:val="none"/>
        </w:rPr>
      </w:pPr>
      <w:bookmarkStart w:id="22" w:name="_Toc27890"/>
      <w:r>
        <w:rPr>
          <w:rFonts w:hint="eastAsia" w:ascii="楷体_GB2312" w:hAnsi="楷体_GB2312" w:eastAsia="楷体_GB2312" w:cs="楷体_GB2312"/>
          <w:b w:val="0"/>
          <w:bCs w:val="0"/>
          <w:color w:val="auto"/>
          <w:sz w:val="32"/>
          <w:szCs w:val="32"/>
          <w:highlight w:val="none"/>
        </w:rPr>
        <w:t>（一）主要职能</w:t>
      </w:r>
      <w:bookmarkEnd w:id="20"/>
      <w:bookmarkEnd w:id="21"/>
      <w:bookmarkEnd w:id="22"/>
      <w:bookmarkStart w:id="23" w:name="_Toc15378446"/>
      <w:bookmarkStart w:id="24" w:name="_Toc15377199"/>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w:t>
      </w:r>
      <w:r>
        <w:rPr>
          <w:rFonts w:hint="eastAsia" w:ascii="仿宋_GB2312" w:hAnsi="仿宋_GB2312" w:eastAsia="仿宋_GB2312" w:cs="仿宋_GB2312"/>
          <w:i w:val="0"/>
          <w:caps w:val="0"/>
          <w:color w:val="auto"/>
          <w:spacing w:val="0"/>
          <w:sz w:val="32"/>
          <w:szCs w:val="32"/>
          <w:highlight w:val="none"/>
          <w:shd w:val="clear" w:fill="FFFFFF"/>
        </w:rPr>
        <w:t>贯彻执行国家有关水行政管理工作的方针、政策和法律、法规，组织起草水利行业管理重大规范性文件并监督实施；拟订全市水利战略规划，组织编制重大水利综合规划、专业规划和专项规划并组织实施。</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2.</w:t>
      </w:r>
      <w:r>
        <w:rPr>
          <w:rFonts w:hint="eastAsia" w:ascii="仿宋_GB2312" w:hAnsi="仿宋_GB2312" w:eastAsia="仿宋_GB2312" w:cs="仿宋_GB2312"/>
          <w:i w:val="0"/>
          <w:caps w:val="0"/>
          <w:color w:val="auto"/>
          <w:spacing w:val="0"/>
          <w:sz w:val="32"/>
          <w:szCs w:val="32"/>
          <w:highlight w:val="none"/>
          <w:shd w:val="clear" w:fill="FFFFFF"/>
        </w:rPr>
        <w:t>负责统一监督管理全市水资源（含地表水和地下水）。组织制定全市水资源总体规划、流域规划和专业规划；拟定全市和跨县区中长期供水计划、水量分配方案和旱情紧急情况下水量调度预案；组织开展全市国民经济发展总体规划、重大建设项目等有关水资源及防洪、抗旱、节水等方面的论证工作；组织实施取水许可、水资源有偿使用制度和水资源论证、防洪论证制度。</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3.</w:t>
      </w:r>
      <w:r>
        <w:rPr>
          <w:rFonts w:hint="eastAsia" w:ascii="仿宋_GB2312" w:hAnsi="仿宋_GB2312" w:eastAsia="仿宋_GB2312" w:cs="仿宋_GB2312"/>
          <w:i w:val="0"/>
          <w:caps w:val="0"/>
          <w:color w:val="auto"/>
          <w:spacing w:val="0"/>
          <w:sz w:val="32"/>
          <w:szCs w:val="32"/>
          <w:highlight w:val="none"/>
          <w:shd w:val="clear" w:fill="FFFFFF"/>
        </w:rPr>
        <w:t>负责水资源保护工作。组织编制全市水资源和水源地保护规划；负责水文水资源和水文站网建设和管理；监测江河湖库和地下水的水量、水质；指导饮用水水源保护、地下水开发利用和地下水资源的管理保护；按规定组织开展水能资源调查评价和水资源承载能力监测预警、组织指导地下水超采区综合治理；指导地下水动态监测、评价和预报；负责计划用水、节约用水工作，指导和推动节水型社会建设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4.</w:t>
      </w:r>
      <w:r>
        <w:rPr>
          <w:rFonts w:hint="eastAsia" w:ascii="仿宋_GB2312" w:hAnsi="仿宋_GB2312" w:eastAsia="仿宋_GB2312" w:cs="仿宋_GB2312"/>
          <w:i w:val="0"/>
          <w:caps w:val="0"/>
          <w:color w:val="auto"/>
          <w:spacing w:val="0"/>
          <w:sz w:val="32"/>
          <w:szCs w:val="32"/>
          <w:highlight w:val="none"/>
          <w:shd w:val="clear" w:fill="FFFFFF"/>
        </w:rPr>
        <w:t>组织建设和管理重要水利工程；指导农村水利改革创新和社会化服务体系建设；负责全市农村水利工作，负责全市乡镇集中供水、农村饮水安全、节水灌溉、排水等工程建设与管理工作；组织指导已建成农村水利工程的运行管理和除险加固工作。指导水利设施综合利用、农村水能资源开发、水利建设市场信用体系建设、水库工程管理制度改革、小水电改造及水电农村电气化相关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5.</w:t>
      </w:r>
      <w:r>
        <w:rPr>
          <w:rFonts w:hint="eastAsia" w:ascii="仿宋_GB2312" w:hAnsi="仿宋_GB2312" w:eastAsia="仿宋_GB2312" w:cs="仿宋_GB2312"/>
          <w:i w:val="0"/>
          <w:caps w:val="0"/>
          <w:color w:val="auto"/>
          <w:spacing w:val="0"/>
          <w:sz w:val="32"/>
          <w:szCs w:val="32"/>
          <w:highlight w:val="none"/>
          <w:shd w:val="clear" w:fill="FFFFFF"/>
        </w:rPr>
        <w:t>承担广元市防汛抗旱指挥部的日常工作。组织、协调、监督、指导全市防汛、抗旱工作。落实综合防灾减灾规划相关要求，组织编制并实施洪水干旱灾害防治规划和防洪标准；承担水情旱情预警工作。负责江河和重要水工程实施防洪抗旱调度和应急水量调度工作；组织协调指导防御洪水应急抢险的技术保障工作。组织指导水旱灾害防御演练、信息化建设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6.</w:t>
      </w:r>
      <w:r>
        <w:rPr>
          <w:rFonts w:hint="eastAsia" w:ascii="仿宋_GB2312" w:hAnsi="仿宋_GB2312" w:eastAsia="仿宋_GB2312" w:cs="仿宋_GB2312"/>
          <w:i w:val="0"/>
          <w:caps w:val="0"/>
          <w:color w:val="auto"/>
          <w:spacing w:val="0"/>
          <w:sz w:val="32"/>
          <w:szCs w:val="32"/>
          <w:highlight w:val="none"/>
          <w:shd w:val="clear" w:fill="FFFFFF"/>
        </w:rPr>
        <w:t>承担全市河（湖）长制日常工作。指导全市河湖管理与保护工作，组织编制重要河湖岸线保护和开发利用规划；负责组织审批和编制全市河道采砂规划和年度实施方案；指导全市河湖管理范围内建设项目管理、河道管理范围内采砂管理、河湖水系连通相关工作；负责全市堤防建设和管理。</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7.</w:t>
      </w:r>
      <w:r>
        <w:rPr>
          <w:rFonts w:hint="eastAsia" w:ascii="仿宋_GB2312" w:hAnsi="仿宋_GB2312" w:eastAsia="仿宋_GB2312" w:cs="仿宋_GB2312"/>
          <w:i w:val="0"/>
          <w:caps w:val="0"/>
          <w:color w:val="auto"/>
          <w:spacing w:val="0"/>
          <w:sz w:val="32"/>
          <w:szCs w:val="32"/>
          <w:highlight w:val="none"/>
          <w:shd w:val="clear" w:fill="FFFFFF"/>
        </w:rPr>
        <w:t>负责水土保持工作。拟订全市水土保持规划并监督实施；组织实施全市水土流失的综合防治、监测预报工作；负责有关重大建设项目水土保持方案的审批、监督实施及水土保持设施的验收工作，指导重点水土保持建设项目的实施。</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8.</w:t>
      </w:r>
      <w:r>
        <w:rPr>
          <w:rFonts w:hint="eastAsia" w:ascii="仿宋_GB2312" w:hAnsi="仿宋_GB2312" w:eastAsia="仿宋_GB2312" w:cs="仿宋_GB2312"/>
          <w:i w:val="0"/>
          <w:caps w:val="0"/>
          <w:color w:val="auto"/>
          <w:spacing w:val="0"/>
          <w:sz w:val="32"/>
          <w:szCs w:val="32"/>
          <w:highlight w:val="none"/>
          <w:shd w:val="clear" w:fill="FFFFFF"/>
        </w:rPr>
        <w:t>依法负责全市水利行业综合安全监督管理。负责监督指导、组织协调重大水事案件查处和跨区域的执法；统筹、协调、指导全市水利行政综合执法工作，协调仲裁重大水事纠纷；组织开展水利行业相关法律法规宣传教育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9.</w:t>
      </w:r>
      <w:r>
        <w:rPr>
          <w:rFonts w:hint="eastAsia" w:ascii="仿宋_GB2312" w:hAnsi="仿宋_GB2312" w:eastAsia="仿宋_GB2312" w:cs="仿宋_GB2312"/>
          <w:i w:val="0"/>
          <w:caps w:val="0"/>
          <w:color w:val="auto"/>
          <w:spacing w:val="0"/>
          <w:sz w:val="32"/>
          <w:szCs w:val="32"/>
          <w:highlight w:val="none"/>
          <w:shd w:val="clear" w:fill="FFFFFF"/>
        </w:rPr>
        <w:t>负责水利水电工程移民安置和后期扶持工作。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10.</w:t>
      </w:r>
      <w:r>
        <w:rPr>
          <w:rFonts w:hint="eastAsia" w:ascii="仿宋_GB2312" w:hAnsi="仿宋_GB2312" w:eastAsia="仿宋_GB2312" w:cs="仿宋_GB2312"/>
          <w:i w:val="0"/>
          <w:caps w:val="0"/>
          <w:color w:val="auto"/>
          <w:spacing w:val="0"/>
          <w:sz w:val="32"/>
          <w:szCs w:val="32"/>
          <w:highlight w:val="none"/>
          <w:shd w:val="clear" w:fill="FFFFFF"/>
        </w:rPr>
        <w:t>组织指导全市重大水利项目对外合作工作；指导全市有关水利等项目的科学研究和技术推广；指导全市水利行业队伍建设、服务体系建设；承担水利统计工作。</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11.</w:t>
      </w:r>
      <w:r>
        <w:rPr>
          <w:rFonts w:hint="eastAsia" w:ascii="仿宋_GB2312" w:hAnsi="仿宋_GB2312" w:eastAsia="仿宋_GB2312" w:cs="仿宋_GB2312"/>
          <w:i w:val="0"/>
          <w:caps w:val="0"/>
          <w:color w:val="auto"/>
          <w:spacing w:val="0"/>
          <w:sz w:val="32"/>
          <w:szCs w:val="32"/>
          <w:highlight w:val="none"/>
          <w:shd w:val="clear" w:fill="FFFFFF"/>
        </w:rPr>
        <w:t>承担市政府公布的行政审批和公共服务事项。</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i w:val="0"/>
          <w:caps w:val="0"/>
          <w:color w:val="auto"/>
          <w:spacing w:val="0"/>
          <w:sz w:val="32"/>
          <w:szCs w:val="32"/>
          <w:highlight w:val="none"/>
        </w:rPr>
      </w:pPr>
      <w:r>
        <w:rPr>
          <w:rFonts w:hint="eastAsia" w:ascii="仿宋_GB2312" w:hAnsi="仿宋_GB2312" w:eastAsia="仿宋_GB2312" w:cs="仿宋_GB2312"/>
          <w:i w:val="0"/>
          <w:caps w:val="0"/>
          <w:color w:val="auto"/>
          <w:spacing w:val="0"/>
          <w:sz w:val="32"/>
          <w:szCs w:val="32"/>
          <w:highlight w:val="none"/>
          <w:shd w:val="clear" w:fill="FFFFFF"/>
          <w:lang w:val="en-US" w:eastAsia="zh-CN"/>
        </w:rPr>
        <w:t>12.</w:t>
      </w:r>
      <w:r>
        <w:rPr>
          <w:rFonts w:hint="eastAsia" w:ascii="仿宋_GB2312" w:hAnsi="仿宋_GB2312" w:eastAsia="仿宋_GB2312" w:cs="仿宋_GB2312"/>
          <w:i w:val="0"/>
          <w:caps w:val="0"/>
          <w:color w:val="auto"/>
          <w:spacing w:val="0"/>
          <w:sz w:val="32"/>
          <w:szCs w:val="32"/>
          <w:highlight w:val="none"/>
          <w:shd w:val="clear" w:fill="FFFFFF"/>
        </w:rPr>
        <w:t>负责市栖凤湖水位调蓄、河道治“四乱”、堤防设施维护及安全巡查等事务工作。</w:t>
      </w:r>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承办市政府交办的其他事项。</w:t>
      </w:r>
    </w:p>
    <w:bookmarkEnd w:id="23"/>
    <w:bookmarkEnd w:id="24"/>
    <w:p>
      <w:pPr>
        <w:pStyle w:val="3"/>
        <w:pageBreakBefore w:val="0"/>
        <w:shd w:val="clear"/>
        <w:kinsoku/>
        <w:wordWrap/>
        <w:overflowPunct/>
        <w:topLinePunct w:val="0"/>
        <w:autoSpaceDE/>
        <w:autoSpaceDN/>
        <w:bidi w:val="0"/>
        <w:adjustRightInd/>
        <w:snapToGrid/>
        <w:spacing w:line="580" w:lineRule="exact"/>
        <w:ind w:firstLine="642" w:firstLineChars="200"/>
        <w:textAlignment w:val="auto"/>
        <w:rPr>
          <w:rFonts w:hint="eastAsia" w:ascii="黑体" w:hAnsi="黑体" w:eastAsia="黑体" w:cs="黑体"/>
          <w:color w:val="auto"/>
          <w:sz w:val="32"/>
          <w:szCs w:val="32"/>
          <w:highlight w:val="none"/>
        </w:rPr>
      </w:pPr>
      <w:bookmarkStart w:id="25" w:name="_Toc15377200"/>
      <w:bookmarkStart w:id="26" w:name="_Toc15396601"/>
      <w:bookmarkStart w:id="27" w:name="_Toc4773"/>
      <w:r>
        <w:rPr>
          <w:rFonts w:hint="eastAsia" w:ascii="黑体" w:hAnsi="黑体" w:eastAsia="黑体" w:cs="黑体"/>
          <w:color w:val="auto"/>
          <w:sz w:val="32"/>
          <w:szCs w:val="32"/>
          <w:highlight w:val="none"/>
        </w:rPr>
        <w:t>二、机构设置</w:t>
      </w:r>
      <w:bookmarkEnd w:id="25"/>
      <w:bookmarkEnd w:id="26"/>
      <w:bookmarkEnd w:id="27"/>
    </w:p>
    <w:p>
      <w:pPr>
        <w:keepNext w:val="0"/>
        <w:keepLines w:val="0"/>
        <w:pageBreakBefore w:val="0"/>
        <w:widowControl w:val="0"/>
        <w:shd w:val="clea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广元市水利局下属二级单位4个，其中参照公务员法管理的事业单位1个（广元市水土保持站），其他事业单位3个（四川省广元水土保持生态环境监测分站、广元市水利水电综合服务中心（市水利水电工程质量安全事务中心）、市河湖管理保护总站（市水旱灾害防御中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无纳入2023年度部门决算编制范围的二级预算单位。</w:t>
      </w:r>
    </w:p>
    <w:p>
      <w:pPr>
        <w:keepNext w:val="0"/>
        <w:keepLines w:val="0"/>
        <w:widowControl/>
        <w:suppressLineNumbers w:val="0"/>
        <w:shd w:val="clear"/>
        <w:jc w:val="left"/>
        <w:rPr>
          <w:color w:val="auto"/>
          <w:highlight w:val="none"/>
        </w:rPr>
      </w:pPr>
    </w:p>
    <w:p>
      <w:pPr>
        <w:keepNext w:val="0"/>
        <w:keepLines w:val="0"/>
        <w:widowControl/>
        <w:suppressLineNumbers w:val="0"/>
        <w:shd w:val="clear"/>
        <w:jc w:val="left"/>
        <w:rPr>
          <w:color w:val="auto"/>
          <w:highlight w:val="none"/>
        </w:rPr>
      </w:pPr>
    </w:p>
    <w:p>
      <w:pPr>
        <w:widowControl/>
        <w:shd w:val="clear"/>
        <w:ind w:firstLine="640" w:firstLineChars="200"/>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shd w:val="clear"/>
        <w:ind w:right="440"/>
        <w:jc w:val="center"/>
        <w:rPr>
          <w:rStyle w:val="19"/>
          <w:rFonts w:ascii="黑体" w:hAnsi="黑体" w:eastAsia="黑体"/>
          <w:b w:val="0"/>
          <w:bCs/>
          <w:color w:val="auto"/>
          <w:highlight w:val="none"/>
        </w:rPr>
      </w:pPr>
      <w:bookmarkStart w:id="28" w:name="_Toc15377204"/>
      <w:bookmarkStart w:id="29" w:name="_Toc27689"/>
      <w:bookmarkStart w:id="30" w:name="_Toc1539660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9"/>
          <w:rFonts w:hint="eastAsia" w:ascii="黑体" w:hAnsi="黑体" w:eastAsia="黑体"/>
          <w:b w:val="0"/>
          <w:bCs/>
          <w:color w:val="auto"/>
          <w:highlight w:val="none"/>
        </w:rPr>
        <w:t>部门决算情况说明</w:t>
      </w:r>
      <w:bookmarkEnd w:id="28"/>
      <w:bookmarkEnd w:id="29"/>
      <w:bookmarkEnd w:id="30"/>
    </w:p>
    <w:p>
      <w:pPr>
        <w:shd w:val="clear"/>
        <w:rPr>
          <w:color w:val="auto"/>
          <w:highlight w:val="none"/>
        </w:rPr>
      </w:pP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0"/>
          <w:rFonts w:ascii="黑体" w:hAnsi="黑体" w:eastAsia="黑体"/>
          <w:b w:val="0"/>
          <w:color w:val="auto"/>
          <w:highlight w:val="none"/>
        </w:rPr>
      </w:pPr>
      <w:bookmarkStart w:id="31" w:name="_Toc15396603"/>
      <w:bookmarkStart w:id="32" w:name="_Toc15377205"/>
      <w:bookmarkStart w:id="33" w:name="_Toc9211"/>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入支出决算总体情况说明</w:t>
      </w:r>
      <w:bookmarkEnd w:id="31"/>
      <w:bookmarkEnd w:id="32"/>
      <w:bookmarkEnd w:id="33"/>
    </w:p>
    <w:p>
      <w:pPr>
        <w:shd w:val="clear"/>
        <w:spacing w:line="600" w:lineRule="exact"/>
        <w:ind w:firstLine="640" w:firstLineChars="200"/>
        <w:rPr>
          <w:rFonts w:hint="eastAsia"/>
          <w:color w:val="auto"/>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6519.15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4018.56</w:t>
      </w:r>
      <w:r>
        <w:rPr>
          <w:rFonts w:hint="eastAsia" w:ascii="仿宋_GB2312" w:hAnsi="仿宋_GB2312" w:eastAsia="仿宋_GB2312" w:cs="仿宋_GB2312"/>
          <w:color w:val="auto"/>
          <w:sz w:val="32"/>
          <w:szCs w:val="32"/>
          <w:highlight w:val="none"/>
        </w:rPr>
        <w:t>万元相比，收、支总计各</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2500.59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62.23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项目资金增加。</w:t>
      </w:r>
    </w:p>
    <w:p>
      <w:pPr>
        <w:pStyle w:val="2"/>
        <w:shd w:val="clear"/>
        <w:jc w:val="center"/>
        <w:rPr>
          <w:rFonts w:hint="eastAsia"/>
          <w:color w:val="auto"/>
          <w:highlight w:val="none"/>
          <w:lang w:eastAsia="zh-CN"/>
        </w:rPr>
      </w:pPr>
      <w:r>
        <w:drawing>
          <wp:inline distT="0" distB="0" distL="114300" distR="114300">
            <wp:extent cx="4381500" cy="2905125"/>
            <wp:effectExtent l="4445" t="4445" r="14605" b="5080"/>
            <wp:docPr id="103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33"/>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0"/>
          <w:rFonts w:ascii="黑体" w:hAnsi="黑体" w:eastAsia="黑体"/>
          <w:b w:val="0"/>
          <w:color w:val="auto"/>
          <w:highlight w:val="none"/>
        </w:rPr>
      </w:pPr>
      <w:bookmarkStart w:id="34" w:name="_Toc15377206"/>
      <w:bookmarkStart w:id="35" w:name="_Toc15396604"/>
      <w:bookmarkStart w:id="36" w:name="_Toc729"/>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34"/>
      <w:bookmarkEnd w:id="35"/>
      <w:bookmarkEnd w:id="36"/>
    </w:p>
    <w:p>
      <w:pPr>
        <w:shd w:val="clea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37" w:name="_Toc6381"/>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6473.52</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5148.48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79.53</w:t>
      </w:r>
      <w:r>
        <w:rPr>
          <w:rFonts w:hint="eastAsia" w:ascii="仿宋_GB2312" w:hAnsi="仿宋_GB2312" w:eastAsia="仿宋_GB2312" w:cs="仿宋_GB2312"/>
          <w:color w:val="auto"/>
          <w:sz w:val="32"/>
          <w:szCs w:val="32"/>
          <w:highlight w:val="none"/>
        </w:rPr>
        <w:t>%；政府性基金预算财政拨款收入</w:t>
      </w:r>
      <w:r>
        <w:rPr>
          <w:rFonts w:hint="eastAsia" w:ascii="仿宋_GB2312" w:hAnsi="仿宋_GB2312" w:eastAsia="仿宋_GB2312" w:cs="仿宋_GB2312"/>
          <w:color w:val="auto"/>
          <w:sz w:val="32"/>
          <w:szCs w:val="32"/>
          <w:highlight w:val="none"/>
          <w:lang w:val="en-US" w:eastAsia="zh-CN"/>
        </w:rPr>
        <w:t>1325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20.46</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en-US" w:eastAsia="zh-CN"/>
        </w:rPr>
        <w:t>0.04</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0.001</w:t>
      </w:r>
      <w:r>
        <w:rPr>
          <w:rFonts w:hint="eastAsia" w:ascii="仿宋_GB2312" w:hAnsi="仿宋_GB2312" w:eastAsia="仿宋_GB2312" w:cs="仿宋_GB2312"/>
          <w:color w:val="auto"/>
          <w:sz w:val="32"/>
          <w:szCs w:val="32"/>
          <w:highlight w:val="none"/>
        </w:rPr>
        <w:t>%。</w:t>
      </w:r>
      <w:bookmarkEnd w:id="37"/>
    </w:p>
    <w:p>
      <w:pPr>
        <w:pStyle w:val="33"/>
        <w:shd w:val="clear"/>
        <w:rPr>
          <w:rFonts w:hint="eastAsia" w:ascii="仿宋_GB2312" w:hAnsi="仿宋_GB2312" w:eastAsia="仿宋_GB2312" w:cs="仿宋_GB2312"/>
          <w:color w:val="auto"/>
          <w:highlight w:val="none"/>
        </w:rPr>
      </w:pPr>
    </w:p>
    <w:p>
      <w:pPr>
        <w:pStyle w:val="33"/>
        <w:shd w:val="clear"/>
        <w:rPr>
          <w:color w:val="auto"/>
          <w:highlight w:val="none"/>
        </w:rPr>
      </w:pPr>
    </w:p>
    <w:p>
      <w:pPr>
        <w:pStyle w:val="33"/>
        <w:shd w:val="clear"/>
        <w:jc w:val="center"/>
        <w:rPr>
          <w:rFonts w:hint="eastAsia" w:ascii="仿宋_GB2312" w:hAnsi="仿宋_GB2312" w:eastAsia="仿宋_GB2312" w:cs="仿宋_GB2312"/>
          <w:color w:val="auto"/>
          <w:sz w:val="32"/>
          <w:szCs w:val="32"/>
          <w:highlight w:val="none"/>
        </w:rPr>
      </w:pPr>
      <w:r>
        <w:drawing>
          <wp:inline distT="0" distB="0" distL="114300" distR="114300">
            <wp:extent cx="4638675" cy="2828925"/>
            <wp:effectExtent l="4445" t="4445" r="5080" b="5080"/>
            <wp:docPr id="102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33"/>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outlineLvl w:val="1"/>
        <w:rPr>
          <w:rStyle w:val="20"/>
          <w:rFonts w:ascii="黑体" w:hAnsi="黑体" w:eastAsia="黑体"/>
          <w:b w:val="0"/>
          <w:color w:val="auto"/>
          <w:highlight w:val="none"/>
        </w:rPr>
      </w:pPr>
      <w:bookmarkStart w:id="38" w:name="_Toc15377207"/>
      <w:bookmarkStart w:id="39" w:name="_Toc11670"/>
      <w:bookmarkStart w:id="40"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38"/>
      <w:bookmarkEnd w:id="39"/>
      <w:bookmarkEnd w:id="40"/>
    </w:p>
    <w:p>
      <w:pPr>
        <w:shd w:val="clear"/>
        <w:spacing w:line="600" w:lineRule="exact"/>
        <w:ind w:firstLine="640" w:firstLineChars="200"/>
        <w:outlineLvl w:val="1"/>
        <w:rPr>
          <w:rFonts w:hint="eastAsia" w:ascii="仿宋_GB2312" w:hAnsi="仿宋_GB2312" w:eastAsia="仿宋_GB2312" w:cs="仿宋_GB2312"/>
          <w:color w:val="auto"/>
          <w:sz w:val="32"/>
          <w:szCs w:val="32"/>
          <w:highlight w:val="none"/>
        </w:rPr>
      </w:pPr>
      <w:bookmarkStart w:id="41" w:name="_Toc24098"/>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6433.23</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1706.96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26.53</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3401.27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73.47</w:t>
      </w:r>
      <w:r>
        <w:rPr>
          <w:rFonts w:hint="eastAsia" w:ascii="仿宋_GB2312" w:hAnsi="仿宋_GB2312" w:eastAsia="仿宋_GB2312" w:cs="仿宋_GB2312"/>
          <w:color w:val="auto"/>
          <w:sz w:val="32"/>
          <w:szCs w:val="32"/>
          <w:highlight w:val="none"/>
        </w:rPr>
        <w:t>%。</w:t>
      </w:r>
      <w:bookmarkEnd w:id="41"/>
    </w:p>
    <w:p>
      <w:pPr>
        <w:pStyle w:val="33"/>
        <w:shd w:val="clear"/>
        <w:ind w:left="0" w:leftChars="0" w:firstLine="0" w:firstLineChars="0"/>
        <w:rPr>
          <w:rFonts w:ascii="仿宋" w:hAnsi="仿宋" w:eastAsia="仿宋"/>
          <w:color w:val="auto"/>
          <w:sz w:val="32"/>
          <w:szCs w:val="32"/>
          <w:highlight w:val="none"/>
          <w:shd w:val="pct10" w:color="auto" w:fill="FFFFFF"/>
        </w:rPr>
      </w:pPr>
    </w:p>
    <w:p>
      <w:pPr>
        <w:shd w:val="clear"/>
        <w:jc w:val="center"/>
        <w:rPr>
          <w:color w:val="auto"/>
          <w:highlight w:val="none"/>
        </w:rPr>
      </w:pPr>
      <w:r>
        <w:drawing>
          <wp:inline distT="0" distB="0" distL="114300" distR="114300">
            <wp:extent cx="4391025" cy="2686685"/>
            <wp:effectExtent l="4445" t="4445" r="5080" b="13970"/>
            <wp:docPr id="102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33"/>
        <w:shd w:val="clea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shd w:val="clear"/>
        <w:spacing w:line="600" w:lineRule="exact"/>
        <w:ind w:firstLine="640" w:firstLineChars="200"/>
        <w:outlineLvl w:val="1"/>
        <w:rPr>
          <w:rStyle w:val="20"/>
          <w:rFonts w:ascii="黑体" w:hAnsi="黑体" w:eastAsia="黑体"/>
          <w:b w:val="0"/>
          <w:color w:val="auto"/>
          <w:highlight w:val="none"/>
        </w:rPr>
      </w:pPr>
      <w:bookmarkStart w:id="42" w:name="_Toc26457"/>
      <w:bookmarkStart w:id="43" w:name="_Toc15377208"/>
      <w:bookmarkStart w:id="44" w:name="_Toc15396606"/>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42"/>
      <w:bookmarkEnd w:id="43"/>
      <w:bookmarkEnd w:id="44"/>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年财政拨款收、支总计</w:t>
      </w:r>
      <w:r>
        <w:rPr>
          <w:rFonts w:hint="eastAsia" w:ascii="仿宋_GB2312" w:hAnsi="仿宋_GB2312" w:eastAsia="仿宋_GB2312" w:cs="仿宋_GB2312"/>
          <w:color w:val="auto"/>
          <w:sz w:val="32"/>
          <w:szCs w:val="32"/>
          <w:highlight w:val="none"/>
          <w:lang w:val="en-US" w:eastAsia="zh-CN"/>
        </w:rPr>
        <w:t>6519.07</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4018.15</w:t>
      </w:r>
      <w:r>
        <w:rPr>
          <w:rFonts w:hint="eastAsia" w:ascii="仿宋_GB2312" w:hAnsi="仿宋_GB2312" w:eastAsia="仿宋_GB2312" w:cs="仿宋_GB2312"/>
          <w:color w:val="auto"/>
          <w:sz w:val="32"/>
          <w:szCs w:val="32"/>
          <w:highlight w:val="none"/>
        </w:rPr>
        <w:t>万元相比，财政拨款收、支总计</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lang w:val="en-US" w:eastAsia="zh-CN"/>
        </w:rPr>
        <w:t>2500.92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62.23</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一般性项目增加。</w:t>
      </w:r>
    </w:p>
    <w:p>
      <w:pPr>
        <w:pStyle w:val="33"/>
        <w:shd w:val="clear"/>
        <w:rPr>
          <w:color w:val="auto"/>
          <w:highlight w:val="none"/>
        </w:rPr>
      </w:pPr>
      <w:r>
        <w:drawing>
          <wp:inline distT="0" distB="0" distL="114300" distR="114300">
            <wp:extent cx="4600575" cy="2590800"/>
            <wp:effectExtent l="4445" t="5080" r="5080" b="13970"/>
            <wp:docPr id="103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hd w:val="clear"/>
        <w:jc w:val="center"/>
        <w:rPr>
          <w:color w:val="auto"/>
          <w:highlight w:val="none"/>
        </w:rPr>
      </w:pPr>
    </w:p>
    <w:p>
      <w:pPr>
        <w:shd w:val="clear"/>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（图4：财政拨款收、支决算总计变动情况）</w:t>
      </w:r>
    </w:p>
    <w:p>
      <w:pPr>
        <w:shd w:val="clear"/>
        <w:spacing w:line="600" w:lineRule="exact"/>
        <w:ind w:firstLine="640" w:firstLineChars="200"/>
        <w:outlineLvl w:val="1"/>
        <w:rPr>
          <w:rStyle w:val="20"/>
          <w:rFonts w:ascii="黑体" w:hAnsi="黑体" w:eastAsia="黑体"/>
          <w:b w:val="0"/>
          <w:color w:val="auto"/>
          <w:highlight w:val="none"/>
        </w:rPr>
      </w:pPr>
      <w:bookmarkStart w:id="45" w:name="_Toc15377209"/>
      <w:bookmarkStart w:id="46" w:name="_Toc2003"/>
      <w:bookmarkStart w:id="47" w:name="_Toc15396607"/>
      <w:r>
        <w:rPr>
          <w:rFonts w:hint="eastAsia" w:ascii="黑体" w:hAnsi="黑体" w:eastAsia="黑体"/>
          <w:color w:val="auto"/>
          <w:sz w:val="32"/>
          <w:szCs w:val="32"/>
          <w:highlight w:val="none"/>
        </w:rPr>
        <w:t>五、</w:t>
      </w:r>
      <w:r>
        <w:rPr>
          <w:rStyle w:val="20"/>
          <w:rFonts w:hint="eastAsia" w:ascii="黑体" w:hAnsi="黑体" w:eastAsia="黑体"/>
          <w:b w:val="0"/>
          <w:color w:val="auto"/>
          <w:highlight w:val="none"/>
        </w:rPr>
        <w:t>一般公共预算财政拨款支出决算情况说明</w:t>
      </w:r>
      <w:bookmarkEnd w:id="45"/>
      <w:bookmarkEnd w:id="46"/>
      <w:bookmarkEnd w:id="47"/>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8" w:name="_Toc15377210"/>
      <w:r>
        <w:rPr>
          <w:rFonts w:hint="eastAsia" w:ascii="楷体_GB2312" w:hAnsi="楷体_GB2312" w:eastAsia="楷体_GB2312" w:cs="楷体_GB2312"/>
          <w:b w:val="0"/>
          <w:bCs/>
          <w:color w:val="auto"/>
          <w:sz w:val="32"/>
          <w:szCs w:val="32"/>
          <w:highlight w:val="none"/>
        </w:rPr>
        <w:t>（一）一般公共预算财政拨款支出决算总体情况</w:t>
      </w:r>
      <w:bookmarkEnd w:id="48"/>
    </w:p>
    <w:p>
      <w:pPr>
        <w:shd w:val="clea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5108.23</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79.4</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3472.57</w:t>
      </w:r>
      <w:r>
        <w:rPr>
          <w:rFonts w:hint="eastAsia" w:ascii="仿宋_GB2312" w:hAnsi="仿宋_GB2312" w:eastAsia="仿宋_GB2312" w:cs="仿宋_GB2312"/>
          <w:color w:val="auto"/>
          <w:sz w:val="32"/>
          <w:szCs w:val="32"/>
          <w:highlight w:val="none"/>
        </w:rPr>
        <w:t>万元相比，一般公共预算财政拨款</w:t>
      </w:r>
      <w:r>
        <w:rPr>
          <w:rFonts w:hint="eastAsia" w:ascii="仿宋_GB2312" w:hAnsi="仿宋_GB2312" w:eastAsia="仿宋_GB2312" w:cs="仿宋_GB2312"/>
          <w:color w:val="auto"/>
          <w:sz w:val="32"/>
          <w:szCs w:val="32"/>
          <w:highlight w:val="none"/>
          <w:lang w:eastAsia="zh-CN"/>
        </w:rPr>
        <w:t>支出增加</w:t>
      </w:r>
      <w:r>
        <w:rPr>
          <w:rFonts w:hint="eastAsia" w:ascii="仿宋_GB2312" w:hAnsi="仿宋_GB2312" w:eastAsia="仿宋_GB2312" w:cs="仿宋_GB2312"/>
          <w:color w:val="auto"/>
          <w:sz w:val="32"/>
          <w:szCs w:val="32"/>
          <w:highlight w:val="none"/>
          <w:lang w:val="en-US" w:eastAsia="zh-CN"/>
        </w:rPr>
        <w:t>1635.66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47.1</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eastAsia="zh-CN"/>
        </w:rPr>
        <w:t>一般性项目增加。</w:t>
      </w:r>
    </w:p>
    <w:p>
      <w:pPr>
        <w:pStyle w:val="33"/>
        <w:shd w:val="clear"/>
        <w:ind w:left="0" w:leftChars="0" w:firstLine="0" w:firstLineChars="0"/>
        <w:rPr>
          <w:rFonts w:hint="eastAsia" w:ascii="仿宋_GB2312" w:hAnsi="仿宋_GB2312" w:eastAsia="仿宋_GB2312" w:cs="仿宋_GB2312"/>
          <w:color w:val="auto"/>
          <w:sz w:val="32"/>
          <w:szCs w:val="32"/>
          <w:highlight w:val="none"/>
        </w:rPr>
      </w:pPr>
    </w:p>
    <w:p>
      <w:pPr>
        <w:shd w:val="clear"/>
        <w:jc w:val="center"/>
        <w:rPr>
          <w:color w:val="auto"/>
          <w:highlight w:val="none"/>
        </w:rPr>
      </w:pPr>
      <w:r>
        <w:drawing>
          <wp:inline distT="0" distB="0" distL="114300" distR="114300">
            <wp:extent cx="4381500" cy="2905125"/>
            <wp:effectExtent l="4445" t="4445" r="14605" b="5080"/>
            <wp:docPr id="5"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hd w:val="clea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49" w:name="_Toc15377211"/>
      <w:r>
        <w:rPr>
          <w:rFonts w:hint="eastAsia" w:ascii="楷体_GB2312" w:hAnsi="楷体_GB2312" w:eastAsia="楷体_GB2312" w:cs="楷体_GB2312"/>
          <w:b w:val="0"/>
          <w:bCs/>
          <w:color w:val="auto"/>
          <w:sz w:val="32"/>
          <w:szCs w:val="32"/>
          <w:highlight w:val="none"/>
        </w:rPr>
        <w:t>（二）一般公共预算财政拨款支出决算结构情况</w:t>
      </w:r>
      <w:bookmarkEnd w:id="49"/>
    </w:p>
    <w:p>
      <w:pPr>
        <w:shd w:val="clear"/>
        <w:spacing w:line="600" w:lineRule="exact"/>
        <w:ind w:firstLine="640"/>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20</w:t>
      </w:r>
      <w:r>
        <w:rPr>
          <w:rFonts w:hint="eastAsia" w:ascii="仿宋_GB2312" w:hAnsi="仿宋_GB2312" w:eastAsia="仿宋_GB2312" w:cs="仿宋_GB2312"/>
          <w:b w:val="0"/>
          <w:bCs w:val="0"/>
          <w:color w:val="auto"/>
          <w:sz w:val="32"/>
          <w:szCs w:val="32"/>
          <w:highlight w:val="none"/>
          <w:lang w:val="en-US" w:eastAsia="zh-CN"/>
        </w:rPr>
        <w:t>22</w:t>
      </w:r>
      <w:r>
        <w:rPr>
          <w:rFonts w:hint="eastAsia" w:ascii="仿宋_GB2312" w:hAnsi="仿宋_GB2312" w:eastAsia="仿宋_GB2312" w:cs="仿宋_GB2312"/>
          <w:b w:val="0"/>
          <w:bCs w:val="0"/>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5108.23</w:t>
      </w:r>
      <w:r>
        <w:rPr>
          <w:rFonts w:hint="eastAsia" w:ascii="仿宋_GB2312" w:hAnsi="仿宋_GB2312" w:eastAsia="仿宋_GB2312" w:cs="仿宋_GB2312"/>
          <w:b w:val="0"/>
          <w:bCs w:val="0"/>
          <w:color w:val="auto"/>
          <w:sz w:val="32"/>
          <w:szCs w:val="32"/>
          <w:highlight w:val="none"/>
        </w:rPr>
        <w:t>万元，主要用于以下方面</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社会保障和就业（类）支出</w:t>
      </w:r>
      <w:r>
        <w:rPr>
          <w:rFonts w:hint="eastAsia" w:ascii="仿宋_GB2312" w:hAnsi="仿宋_GB2312" w:eastAsia="仿宋_GB2312" w:cs="仿宋_GB2312"/>
          <w:b w:val="0"/>
          <w:bCs w:val="0"/>
          <w:color w:val="auto"/>
          <w:sz w:val="32"/>
          <w:szCs w:val="32"/>
          <w:highlight w:val="none"/>
          <w:lang w:val="en-US" w:eastAsia="zh-CN"/>
        </w:rPr>
        <w:t>205.3</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4.02</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卫生健康支出</w:t>
      </w:r>
      <w:r>
        <w:rPr>
          <w:rFonts w:hint="eastAsia" w:ascii="仿宋_GB2312" w:hAnsi="仿宋_GB2312" w:eastAsia="仿宋_GB2312" w:cs="仿宋_GB2312"/>
          <w:b w:val="0"/>
          <w:bCs w:val="0"/>
          <w:color w:val="auto"/>
          <w:sz w:val="32"/>
          <w:szCs w:val="32"/>
          <w:highlight w:val="none"/>
          <w:lang w:val="en-US" w:eastAsia="zh-CN"/>
        </w:rPr>
        <w:t>60.93</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1.19</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；农林水（类）支出</w:t>
      </w:r>
      <w:r>
        <w:rPr>
          <w:rFonts w:hint="eastAsia" w:ascii="仿宋_GB2312" w:hAnsi="仿宋_GB2312" w:eastAsia="仿宋_GB2312" w:cs="仿宋_GB2312"/>
          <w:b w:val="0"/>
          <w:bCs w:val="0"/>
          <w:color w:val="auto"/>
          <w:sz w:val="32"/>
          <w:szCs w:val="32"/>
          <w:highlight w:val="none"/>
          <w:lang w:val="en-US" w:eastAsia="zh-CN"/>
        </w:rPr>
        <w:t>4729.71万元，</w:t>
      </w:r>
      <w:r>
        <w:rPr>
          <w:rFonts w:hint="eastAsia" w:ascii="仿宋_GB2312" w:hAnsi="仿宋_GB2312" w:eastAsia="仿宋_GB2312" w:cs="仿宋_GB2312"/>
          <w:b w:val="0"/>
          <w:bCs w:val="0"/>
          <w:color w:val="auto"/>
          <w:sz w:val="32"/>
          <w:szCs w:val="32"/>
          <w:highlight w:val="none"/>
        </w:rPr>
        <w:t>占</w:t>
      </w:r>
      <w:r>
        <w:rPr>
          <w:rFonts w:hint="eastAsia" w:ascii="仿宋_GB2312" w:hAnsi="仿宋_GB2312" w:eastAsia="仿宋_GB2312" w:cs="仿宋_GB2312"/>
          <w:b w:val="0"/>
          <w:bCs w:val="0"/>
          <w:color w:val="auto"/>
          <w:sz w:val="32"/>
          <w:szCs w:val="32"/>
          <w:highlight w:val="none"/>
          <w:lang w:val="en-US" w:eastAsia="zh-CN"/>
        </w:rPr>
        <w:t>92.39</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住房保障支出</w:t>
      </w:r>
      <w:r>
        <w:rPr>
          <w:rFonts w:hint="eastAsia" w:ascii="仿宋_GB2312" w:hAnsi="仿宋_GB2312" w:eastAsia="仿宋_GB2312" w:cs="仿宋_GB2312"/>
          <w:b w:val="0"/>
          <w:bCs w:val="0"/>
          <w:color w:val="auto"/>
          <w:sz w:val="32"/>
          <w:szCs w:val="32"/>
          <w:highlight w:val="none"/>
          <w:lang w:val="en-US" w:eastAsia="zh-CN"/>
        </w:rPr>
        <w:t>112.29</w:t>
      </w:r>
      <w:r>
        <w:rPr>
          <w:rFonts w:hint="eastAsia" w:ascii="仿宋_GB2312" w:hAnsi="仿宋_GB2312" w:eastAsia="仿宋_GB2312" w:cs="仿宋_GB2312"/>
          <w:b w:val="0"/>
          <w:bCs w:val="0"/>
          <w:color w:val="auto"/>
          <w:sz w:val="32"/>
          <w:szCs w:val="32"/>
          <w:highlight w:val="none"/>
        </w:rPr>
        <w:t>万元，占</w:t>
      </w:r>
      <w:r>
        <w:rPr>
          <w:rFonts w:hint="eastAsia" w:ascii="仿宋_GB2312" w:hAnsi="仿宋_GB2312" w:eastAsia="仿宋_GB2312" w:cs="仿宋_GB2312"/>
          <w:b w:val="0"/>
          <w:bCs w:val="0"/>
          <w:color w:val="auto"/>
          <w:sz w:val="32"/>
          <w:szCs w:val="32"/>
          <w:highlight w:val="none"/>
          <w:lang w:val="en-US" w:eastAsia="zh-CN"/>
        </w:rPr>
        <w:t>2.4</w:t>
      </w:r>
      <w:r>
        <w:rPr>
          <w:rFonts w:hint="eastAsia" w:ascii="仿宋_GB2312" w:hAnsi="仿宋_GB2312" w:eastAsia="仿宋_GB2312" w:cs="仿宋_GB2312"/>
          <w:b w:val="0"/>
          <w:bCs w:val="0"/>
          <w:color w:val="auto"/>
          <w:sz w:val="32"/>
          <w:szCs w:val="32"/>
          <w:highlight w:val="none"/>
        </w:rPr>
        <w:t>%。</w:t>
      </w:r>
    </w:p>
    <w:p>
      <w:pPr>
        <w:pStyle w:val="2"/>
        <w:rPr>
          <w:rFonts w:hint="eastAsia"/>
        </w:rPr>
      </w:pPr>
      <w:r>
        <w:rPr>
          <w:rFonts w:hint="eastAsia"/>
          <w:lang w:val="en-US" w:eastAsia="zh-CN"/>
        </w:rPr>
        <w:t xml:space="preserve">   </w:t>
      </w:r>
      <w:r>
        <w:drawing>
          <wp:inline distT="0" distB="0" distL="114300" distR="114300">
            <wp:extent cx="4400550" cy="2876550"/>
            <wp:effectExtent l="4445" t="4445" r="14605" b="14605"/>
            <wp:docPr id="1032"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33"/>
        <w:shd w:val="clear"/>
        <w:ind w:left="0" w:leftChars="0" w:firstLine="0" w:firstLineChars="0"/>
        <w:jc w:val="center"/>
        <w:rPr>
          <w:color w:val="auto"/>
          <w:highlight w:val="none"/>
        </w:rPr>
      </w:pPr>
    </w:p>
    <w:p>
      <w:pPr>
        <w:shd w:val="clear"/>
        <w:spacing w:line="60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50" w:name="_Toc15377212"/>
      <w:r>
        <w:rPr>
          <w:rFonts w:hint="eastAsia" w:ascii="楷体_GB2312" w:hAnsi="楷体_GB2312" w:eastAsia="楷体_GB2312" w:cs="楷体_GB2312"/>
          <w:b w:val="0"/>
          <w:bCs/>
          <w:color w:val="auto"/>
          <w:sz w:val="32"/>
          <w:szCs w:val="32"/>
          <w:highlight w:val="none"/>
        </w:rPr>
        <w:t>（三）一般公共预算财政拨款支出决算具体情况</w:t>
      </w:r>
      <w:bookmarkEnd w:id="5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2"/>
        <w:rPr>
          <w:rFonts w:hint="eastAsia" w:ascii="仿宋_GB2312" w:hAnsi="仿宋_GB2312" w:eastAsia="仿宋_GB2312" w:cs="仿宋_GB2312"/>
          <w:b w:val="0"/>
          <w:bCs/>
          <w:color w:val="auto"/>
          <w:sz w:val="32"/>
          <w:szCs w:val="32"/>
          <w:highlight w:val="none"/>
        </w:rPr>
      </w:pPr>
      <w:bookmarkStart w:id="51" w:name="_Toc15377213"/>
      <w:bookmarkStart w:id="52" w:name="_Toc15378460"/>
      <w:bookmarkStart w:id="53" w:name="_Toc15377444"/>
      <w:r>
        <w:rPr>
          <w:rFonts w:hint="eastAsia" w:ascii="仿宋_GB2312" w:hAnsi="仿宋_GB2312" w:eastAsia="仿宋_GB2312" w:cs="仿宋_GB2312"/>
          <w:b w:val="0"/>
          <w:bCs/>
          <w:color w:val="auto"/>
          <w:sz w:val="32"/>
          <w:szCs w:val="32"/>
          <w:highlight w:val="none"/>
        </w:rPr>
        <w:t>20</w:t>
      </w:r>
      <w:r>
        <w:rPr>
          <w:rFonts w:hint="eastAsia" w:ascii="仿宋_GB2312" w:hAnsi="仿宋_GB2312" w:eastAsia="仿宋_GB2312" w:cs="仿宋_GB2312"/>
          <w:b w:val="0"/>
          <w:bCs/>
          <w:color w:val="auto"/>
          <w:sz w:val="32"/>
          <w:szCs w:val="32"/>
          <w:highlight w:val="none"/>
          <w:lang w:val="en-US" w:eastAsia="zh-CN"/>
        </w:rPr>
        <w:t>23</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一</w:t>
      </w:r>
      <w:r>
        <w:rPr>
          <w:rFonts w:hint="eastAsia" w:ascii="仿宋_GB2312" w:hAnsi="仿宋_GB2312" w:eastAsia="仿宋_GB2312" w:cs="仿宋_GB2312"/>
          <w:b w:val="0"/>
          <w:bCs/>
          <w:color w:val="auto"/>
          <w:sz w:val="32"/>
          <w:szCs w:val="32"/>
          <w:highlight w:val="none"/>
        </w:rPr>
        <w:t>般公共预算支出决算数为</w:t>
      </w:r>
      <w:r>
        <w:rPr>
          <w:rFonts w:hint="eastAsia" w:ascii="仿宋_GB2312" w:hAnsi="仿宋_GB2312" w:eastAsia="仿宋_GB2312" w:cs="仿宋_GB2312"/>
          <w:color w:val="auto"/>
          <w:sz w:val="32"/>
          <w:szCs w:val="32"/>
          <w:highlight w:val="none"/>
          <w:lang w:val="en-US" w:eastAsia="zh-CN"/>
        </w:rPr>
        <w:t>5108.23</w:t>
      </w:r>
      <w:r>
        <w:rPr>
          <w:rFonts w:hint="eastAsia" w:ascii="仿宋_GB2312" w:hAnsi="仿宋_GB2312" w:eastAsia="仿宋_GB2312" w:cs="仿宋_GB2312"/>
          <w:b w:val="0"/>
          <w:bCs/>
          <w:color w:val="auto"/>
          <w:sz w:val="32"/>
          <w:szCs w:val="32"/>
          <w:highlight w:val="none"/>
          <w:lang w:val="en-US" w:eastAsia="zh-CN"/>
        </w:rPr>
        <w:t>万元</w:t>
      </w:r>
      <w:r>
        <w:rPr>
          <w:rFonts w:hint="eastAsia" w:ascii="仿宋_GB2312" w:hAnsi="仿宋_GB2312" w:eastAsia="仿宋_GB2312" w:cs="仿宋_GB2312"/>
          <w:b w:val="0"/>
          <w:bCs/>
          <w:color w:val="auto"/>
          <w:sz w:val="32"/>
          <w:szCs w:val="32"/>
          <w:highlight w:val="none"/>
        </w:rPr>
        <w:t>，</w:t>
      </w:r>
      <w:r>
        <w:rPr>
          <w:rStyle w:val="17"/>
          <w:rFonts w:hint="eastAsia" w:ascii="仿宋_GB2312" w:hAnsi="仿宋_GB2312" w:eastAsia="仿宋_GB2312" w:cs="仿宋_GB2312"/>
          <w:b w:val="0"/>
          <w:bCs/>
          <w:color w:val="auto"/>
          <w:sz w:val="32"/>
          <w:szCs w:val="32"/>
          <w:highlight w:val="none"/>
        </w:rPr>
        <w:t>完成预算</w:t>
      </w:r>
      <w:r>
        <w:rPr>
          <w:rStyle w:val="17"/>
          <w:rFonts w:hint="eastAsia" w:ascii="仿宋_GB2312" w:hAnsi="仿宋_GB2312" w:eastAsia="仿宋_GB2312" w:cs="仿宋_GB2312"/>
          <w:b w:val="0"/>
          <w:bCs/>
          <w:color w:val="auto"/>
          <w:sz w:val="32"/>
          <w:szCs w:val="32"/>
          <w:highlight w:val="none"/>
          <w:lang w:val="en-US" w:eastAsia="zh-CN"/>
        </w:rPr>
        <w:t>98.68</w:t>
      </w:r>
      <w:r>
        <w:rPr>
          <w:rStyle w:val="17"/>
          <w:rFonts w:hint="eastAsia" w:ascii="仿宋_GB2312" w:hAnsi="仿宋_GB2312" w:eastAsia="仿宋_GB2312" w:cs="仿宋_GB2312"/>
          <w:b w:val="0"/>
          <w:bCs/>
          <w:color w:val="auto"/>
          <w:sz w:val="32"/>
          <w:szCs w:val="32"/>
          <w:highlight w:val="none"/>
        </w:rPr>
        <w:t>%</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lang w:val="en-US" w:eastAsia="zh-CN"/>
        </w:rPr>
        <w:t>主</w:t>
      </w:r>
      <w:r>
        <w:rPr>
          <w:rStyle w:val="17"/>
          <w:rFonts w:hint="eastAsia" w:ascii="仿宋_GB2312" w:hAnsi="仿宋_GB2312" w:eastAsia="仿宋_GB2312" w:cs="仿宋_GB2312"/>
          <w:b w:val="0"/>
          <w:bCs/>
          <w:color w:val="auto"/>
          <w:sz w:val="32"/>
          <w:szCs w:val="32"/>
          <w:highlight w:val="none"/>
        </w:rPr>
        <w:t>。其中：</w:t>
      </w:r>
      <w:bookmarkEnd w:id="51"/>
      <w:bookmarkEnd w:id="52"/>
      <w:bookmarkEnd w:id="5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人力资源和社会保障管理事务</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引进人才费用</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8.3</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2</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人力资源和社会保障管理事务</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其他人力资源和社会保障管理事务支出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2.31</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pStyle w:val="2"/>
        <w:shd w:val="clear"/>
        <w:ind w:firstLine="640" w:firstLineChars="200"/>
        <w:rPr>
          <w:rStyle w:val="17"/>
          <w:rFonts w:hint="eastAsia" w:hAnsi="仿宋_GB2312" w:cs="仿宋_GB2312"/>
          <w:b w:val="0"/>
          <w:bCs/>
          <w:color w:val="auto"/>
          <w:sz w:val="32"/>
          <w:szCs w:val="32"/>
          <w:highlight w:val="none"/>
          <w:lang w:val="en-US" w:eastAsia="zh-CN"/>
        </w:rPr>
      </w:pPr>
      <w:r>
        <w:rPr>
          <w:rStyle w:val="17"/>
          <w:rFonts w:hint="eastAsia" w:hAnsi="仿宋_GB2312" w:cs="仿宋_GB2312"/>
          <w:b w:val="0"/>
          <w:bCs/>
          <w:color w:val="auto"/>
          <w:sz w:val="32"/>
          <w:szCs w:val="32"/>
          <w:highlight w:val="none"/>
          <w:lang w:val="en-US" w:eastAsia="zh-CN"/>
        </w:rPr>
        <w:t>3.</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hAnsi="仿宋_GB2312" w:cs="仿宋_GB2312"/>
          <w:b w:val="0"/>
          <w:bCs/>
          <w:color w:val="auto"/>
          <w:sz w:val="32"/>
          <w:szCs w:val="32"/>
          <w:highlight w:val="none"/>
          <w:lang w:eastAsia="zh-CN"/>
        </w:rPr>
        <w:t>行政事业单位养老支出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机关事业单位基本养老保险缴费支出</w:t>
      </w:r>
      <w:r>
        <w:rPr>
          <w:rStyle w:val="17"/>
          <w:rFonts w:hint="eastAsia" w:ascii="仿宋_GB2312" w:hAnsi="仿宋_GB2312" w:eastAsia="仿宋_GB2312" w:cs="仿宋_GB2312"/>
          <w:b w:val="0"/>
          <w:bCs/>
          <w:color w:val="auto"/>
          <w:sz w:val="32"/>
          <w:szCs w:val="32"/>
          <w:highlight w:val="none"/>
        </w:rPr>
        <w:t>（项）</w:t>
      </w:r>
      <w:r>
        <w:rPr>
          <w:rStyle w:val="17"/>
          <w:rFonts w:hint="eastAsia" w:hAnsi="仿宋_GB2312" w:cs="仿宋_GB2312"/>
          <w:b w:val="0"/>
          <w:bCs/>
          <w:color w:val="auto"/>
          <w:sz w:val="32"/>
          <w:szCs w:val="32"/>
          <w:highlight w:val="none"/>
          <w:lang w:eastAsia="zh-CN"/>
        </w:rPr>
        <w:t>：支出决算为</w:t>
      </w:r>
      <w:r>
        <w:rPr>
          <w:rStyle w:val="17"/>
          <w:rFonts w:hint="eastAsia" w:hAnsi="仿宋_GB2312" w:cs="仿宋_GB2312"/>
          <w:b w:val="0"/>
          <w:bCs/>
          <w:color w:val="auto"/>
          <w:sz w:val="32"/>
          <w:szCs w:val="32"/>
          <w:highlight w:val="none"/>
          <w:lang w:val="en-US" w:eastAsia="zh-CN"/>
        </w:rPr>
        <w:t>141.75万元，完成预算93.86%，决算数小于预算数主要</w:t>
      </w:r>
      <w:r>
        <w:rPr>
          <w:rStyle w:val="17"/>
          <w:rFonts w:hint="eastAsia" w:ascii="仿宋_GB2312" w:hAnsi="仿宋_GB2312" w:eastAsia="仿宋_GB2312" w:cs="仿宋_GB2312"/>
          <w:b w:val="0"/>
          <w:bCs/>
          <w:color w:val="auto"/>
          <w:sz w:val="32"/>
          <w:szCs w:val="32"/>
          <w:highlight w:val="none"/>
          <w:lang w:val="en-US" w:eastAsia="zh-CN"/>
        </w:rPr>
        <w:t>原因是保险结余9.3万元，在2024年支出，项目资金结余76.6万元，在2024年收回财政</w:t>
      </w:r>
      <w:r>
        <w:rPr>
          <w:rStyle w:val="17"/>
          <w:rFonts w:hint="eastAsia" w:hAnsi="仿宋_GB2312" w:cs="仿宋_GB2312"/>
          <w:b w:val="0"/>
          <w:bCs/>
          <w:color w:val="auto"/>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eastAsia="仿宋_GB2312"/>
          <w:lang w:val="en-US" w:eastAsia="zh-CN"/>
        </w:rPr>
      </w:pPr>
      <w:r>
        <w:rPr>
          <w:rStyle w:val="17"/>
          <w:rFonts w:hint="eastAsia" w:ascii="仿宋_GB2312" w:hAnsi="仿宋_GB2312" w:eastAsia="仿宋_GB2312" w:cs="仿宋_GB2312"/>
          <w:b w:val="0"/>
          <w:bCs/>
          <w:color w:val="auto"/>
          <w:sz w:val="32"/>
          <w:szCs w:val="32"/>
          <w:highlight w:val="none"/>
          <w:lang w:val="en-US" w:eastAsia="zh-CN"/>
        </w:rPr>
        <w:t>4.</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行政事业单位养老支出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行政单位离退休</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2.36</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5</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行政事业单位养老支出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机关事业单位职业年金缴费支出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0.13</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6.</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行政事业单位养老支出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其他行政事业单位养老支出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4.41</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pStyle w:val="2"/>
        <w:rPr>
          <w:rFonts w:hint="eastAsia"/>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7</w:t>
      </w:r>
      <w:r>
        <w:rPr>
          <w:rStyle w:val="17"/>
          <w:rFonts w:hint="eastAsia" w:ascii="仿宋_GB2312" w:hAnsi="仿宋_GB2312" w:eastAsia="仿宋_GB2312" w:cs="仿宋_GB2312"/>
          <w:b w:val="0"/>
          <w:bCs/>
          <w:color w:val="auto"/>
          <w:sz w:val="32"/>
          <w:szCs w:val="32"/>
          <w:highlight w:val="none"/>
        </w:rPr>
        <w:t>.社会保障和就业（类）</w:t>
      </w:r>
      <w:r>
        <w:rPr>
          <w:rStyle w:val="17"/>
          <w:rFonts w:hint="eastAsia" w:ascii="仿宋_GB2312" w:hAnsi="仿宋_GB2312" w:eastAsia="仿宋_GB2312" w:cs="仿宋_GB2312"/>
          <w:b w:val="0"/>
          <w:bCs/>
          <w:color w:val="auto"/>
          <w:sz w:val="32"/>
          <w:szCs w:val="32"/>
          <w:highlight w:val="none"/>
          <w:lang w:eastAsia="zh-CN"/>
        </w:rPr>
        <w:t>抚恤</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死亡抚恤</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 xml:space="preserve"> 支出决算为</w:t>
      </w:r>
      <w:r>
        <w:rPr>
          <w:rStyle w:val="17"/>
          <w:rFonts w:hint="eastAsia" w:ascii="仿宋_GB2312" w:hAnsi="仿宋_GB2312" w:eastAsia="仿宋_GB2312" w:cs="仿宋_GB2312"/>
          <w:b w:val="0"/>
          <w:bCs/>
          <w:color w:val="auto"/>
          <w:sz w:val="32"/>
          <w:szCs w:val="32"/>
          <w:highlight w:val="none"/>
          <w:lang w:val="en-US" w:eastAsia="zh-CN"/>
        </w:rPr>
        <w:t>46.03</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8</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卫生健康</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行政事业单位医疗</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行政单位医疗</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60.93</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96.62</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lang w:eastAsia="zh-CN"/>
        </w:rPr>
      </w:pPr>
      <w:r>
        <w:rPr>
          <w:rStyle w:val="17"/>
          <w:rFonts w:hint="eastAsia" w:ascii="仿宋_GB2312" w:hAnsi="仿宋_GB2312" w:eastAsia="仿宋_GB2312" w:cs="仿宋_GB2312"/>
          <w:b w:val="0"/>
          <w:bCs/>
          <w:color w:val="auto"/>
          <w:sz w:val="32"/>
          <w:szCs w:val="32"/>
          <w:highlight w:val="none"/>
          <w:lang w:val="en-US" w:eastAsia="zh-CN"/>
        </w:rPr>
        <w:t>9</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行政运行</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1229.75</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99.9</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10</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水利建设征地及移民支出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169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lang w:eastAsia="zh-CN"/>
        </w:rPr>
      </w:pPr>
      <w:r>
        <w:rPr>
          <w:rStyle w:val="17"/>
          <w:rFonts w:hint="eastAsia" w:ascii="仿宋_GB2312" w:hAnsi="仿宋_GB2312" w:eastAsia="仿宋_GB2312" w:cs="仿宋_GB2312"/>
          <w:b w:val="0"/>
          <w:bCs/>
          <w:color w:val="auto"/>
          <w:sz w:val="32"/>
          <w:szCs w:val="32"/>
          <w:highlight w:val="none"/>
          <w:lang w:val="en-US" w:eastAsia="zh-CN"/>
        </w:rPr>
        <w:t>11</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水利行业业务管理</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183.59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12</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水资源节约管理与保护</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25</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7"/>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13</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水文测报</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452.09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97.43</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14</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防汛</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246.81</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80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lang w:eastAsia="zh-CN"/>
        </w:rPr>
      </w:pPr>
      <w:r>
        <w:rPr>
          <w:rStyle w:val="17"/>
          <w:rFonts w:hint="eastAsia" w:ascii="仿宋_GB2312" w:hAnsi="仿宋_GB2312" w:eastAsia="仿宋_GB2312" w:cs="仿宋_GB2312"/>
          <w:b w:val="0"/>
          <w:bCs/>
          <w:color w:val="auto"/>
          <w:sz w:val="32"/>
          <w:szCs w:val="32"/>
          <w:highlight w:val="none"/>
          <w:lang w:val="en-US" w:eastAsia="zh-CN"/>
        </w:rPr>
        <w:t>15</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水利</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其他水利支出</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2324.78</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lang w:eastAsia="zh-CN"/>
        </w:rPr>
      </w:pPr>
      <w:r>
        <w:rPr>
          <w:rStyle w:val="17"/>
          <w:rFonts w:hint="eastAsia" w:ascii="仿宋_GB2312" w:hAnsi="仿宋_GB2312" w:eastAsia="仿宋_GB2312" w:cs="仿宋_GB2312"/>
          <w:b w:val="0"/>
          <w:bCs/>
          <w:color w:val="auto"/>
          <w:sz w:val="32"/>
          <w:szCs w:val="32"/>
          <w:highlight w:val="none"/>
          <w:lang w:val="en-US" w:eastAsia="zh-CN"/>
        </w:rPr>
        <w:t>16</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农林水</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巩固脱贫衔接乡村振兴</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事业运行</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98.69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color w:val="auto"/>
          <w:sz w:val="32"/>
          <w:szCs w:val="32"/>
          <w:highlight w:val="none"/>
        </w:rPr>
      </w:pPr>
      <w:r>
        <w:rPr>
          <w:rStyle w:val="17"/>
          <w:rFonts w:hint="eastAsia" w:ascii="仿宋_GB2312" w:hAnsi="仿宋_GB2312" w:eastAsia="仿宋_GB2312" w:cs="仿宋_GB2312"/>
          <w:b w:val="0"/>
          <w:bCs/>
          <w:color w:val="auto"/>
          <w:sz w:val="32"/>
          <w:szCs w:val="32"/>
          <w:highlight w:val="none"/>
          <w:lang w:val="en-US" w:eastAsia="zh-CN"/>
        </w:rPr>
        <w:t>17</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eastAsia="zh-CN"/>
        </w:rPr>
        <w:t>住房保障</w:t>
      </w:r>
      <w:r>
        <w:rPr>
          <w:rStyle w:val="17"/>
          <w:rFonts w:hint="eastAsia" w:ascii="仿宋_GB2312" w:hAnsi="仿宋_GB2312" w:eastAsia="仿宋_GB2312" w:cs="仿宋_GB2312"/>
          <w:b w:val="0"/>
          <w:bCs/>
          <w:color w:val="auto"/>
          <w:sz w:val="32"/>
          <w:szCs w:val="32"/>
          <w:highlight w:val="none"/>
        </w:rPr>
        <w:t>（类）</w:t>
      </w:r>
      <w:r>
        <w:rPr>
          <w:rStyle w:val="17"/>
          <w:rFonts w:hint="eastAsia" w:ascii="仿宋_GB2312" w:hAnsi="仿宋_GB2312" w:eastAsia="仿宋_GB2312" w:cs="仿宋_GB2312"/>
          <w:b w:val="0"/>
          <w:bCs/>
          <w:color w:val="auto"/>
          <w:sz w:val="32"/>
          <w:szCs w:val="32"/>
          <w:highlight w:val="none"/>
          <w:lang w:eastAsia="zh-CN"/>
        </w:rPr>
        <w:t>住房改革支出</w:t>
      </w:r>
      <w:r>
        <w:rPr>
          <w:rStyle w:val="17"/>
          <w:rFonts w:hint="eastAsia" w:ascii="仿宋_GB2312" w:hAnsi="仿宋_GB2312" w:eastAsia="仿宋_GB2312" w:cs="仿宋_GB2312"/>
          <w:b w:val="0"/>
          <w:bCs/>
          <w:color w:val="auto"/>
          <w:sz w:val="32"/>
          <w:szCs w:val="32"/>
          <w:highlight w:val="none"/>
        </w:rPr>
        <w:t>（款）</w:t>
      </w:r>
      <w:r>
        <w:rPr>
          <w:rStyle w:val="17"/>
          <w:rFonts w:hint="eastAsia" w:ascii="仿宋_GB2312" w:hAnsi="仿宋_GB2312" w:eastAsia="仿宋_GB2312" w:cs="仿宋_GB2312"/>
          <w:b w:val="0"/>
          <w:bCs/>
          <w:color w:val="auto"/>
          <w:sz w:val="32"/>
          <w:szCs w:val="32"/>
          <w:highlight w:val="none"/>
          <w:lang w:eastAsia="zh-CN"/>
        </w:rPr>
        <w:t>住房公积金</w:t>
      </w:r>
      <w:r>
        <w:rPr>
          <w:rStyle w:val="17"/>
          <w:rFonts w:hint="eastAsia" w:ascii="仿宋_GB2312" w:hAnsi="仿宋_GB2312" w:eastAsia="仿宋_GB2312" w:cs="仿宋_GB2312"/>
          <w:b w:val="0"/>
          <w:bCs/>
          <w:color w:val="auto"/>
          <w:sz w:val="32"/>
          <w:szCs w:val="32"/>
          <w:highlight w:val="none"/>
        </w:rPr>
        <w:t>（项）</w:t>
      </w:r>
      <w:r>
        <w:rPr>
          <w:rStyle w:val="17"/>
          <w:rFonts w:hint="eastAsia" w:ascii="仿宋_GB2312" w:hAnsi="仿宋_GB2312" w:eastAsia="仿宋_GB2312" w:cs="仿宋_GB2312"/>
          <w:b w:val="0"/>
          <w:bCs/>
          <w:color w:val="auto"/>
          <w:sz w:val="32"/>
          <w:szCs w:val="32"/>
          <w:highlight w:val="none"/>
          <w:lang w:eastAsia="zh-CN"/>
        </w:rPr>
        <w:t>：</w:t>
      </w:r>
      <w:r>
        <w:rPr>
          <w:rStyle w:val="17"/>
          <w:rFonts w:hint="eastAsia" w:ascii="仿宋_GB2312" w:hAnsi="仿宋_GB2312" w:eastAsia="仿宋_GB2312" w:cs="仿宋_GB2312"/>
          <w:b w:val="0"/>
          <w:bCs/>
          <w:color w:val="auto"/>
          <w:sz w:val="32"/>
          <w:szCs w:val="32"/>
          <w:highlight w:val="none"/>
        </w:rPr>
        <w:t>支出决算为</w:t>
      </w:r>
      <w:r>
        <w:rPr>
          <w:rStyle w:val="17"/>
          <w:rFonts w:hint="eastAsia" w:ascii="仿宋_GB2312" w:hAnsi="仿宋_GB2312" w:eastAsia="仿宋_GB2312" w:cs="仿宋_GB2312"/>
          <w:b w:val="0"/>
          <w:bCs/>
          <w:color w:val="auto"/>
          <w:sz w:val="32"/>
          <w:szCs w:val="32"/>
          <w:highlight w:val="none"/>
          <w:lang w:val="en-US" w:eastAsia="zh-CN"/>
        </w:rPr>
        <w:t>112.29</w:t>
      </w:r>
      <w:r>
        <w:rPr>
          <w:rStyle w:val="17"/>
          <w:rFonts w:hint="eastAsia" w:ascii="仿宋_GB2312" w:hAnsi="仿宋_GB2312" w:eastAsia="仿宋_GB2312" w:cs="仿宋_GB2312"/>
          <w:b w:val="0"/>
          <w:bCs/>
          <w:color w:val="auto"/>
          <w:sz w:val="32"/>
          <w:szCs w:val="32"/>
          <w:highlight w:val="none"/>
        </w:rPr>
        <w:t>万元，完成预算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p>
    <w:p>
      <w:pPr>
        <w:shd w:val="clear"/>
        <w:tabs>
          <w:tab w:val="right" w:pos="8306"/>
        </w:tabs>
        <w:spacing w:line="600" w:lineRule="exact"/>
        <w:ind w:firstLine="640"/>
        <w:outlineLvl w:val="1"/>
        <w:rPr>
          <w:rStyle w:val="20"/>
          <w:color w:val="auto"/>
          <w:highlight w:val="none"/>
        </w:rPr>
      </w:pPr>
      <w:bookmarkStart w:id="54" w:name="_Toc3067"/>
      <w:bookmarkStart w:id="55" w:name="_Toc15396608"/>
      <w:bookmarkStart w:id="56"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54"/>
      <w:bookmarkEnd w:id="55"/>
      <w:bookmarkEnd w:id="56"/>
      <w:r>
        <w:rPr>
          <w:rStyle w:val="20"/>
          <w:rFonts w:ascii="黑体" w:hAnsi="黑体" w:eastAsia="黑体"/>
          <w:b w:val="0"/>
          <w:color w:val="auto"/>
          <w:highlight w:val="none"/>
        </w:rPr>
        <w:tab/>
      </w:r>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1706.96</w:t>
      </w:r>
      <w:r>
        <w:rPr>
          <w:rFonts w:hint="eastAsia" w:ascii="仿宋_GB2312" w:hAnsi="仿宋_GB2312" w:eastAsia="仿宋_GB2312" w:cs="仿宋_GB2312"/>
          <w:color w:val="auto"/>
          <w:sz w:val="32"/>
          <w:szCs w:val="32"/>
          <w:highlight w:val="none"/>
        </w:rPr>
        <w:t>万元，其中：</w:t>
      </w:r>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1491.44</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w:t>
      </w:r>
      <w:r>
        <w:rPr>
          <w:rFonts w:hint="eastAsia" w:ascii="仿宋_GB2312" w:hAnsi="仿宋_GB2312" w:eastAsia="仿宋_GB2312" w:cs="仿宋_GB2312"/>
          <w:color w:val="auto"/>
          <w:sz w:val="32"/>
          <w:szCs w:val="32"/>
          <w:highlight w:val="none"/>
          <w:lang w:eastAsia="zh-CN"/>
        </w:rPr>
        <w:t>职工基本医疗保险缴费、</w:t>
      </w:r>
      <w:r>
        <w:rPr>
          <w:rFonts w:hint="eastAsia" w:ascii="仿宋_GB2312" w:hAnsi="仿宋_GB2312" w:eastAsia="仿宋_GB2312" w:cs="仿宋_GB2312"/>
          <w:color w:val="auto"/>
          <w:sz w:val="32"/>
          <w:szCs w:val="32"/>
          <w:highlight w:val="none"/>
        </w:rPr>
        <w:t>其他社会保障缴费、</w:t>
      </w:r>
      <w:r>
        <w:rPr>
          <w:rFonts w:hint="eastAsia" w:ascii="仿宋_GB2312" w:hAnsi="仿宋_GB2312" w:eastAsia="仿宋_GB2312" w:cs="仿宋_GB2312"/>
          <w:color w:val="auto"/>
          <w:sz w:val="32"/>
          <w:szCs w:val="32"/>
          <w:highlight w:val="none"/>
          <w:lang w:eastAsia="zh-CN"/>
        </w:rPr>
        <w:t>住房公积金、</w:t>
      </w:r>
      <w:r>
        <w:rPr>
          <w:rFonts w:hint="eastAsia" w:ascii="仿宋_GB2312" w:hAnsi="仿宋_GB2312" w:eastAsia="仿宋_GB2312" w:cs="仿宋_GB2312"/>
          <w:color w:val="auto"/>
          <w:sz w:val="32"/>
          <w:szCs w:val="32"/>
          <w:highlight w:val="none"/>
        </w:rPr>
        <w:t>抚恤金、生活补助、</w:t>
      </w:r>
      <w:r>
        <w:rPr>
          <w:rFonts w:hint="eastAsia" w:ascii="仿宋_GB2312" w:hAnsi="仿宋_GB2312" w:eastAsia="仿宋_GB2312" w:cs="仿宋_GB2312"/>
          <w:color w:val="auto"/>
          <w:sz w:val="32"/>
          <w:szCs w:val="32"/>
          <w:highlight w:val="none"/>
          <w:lang w:eastAsia="zh-CN"/>
        </w:rPr>
        <w:t>奖励金、</w:t>
      </w:r>
      <w:r>
        <w:rPr>
          <w:rFonts w:hint="eastAsia" w:ascii="仿宋_GB2312" w:hAnsi="仿宋_GB2312" w:eastAsia="仿宋_GB2312" w:cs="仿宋_GB2312"/>
          <w:color w:val="auto"/>
          <w:sz w:val="32"/>
          <w:szCs w:val="32"/>
          <w:highlight w:val="none"/>
        </w:rPr>
        <w:t>其他对个人和家庭的补助支出。</w:t>
      </w:r>
    </w:p>
    <w:p>
      <w:pPr>
        <w:shd w:val="clear"/>
        <w:spacing w:line="600" w:lineRule="exact"/>
        <w:ind w:firstLine="645"/>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val="en-US" w:eastAsia="zh-CN"/>
        </w:rPr>
        <w:t>215.52</w:t>
      </w:r>
      <w:r>
        <w:rPr>
          <w:rFonts w:hint="eastAsia" w:ascii="仿宋_GB2312" w:hAnsi="仿宋_GB2312" w:eastAsia="仿宋_GB2312" w:cs="仿宋_GB2312"/>
          <w:color w:val="auto"/>
          <w:sz w:val="32"/>
          <w:szCs w:val="32"/>
          <w:highlight w:val="none"/>
        </w:rPr>
        <w:t>万元，主要包括：办公费、印刷费、</w:t>
      </w:r>
      <w:r>
        <w:rPr>
          <w:rFonts w:hint="eastAsia" w:ascii="仿宋_GB2312" w:hAnsi="仿宋_GB2312" w:eastAsia="仿宋_GB2312" w:cs="仿宋_GB2312"/>
          <w:color w:val="auto"/>
          <w:sz w:val="32"/>
          <w:szCs w:val="32"/>
          <w:highlight w:val="none"/>
          <w:lang w:eastAsia="zh-CN"/>
        </w:rPr>
        <w:t>手续费、</w:t>
      </w:r>
      <w:r>
        <w:rPr>
          <w:rFonts w:hint="eastAsia" w:ascii="仿宋_GB2312" w:hAnsi="仿宋_GB2312" w:eastAsia="仿宋_GB2312" w:cs="仿宋_GB2312"/>
          <w:color w:val="auto"/>
          <w:sz w:val="32"/>
          <w:szCs w:val="32"/>
          <w:highlight w:val="none"/>
        </w:rPr>
        <w:t>水费、电费、邮电费、物业管理费、差旅费、</w:t>
      </w:r>
      <w:r>
        <w:rPr>
          <w:rFonts w:hint="eastAsia" w:ascii="仿宋_GB2312" w:hAnsi="仿宋_GB2312" w:eastAsia="仿宋_GB2312" w:cs="仿宋_GB2312"/>
          <w:color w:val="auto"/>
          <w:sz w:val="32"/>
          <w:szCs w:val="32"/>
          <w:highlight w:val="none"/>
          <w:lang w:eastAsia="zh-CN"/>
        </w:rPr>
        <w:t>租赁费、</w:t>
      </w:r>
      <w:r>
        <w:rPr>
          <w:rFonts w:hint="eastAsia" w:ascii="仿宋_GB2312" w:hAnsi="仿宋_GB2312" w:eastAsia="仿宋_GB2312" w:cs="仿宋_GB2312"/>
          <w:color w:val="auto"/>
          <w:sz w:val="32"/>
          <w:szCs w:val="32"/>
          <w:highlight w:val="none"/>
        </w:rPr>
        <w:t>会议费、公务接待费、工会经费、福利费、公务用车运行维护费、其他交通费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shd w:val="clear"/>
        <w:spacing w:line="600" w:lineRule="exact"/>
        <w:ind w:firstLine="640"/>
        <w:outlineLvl w:val="1"/>
        <w:rPr>
          <w:rStyle w:val="20"/>
          <w:rFonts w:ascii="黑体" w:hAnsi="黑体" w:eastAsia="黑体"/>
          <w:b w:val="0"/>
          <w:color w:val="auto"/>
          <w:highlight w:val="none"/>
        </w:rPr>
      </w:pPr>
      <w:bookmarkStart w:id="57" w:name="_Toc15396609"/>
      <w:bookmarkStart w:id="58" w:name="_Toc16621"/>
      <w:bookmarkStart w:id="59" w:name="_Toc15377215"/>
      <w:r>
        <w:rPr>
          <w:rFonts w:hint="eastAsia" w:ascii="黑体" w:eastAsia="黑体"/>
          <w:color w:val="auto"/>
          <w:sz w:val="32"/>
          <w:szCs w:val="32"/>
          <w:highlight w:val="none"/>
        </w:rPr>
        <w:t>七、</w:t>
      </w:r>
      <w:r>
        <w:rPr>
          <w:rFonts w:hint="eastAsia" w:ascii="黑体" w:eastAsia="黑体"/>
          <w:color w:val="auto"/>
          <w:sz w:val="32"/>
          <w:szCs w:val="32"/>
          <w:highlight w:val="none"/>
          <w:lang w:eastAsia="zh-CN"/>
        </w:rPr>
        <w:t>财政拨款</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三公”经费财政拨款支出决算情况说明</w:t>
      </w:r>
      <w:bookmarkEnd w:id="57"/>
      <w:bookmarkEnd w:id="58"/>
      <w:bookmarkEnd w:id="59"/>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0" w:name="_Toc15377216"/>
      <w:r>
        <w:rPr>
          <w:rFonts w:hint="eastAsia" w:ascii="楷体_GB2312" w:hAnsi="楷体_GB2312" w:eastAsia="楷体_GB2312" w:cs="楷体_GB2312"/>
          <w:b w:val="0"/>
          <w:bCs/>
          <w:color w:val="auto"/>
          <w:sz w:val="32"/>
          <w:szCs w:val="32"/>
          <w:highlight w:val="none"/>
        </w:rPr>
        <w:t>（一）“三公”经费财政拨款支出决算总体情况说明</w:t>
      </w:r>
      <w:bookmarkEnd w:id="60"/>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23.15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%，决算数</w:t>
      </w:r>
      <w:r>
        <w:rPr>
          <w:rFonts w:hint="eastAsia" w:ascii="仿宋_GB2312" w:hAnsi="仿宋_GB2312" w:eastAsia="仿宋_GB2312" w:cs="仿宋_GB2312"/>
          <w:color w:val="auto"/>
          <w:sz w:val="32"/>
          <w:szCs w:val="32"/>
          <w:highlight w:val="none"/>
          <w:lang w:eastAsia="zh-CN"/>
        </w:rPr>
        <w:t>与</w:t>
      </w:r>
      <w:r>
        <w:rPr>
          <w:rFonts w:hint="eastAsia" w:ascii="仿宋_GB2312" w:hAnsi="仿宋_GB2312" w:eastAsia="仿宋_GB2312" w:cs="仿宋_GB2312"/>
          <w:color w:val="auto"/>
          <w:sz w:val="32"/>
          <w:szCs w:val="32"/>
          <w:highlight w:val="none"/>
        </w:rPr>
        <w:t>预算数</w:t>
      </w:r>
      <w:r>
        <w:rPr>
          <w:rFonts w:hint="eastAsia" w:ascii="仿宋_GB2312" w:hAnsi="仿宋_GB2312" w:eastAsia="仿宋_GB2312" w:cs="仿宋_GB2312"/>
          <w:color w:val="auto"/>
          <w:sz w:val="32"/>
          <w:szCs w:val="32"/>
          <w:highlight w:val="none"/>
          <w:lang w:eastAsia="zh-CN"/>
        </w:rPr>
        <w:t>持平。我局加强“三公经费”的内控管理，严格执行“三公经费”管理规定</w:t>
      </w:r>
      <w:r>
        <w:rPr>
          <w:rFonts w:hint="eastAsia" w:ascii="仿宋_GB2312" w:hAnsi="仿宋_GB2312" w:eastAsia="仿宋_GB2312" w:cs="仿宋_GB2312"/>
          <w:color w:val="auto"/>
          <w:sz w:val="32"/>
          <w:szCs w:val="32"/>
          <w:highlight w:val="none"/>
        </w:rPr>
        <w:t>。</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61" w:name="_Toc15377217"/>
      <w:r>
        <w:rPr>
          <w:rFonts w:hint="eastAsia" w:ascii="楷体_GB2312" w:hAnsi="楷体_GB2312" w:eastAsia="楷体_GB2312" w:cs="楷体_GB2312"/>
          <w:b w:val="0"/>
          <w:bCs/>
          <w:color w:val="auto"/>
          <w:sz w:val="32"/>
          <w:szCs w:val="32"/>
          <w:highlight w:val="none"/>
        </w:rPr>
        <w:t>（二）“三公”经费财政拨款支出决算具体情况说明</w:t>
      </w:r>
      <w:bookmarkEnd w:id="61"/>
    </w:p>
    <w:p>
      <w:pPr>
        <w:shd w:val="clear"/>
        <w:spacing w:line="600" w:lineRule="exact"/>
        <w:ind w:firstLine="645"/>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86.39</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3.15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13.61</w:t>
      </w:r>
      <w:r>
        <w:rPr>
          <w:rFonts w:hint="eastAsia" w:ascii="仿宋_GB2312" w:hAnsi="仿宋_GB2312" w:eastAsia="仿宋_GB2312" w:cs="仿宋_GB2312"/>
          <w:color w:val="auto"/>
          <w:sz w:val="32"/>
          <w:szCs w:val="32"/>
          <w:highlight w:val="none"/>
        </w:rPr>
        <w:t>%。具体情况如下：</w:t>
      </w:r>
    </w:p>
    <w:p>
      <w:pPr>
        <w:pStyle w:val="33"/>
        <w:shd w:val="clear"/>
        <w:jc w:val="center"/>
        <w:rPr>
          <w:color w:val="auto"/>
          <w:highlight w:val="none"/>
        </w:rPr>
      </w:pPr>
      <w:r>
        <w:drawing>
          <wp:inline distT="0" distB="0" distL="114300" distR="114300">
            <wp:extent cx="4391025" cy="2686685"/>
            <wp:effectExtent l="4445" t="4445" r="5080" b="13970"/>
            <wp:docPr id="6"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hd w:val="clear"/>
        <w:spacing w:line="600" w:lineRule="exact"/>
        <w:ind w:firstLine="645"/>
        <w:jc w:val="cente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（图7：“三公”经费财政拨款支出结构）</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rPr>
          <w:rStyle w:val="17"/>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rPr>
        <w:t>因公出国（境）经费支出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Style w:val="17"/>
          <w:rFonts w:hint="eastAsia" w:ascii="仿宋_GB2312" w:hAnsi="仿宋_GB2312" w:eastAsia="仿宋_GB2312" w:cs="仿宋_GB2312"/>
          <w:b w:val="0"/>
          <w:bCs w:val="0"/>
          <w:color w:val="auto"/>
          <w:sz w:val="32"/>
          <w:szCs w:val="32"/>
          <w:highlight w:val="none"/>
        </w:rPr>
        <w:t>年初未安排预算</w:t>
      </w:r>
      <w:r>
        <w:rPr>
          <w:rStyle w:val="17"/>
          <w:rFonts w:hint="eastAsia" w:ascii="仿宋_GB2312" w:hAnsi="仿宋_GB2312" w:eastAsia="仿宋_GB2312" w:cs="仿宋_GB2312"/>
          <w:b w:val="0"/>
          <w:bCs w:val="0"/>
          <w:color w:val="auto"/>
          <w:sz w:val="32"/>
          <w:szCs w:val="32"/>
          <w:highlight w:val="none"/>
          <w:lang w:eastAsia="zh-CN"/>
        </w:rPr>
        <w:t>，年度未发生费用</w:t>
      </w:r>
      <w:r>
        <w:rPr>
          <w:rStyle w:val="17"/>
          <w:rFonts w:hint="eastAsia" w:ascii="仿宋_GB2312" w:hAnsi="仿宋_GB2312" w:eastAsia="仿宋_GB2312" w:cs="仿宋_GB2312"/>
          <w:b w:val="0"/>
          <w:bCs w:val="0"/>
          <w:color w:val="auto"/>
          <w:sz w:val="32"/>
          <w:szCs w:val="32"/>
          <w:highlight w:val="none"/>
          <w:lang w:val="en-US" w:eastAsia="zh-CN"/>
        </w:rPr>
        <w:t>，较2022年度无变化。</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2.公务用车购置及运行维护费支出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Style w:val="17"/>
          <w:rFonts w:hint="eastAsia" w:ascii="仿宋_GB2312" w:hAnsi="仿宋_GB2312" w:eastAsia="仿宋_GB2312" w:cs="仿宋_GB2312"/>
          <w:b w:val="0"/>
          <w:bCs w:val="0"/>
          <w:color w:val="auto"/>
          <w:sz w:val="32"/>
          <w:szCs w:val="32"/>
          <w:highlight w:val="none"/>
        </w:rPr>
        <w:t>完成预算</w:t>
      </w:r>
      <w:r>
        <w:rPr>
          <w:rStyle w:val="17"/>
          <w:rFonts w:hint="eastAsia" w:ascii="仿宋_GB2312" w:hAnsi="仿宋_GB2312" w:eastAsia="仿宋_GB2312" w:cs="仿宋_GB2312"/>
          <w:b w:val="0"/>
          <w:bCs w:val="0"/>
          <w:color w:val="auto"/>
          <w:sz w:val="32"/>
          <w:szCs w:val="32"/>
          <w:highlight w:val="none"/>
          <w:lang w:val="en-US" w:eastAsia="zh-CN"/>
        </w:rPr>
        <w:t>100</w:t>
      </w:r>
      <w:r>
        <w:rPr>
          <w:rStyle w:val="17"/>
          <w:rFonts w:hint="eastAsia" w:ascii="仿宋_GB2312" w:hAnsi="仿宋_GB2312" w:eastAsia="仿宋_GB2312" w:cs="仿宋_GB2312"/>
          <w:b w:val="0"/>
          <w:bCs w:val="0"/>
          <w:color w:val="auto"/>
          <w:sz w:val="32"/>
          <w:szCs w:val="32"/>
          <w:highlight w:val="none"/>
        </w:rPr>
        <w:t>%。</w:t>
      </w:r>
      <w:r>
        <w:rPr>
          <w:rStyle w:val="17"/>
          <w:rFonts w:hint="eastAsia" w:ascii="仿宋_GB2312" w:hAnsi="仿宋_GB2312" w:eastAsia="仿宋_GB2312" w:cs="仿宋_GB2312"/>
          <w:b w:val="0"/>
          <w:bCs w:val="0"/>
          <w:color w:val="auto"/>
          <w:sz w:val="32"/>
          <w:szCs w:val="32"/>
          <w:highlight w:val="none"/>
          <w:lang w:val="en-US" w:eastAsia="zh-CN"/>
        </w:rPr>
        <w:t>较2022年度无变化。</w:t>
      </w:r>
    </w:p>
    <w:p>
      <w:pPr>
        <w:shd w:val="clear"/>
        <w:spacing w:line="600" w:lineRule="exact"/>
        <w:ind w:firstLine="640" w:firstLineChars="200"/>
        <w:rPr>
          <w:rFonts w:ascii="仿宋_GB2312" w:eastAsia="仿宋_GB2312"/>
          <w:b/>
          <w:color w:val="auto"/>
          <w:sz w:val="32"/>
          <w:szCs w:val="32"/>
          <w:highlight w:val="none"/>
        </w:rPr>
      </w:pPr>
      <w:r>
        <w:rPr>
          <w:rFonts w:hint="eastAsia" w:ascii="仿宋_GB2312" w:hAnsi="仿宋_GB2312" w:eastAsia="仿宋_GB2312" w:cs="仿宋_GB2312"/>
          <w:b w:val="0"/>
          <w:bCs w:val="0"/>
          <w:color w:val="auto"/>
          <w:sz w:val="32"/>
          <w:szCs w:val="32"/>
          <w:highlight w:val="none"/>
        </w:rPr>
        <w:t>其中：公务用车购置支出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万元。按规定更新购置公务用车</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辆。</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w:t>
      </w:r>
    </w:p>
    <w:p>
      <w:pPr>
        <w:pageBreakBefore w:val="0"/>
        <w:shd w:val="clear"/>
        <w:kinsoku/>
        <w:wordWrap/>
        <w:overflowPunct/>
        <w:topLinePunct w:val="0"/>
        <w:bidi w:val="0"/>
        <w:spacing w:line="576" w:lineRule="exact"/>
        <w:ind w:firstLine="640"/>
        <w:jc w:val="both"/>
        <w:textAlignment w:val="auto"/>
        <w:rPr>
          <w:color w:val="auto"/>
          <w:highlight w:val="none"/>
        </w:rPr>
      </w:pPr>
      <w:r>
        <w:rPr>
          <w:rFonts w:hint="eastAsia" w:ascii="仿宋_GB2312" w:eastAsia="仿宋_GB2312"/>
          <w:b w:val="0"/>
          <w:bCs/>
          <w:color w:val="auto"/>
          <w:sz w:val="32"/>
          <w:szCs w:val="32"/>
          <w:highlight w:val="none"/>
        </w:rPr>
        <w:t>公务用车运行维护费支出</w:t>
      </w:r>
      <w:r>
        <w:rPr>
          <w:rFonts w:hint="eastAsia" w:ascii="仿宋_GB2312" w:eastAsia="仿宋_GB2312"/>
          <w:b w:val="0"/>
          <w:bCs/>
          <w:color w:val="auto"/>
          <w:sz w:val="32"/>
          <w:szCs w:val="32"/>
          <w:highlight w:val="none"/>
          <w:lang w:val="en-US" w:eastAsia="zh-CN"/>
        </w:rPr>
        <w:t>20</w:t>
      </w:r>
      <w:r>
        <w:rPr>
          <w:rFonts w:hint="eastAsia" w:ascii="仿宋_GB2312" w:eastAsia="仿宋_GB2312"/>
          <w:b w:val="0"/>
          <w:bCs/>
          <w:color w:val="auto"/>
          <w:sz w:val="32"/>
          <w:szCs w:val="32"/>
          <w:highlight w:val="none"/>
        </w:rPr>
        <w:t>万元。主要用于水质监测、防汛抗旱、水利执法检查、农村安全饮水、河长制、</w:t>
      </w:r>
      <w:r>
        <w:rPr>
          <w:rFonts w:hint="eastAsia" w:ascii="仿宋_GB2312" w:eastAsia="仿宋_GB2312"/>
          <w:b w:val="0"/>
          <w:bCs/>
          <w:color w:val="auto"/>
          <w:sz w:val="32"/>
          <w:szCs w:val="32"/>
          <w:highlight w:val="none"/>
          <w:lang w:eastAsia="zh-CN"/>
        </w:rPr>
        <w:t>移民后扶、乡村振兴</w:t>
      </w:r>
      <w:r>
        <w:rPr>
          <w:rFonts w:hint="eastAsia" w:ascii="仿宋_GB2312" w:eastAsia="仿宋_GB2312"/>
          <w:b w:val="0"/>
          <w:bCs/>
          <w:color w:val="auto"/>
          <w:sz w:val="32"/>
          <w:szCs w:val="32"/>
          <w:highlight w:val="none"/>
        </w:rPr>
        <w:t>等所需的公务用车燃料费、维修费、过路过桥费、保险费等支出。</w:t>
      </w:r>
    </w:p>
    <w:p>
      <w:pPr>
        <w:shd w:val="clear"/>
        <w:spacing w:line="600" w:lineRule="exact"/>
        <w:ind w:firstLine="64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3.公务接待费支出</w:t>
      </w:r>
      <w:r>
        <w:rPr>
          <w:rFonts w:hint="eastAsia" w:ascii="仿宋_GB2312" w:hAnsi="仿宋_GB2312" w:eastAsia="仿宋_GB2312" w:cs="仿宋_GB2312"/>
          <w:b w:val="0"/>
          <w:bCs/>
          <w:color w:val="auto"/>
          <w:sz w:val="32"/>
          <w:szCs w:val="32"/>
          <w:highlight w:val="none"/>
          <w:lang w:val="en-US" w:eastAsia="zh-CN"/>
        </w:rPr>
        <w:t>3.15</w:t>
      </w:r>
      <w:r>
        <w:rPr>
          <w:rFonts w:hint="eastAsia" w:ascii="仿宋_GB2312" w:hAnsi="仿宋_GB2312" w:eastAsia="仿宋_GB2312" w:cs="仿宋_GB2312"/>
          <w:b w:val="0"/>
          <w:bCs/>
          <w:color w:val="auto"/>
          <w:sz w:val="32"/>
          <w:szCs w:val="32"/>
          <w:highlight w:val="none"/>
        </w:rPr>
        <w:t>万元，</w:t>
      </w:r>
      <w:r>
        <w:rPr>
          <w:rStyle w:val="17"/>
          <w:rFonts w:hint="eastAsia" w:ascii="仿宋_GB2312" w:hAnsi="仿宋_GB2312" w:eastAsia="仿宋_GB2312" w:cs="仿宋_GB2312"/>
          <w:b w:val="0"/>
          <w:bCs/>
          <w:color w:val="auto"/>
          <w:sz w:val="32"/>
          <w:szCs w:val="32"/>
          <w:highlight w:val="none"/>
        </w:rPr>
        <w:t>完成预算</w:t>
      </w:r>
      <w:r>
        <w:rPr>
          <w:rStyle w:val="17"/>
          <w:rFonts w:hint="eastAsia" w:ascii="仿宋_GB2312" w:hAnsi="仿宋_GB2312" w:eastAsia="仿宋_GB2312" w:cs="仿宋_GB2312"/>
          <w:b w:val="0"/>
          <w:bCs/>
          <w:color w:val="auto"/>
          <w:sz w:val="32"/>
          <w:szCs w:val="32"/>
          <w:highlight w:val="none"/>
          <w:lang w:val="en-US" w:eastAsia="zh-CN"/>
        </w:rPr>
        <w:t>100</w:t>
      </w:r>
      <w:r>
        <w:rPr>
          <w:rStyle w:val="17"/>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rPr>
        <w:t>公务接待费支出决算比20</w:t>
      </w:r>
      <w:r>
        <w:rPr>
          <w:rFonts w:hint="eastAsia" w:ascii="仿宋_GB2312" w:hAnsi="仿宋_GB2312" w:eastAsia="仿宋_GB2312" w:cs="仿宋_GB2312"/>
          <w:b w:val="0"/>
          <w:bCs/>
          <w:color w:val="auto"/>
          <w:sz w:val="32"/>
          <w:szCs w:val="32"/>
          <w:highlight w:val="none"/>
          <w:lang w:val="en-US" w:eastAsia="zh-CN"/>
        </w:rPr>
        <w:t>22</w:t>
      </w:r>
      <w:r>
        <w:rPr>
          <w:rFonts w:hint="eastAsia" w:ascii="仿宋_GB2312" w:hAnsi="仿宋_GB2312" w:eastAsia="仿宋_GB2312" w:cs="仿宋_GB2312"/>
          <w:b w:val="0"/>
          <w:bCs/>
          <w:color w:val="auto"/>
          <w:sz w:val="32"/>
          <w:szCs w:val="32"/>
          <w:highlight w:val="none"/>
        </w:rPr>
        <w:t>年</w:t>
      </w:r>
      <w:r>
        <w:rPr>
          <w:rFonts w:hint="eastAsia" w:ascii="仿宋_GB2312" w:hAnsi="仿宋_GB2312" w:eastAsia="仿宋_GB2312" w:cs="仿宋_GB2312"/>
          <w:b w:val="0"/>
          <w:bCs/>
          <w:color w:val="auto"/>
          <w:sz w:val="32"/>
          <w:szCs w:val="32"/>
          <w:highlight w:val="none"/>
          <w:lang w:eastAsia="zh-CN"/>
        </w:rPr>
        <w:t>增加</w:t>
      </w:r>
      <w:r>
        <w:rPr>
          <w:rFonts w:hint="eastAsia" w:ascii="仿宋_GB2312" w:hAnsi="仿宋_GB2312" w:eastAsia="仿宋_GB2312" w:cs="仿宋_GB2312"/>
          <w:b w:val="0"/>
          <w:bCs/>
          <w:color w:val="auto"/>
          <w:sz w:val="32"/>
          <w:szCs w:val="32"/>
          <w:highlight w:val="none"/>
          <w:lang w:val="en-US" w:eastAsia="zh-CN"/>
        </w:rPr>
        <w:t>0.64</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b w:val="0"/>
          <w:bCs/>
          <w:color w:val="auto"/>
          <w:sz w:val="32"/>
          <w:szCs w:val="32"/>
          <w:highlight w:val="none"/>
          <w:lang w:eastAsia="zh-CN"/>
        </w:rPr>
        <w:t>增长</w:t>
      </w:r>
      <w:r>
        <w:rPr>
          <w:rFonts w:hint="eastAsia" w:ascii="仿宋_GB2312" w:hAnsi="仿宋_GB2312" w:eastAsia="仿宋_GB2312" w:cs="仿宋_GB2312"/>
          <w:b w:val="0"/>
          <w:bCs/>
          <w:color w:val="auto"/>
          <w:sz w:val="32"/>
          <w:szCs w:val="32"/>
          <w:highlight w:val="none"/>
          <w:lang w:val="en-US" w:eastAsia="zh-CN"/>
        </w:rPr>
        <w:t>25.5</w:t>
      </w:r>
      <w:r>
        <w:rPr>
          <w:rFonts w:hint="eastAsia" w:ascii="仿宋_GB2312" w:hAnsi="仿宋_GB2312" w:eastAsia="仿宋_GB2312" w:cs="仿宋_GB2312"/>
          <w:b w:val="0"/>
          <w:bCs/>
          <w:color w:val="auto"/>
          <w:sz w:val="32"/>
          <w:szCs w:val="32"/>
          <w:highlight w:val="none"/>
        </w:rPr>
        <w:t>%。主要原因是</w:t>
      </w:r>
      <w:r>
        <w:rPr>
          <w:rFonts w:hint="eastAsia" w:ascii="仿宋_GB2312" w:hAnsi="仿宋_GB2312" w:eastAsia="仿宋_GB2312" w:cs="仿宋_GB2312"/>
          <w:b w:val="0"/>
          <w:bCs/>
          <w:color w:val="auto"/>
          <w:sz w:val="32"/>
          <w:szCs w:val="32"/>
          <w:highlight w:val="none"/>
          <w:lang w:val="en-US" w:eastAsia="zh-CN"/>
        </w:rPr>
        <w:t>2022年受疫情影响公务接待批次较少</w:t>
      </w:r>
      <w:r>
        <w:rPr>
          <w:rFonts w:hint="eastAsia" w:ascii="仿宋_GB2312" w:hAnsi="仿宋_GB2312" w:eastAsia="仿宋_GB2312" w:cs="仿宋_GB2312"/>
          <w:b w:val="0"/>
          <w:bCs/>
          <w:color w:val="auto"/>
          <w:sz w:val="32"/>
          <w:szCs w:val="32"/>
          <w:highlight w:val="none"/>
        </w:rPr>
        <w:t>。其中：</w:t>
      </w:r>
    </w:p>
    <w:p>
      <w:pPr>
        <w:shd w:val="clear"/>
        <w:spacing w:line="600" w:lineRule="exact"/>
        <w:ind w:firstLine="640"/>
        <w:rPr>
          <w:rFonts w:hint="default" w:ascii="仿宋_GB2312" w:eastAsia="仿宋_GB2312"/>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rPr>
        <w:t>国内公务接待支出</w:t>
      </w:r>
      <w:r>
        <w:rPr>
          <w:rFonts w:hint="eastAsia" w:ascii="仿宋_GB2312" w:hAnsi="仿宋_GB2312" w:eastAsia="仿宋_GB2312" w:cs="仿宋_GB2312"/>
          <w:b w:val="0"/>
          <w:bCs/>
          <w:color w:val="auto"/>
          <w:sz w:val="32"/>
          <w:szCs w:val="32"/>
          <w:highlight w:val="none"/>
          <w:lang w:val="en-US" w:eastAsia="zh-CN"/>
        </w:rPr>
        <w:t>3.15</w:t>
      </w:r>
      <w:r>
        <w:rPr>
          <w:rFonts w:hint="eastAsia" w:ascii="仿宋_GB2312" w:hAnsi="仿宋_GB2312" w:eastAsia="仿宋_GB2312" w:cs="仿宋_GB2312"/>
          <w:b w:val="0"/>
          <w:bCs/>
          <w:color w:val="auto"/>
          <w:sz w:val="32"/>
          <w:szCs w:val="32"/>
          <w:highlight w:val="none"/>
        </w:rPr>
        <w:t>万元，主要用于</w:t>
      </w:r>
      <w:r>
        <w:rPr>
          <w:rFonts w:hint="eastAsia" w:ascii="仿宋_GB2312" w:hAnsi="仿宋_GB2312" w:eastAsia="仿宋_GB2312" w:cs="仿宋_GB2312"/>
          <w:b w:val="0"/>
          <w:bCs/>
          <w:color w:val="auto"/>
          <w:sz w:val="32"/>
          <w:szCs w:val="32"/>
          <w:highlight w:val="none"/>
          <w:lang w:eastAsia="zh-CN"/>
        </w:rPr>
        <w:t>部、省等</w:t>
      </w:r>
      <w:r>
        <w:rPr>
          <w:rFonts w:hint="eastAsia" w:ascii="仿宋_GB2312" w:hAnsi="仿宋_GB2312" w:eastAsia="仿宋_GB2312" w:cs="仿宋_GB2312"/>
          <w:b w:val="0"/>
          <w:bCs/>
          <w:color w:val="auto"/>
          <w:sz w:val="32"/>
          <w:szCs w:val="32"/>
          <w:highlight w:val="none"/>
        </w:rPr>
        <w:t>执行公务、开展业务活动开支的用餐费等。</w:t>
      </w:r>
      <w:r>
        <w:rPr>
          <w:rFonts w:hint="eastAsia" w:ascii="仿宋_GB2312" w:eastAsia="仿宋_GB2312"/>
          <w:color w:val="auto"/>
          <w:sz w:val="32"/>
          <w:szCs w:val="32"/>
          <w:highlight w:val="none"/>
        </w:rPr>
        <w:t>国内公务接待</w:t>
      </w:r>
      <w:r>
        <w:rPr>
          <w:rFonts w:hint="eastAsia" w:ascii="仿宋_GB2312" w:eastAsia="仿宋_GB2312"/>
          <w:color w:val="auto"/>
          <w:sz w:val="32"/>
          <w:szCs w:val="32"/>
          <w:highlight w:val="none"/>
          <w:lang w:val="en-US" w:eastAsia="zh-CN"/>
        </w:rPr>
        <w:t>29</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258</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3.15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具体为部省29批次督导检查防汛抗旱、河湖管理、水土保持及工程质量安全监督工作。</w:t>
      </w:r>
    </w:p>
    <w:p>
      <w:pPr>
        <w:shd w:val="clear"/>
        <w:ind w:firstLine="640" w:firstLineChars="200"/>
        <w:rPr>
          <w:rFonts w:hint="eastAsia" w:ascii="仿宋_GB2312" w:eastAsia="仿宋_GB2312"/>
          <w:color w:val="auto"/>
          <w:sz w:val="32"/>
          <w:szCs w:val="32"/>
          <w:highlight w:val="none"/>
          <w:lang w:eastAsia="zh-CN"/>
        </w:rPr>
      </w:pPr>
      <w:r>
        <w:rPr>
          <w:rFonts w:hint="eastAsia" w:ascii="仿宋_GB2312" w:hAnsi="仿宋_GB2312" w:eastAsia="仿宋_GB2312" w:cs="仿宋_GB2312"/>
          <w:b w:val="0"/>
          <w:bCs/>
          <w:color w:val="auto"/>
          <w:sz w:val="32"/>
          <w:szCs w:val="32"/>
          <w:highlight w:val="none"/>
        </w:rPr>
        <w:t>外事接待支出</w:t>
      </w:r>
      <w:r>
        <w:rPr>
          <w:rFonts w:hint="eastAsia" w:ascii="仿宋_GB2312" w:hAnsi="仿宋_GB2312" w:eastAsia="仿宋_GB2312" w:cs="仿宋_GB2312"/>
          <w:b w:val="0"/>
          <w:bCs/>
          <w:color w:val="auto"/>
          <w:sz w:val="32"/>
          <w:szCs w:val="32"/>
          <w:highlight w:val="none"/>
          <w:lang w:val="en-US" w:eastAsia="zh-CN"/>
        </w:rPr>
        <w:t>0</w:t>
      </w:r>
      <w:r>
        <w:rPr>
          <w:rFonts w:hint="eastAsia" w:ascii="仿宋_GB2312" w:hAnsi="仿宋_GB2312" w:eastAsia="仿宋_GB2312" w:cs="仿宋_GB2312"/>
          <w:b w:val="0"/>
          <w:bCs/>
          <w:color w:val="auto"/>
          <w:sz w:val="32"/>
          <w:szCs w:val="32"/>
          <w:highlight w:val="none"/>
        </w:rPr>
        <w:t>万元</w:t>
      </w:r>
      <w:r>
        <w:rPr>
          <w:rFonts w:hint="eastAsia" w:ascii="仿宋_GB2312" w:hAnsi="仿宋_GB2312" w:eastAsia="仿宋_GB2312" w:cs="仿宋_GB2312"/>
          <w:color w:val="auto"/>
          <w:sz w:val="32"/>
          <w:szCs w:val="32"/>
          <w:highlight w:val="none"/>
        </w:rPr>
        <w:t>。</w:t>
      </w:r>
    </w:p>
    <w:p>
      <w:pPr>
        <w:shd w:val="clear"/>
        <w:spacing w:line="600" w:lineRule="exact"/>
        <w:ind w:firstLine="640"/>
        <w:outlineLvl w:val="1"/>
        <w:rPr>
          <w:rStyle w:val="20"/>
          <w:rFonts w:ascii="黑体" w:hAnsi="黑体" w:eastAsia="黑体"/>
          <w:color w:val="auto"/>
          <w:highlight w:val="none"/>
        </w:rPr>
      </w:pPr>
      <w:bookmarkStart w:id="62" w:name="_Toc15377218"/>
      <w:bookmarkStart w:id="63" w:name="_Toc18246"/>
      <w:bookmarkStart w:id="64" w:name="_Toc15396610"/>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政府性基金预算支出决算情况说明</w:t>
      </w:r>
      <w:bookmarkEnd w:id="62"/>
      <w:bookmarkEnd w:id="63"/>
      <w:bookmarkEnd w:id="64"/>
    </w:p>
    <w:p>
      <w:pPr>
        <w:shd w:val="clear"/>
        <w:spacing w:line="600" w:lineRule="exact"/>
        <w:ind w:firstLine="640"/>
        <w:rPr>
          <w:color w:val="auto"/>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w:t>
      </w:r>
      <w:r>
        <w:rPr>
          <w:rFonts w:hint="eastAsia" w:ascii="仿宋_GB2312" w:eastAsia="仿宋_GB2312"/>
          <w:b w:val="0"/>
          <w:bCs w:val="0"/>
          <w:color w:val="auto"/>
          <w:sz w:val="32"/>
          <w:szCs w:val="32"/>
          <w:highlight w:val="none"/>
        </w:rPr>
        <w:t>出</w:t>
      </w:r>
      <w:r>
        <w:rPr>
          <w:rFonts w:hint="eastAsia" w:ascii="仿宋_GB2312" w:eastAsia="仿宋_GB2312"/>
          <w:b w:val="0"/>
          <w:bCs w:val="0"/>
          <w:color w:val="auto"/>
          <w:sz w:val="32"/>
          <w:szCs w:val="32"/>
          <w:highlight w:val="none"/>
          <w:lang w:val="en-US" w:eastAsia="zh-CN"/>
        </w:rPr>
        <w:t>1325</w:t>
      </w:r>
      <w:r>
        <w:rPr>
          <w:rFonts w:hint="eastAsia" w:ascii="仿宋_GB2312" w:eastAsia="仿宋_GB2312"/>
          <w:b w:val="0"/>
          <w:bCs w:val="0"/>
          <w:color w:val="auto"/>
          <w:sz w:val="32"/>
          <w:szCs w:val="32"/>
          <w:highlight w:val="none"/>
        </w:rPr>
        <w:t>万元。</w:t>
      </w:r>
      <w:r>
        <w:rPr>
          <w:rFonts w:hint="eastAsia" w:ascii="仿宋_GB2312" w:eastAsia="仿宋_GB2312"/>
          <w:b w:val="0"/>
          <w:bCs w:val="0"/>
          <w:color w:val="auto"/>
          <w:sz w:val="32"/>
          <w:szCs w:val="32"/>
          <w:highlight w:val="none"/>
          <w:lang w:val="en-US" w:eastAsia="zh-CN"/>
        </w:rPr>
        <w:t>2023年本单位未在政府性基金预算拨款安排“三公经费”支出。</w:t>
      </w:r>
    </w:p>
    <w:p>
      <w:pPr>
        <w:numPr>
          <w:ilvl w:val="0"/>
          <w:numId w:val="1"/>
        </w:numPr>
        <w:shd w:val="clear"/>
        <w:spacing w:line="600" w:lineRule="exact"/>
        <w:ind w:firstLine="640"/>
        <w:outlineLvl w:val="1"/>
        <w:rPr>
          <w:rStyle w:val="20"/>
          <w:rFonts w:ascii="黑体" w:hAnsi="黑体" w:eastAsia="黑体"/>
          <w:b w:val="0"/>
          <w:color w:val="auto"/>
          <w:highlight w:val="none"/>
        </w:rPr>
      </w:pPr>
      <w:bookmarkStart w:id="65" w:name="_Toc18530"/>
      <w:bookmarkStart w:id="66" w:name="_Toc15377219"/>
      <w:bookmarkStart w:id="67" w:name="_Toc15396611"/>
      <w:r>
        <w:rPr>
          <w:rStyle w:val="20"/>
          <w:rFonts w:hint="eastAsia" w:ascii="黑体" w:hAnsi="黑体" w:eastAsia="黑体"/>
          <w:b w:val="0"/>
          <w:color w:val="auto"/>
          <w:highlight w:val="none"/>
        </w:rPr>
        <w:t>国有资本经营预算支出决算情况说明</w:t>
      </w:r>
      <w:bookmarkEnd w:id="65"/>
      <w:bookmarkEnd w:id="66"/>
      <w:bookmarkEnd w:id="67"/>
    </w:p>
    <w:p>
      <w:pPr>
        <w:shd w:val="clear"/>
        <w:spacing w:line="600" w:lineRule="exact"/>
        <w:ind w:firstLine="640"/>
        <w:rPr>
          <w:rFonts w:hint="eastAsia"/>
          <w:color w:val="auto"/>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bookmarkStart w:id="68" w:name="_Toc15396612"/>
      <w:bookmarkStart w:id="69" w:name="_Toc15377221"/>
    </w:p>
    <w:p>
      <w:pPr>
        <w:numPr>
          <w:ilvl w:val="0"/>
          <w:numId w:val="1"/>
        </w:numPr>
        <w:shd w:val="clear"/>
        <w:spacing w:line="600" w:lineRule="exact"/>
        <w:ind w:firstLine="640"/>
        <w:outlineLvl w:val="1"/>
        <w:rPr>
          <w:rStyle w:val="20"/>
          <w:rFonts w:hint="eastAsia" w:ascii="黑体" w:hAnsi="黑体" w:eastAsia="黑体"/>
          <w:b w:val="0"/>
          <w:color w:val="auto"/>
          <w:highlight w:val="none"/>
        </w:rPr>
      </w:pPr>
      <w:bookmarkStart w:id="70" w:name="_Toc15749"/>
      <w:r>
        <w:rPr>
          <w:rStyle w:val="20"/>
          <w:rFonts w:hint="eastAsia" w:ascii="黑体" w:hAnsi="黑体" w:eastAsia="黑体"/>
          <w:b w:val="0"/>
          <w:color w:val="auto"/>
          <w:highlight w:val="none"/>
        </w:rPr>
        <w:t>其他重要事项的情况说明</w:t>
      </w:r>
      <w:bookmarkEnd w:id="68"/>
      <w:bookmarkEnd w:id="69"/>
      <w:bookmarkEnd w:id="70"/>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71" w:name="_Toc15377222"/>
      <w:r>
        <w:rPr>
          <w:rFonts w:hint="eastAsia" w:ascii="楷体_GB2312" w:hAnsi="楷体_GB2312" w:eastAsia="楷体_GB2312" w:cs="楷体_GB2312"/>
          <w:b w:val="0"/>
          <w:bCs/>
          <w:color w:val="auto"/>
          <w:sz w:val="32"/>
          <w:szCs w:val="32"/>
          <w:highlight w:val="none"/>
        </w:rPr>
        <w:t>（一）机关运行经费支出情况</w:t>
      </w:r>
      <w:bookmarkEnd w:id="71"/>
    </w:p>
    <w:p>
      <w:pPr>
        <w:shd w:val="clea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广元市水利局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215.52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比2022年增加18.38万元，增长9.32%。主要原因是在职人员增加。</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72" w:name="_Toc15377223"/>
      <w:r>
        <w:rPr>
          <w:rFonts w:hint="eastAsia" w:ascii="楷体_GB2312" w:hAnsi="楷体_GB2312" w:eastAsia="楷体_GB2312" w:cs="楷体_GB2312"/>
          <w:b w:val="0"/>
          <w:bCs/>
          <w:color w:val="auto"/>
          <w:sz w:val="32"/>
          <w:szCs w:val="32"/>
          <w:highlight w:val="none"/>
        </w:rPr>
        <w:t>（二）政府采购支出情况</w:t>
      </w:r>
      <w:bookmarkEnd w:id="72"/>
    </w:p>
    <w:p>
      <w:pPr>
        <w:shd w:val="clea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广元市水利局</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164.89</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1.29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eastAsia="zh-CN"/>
        </w:rPr>
        <w:t>办公设备采购</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政府采购服务支出</w:t>
      </w:r>
      <w:r>
        <w:rPr>
          <w:rFonts w:hint="eastAsia" w:ascii="仿宋_GB2312" w:eastAsia="仿宋_GB2312"/>
          <w:color w:val="auto"/>
          <w:sz w:val="32"/>
          <w:szCs w:val="32"/>
          <w:highlight w:val="none"/>
          <w:lang w:val="en-US" w:eastAsia="zh-CN"/>
        </w:rPr>
        <w:t>163.6万元，主要用于山洪灾害隐患调查、市级河湖健康评价。</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164.89</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164.89</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shd w:val="clear"/>
        <w:spacing w:line="600" w:lineRule="exact"/>
        <w:ind w:firstLine="640" w:firstLineChars="200"/>
        <w:outlineLvl w:val="2"/>
        <w:rPr>
          <w:rFonts w:hint="eastAsia" w:ascii="楷体_GB2312" w:hAnsi="楷体_GB2312" w:eastAsia="楷体_GB2312" w:cs="楷体_GB2312"/>
          <w:b w:val="0"/>
          <w:bCs/>
          <w:color w:val="auto"/>
          <w:sz w:val="32"/>
          <w:szCs w:val="32"/>
          <w:highlight w:val="none"/>
        </w:rPr>
      </w:pPr>
      <w:bookmarkStart w:id="73" w:name="_Toc15377224"/>
      <w:r>
        <w:rPr>
          <w:rFonts w:hint="eastAsia" w:ascii="楷体_GB2312" w:hAnsi="楷体_GB2312" w:eastAsia="楷体_GB2312" w:cs="楷体_GB2312"/>
          <w:b w:val="0"/>
          <w:bCs/>
          <w:color w:val="auto"/>
          <w:sz w:val="32"/>
          <w:szCs w:val="32"/>
          <w:highlight w:val="none"/>
        </w:rPr>
        <w:t>（三）国有资产占有使用情况</w:t>
      </w:r>
      <w:bookmarkEnd w:id="73"/>
    </w:p>
    <w:p>
      <w:pPr>
        <w:shd w:val="clea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广元市水利局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其他用车主要是用于</w:t>
      </w:r>
      <w:r>
        <w:rPr>
          <w:rFonts w:hint="eastAsia" w:ascii="仿宋_GB2312" w:eastAsia="仿宋_GB2312"/>
          <w:b w:val="0"/>
          <w:bCs/>
          <w:color w:val="auto"/>
          <w:sz w:val="32"/>
          <w:szCs w:val="32"/>
          <w:highlight w:val="none"/>
        </w:rPr>
        <w:t>水质监测、防汛抗旱、水利执法检查、农村安全饮水、河长制、</w:t>
      </w:r>
      <w:r>
        <w:rPr>
          <w:rFonts w:hint="eastAsia" w:ascii="仿宋_GB2312" w:eastAsia="仿宋_GB2312"/>
          <w:b w:val="0"/>
          <w:bCs/>
          <w:color w:val="auto"/>
          <w:sz w:val="32"/>
          <w:szCs w:val="32"/>
          <w:highlight w:val="none"/>
          <w:lang w:eastAsia="zh-CN"/>
        </w:rPr>
        <w:t>移民后扶、乡村振兴</w:t>
      </w:r>
      <w:r>
        <w:rPr>
          <w:rFonts w:hint="eastAsia" w:ascii="仿宋_GB2312" w:eastAsia="仿宋_GB2312"/>
          <w:b w:val="0"/>
          <w:bCs/>
          <w:color w:val="auto"/>
          <w:sz w:val="32"/>
          <w:szCs w:val="32"/>
          <w:highlight w:val="none"/>
        </w:rPr>
        <w:t>等</w:t>
      </w:r>
      <w:r>
        <w:rPr>
          <w:rFonts w:hint="eastAsia" w:ascii="仿宋_GB2312" w:eastAsia="仿宋_GB2312"/>
          <w:b w:val="0"/>
          <w:bCs/>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hd w:val="clear"/>
        <w:rPr>
          <w:rFonts w:hint="default" w:ascii="楷体_GB2312" w:hAnsi="楷体_GB2312" w:eastAsia="楷体_GB2312" w:cs="楷体_GB2312"/>
          <w:b w:val="0"/>
          <w:bCs/>
          <w:color w:val="auto"/>
          <w:kern w:val="2"/>
          <w:sz w:val="32"/>
          <w:szCs w:val="32"/>
          <w:highlight w:val="none"/>
          <w:lang w:val="en-US" w:eastAsia="zh-CN" w:bidi="ar-SA"/>
        </w:rPr>
      </w:pPr>
      <w:r>
        <w:rPr>
          <w:rFonts w:hint="eastAsia" w:ascii="楷体_GB2312" w:hAnsi="楷体_GB2312" w:eastAsia="楷体_GB2312" w:cs="楷体_GB2312"/>
          <w:b w:val="0"/>
          <w:bCs/>
          <w:color w:val="auto"/>
          <w:kern w:val="2"/>
          <w:sz w:val="32"/>
          <w:szCs w:val="32"/>
          <w:highlight w:val="none"/>
          <w:lang w:val="en-US" w:eastAsia="zh-CN" w:bidi="ar-SA"/>
        </w:rPr>
        <w:t xml:space="preserve">    （四）预算绩效管理情况</w:t>
      </w:r>
    </w:p>
    <w:p>
      <w:pPr>
        <w:shd w:val="clear"/>
        <w:autoSpaceDE w:val="0"/>
        <w:autoSpaceDN w:val="0"/>
        <w:adjustRightInd w:val="0"/>
        <w:spacing w:line="600" w:lineRule="exact"/>
        <w:ind w:firstLine="640" w:firstLineChars="200"/>
        <w:jc w:val="left"/>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eastAsia="zh-CN"/>
        </w:rPr>
        <w:t>根据预算绩效管理要求，本部门在</w:t>
      </w:r>
      <w:r>
        <w:rPr>
          <w:rFonts w:hint="eastAsia" w:ascii="仿宋_GB2312" w:eastAsia="仿宋_GB2312"/>
          <w:b w:val="0"/>
          <w:bCs/>
          <w:color w:val="auto"/>
          <w:sz w:val="32"/>
          <w:szCs w:val="32"/>
          <w:highlight w:val="none"/>
          <w:lang w:val="en-US" w:eastAsia="zh-CN"/>
        </w:rPr>
        <w:t>2023年度预算编制阶段，组织对河湖管理保护项目等12个项目开展了预算事前绩效评估，对12个项目编制了绩效目标，预算执行过程中，对12个项目开展绩效监控。</w:t>
      </w:r>
    </w:p>
    <w:p>
      <w:pPr>
        <w:pStyle w:val="2"/>
        <w:shd w:val="clear"/>
        <w:rPr>
          <w:rFonts w:hint="eastAsia" w:ascii="仿宋_GB2312" w:hAnsi="仿宋_GB2312" w:eastAsia="仿宋_GB2312" w:cs="仿宋_GB2312"/>
          <w:color w:val="auto"/>
          <w:sz w:val="32"/>
          <w:szCs w:val="32"/>
          <w:highlight w:val="none"/>
        </w:rPr>
      </w:pPr>
      <w:r>
        <w:rPr>
          <w:rFonts w:hint="eastAsia"/>
          <w:b w:val="0"/>
          <w:bCs/>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组织对202</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年度一般公共预算、政府性基金预算资金等全面开展绩效自评，形成</w:t>
      </w:r>
      <w:r>
        <w:rPr>
          <w:rFonts w:hint="eastAsia" w:hAnsi="仿宋_GB2312" w:cs="仿宋_GB2312"/>
          <w:color w:val="auto"/>
          <w:sz w:val="32"/>
          <w:szCs w:val="32"/>
          <w:highlight w:val="none"/>
          <w:lang w:eastAsia="zh-CN"/>
        </w:rPr>
        <w:t>广元市水利局</w:t>
      </w:r>
      <w:r>
        <w:rPr>
          <w:rFonts w:hint="eastAsia" w:ascii="仿宋_GB2312" w:hAnsi="仿宋_GB2312" w:eastAsia="仿宋_GB2312" w:cs="仿宋_GB2312"/>
          <w:color w:val="auto"/>
          <w:sz w:val="32"/>
          <w:szCs w:val="32"/>
          <w:highlight w:val="none"/>
        </w:rPr>
        <w:t>部门整体（含部门预算项目）绩效自评报告、</w:t>
      </w:r>
      <w:r>
        <w:rPr>
          <w:rFonts w:hint="eastAsia" w:ascii="仿宋_GB2312" w:eastAsia="仿宋_GB2312"/>
          <w:b w:val="0"/>
          <w:bCs/>
          <w:color w:val="auto"/>
          <w:sz w:val="32"/>
          <w:szCs w:val="32"/>
          <w:highlight w:val="none"/>
          <w:lang w:val="en-US" w:eastAsia="zh-CN"/>
        </w:rPr>
        <w:t>河湖管理保护项目</w:t>
      </w:r>
      <w:r>
        <w:rPr>
          <w:rFonts w:hint="eastAsia" w:ascii="仿宋_GB2312" w:hAnsi="仿宋_GB2312" w:eastAsia="仿宋_GB2312" w:cs="仿宋_GB2312"/>
          <w:color w:val="auto"/>
          <w:sz w:val="32"/>
          <w:szCs w:val="32"/>
          <w:highlight w:val="none"/>
        </w:rPr>
        <w:t>等专项预算项目绩效自评报告，其中，</w:t>
      </w:r>
      <w:r>
        <w:rPr>
          <w:rFonts w:hint="eastAsia" w:hAnsi="仿宋_GB2312" w:cs="仿宋_GB2312"/>
          <w:color w:val="auto"/>
          <w:sz w:val="32"/>
          <w:szCs w:val="32"/>
          <w:highlight w:val="none"/>
          <w:lang w:eastAsia="zh-CN"/>
        </w:rPr>
        <w:t>广元市水利局</w:t>
      </w:r>
      <w:r>
        <w:rPr>
          <w:rFonts w:hint="eastAsia" w:ascii="仿宋_GB2312" w:hAnsi="仿宋_GB2312" w:eastAsia="仿宋_GB2312" w:cs="仿宋_GB2312"/>
          <w:color w:val="auto"/>
          <w:sz w:val="32"/>
          <w:szCs w:val="32"/>
          <w:highlight w:val="none"/>
        </w:rPr>
        <w:t>部门整体（含部门预算项目）绩效自评得分为</w:t>
      </w:r>
      <w:r>
        <w:rPr>
          <w:rFonts w:hint="eastAsia" w:hAnsi="仿宋_GB2312" w:cs="仿宋_GB2312"/>
          <w:color w:val="auto"/>
          <w:sz w:val="32"/>
          <w:szCs w:val="32"/>
          <w:highlight w:val="none"/>
          <w:lang w:val="en-US" w:eastAsia="zh-CN"/>
        </w:rPr>
        <w:t>98.25</w:t>
      </w:r>
      <w:r>
        <w:rPr>
          <w:rFonts w:hint="eastAsia" w:ascii="仿宋_GB2312" w:hAnsi="仿宋_GB2312" w:eastAsia="仿宋_GB2312" w:cs="仿宋_GB2312"/>
          <w:color w:val="auto"/>
          <w:sz w:val="32"/>
          <w:szCs w:val="32"/>
          <w:highlight w:val="none"/>
        </w:rPr>
        <w:t>分，绩效自评综述：严格落实预算绩效管理，突出动态监控，将绩效管理贯穿预算执行全过程</w:t>
      </w:r>
      <w:r>
        <w:rPr>
          <w:rFonts w:hint="eastAsia" w:hAnsi="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积极发挥绩效结果应用反馈作用，不断提升预算绩效的引领作用</w:t>
      </w:r>
      <w:r>
        <w:rPr>
          <w:rFonts w:hint="eastAsia" w:hAnsi="仿宋_GB2312" w:cs="仿宋_GB2312"/>
          <w:color w:val="auto"/>
          <w:sz w:val="32"/>
          <w:szCs w:val="32"/>
          <w:highlight w:val="none"/>
          <w:lang w:eastAsia="zh-CN"/>
        </w:rPr>
        <w:t>，全局各项工作整体稳步提升</w:t>
      </w:r>
      <w:r>
        <w:rPr>
          <w:rFonts w:hint="eastAsia" w:ascii="仿宋_GB2312" w:hAnsi="仿宋_GB2312" w:eastAsia="仿宋_GB2312" w:cs="仿宋_GB2312"/>
          <w:color w:val="auto"/>
          <w:sz w:val="32"/>
          <w:szCs w:val="32"/>
          <w:highlight w:val="none"/>
        </w:rPr>
        <w:t>；</w:t>
      </w:r>
      <w:r>
        <w:rPr>
          <w:rFonts w:hint="eastAsia" w:ascii="仿宋_GB2312" w:eastAsia="仿宋_GB2312"/>
          <w:b w:val="0"/>
          <w:bCs/>
          <w:color w:val="auto"/>
          <w:sz w:val="32"/>
          <w:szCs w:val="32"/>
          <w:highlight w:val="none"/>
          <w:lang w:val="en-US" w:eastAsia="zh-CN"/>
        </w:rPr>
        <w:t>河湖管理保护项目等1</w:t>
      </w:r>
      <w:r>
        <w:rPr>
          <w:rFonts w:hint="eastAsia"/>
          <w:b w:val="0"/>
          <w:bCs/>
          <w:color w:val="auto"/>
          <w:sz w:val="32"/>
          <w:szCs w:val="32"/>
          <w:highlight w:val="none"/>
          <w:lang w:val="en-US" w:eastAsia="zh-CN"/>
        </w:rPr>
        <w:t>2</w:t>
      </w:r>
      <w:r>
        <w:rPr>
          <w:rFonts w:hint="eastAsia" w:ascii="仿宋_GB2312" w:eastAsia="仿宋_GB2312"/>
          <w:b w:val="0"/>
          <w:bCs/>
          <w:color w:val="auto"/>
          <w:sz w:val="32"/>
          <w:szCs w:val="32"/>
          <w:highlight w:val="none"/>
          <w:lang w:val="en-US" w:eastAsia="zh-CN"/>
        </w:rPr>
        <w:t>个</w:t>
      </w:r>
      <w:r>
        <w:rPr>
          <w:rFonts w:hint="eastAsia" w:ascii="仿宋_GB2312" w:hAnsi="仿宋_GB2312" w:eastAsia="仿宋_GB2312" w:cs="仿宋_GB2312"/>
          <w:color w:val="auto"/>
          <w:sz w:val="32"/>
          <w:szCs w:val="32"/>
          <w:highlight w:val="none"/>
        </w:rPr>
        <w:t>专项预算项目绩效自评得分</w:t>
      </w:r>
      <w:r>
        <w:rPr>
          <w:rFonts w:hint="eastAsia" w:hAnsi="仿宋_GB2312" w:cs="仿宋_GB2312"/>
          <w:color w:val="auto"/>
          <w:sz w:val="32"/>
          <w:szCs w:val="32"/>
          <w:highlight w:val="none"/>
          <w:lang w:eastAsia="zh-CN"/>
        </w:rPr>
        <w:t>均</w:t>
      </w:r>
      <w:r>
        <w:rPr>
          <w:rFonts w:hint="eastAsia" w:ascii="仿宋_GB2312" w:hAnsi="仿宋_GB2312" w:eastAsia="仿宋_GB2312" w:cs="仿宋_GB2312"/>
          <w:color w:val="auto"/>
          <w:sz w:val="32"/>
          <w:szCs w:val="32"/>
          <w:highlight w:val="none"/>
        </w:rPr>
        <w:t>为</w:t>
      </w:r>
      <w:r>
        <w:rPr>
          <w:rFonts w:hint="eastAsia"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分，绩效自评综述：</w:t>
      </w:r>
      <w:r>
        <w:rPr>
          <w:rFonts w:hint="eastAsia" w:ascii="仿宋_GB2312" w:hAnsi="仿宋_GB2312" w:eastAsia="仿宋_GB2312" w:cs="仿宋_GB2312"/>
          <w:color w:val="auto"/>
          <w:sz w:val="32"/>
          <w:szCs w:val="32"/>
          <w:highlight w:val="none"/>
          <w:lang w:val="zh-CN" w:eastAsia="zh-CN"/>
        </w:rPr>
        <w:t>全面完成了各项绩效目标，营造了良好的社会舆论氛围，</w:t>
      </w:r>
      <w:r>
        <w:rPr>
          <w:rFonts w:hint="eastAsia" w:hAnsi="仿宋_GB2312" w:cs="仿宋_GB2312"/>
          <w:color w:val="auto"/>
          <w:sz w:val="32"/>
          <w:szCs w:val="32"/>
          <w:highlight w:val="none"/>
          <w:lang w:val="zh-CN" w:eastAsia="zh-CN"/>
        </w:rPr>
        <w:t>增强了防灾减灾、河湖保护、节水护水等工作，提高</w:t>
      </w:r>
      <w:r>
        <w:rPr>
          <w:rFonts w:hint="eastAsia" w:ascii="仿宋_GB2312" w:hAnsi="仿宋_GB2312" w:eastAsia="仿宋_GB2312" w:cs="仿宋_GB2312"/>
          <w:color w:val="auto"/>
          <w:sz w:val="32"/>
          <w:szCs w:val="32"/>
          <w:highlight w:val="none"/>
          <w:lang w:val="zh-CN" w:eastAsia="zh-CN"/>
        </w:rPr>
        <w:t>了社会各界管理保护水环境的责任意识和参与意识</w:t>
      </w:r>
      <w:r>
        <w:rPr>
          <w:rFonts w:hint="eastAsia" w:hAnsi="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eastAsia="zh-CN"/>
        </w:rPr>
        <w:t>促进了生态产业化和产业生态化</w:t>
      </w:r>
      <w:r>
        <w:rPr>
          <w:rFonts w:hint="eastAsia" w:ascii="仿宋_GB2312" w:hAnsi="仿宋_GB2312" w:eastAsia="仿宋_GB2312" w:cs="仿宋_GB2312"/>
          <w:color w:val="auto"/>
          <w:sz w:val="32"/>
          <w:szCs w:val="32"/>
          <w:highlight w:val="none"/>
        </w:rPr>
        <w:t>。绩效自评报告详见附件。</w:t>
      </w:r>
    </w:p>
    <w:p>
      <w:pP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p>
    <w:p>
      <w:pPr>
        <w:rPr>
          <w:rFonts w:hint="default"/>
          <w:lang w:val="en-US" w:eastAsia="zh-CN"/>
        </w:rPr>
      </w:pPr>
    </w:p>
    <w:p>
      <w:pPr>
        <w:numPr>
          <w:ilvl w:val="0"/>
          <w:numId w:val="2"/>
        </w:numPr>
        <w:shd w:val="clear"/>
        <w:spacing w:line="600" w:lineRule="exact"/>
        <w:ind w:firstLine="660" w:firstLineChars="150"/>
        <w:jc w:val="center"/>
        <w:outlineLvl w:val="0"/>
        <w:rPr>
          <w:rStyle w:val="19"/>
          <w:rFonts w:ascii="黑体" w:hAnsi="黑体" w:eastAsia="黑体"/>
          <w:b w:val="0"/>
          <w:color w:val="auto"/>
          <w:highlight w:val="none"/>
        </w:rPr>
      </w:pPr>
      <w:bookmarkStart w:id="74" w:name="_Toc15377225"/>
      <w:bookmarkStart w:id="75" w:name="_Toc5607"/>
      <w:bookmarkStart w:id="76" w:name="_Toc15396613"/>
      <w:r>
        <w:rPr>
          <w:rFonts w:hint="eastAsia" w:ascii="黑体" w:hAnsi="黑体" w:eastAsia="黑体"/>
          <w:color w:val="auto"/>
          <w:sz w:val="44"/>
          <w:szCs w:val="44"/>
          <w:highlight w:val="none"/>
        </w:rPr>
        <w:t>名</w:t>
      </w:r>
      <w:r>
        <w:rPr>
          <w:rStyle w:val="19"/>
          <w:rFonts w:hint="eastAsia" w:ascii="黑体" w:hAnsi="黑体" w:eastAsia="黑体"/>
          <w:b w:val="0"/>
          <w:color w:val="auto"/>
          <w:highlight w:val="none"/>
        </w:rPr>
        <w:t>词解释</w:t>
      </w:r>
      <w:bookmarkEnd w:id="74"/>
      <w:bookmarkEnd w:id="75"/>
      <w:bookmarkEnd w:id="76"/>
    </w:p>
    <w:p>
      <w:pPr>
        <w:shd w:val="clear"/>
        <w:jc w:val="left"/>
        <w:rPr>
          <w:rFonts w:hint="eastAsia" w:ascii="仿宋_GB2312" w:hAnsi="仿宋_GB2312" w:eastAsia="仿宋_GB2312" w:cs="仿宋_GB2312"/>
          <w:color w:val="auto"/>
          <w:sz w:val="44"/>
          <w:szCs w:val="44"/>
          <w:highlight w:val="none"/>
        </w:rPr>
      </w:pP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财政拨款收入：指单位从同级财政部门取得的财政预算资金。</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其他收入：指单位取得的除上述收入以外的各项收入。主要是省厅拨入项目经费</w:t>
      </w:r>
      <w:r>
        <w:rPr>
          <w:rFonts w:hint="eastAsia" w:ascii="仿宋_GB2312" w:hAnsi="仿宋_GB2312" w:eastAsia="仿宋_GB2312" w:cs="仿宋_GB2312"/>
          <w:color w:val="auto"/>
          <w:sz w:val="32"/>
          <w:szCs w:val="32"/>
          <w:highlight w:val="none"/>
          <w:lang w:eastAsia="zh-CN"/>
        </w:rPr>
        <w:t>。</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年初结转和结余：指以前年度尚未完成、结转到本年按有关规定继续使用的资金。</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年末结转和结余：指单位按有关规定结转到下年或以后年度继续使用的资金。</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社会保障和就业支出（类）人力资源和社会保障管理事务（款）引进人才费用（项）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 xml:space="preserve"> 反映局机关其他用于人力资源和社会保障管理事务方面的支出，主要是指引进高层次人才工作补助。</w:t>
      </w:r>
    </w:p>
    <w:p>
      <w:pPr>
        <w:pStyle w:val="28"/>
        <w:numPr>
          <w:ilvl w:val="0"/>
          <w:numId w:val="3"/>
        </w:numPr>
        <w:shd w:val="clear"/>
        <w:ind w:left="0" w:leftChars="0" w:firstLine="400" w:firstLineChars="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社会保障和就业支出（类）人力资源和社会保障管理事务（款）其他人力资源和社会保障管理事务支出（项）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指反映除上述项目以外其他用于人力资源和社会保障管理事务方面的支出。</w:t>
      </w:r>
    </w:p>
    <w:p>
      <w:pPr>
        <w:pStyle w:val="28"/>
        <w:pageBreakBefore w:val="0"/>
        <w:numPr>
          <w:ilvl w:val="0"/>
          <w:numId w:val="3"/>
        </w:numPr>
        <w:shd w:val="clear"/>
        <w:kinsoku/>
        <w:wordWrap/>
        <w:overflowPunct/>
        <w:topLinePunct w:val="0"/>
        <w:bidi w:val="0"/>
        <w:spacing w:line="576" w:lineRule="exact"/>
        <w:ind w:left="0" w:leftChars="0" w:firstLine="400" w:firstLineChars="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社会保障和就业支出（类）行政事业单位养老支出（款）机关事业单位基本养老保险缴费支出（项）：反映机关事业单位实施养老保险制度由单位缴纳的基本养老保险费支出。</w:t>
      </w:r>
    </w:p>
    <w:p>
      <w:pPr>
        <w:pStyle w:val="28"/>
        <w:pageBreakBefore w:val="0"/>
        <w:numPr>
          <w:ilvl w:val="0"/>
          <w:numId w:val="3"/>
        </w:numPr>
        <w:shd w:val="clear"/>
        <w:kinsoku/>
        <w:wordWrap/>
        <w:overflowPunct/>
        <w:topLinePunct w:val="0"/>
        <w:bidi w:val="0"/>
        <w:spacing w:line="576" w:lineRule="exact"/>
        <w:ind w:left="0" w:leftChars="0" w:firstLine="400" w:firstLineChars="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社会保障和就业支出（类）行政事业单位养老支出（款）机关事业单位职业年金缴费支出（项）：反映机关事业单位实施养老保险制度由单位缴纳的职业年金支出。</w:t>
      </w:r>
    </w:p>
    <w:p>
      <w:pPr>
        <w:pageBreakBefore w:val="0"/>
        <w:numPr>
          <w:ilvl w:val="0"/>
          <w:numId w:val="3"/>
        </w:numPr>
        <w:shd w:val="clear"/>
        <w:kinsoku/>
        <w:wordWrap/>
        <w:overflowPunct/>
        <w:topLinePunct w:val="0"/>
        <w:bidi w:val="0"/>
        <w:spacing w:line="576" w:lineRule="exact"/>
        <w:ind w:left="0" w:leftChars="0" w:firstLine="400" w:firstLineChars="0"/>
        <w:jc w:val="both"/>
        <w:textAlignment w:val="auto"/>
        <w:rPr>
          <w:rFonts w:hint="eastAsia"/>
          <w:highlight w:val="none"/>
          <w:lang w:val="en-US" w:eastAsia="zh-CN"/>
        </w:rPr>
      </w:pPr>
      <w:r>
        <w:rPr>
          <w:rFonts w:hint="eastAsia" w:ascii="仿宋_GB2312" w:eastAsia="仿宋_GB2312"/>
          <w:color w:val="auto"/>
          <w:sz w:val="32"/>
          <w:szCs w:val="32"/>
          <w:highlight w:val="none"/>
        </w:rPr>
        <w:t>社会保障和就业支出（类）</w:t>
      </w:r>
      <w:r>
        <w:rPr>
          <w:rFonts w:hint="eastAsia" w:ascii="仿宋_GB2312" w:eastAsia="仿宋_GB2312"/>
          <w:color w:val="auto"/>
          <w:sz w:val="32"/>
          <w:szCs w:val="32"/>
          <w:highlight w:val="none"/>
          <w:lang w:val="en-US" w:eastAsia="zh-CN"/>
        </w:rPr>
        <w:t>抚恤</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死亡抚恤</w:t>
      </w:r>
      <w:r>
        <w:rPr>
          <w:rFonts w:hint="eastAsia" w:ascii="仿宋_GB2312" w:eastAsia="仿宋_GB2312"/>
          <w:color w:val="auto"/>
          <w:sz w:val="32"/>
          <w:szCs w:val="32"/>
          <w:highlight w:val="none"/>
        </w:rPr>
        <w:t>（项）：反映</w:t>
      </w:r>
      <w:r>
        <w:rPr>
          <w:rFonts w:hint="eastAsia" w:ascii="仿宋_GB2312" w:eastAsia="仿宋_GB2312"/>
          <w:color w:val="auto"/>
          <w:sz w:val="32"/>
          <w:szCs w:val="32"/>
          <w:highlight w:val="none"/>
          <w:lang w:val="en-US" w:eastAsia="zh-CN"/>
        </w:rPr>
        <w:t>按规定用于烈士和牺牲、病故人员家属的一次性和定期抚恤金以及丧葬补助费</w:t>
      </w:r>
      <w:r>
        <w:rPr>
          <w:rFonts w:hint="eastAsia" w:ascii="仿宋_GB2312" w:eastAsia="仿宋_GB2312"/>
          <w:color w:val="auto"/>
          <w:sz w:val="32"/>
          <w:szCs w:val="32"/>
          <w:highlight w:val="none"/>
        </w:rPr>
        <w:t>。</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卫生健康支出（类）卫生健康管理事务（款）行政运行（项）：反映行政单位（包括实行公务管理的事业单位）的基本支出。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卫生健康支出（类）行政事业单位医疗（款）行政单位医疗（项）：反映财政部门安排的行政单位（包括试行公务员管理的事业单位）基本医疗保险缴费经费，未参加医疗保险的行政单位的公费医疗经费，按国家规定享受离休人员、红军老战士待遇人员的医疗经费。</w:t>
      </w:r>
    </w:p>
    <w:p>
      <w:pPr>
        <w:numPr>
          <w:ilvl w:val="0"/>
          <w:numId w:val="3"/>
        </w:numPr>
        <w:shd w:val="clear"/>
        <w:ind w:left="0" w:leftChars="0" w:firstLine="400" w:firstLineChars="0"/>
        <w:rPr>
          <w:rFonts w:hint="eastAsia"/>
          <w:highlight w:val="none"/>
          <w:lang w:val="en-US" w:eastAsia="zh-CN"/>
        </w:rPr>
      </w:pPr>
      <w:r>
        <w:rPr>
          <w:rFonts w:hint="eastAsia" w:ascii="仿宋_GB2312" w:eastAsia="仿宋_GB2312"/>
          <w:color w:val="auto"/>
          <w:sz w:val="32"/>
          <w:szCs w:val="32"/>
          <w:highlight w:val="none"/>
          <w:lang w:val="en-US" w:eastAsia="zh-CN"/>
        </w:rPr>
        <w:t>卫生健康支出（类）医疗救助（款）其他医疗救助支出（项）：指反映除上述项目以外的其他用于医疗救助方面的支出。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城市社区支出（类）国有土地使用权出让收入安排的支出（款）其他国有土地使用权出让收入安排的支出（项）：指反映土地收入用于其他方面的支出。不包括市县级政府当年按规定用于土地出让收入向中央和省级政府缴纳的新增建设用地土地有偿使用费的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农林水支出（类）水利（款）行政运行（项）：指行政单位的基本支出。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农林水支出（类）水利（款）一般行政管理事务（项）：反映行政单位（包括实行公务员管理的事业单位）未单独设置项级科目的其他项目支出。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利行业业务管理（项）：指反映用于水利行业业务管理方面的支出。有关业务包括制定政策、法规及行业标准、进行水利宣传、审计监督检查、精神文明建设及农田水利管理、水利重大活动、水利工程质量监管、水利资金监督管理、水利国有资产监管、行政许可及监督管理等。</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资源节约管理与保护（项）：反映水利系统纳入预算管理的水资源管理与保护事业单位的支出。有关事项包括进行水资源调查评价和水资源规划，水量分配方案、节水以及相关标准的制定和监督实施，组织实施流域或跨流域水资源调度，水功能区监督管理，取水许可、江河湖库及水源地保护监管，水资源公报发布，基础资料整编，水量调度，节约用水，设备仪器运行维护，入河排污口监督管理、审定水域纳污能力和限制排污控制，水资源论证，地下水资源管理，超采区治理和保护，用水定额管理，水务管理和各项保护管理等。</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水文测报（项）：反映水利系统纳入预算管理的水文事业单位的支出。有关事项包括江河湖库、海滨、区的水文测报，水文测检、水文情报预报、河道监测、水量调度监测，水文业务管理，水文水资源公报编制，水文资料整编及水文设施运行维护等。</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水利（款）防汛（项）：反映防汛业务支出。有关事项包括防汛物资购置管护，防汛通讯设施设备、网络系统、车船设备运行维护，防汛值班、水情报汛、防汛指挥系统运行维护、水毁修复以及防汛组织，汛期调用民工及劳动保护，灾后重建，退田还湖，蓄滞洪区补偿、水情、雨情、决策支持，视频会商等。</w:t>
      </w:r>
    </w:p>
    <w:p>
      <w:pPr>
        <w:numPr>
          <w:ilvl w:val="0"/>
          <w:numId w:val="3"/>
        </w:numPr>
        <w:shd w:val="clear"/>
        <w:ind w:left="0" w:leftChars="0" w:firstLine="400" w:firstLineChars="0"/>
        <w:rPr>
          <w:rFonts w:hint="eastAsia"/>
          <w:highlight w:val="none"/>
          <w:lang w:val="en-US" w:eastAsia="zh-CN"/>
        </w:rPr>
      </w:pPr>
      <w:r>
        <w:rPr>
          <w:rFonts w:hint="eastAsia" w:ascii="仿宋_GB2312" w:eastAsia="仿宋_GB2312"/>
          <w:color w:val="auto"/>
          <w:sz w:val="32"/>
          <w:szCs w:val="32"/>
          <w:highlight w:val="none"/>
          <w:lang w:val="en-US" w:eastAsia="zh-CN"/>
        </w:rPr>
        <w:t>农林水支出（类）水利（款）其他农林水支出（项）：反映除上述项目以外其他用于水利方面的支出。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农林水支出（类）巩固脱贫衔接乡村振兴（款）事业运行（项）：反映事业单位基本支出，不包括行政单位（包括实行公务员管理的事业单位）后勤服务中心、医务室等附属事业单位的支出。</w:t>
      </w:r>
    </w:p>
    <w:p>
      <w:pPr>
        <w:numPr>
          <w:ilvl w:val="0"/>
          <w:numId w:val="3"/>
        </w:numPr>
        <w:shd w:val="clear"/>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商业服务业等支出（类）其他商业服务业等支出（款）其他商业服务业等支出（项）：指反映其他商业服务业等支出中除上述项目以外的其他支出。</w:t>
      </w:r>
    </w:p>
    <w:p>
      <w:pPr>
        <w:numPr>
          <w:ilvl w:val="0"/>
          <w:numId w:val="3"/>
        </w:numPr>
        <w:shd w:val="clear"/>
        <w:ind w:left="0" w:leftChars="0" w:firstLine="400" w:firstLineChars="0"/>
        <w:rPr>
          <w:rFonts w:hint="eastAsia"/>
          <w:lang w:val="en-US" w:eastAsia="zh-CN"/>
        </w:rPr>
      </w:pPr>
      <w:r>
        <w:rPr>
          <w:rFonts w:hint="eastAsia" w:ascii="仿宋_GB2312" w:eastAsia="仿宋_GB2312"/>
          <w:color w:val="auto"/>
          <w:sz w:val="32"/>
          <w:szCs w:val="32"/>
          <w:highlight w:val="none"/>
          <w:lang w:val="en-US" w:eastAsia="zh-CN"/>
        </w:rPr>
        <w:t>住房保障支出（类）住房改革支出（款）住房公积金（项）：反映行政事业单位按人力资源和社会保障部、财政部规定的基本工资和津贴补贴以及规定比例为职工缴纳的住房公积金。</w:t>
      </w:r>
    </w:p>
    <w:p>
      <w:pPr>
        <w:numPr>
          <w:ilvl w:val="0"/>
          <w:numId w:val="3"/>
        </w:numPr>
        <w:shd w:val="clear"/>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灾害防治及应急管理支出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eastAsia="zh-CN"/>
        </w:rPr>
        <w:t>自然灾害防治</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eastAsia="zh-CN"/>
        </w:rPr>
        <w:t>其他自然灾害防治支出</w:t>
      </w:r>
      <w:r>
        <w:rPr>
          <w:rFonts w:hint="eastAsia" w:ascii="仿宋_GB2312" w:eastAsia="仿宋_GB2312"/>
          <w:color w:val="auto"/>
          <w:sz w:val="32"/>
          <w:szCs w:val="32"/>
          <w:highlight w:val="none"/>
        </w:rPr>
        <w:t>（项）：反映</w:t>
      </w:r>
      <w:r>
        <w:rPr>
          <w:rFonts w:hint="eastAsia" w:ascii="仿宋_GB2312" w:eastAsia="仿宋_GB2312"/>
          <w:color w:val="auto"/>
          <w:sz w:val="32"/>
          <w:szCs w:val="32"/>
          <w:highlight w:val="none"/>
          <w:lang w:eastAsia="zh-CN"/>
        </w:rPr>
        <w:t>其他用于自然灾害防治的支出。</w:t>
      </w:r>
    </w:p>
    <w:p>
      <w:pPr>
        <w:numPr>
          <w:ilvl w:val="0"/>
          <w:numId w:val="3"/>
        </w:numPr>
        <w:shd w:val="clear"/>
        <w:ind w:left="0" w:leftChars="0" w:firstLine="400" w:firstLineChars="0"/>
        <w:rPr>
          <w:rFonts w:hint="default" w:ascii="仿宋_GB2312" w:eastAsia="仿宋_GB2312"/>
          <w:color w:val="auto"/>
          <w:sz w:val="32"/>
          <w:szCs w:val="32"/>
          <w:highlight w:val="none"/>
          <w:lang w:val="en-US" w:eastAsia="zh-CN"/>
        </w:rPr>
      </w:pPr>
      <w:r>
        <w:rPr>
          <w:rFonts w:hint="default" w:ascii="仿宋_GB2312" w:eastAsia="仿宋_GB2312"/>
          <w:color w:val="auto"/>
          <w:sz w:val="32"/>
          <w:szCs w:val="32"/>
          <w:highlight w:val="none"/>
          <w:lang w:val="en-US" w:eastAsia="zh-CN"/>
        </w:rPr>
        <w:t>其他支出（类）其他支出（款）其他支出（项）：指反映除上述项目以外其他不能划分到具体功能科目中的支出项目。</w:t>
      </w:r>
    </w:p>
    <w:p>
      <w:pPr>
        <w:numPr>
          <w:ilvl w:val="0"/>
          <w:numId w:val="3"/>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3"/>
        </w:numPr>
        <w:shd w:val="clear"/>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8"/>
        <w:numPr>
          <w:ilvl w:val="0"/>
          <w:numId w:val="3"/>
        </w:numPr>
        <w:shd w:val="clear"/>
        <w:spacing w:line="560" w:lineRule="exact"/>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numPr>
          <w:ilvl w:val="0"/>
          <w:numId w:val="3"/>
        </w:numPr>
        <w:shd w:val="clear"/>
        <w:spacing w:line="560" w:lineRule="exact"/>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hd w:val="clear"/>
        <w:spacing w:line="600" w:lineRule="exact"/>
        <w:jc w:val="center"/>
        <w:outlineLvl w:val="9"/>
        <w:rPr>
          <w:rFonts w:ascii="宋体"/>
          <w:b/>
          <w:color w:val="auto"/>
          <w:sz w:val="44"/>
          <w:szCs w:val="44"/>
          <w:highlight w:val="none"/>
        </w:rPr>
      </w:pPr>
      <w:bookmarkStart w:id="77" w:name="_Toc15377226"/>
      <w:r>
        <w:rPr>
          <w:rFonts w:ascii="宋体"/>
          <w:b/>
          <w:color w:val="auto"/>
          <w:sz w:val="44"/>
          <w:szCs w:val="44"/>
          <w:highlight w:val="none"/>
        </w:rPr>
        <w:br w:type="page"/>
      </w:r>
      <w:bookmarkStart w:id="78" w:name="_Toc15396614"/>
    </w:p>
    <w:p>
      <w:pPr>
        <w:shd w:val="clear"/>
        <w:spacing w:line="600" w:lineRule="exact"/>
        <w:jc w:val="center"/>
        <w:outlineLvl w:val="9"/>
        <w:rPr>
          <w:rFonts w:ascii="宋体"/>
          <w:b/>
          <w:color w:val="auto"/>
          <w:sz w:val="44"/>
          <w:szCs w:val="44"/>
          <w:highlight w:val="none"/>
        </w:rPr>
      </w:pPr>
    </w:p>
    <w:p>
      <w:pPr>
        <w:shd w:val="clear"/>
        <w:spacing w:line="600" w:lineRule="exact"/>
        <w:jc w:val="center"/>
        <w:outlineLvl w:val="0"/>
        <w:rPr>
          <w:rStyle w:val="19"/>
          <w:rFonts w:hint="eastAsia" w:ascii="黑体" w:hAnsi="黑体" w:eastAsia="黑体"/>
          <w:b w:val="0"/>
          <w:color w:val="auto"/>
          <w:highlight w:val="none"/>
          <w:lang w:eastAsia="zh-CN"/>
        </w:rPr>
      </w:pPr>
      <w:bookmarkStart w:id="79" w:name="_Toc16844"/>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四部分 附件</w:t>
      </w:r>
      <w:bookmarkEnd w:id="78"/>
      <w:bookmarkEnd w:id="79"/>
    </w:p>
    <w:p>
      <w:pPr>
        <w:keepNext w:val="0"/>
        <w:keepLines w:val="0"/>
        <w:pageBreakBefore w:val="0"/>
        <w:shd w:val="clear"/>
        <w:kinsoku/>
        <w:wordWrap/>
        <w:overflowPunct/>
        <w:topLinePunct w:val="0"/>
        <w:autoSpaceDE/>
        <w:autoSpaceDN/>
        <w:bidi w:val="0"/>
        <w:spacing w:line="572" w:lineRule="exact"/>
        <w:jc w:val="left"/>
        <w:textAlignment w:val="auto"/>
        <w:outlineLvl w:val="0"/>
        <w:rPr>
          <w:rFonts w:hint="eastAsia" w:ascii="黑体" w:hAnsi="黑体" w:eastAsia="黑体" w:cs="黑体"/>
          <w:color w:val="auto"/>
          <w:sz w:val="32"/>
          <w:szCs w:val="32"/>
          <w:highlight w:val="none"/>
          <w:lang w:val="en-US" w:eastAsia="zh-CN"/>
        </w:rPr>
      </w:pPr>
      <w:bookmarkStart w:id="80" w:name="_Toc18861"/>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End w:id="80"/>
    </w:p>
    <w:p>
      <w:pPr>
        <w:keepNext w:val="0"/>
        <w:keepLines w:val="0"/>
        <w:pageBreakBefore w:val="0"/>
        <w:widowControl/>
        <w:kinsoku/>
        <w:wordWrap/>
        <w:overflowPunct/>
        <w:topLinePunct w:val="0"/>
        <w:autoSpaceDE/>
        <w:autoSpaceDN/>
        <w:bidi w:val="0"/>
        <w:spacing w:line="560" w:lineRule="exact"/>
        <w:contextualSpacing/>
        <w:jc w:val="center"/>
        <w:textAlignment w:val="auto"/>
        <w:rPr>
          <w:rFonts w:hint="eastAsia" w:ascii="方正小标宋简体" w:hAnsi="方正小标宋简体" w:eastAsia="方正小标宋简体" w:cs="方正小标宋简体"/>
          <w:b w:val="0"/>
          <w:bCs w:val="0"/>
          <w:sz w:val="44"/>
          <w:szCs w:val="44"/>
          <w:highlight w:val="none"/>
          <w:shd w:val="clear" w:color="auto" w:fill="FFFFFF"/>
          <w:lang w:eastAsia="zh-CN"/>
        </w:rPr>
      </w:pPr>
      <w:r>
        <w:rPr>
          <w:rFonts w:hint="eastAsia" w:ascii="方正小标宋简体" w:hAnsi="方正小标宋简体" w:eastAsia="方正小标宋简体" w:cs="方正小标宋简体"/>
          <w:b w:val="0"/>
          <w:bCs w:val="0"/>
          <w:sz w:val="44"/>
          <w:szCs w:val="44"/>
          <w:highlight w:val="none"/>
          <w:shd w:val="clear" w:color="auto" w:fill="FFFFFF"/>
          <w:lang w:eastAsia="zh-CN"/>
        </w:rPr>
        <w:t>广元市水利局</w:t>
      </w:r>
      <w:r>
        <w:rPr>
          <w:rFonts w:hint="eastAsia" w:ascii="方正小标宋简体" w:hAnsi="方正小标宋简体" w:eastAsia="方正小标宋简体" w:cs="方正小标宋简体"/>
          <w:b w:val="0"/>
          <w:bCs w:val="0"/>
          <w:sz w:val="44"/>
          <w:szCs w:val="44"/>
          <w:highlight w:val="none"/>
          <w:shd w:val="clear" w:color="auto" w:fill="FFFFFF"/>
        </w:rPr>
        <w:t>20</w:t>
      </w:r>
      <w:r>
        <w:rPr>
          <w:rFonts w:hint="eastAsia" w:ascii="方正小标宋简体" w:hAnsi="方正小标宋简体" w:eastAsia="方正小标宋简体" w:cs="方正小标宋简体"/>
          <w:b w:val="0"/>
          <w:bCs w:val="0"/>
          <w:sz w:val="44"/>
          <w:szCs w:val="44"/>
          <w:highlight w:val="none"/>
          <w:shd w:val="clear" w:color="auto" w:fill="FFFFFF"/>
          <w:lang w:val="en-US" w:eastAsia="zh-CN"/>
        </w:rPr>
        <w:t>23</w:t>
      </w:r>
      <w:r>
        <w:rPr>
          <w:rFonts w:hint="eastAsia" w:ascii="方正小标宋简体" w:hAnsi="方正小标宋简体" w:eastAsia="方正小标宋简体" w:cs="方正小标宋简体"/>
          <w:b w:val="0"/>
          <w:bCs w:val="0"/>
          <w:sz w:val="44"/>
          <w:szCs w:val="44"/>
          <w:highlight w:val="none"/>
          <w:shd w:val="clear" w:color="auto" w:fill="FFFFFF"/>
        </w:rPr>
        <w:t>年部门整体</w:t>
      </w:r>
      <w:r>
        <w:rPr>
          <w:rFonts w:hint="eastAsia" w:ascii="方正小标宋简体" w:hAnsi="方正小标宋简体" w:eastAsia="方正小标宋简体" w:cs="方正小标宋简体"/>
          <w:b w:val="0"/>
          <w:bCs w:val="0"/>
          <w:sz w:val="44"/>
          <w:szCs w:val="44"/>
          <w:highlight w:val="none"/>
          <w:shd w:val="clear" w:color="auto" w:fill="FFFFFF"/>
          <w:lang w:eastAsia="zh-CN"/>
        </w:rPr>
        <w:t>支出</w:t>
      </w:r>
    </w:p>
    <w:p>
      <w:pPr>
        <w:keepNext w:val="0"/>
        <w:keepLines w:val="0"/>
        <w:pageBreakBefore w:val="0"/>
        <w:widowControl/>
        <w:kinsoku/>
        <w:wordWrap/>
        <w:overflowPunct/>
        <w:topLinePunct w:val="0"/>
        <w:autoSpaceDE/>
        <w:autoSpaceDN/>
        <w:bidi w:val="0"/>
        <w:spacing w:line="560" w:lineRule="exact"/>
        <w:contextualSpacing/>
        <w:jc w:val="center"/>
        <w:textAlignment w:val="auto"/>
        <w:rPr>
          <w:rFonts w:hint="eastAsia" w:ascii="楷体_GB2312" w:hAnsi="楷体_GB2312" w:eastAsia="方正小标宋简体" w:cs="楷体_GB2312"/>
          <w:b w:val="0"/>
          <w:bCs w:val="0"/>
          <w:sz w:val="44"/>
          <w:szCs w:val="44"/>
          <w:highlight w:val="none"/>
          <w:shd w:val="clear" w:color="auto" w:fill="FFFFFF"/>
          <w:lang w:eastAsia="zh-CN"/>
        </w:rPr>
      </w:pPr>
      <w:r>
        <w:rPr>
          <w:rFonts w:hint="eastAsia" w:ascii="方正小标宋简体" w:hAnsi="方正小标宋简体" w:eastAsia="方正小标宋简体" w:cs="方正小标宋简体"/>
          <w:b w:val="0"/>
          <w:bCs w:val="0"/>
          <w:sz w:val="44"/>
          <w:szCs w:val="44"/>
          <w:highlight w:val="none"/>
          <w:shd w:val="clear" w:color="auto" w:fill="FFFFFF"/>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自评报告</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根据广元市财政局《关于开展202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年度市级部门绩效自评工作的通知》（广财绩〔202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lang w:val="en-US" w:eastAsia="zh-CN"/>
        </w:rPr>
        <w:t>号）要求，我局高度重视，及时对202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年度整体支出绩效评价进行了自评，有关情况如下：</w:t>
      </w:r>
    </w:p>
    <w:p>
      <w:pPr>
        <w:keepNext w:val="0"/>
        <w:keepLines w:val="0"/>
        <w:pageBreakBefore w:val="0"/>
        <w:widowControl w:val="0"/>
        <w:numPr>
          <w:ilvl w:val="0"/>
          <w:numId w:val="4"/>
        </w:numPr>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黑体" w:hAnsi="黑体" w:eastAsia="黑体" w:cs="黑体"/>
          <w:b w:val="0"/>
          <w:bCs w:val="0"/>
          <w:color w:val="000000"/>
          <w:kern w:val="0"/>
          <w:sz w:val="32"/>
          <w:szCs w:val="32"/>
          <w:highlight w:val="none"/>
          <w:shd w:val="clear" w:color="auto" w:fill="FFFFFF"/>
          <w:lang w:val="zh-CN"/>
        </w:rPr>
      </w:pPr>
      <w:r>
        <w:rPr>
          <w:rFonts w:hint="eastAsia" w:ascii="黑体" w:hAnsi="黑体" w:eastAsia="黑体" w:cs="黑体"/>
          <w:b w:val="0"/>
          <w:bCs w:val="0"/>
          <w:color w:val="000000"/>
          <w:kern w:val="0"/>
          <w:sz w:val="32"/>
          <w:szCs w:val="32"/>
          <w:highlight w:val="none"/>
          <w:shd w:val="clear" w:color="auto" w:fill="FFFFFF"/>
          <w:lang w:val="zh-CN"/>
        </w:rPr>
        <w:t>部门（单位）基本情况</w:t>
      </w:r>
    </w:p>
    <w:p>
      <w:pPr>
        <w:keepNext w:val="0"/>
        <w:keepLines w:val="0"/>
        <w:pageBreakBefore w:val="0"/>
        <w:widowControl w:val="0"/>
        <w:numPr>
          <w:ilvl w:val="0"/>
          <w:numId w:val="5"/>
        </w:numPr>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机构组成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我局</w:t>
      </w:r>
      <w:r>
        <w:rPr>
          <w:rFonts w:hint="eastAsia" w:ascii="仿宋_GB2312" w:hAnsi="仿宋_GB2312" w:eastAsia="仿宋_GB2312" w:cs="仿宋_GB2312"/>
          <w:sz w:val="32"/>
          <w:szCs w:val="32"/>
          <w:lang w:val="en-US" w:eastAsia="zh-CN"/>
        </w:rPr>
        <w:t>内设科室13个，分别为办公室、财务科、人事科、规划与建设管理科、政策法规科(行政审批科、执法监督科)、水资源科（市节约用水办公室）、河湖管理科(市河长制办公室)、水土保持科、农村水利科、水旱灾害防御科、综合执法科、移民工作管理科、水利水电安全监督科。下设事业单位4个，分别为广元市水土保持站（参公管理），四川省广元水土保持生态环境监测分站、广元市水利水电综合服务中心（市水利水电工程质量与安全事务中心）、市河湖管理保护总站（市水旱灾害防御中心）。</w:t>
      </w:r>
    </w:p>
    <w:p>
      <w:pPr>
        <w:keepNext w:val="0"/>
        <w:keepLines w:val="0"/>
        <w:pageBreakBefore w:val="0"/>
        <w:widowControl w:val="0"/>
        <w:numPr>
          <w:ilvl w:val="0"/>
          <w:numId w:val="5"/>
        </w:numPr>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机构职能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贯彻执行国家有关水行政管理工作的方针、政策和法律、法规，负责统一监督管理全市水资源（含地表水和地下水）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水资源保护工作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组织建设和管理重要水利工程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承担广元市防汛抗旱指挥部的日常工作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全市河（湖）长制日常工作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负责水土保持工作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依法负责全市水利行业综合安全监督管理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水利水电工程移民安置和后期扶持工作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组织指导全市重大水利项目对外合作工作；指导全市有关水利等项目的科学研究和技术推广</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全市水利行业队伍建设、服务体系建设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承担水利统计工作</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市政府公布的行政审批和公共服务事项。负责市栖凤湖水位调蓄、河道治“四乱”、堤防设施维护及安全巡查等事务工作。</w:t>
      </w:r>
    </w:p>
    <w:p>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en-US" w:eastAsia="zh-CN"/>
        </w:rPr>
      </w:pPr>
      <w:r>
        <w:rPr>
          <w:rFonts w:hint="eastAsia" w:ascii="楷体_GB2312" w:hAnsi="楷体_GB2312" w:eastAsia="楷体_GB2312" w:cs="楷体_GB2312"/>
          <w:b w:val="0"/>
          <w:bCs w:val="0"/>
          <w:color w:val="000000"/>
          <w:kern w:val="0"/>
          <w:sz w:val="32"/>
          <w:szCs w:val="32"/>
          <w:highlight w:val="none"/>
          <w:shd w:val="clear" w:color="auto" w:fill="FFFFFF"/>
          <w:lang w:val="en-US" w:eastAsia="zh-CN"/>
        </w:rPr>
        <w:t>人员概况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highlight w:val="yellow"/>
          <w:lang w:val="zh-CN"/>
        </w:rPr>
      </w:pPr>
      <w:r>
        <w:rPr>
          <w:rFonts w:hint="eastAsia" w:ascii="仿宋_GB2312" w:hAnsi="仿宋_GB2312" w:eastAsia="仿宋_GB2312" w:cs="仿宋_GB2312"/>
          <w:sz w:val="32"/>
          <w:szCs w:val="32"/>
          <w:highlight w:val="none"/>
          <w:lang w:val="en-US" w:eastAsia="zh-CN"/>
        </w:rPr>
        <w:t>202</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年末，</w:t>
      </w:r>
      <w:r>
        <w:rPr>
          <w:rFonts w:hint="eastAsia" w:ascii="仿宋_GB2312" w:hAnsi="仿宋_GB2312" w:eastAsia="仿宋_GB2312" w:cs="仿宋_GB2312"/>
          <w:sz w:val="32"/>
          <w:szCs w:val="32"/>
          <w:highlight w:val="none"/>
        </w:rPr>
        <w:t>市水利局单位编制总数76</w:t>
      </w:r>
      <w:r>
        <w:rPr>
          <w:rFonts w:hint="eastAsia" w:ascii="仿宋_GB2312" w:hAnsi="仿宋_GB2312" w:eastAsia="仿宋_GB2312" w:cs="仿宋_GB2312"/>
          <w:sz w:val="32"/>
          <w:szCs w:val="32"/>
          <w:highlight w:val="none"/>
          <w:lang w:eastAsia="zh-CN"/>
        </w:rPr>
        <w:t>个，</w:t>
      </w:r>
      <w:r>
        <w:rPr>
          <w:rFonts w:hint="eastAsia" w:ascii="仿宋_GB2312" w:hAnsi="仿宋_GB2312" w:eastAsia="仿宋_GB2312" w:cs="仿宋_GB2312"/>
          <w:sz w:val="32"/>
          <w:szCs w:val="32"/>
          <w:highlight w:val="none"/>
        </w:rPr>
        <w:t>其中行政编制</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lang w:eastAsia="zh-CN"/>
        </w:rPr>
        <w:t>个</w:t>
      </w:r>
      <w:r>
        <w:rPr>
          <w:rFonts w:hint="eastAsia" w:ascii="仿宋_GB2312" w:hAnsi="仿宋_GB2312" w:eastAsia="仿宋_GB2312" w:cs="仿宋_GB2312"/>
          <w:sz w:val="32"/>
          <w:szCs w:val="32"/>
          <w:highlight w:val="none"/>
        </w:rPr>
        <w:t>，参照公务员管理事业编制</w:t>
      </w:r>
      <w:r>
        <w:rPr>
          <w:rFonts w:hint="eastAsia" w:ascii="仿宋_GB2312" w:hAnsi="仿宋_GB2312" w:eastAsia="仿宋_GB2312" w:cs="仿宋_GB2312"/>
          <w:sz w:val="32"/>
          <w:szCs w:val="32"/>
          <w:highlight w:val="none"/>
          <w:lang w:val="en-US" w:eastAsia="zh-CN"/>
        </w:rPr>
        <w:t>17个</w:t>
      </w:r>
      <w:r>
        <w:rPr>
          <w:rFonts w:hint="eastAsia" w:ascii="仿宋_GB2312" w:hAnsi="仿宋_GB2312" w:eastAsia="仿宋_GB2312" w:cs="仿宋_GB2312"/>
          <w:sz w:val="32"/>
          <w:szCs w:val="32"/>
          <w:highlight w:val="none"/>
        </w:rPr>
        <w:t>，事业编制</w:t>
      </w:r>
      <w:r>
        <w:rPr>
          <w:rFonts w:hint="eastAsia" w:ascii="仿宋_GB2312" w:hAnsi="仿宋_GB2312" w:eastAsia="仿宋_GB2312" w:cs="仿宋_GB2312"/>
          <w:sz w:val="32"/>
          <w:szCs w:val="32"/>
          <w:highlight w:val="none"/>
          <w:lang w:val="en-US" w:eastAsia="zh-CN"/>
        </w:rPr>
        <w:t>3</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highlight w:val="none"/>
        </w:rPr>
        <w:t>，工勤人员3人。202</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年</w:t>
      </w:r>
      <w:r>
        <w:rPr>
          <w:rFonts w:hint="eastAsia" w:ascii="仿宋_GB2312" w:hAnsi="仿宋_GB2312" w:eastAsia="仿宋_GB2312" w:cs="仿宋_GB2312"/>
          <w:sz w:val="32"/>
          <w:szCs w:val="32"/>
          <w:highlight w:val="none"/>
        </w:rPr>
        <w:t>末</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市水利局实有在职人员</w:t>
      </w:r>
      <w:r>
        <w:rPr>
          <w:rFonts w:hint="eastAsia" w:ascii="仿宋_GB2312" w:hAnsi="仿宋_GB2312" w:eastAsia="仿宋_GB2312" w:cs="仿宋_GB2312"/>
          <w:sz w:val="32"/>
          <w:szCs w:val="32"/>
          <w:highlight w:val="none"/>
          <w:lang w:val="en-US" w:eastAsia="zh-CN"/>
        </w:rPr>
        <w:t>7</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人，其中行政编制</w:t>
      </w:r>
      <w:r>
        <w:rPr>
          <w:rFonts w:hint="eastAsia" w:ascii="仿宋_GB2312" w:hAnsi="仿宋_GB2312" w:eastAsia="仿宋_GB2312" w:cs="仿宋_GB2312"/>
          <w:sz w:val="32"/>
          <w:szCs w:val="32"/>
          <w:highlight w:val="none"/>
          <w:lang w:val="en-US" w:eastAsia="zh-CN"/>
        </w:rPr>
        <w:t>2</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人，参照公务员管理事业编制1</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人，事业编制</w:t>
      </w:r>
      <w:r>
        <w:rPr>
          <w:rFonts w:hint="eastAsia" w:ascii="仿宋_GB2312" w:hAnsi="仿宋_GB2312" w:eastAsia="仿宋_GB2312" w:cs="仿宋_GB2312"/>
          <w:sz w:val="32"/>
          <w:szCs w:val="32"/>
          <w:highlight w:val="none"/>
          <w:lang w:val="en-US" w:eastAsia="zh-CN"/>
        </w:rPr>
        <w:t>3</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人，工勤人员3人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退休人员6</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人，遗属人员5人。</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黑体" w:hAnsi="黑体" w:eastAsia="黑体" w:cs="黑体"/>
          <w:b w:val="0"/>
          <w:bCs w:val="0"/>
          <w:color w:val="000000"/>
          <w:kern w:val="0"/>
          <w:sz w:val="32"/>
          <w:szCs w:val="32"/>
          <w:highlight w:val="none"/>
          <w:shd w:val="clear" w:color="auto" w:fill="FFFFFF"/>
        </w:rPr>
      </w:pPr>
      <w:r>
        <w:rPr>
          <w:rFonts w:hint="eastAsia" w:ascii="黑体" w:hAnsi="黑体" w:eastAsia="黑体" w:cs="黑体"/>
          <w:b w:val="0"/>
          <w:bCs w:val="0"/>
          <w:color w:val="000000"/>
          <w:kern w:val="0"/>
          <w:sz w:val="32"/>
          <w:szCs w:val="32"/>
          <w:highlight w:val="none"/>
          <w:shd w:val="clear" w:color="auto" w:fill="FFFFFF"/>
        </w:rPr>
        <w:t>二、</w:t>
      </w:r>
      <w:r>
        <w:rPr>
          <w:rFonts w:hint="eastAsia" w:ascii="黑体" w:hAnsi="黑体" w:eastAsia="黑体" w:cs="黑体"/>
          <w:b w:val="0"/>
          <w:bCs w:val="0"/>
          <w:color w:val="000000"/>
          <w:kern w:val="0"/>
          <w:sz w:val="32"/>
          <w:szCs w:val="32"/>
          <w:highlight w:val="none"/>
          <w:shd w:val="clear" w:color="auto" w:fill="FFFFFF"/>
          <w:lang w:eastAsia="zh-CN"/>
        </w:rPr>
        <w:t>部门</w:t>
      </w:r>
      <w:r>
        <w:rPr>
          <w:rFonts w:hint="eastAsia" w:ascii="黑体" w:hAnsi="黑体" w:eastAsia="黑体" w:cs="黑体"/>
          <w:b w:val="0"/>
          <w:bCs w:val="0"/>
          <w:color w:val="000000"/>
          <w:kern w:val="0"/>
          <w:sz w:val="32"/>
          <w:szCs w:val="32"/>
          <w:highlight w:val="none"/>
          <w:shd w:val="clear" w:color="auto" w:fill="FFFFFF"/>
        </w:rPr>
        <w:t>资金收支情况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（一）收入情况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1.年初预算收入情况。</w:t>
      </w:r>
      <w:r>
        <w:rPr>
          <w:rFonts w:hint="eastAsia" w:ascii="仿宋_GB2312" w:hAnsi="仿宋_GB2312" w:eastAsia="仿宋_GB2312" w:cs="仿宋_GB2312"/>
          <w:sz w:val="32"/>
          <w:szCs w:val="32"/>
          <w:highlight w:val="none"/>
          <w:lang w:val="en-US" w:eastAsia="zh-CN"/>
        </w:rPr>
        <w:t>202</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年年初</w:t>
      </w:r>
      <w:r>
        <w:rPr>
          <w:rFonts w:hint="eastAsia" w:ascii="仿宋_GB2312" w:hAnsi="仿宋_GB2312" w:cs="仿宋_GB2312"/>
          <w:sz w:val="32"/>
          <w:szCs w:val="32"/>
          <w:highlight w:val="none"/>
          <w:lang w:val="en-US" w:eastAsia="zh-CN"/>
        </w:rPr>
        <w:t>预算</w:t>
      </w:r>
      <w:r>
        <w:rPr>
          <w:rFonts w:hint="eastAsia" w:ascii="仿宋_GB2312" w:hAnsi="仿宋_GB2312" w:eastAsia="仿宋_GB2312" w:cs="仿宋_GB2312"/>
          <w:sz w:val="32"/>
          <w:szCs w:val="32"/>
          <w:highlight w:val="none"/>
          <w:lang w:val="en-US" w:eastAsia="zh-CN"/>
        </w:rPr>
        <w:t>收入安排资金为</w:t>
      </w:r>
      <w:r>
        <w:rPr>
          <w:rFonts w:hint="eastAsia" w:ascii="仿宋_GB2312" w:hAnsi="仿宋_GB2312" w:cs="仿宋_GB2312"/>
          <w:sz w:val="32"/>
          <w:szCs w:val="32"/>
          <w:highlight w:val="none"/>
          <w:lang w:val="en-US" w:eastAsia="zh-CN"/>
        </w:rPr>
        <w:t>1892.61</w:t>
      </w:r>
      <w:r>
        <w:rPr>
          <w:rFonts w:hint="eastAsia" w:ascii="仿宋_GB2312" w:hAnsi="仿宋_GB2312" w:eastAsia="仿宋_GB2312" w:cs="仿宋_GB2312"/>
          <w:sz w:val="32"/>
          <w:szCs w:val="32"/>
          <w:highlight w:val="none"/>
          <w:lang w:val="en-US" w:eastAsia="zh-CN"/>
        </w:rPr>
        <w:t>万元</w:t>
      </w:r>
      <w:r>
        <w:rPr>
          <w:rFonts w:hint="eastAsia" w:ascii="仿宋_GB2312" w:hAnsi="仿宋_GB2312" w:cs="仿宋_GB2312"/>
          <w:sz w:val="32"/>
          <w:szCs w:val="32"/>
          <w:highlight w:val="none"/>
          <w:lang w:val="en-US" w:eastAsia="zh-CN"/>
        </w:rPr>
        <w:t>，全为一般公共预算拨款收入，包括机关人员、运转经费1478.43万元，项目经费414.18万元</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b w:val="0"/>
          <w:bCs w:val="0"/>
          <w:sz w:val="32"/>
          <w:szCs w:val="32"/>
          <w:lang w:val="en-US" w:eastAsia="zh-CN"/>
        </w:rPr>
        <w:t>决算报表收入情况</w:t>
      </w:r>
      <w:r>
        <w:rPr>
          <w:rFonts w:hint="eastAsia" w:ascii="仿宋_GB2312" w:hAnsi="仿宋_GB2312" w:cs="仿宋_GB2312"/>
          <w:b w:val="0"/>
          <w:bCs w:val="0"/>
          <w:sz w:val="32"/>
          <w:szCs w:val="32"/>
          <w:lang w:val="en-US" w:eastAsia="zh-CN"/>
        </w:rPr>
        <w:t>。</w:t>
      </w:r>
      <w:r>
        <w:rPr>
          <w:rFonts w:hint="eastAsia" w:ascii="仿宋_GB2312" w:hAnsi="仿宋_GB2312" w:cs="仿宋_GB2312"/>
          <w:color w:val="auto"/>
          <w:sz w:val="32"/>
          <w:szCs w:val="32"/>
          <w:highlight w:val="none"/>
          <w:lang w:val="en-US" w:eastAsia="zh-CN"/>
        </w:rPr>
        <w:t>2023年决算</w:t>
      </w:r>
      <w:r>
        <w:rPr>
          <w:rFonts w:hint="eastAsia" w:ascii="仿宋_GB2312" w:hAnsi="仿宋_GB2312" w:eastAsia="仿宋_GB2312" w:cs="仿宋_GB2312"/>
          <w:color w:val="auto"/>
          <w:sz w:val="32"/>
          <w:szCs w:val="32"/>
          <w:highlight w:val="none"/>
          <w:lang w:val="en-US" w:eastAsia="zh-CN"/>
        </w:rPr>
        <w:t>收入</w:t>
      </w:r>
      <w:r>
        <w:rPr>
          <w:rFonts w:hint="eastAsia" w:ascii="仿宋_GB2312" w:hAnsi="仿宋_GB2312" w:cs="仿宋_GB2312"/>
          <w:color w:val="auto"/>
          <w:sz w:val="32"/>
          <w:szCs w:val="32"/>
          <w:highlight w:val="none"/>
          <w:lang w:val="en-US" w:eastAsia="zh-CN"/>
        </w:rPr>
        <w:t>6473.52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cs="仿宋_GB2312"/>
          <w:color w:val="auto"/>
          <w:sz w:val="32"/>
          <w:szCs w:val="32"/>
          <w:highlight w:val="none"/>
          <w:lang w:val="en-US" w:eastAsia="zh-CN"/>
        </w:rPr>
        <w:t>，包括</w:t>
      </w:r>
      <w:r>
        <w:rPr>
          <w:rFonts w:hint="eastAsia" w:ascii="仿宋_GB2312" w:hAnsi="仿宋_GB2312" w:cs="仿宋_GB2312"/>
          <w:sz w:val="32"/>
          <w:szCs w:val="32"/>
          <w:highlight w:val="none"/>
          <w:lang w:val="en-US" w:eastAsia="zh-CN"/>
        </w:rPr>
        <w:t>一般公共预算拨款收入5148.48万元，政府基金预算财政拨款收入1325万元，其他收入0.04万元</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cs="仿宋_GB2312"/>
          <w:b w:val="0"/>
          <w:bCs w:val="0"/>
          <w:color w:val="000000"/>
          <w:kern w:val="0"/>
          <w:sz w:val="32"/>
          <w:szCs w:val="32"/>
          <w:highlight w:val="none"/>
          <w:shd w:val="clear" w:color="auto" w:fill="FFFFFF"/>
          <w:lang w:val="en-US" w:eastAsia="zh-CN"/>
        </w:rPr>
      </w:pPr>
      <w:r>
        <w:rPr>
          <w:rFonts w:hint="eastAsia" w:ascii="仿宋_GB2312" w:hAnsi="仿宋_GB2312" w:cs="仿宋_GB2312"/>
          <w:b w:val="0"/>
          <w:bCs w:val="0"/>
          <w:color w:val="000000"/>
          <w:kern w:val="0"/>
          <w:sz w:val="32"/>
          <w:szCs w:val="32"/>
          <w:highlight w:val="none"/>
          <w:shd w:val="clear" w:color="auto" w:fill="FFFFFF"/>
          <w:lang w:val="en-US" w:eastAsia="zh-CN"/>
        </w:rPr>
        <w:t>（二）支出情况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cs="仿宋_GB2312"/>
          <w:b w:val="0"/>
          <w:bCs w:val="0"/>
          <w:color w:val="000000"/>
          <w:kern w:val="0"/>
          <w:sz w:val="32"/>
          <w:szCs w:val="32"/>
          <w:highlight w:val="none"/>
          <w:shd w:val="clear" w:color="auto" w:fill="FFFFFF"/>
          <w:lang w:val="en-US" w:eastAsia="zh-CN"/>
        </w:rPr>
        <w:t>1.</w:t>
      </w:r>
      <w:r>
        <w:rPr>
          <w:rFonts w:hint="eastAsia" w:ascii="仿宋_GB2312" w:hAnsi="仿宋_GB2312" w:cs="仿宋_GB2312"/>
          <w:sz w:val="32"/>
          <w:szCs w:val="32"/>
          <w:highlight w:val="none"/>
          <w:lang w:val="en-US" w:eastAsia="zh-CN"/>
        </w:rPr>
        <w:t>年初预算支出情况。</w:t>
      </w:r>
      <w:r>
        <w:rPr>
          <w:rFonts w:hint="eastAsia" w:ascii="仿宋_GB2312" w:hAnsi="仿宋_GB2312" w:eastAsia="仿宋_GB2312" w:cs="仿宋_GB2312"/>
          <w:sz w:val="32"/>
          <w:szCs w:val="32"/>
          <w:highlight w:val="none"/>
          <w:lang w:val="en-US" w:eastAsia="zh-CN"/>
        </w:rPr>
        <w:t>202</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年年初</w:t>
      </w:r>
      <w:r>
        <w:rPr>
          <w:rFonts w:hint="eastAsia" w:ascii="仿宋_GB2312" w:hAnsi="仿宋_GB2312" w:cs="仿宋_GB2312"/>
          <w:sz w:val="32"/>
          <w:szCs w:val="32"/>
          <w:highlight w:val="none"/>
          <w:lang w:val="en-US" w:eastAsia="zh-CN"/>
        </w:rPr>
        <w:t>预算支出1892.61</w:t>
      </w:r>
      <w:r>
        <w:rPr>
          <w:rFonts w:hint="eastAsia" w:ascii="仿宋_GB2312" w:hAnsi="仿宋_GB2312" w:eastAsia="仿宋_GB2312" w:cs="仿宋_GB2312"/>
          <w:sz w:val="32"/>
          <w:szCs w:val="32"/>
          <w:highlight w:val="none"/>
          <w:lang w:val="en-US" w:eastAsia="zh-CN"/>
        </w:rPr>
        <w:t>万元。其中社会保障和就业支出</w:t>
      </w:r>
      <w:r>
        <w:rPr>
          <w:rFonts w:hint="eastAsia" w:ascii="仿宋_GB2312" w:hAnsi="仿宋_GB2312" w:cs="仿宋_GB2312"/>
          <w:sz w:val="32"/>
          <w:szCs w:val="32"/>
          <w:highlight w:val="none"/>
          <w:lang w:val="en-US" w:eastAsia="zh-CN"/>
        </w:rPr>
        <w:t>134.54</w:t>
      </w:r>
      <w:r>
        <w:rPr>
          <w:rFonts w:hint="eastAsia" w:ascii="仿宋_GB2312" w:hAnsi="仿宋_GB2312" w:eastAsia="仿宋_GB2312" w:cs="仿宋_GB2312"/>
          <w:sz w:val="32"/>
          <w:szCs w:val="32"/>
          <w:highlight w:val="none"/>
          <w:lang w:val="en-US" w:eastAsia="zh-CN"/>
        </w:rPr>
        <w:t>万元；卫生健康支出</w:t>
      </w:r>
      <w:r>
        <w:rPr>
          <w:rFonts w:hint="eastAsia" w:ascii="仿宋_GB2312" w:hAnsi="仿宋_GB2312" w:cs="仿宋_GB2312"/>
          <w:sz w:val="32"/>
          <w:szCs w:val="32"/>
          <w:highlight w:val="none"/>
          <w:lang w:val="en-US" w:eastAsia="zh-CN"/>
        </w:rPr>
        <w:t>45.21</w:t>
      </w:r>
      <w:r>
        <w:rPr>
          <w:rFonts w:hint="eastAsia" w:ascii="仿宋_GB2312" w:hAnsi="仿宋_GB2312" w:eastAsia="仿宋_GB2312" w:cs="仿宋_GB2312"/>
          <w:sz w:val="32"/>
          <w:szCs w:val="32"/>
          <w:highlight w:val="none"/>
          <w:lang w:val="en-US" w:eastAsia="zh-CN"/>
        </w:rPr>
        <w:t>万元；农林</w:t>
      </w:r>
      <w:r>
        <w:rPr>
          <w:rFonts w:hint="eastAsia" w:ascii="仿宋_GB2312" w:hAnsi="仿宋_GB2312" w:cs="仿宋_GB2312"/>
          <w:sz w:val="32"/>
          <w:szCs w:val="32"/>
          <w:highlight w:val="none"/>
          <w:lang w:val="en-US" w:eastAsia="zh-CN"/>
        </w:rPr>
        <w:t>水</w:t>
      </w:r>
      <w:r>
        <w:rPr>
          <w:rFonts w:hint="eastAsia" w:ascii="仿宋_GB2312" w:hAnsi="仿宋_GB2312" w:eastAsia="仿宋_GB2312" w:cs="仿宋_GB2312"/>
          <w:sz w:val="32"/>
          <w:szCs w:val="32"/>
          <w:highlight w:val="none"/>
          <w:lang w:val="en-US" w:eastAsia="zh-CN"/>
        </w:rPr>
        <w:t>支出</w:t>
      </w:r>
      <w:r>
        <w:rPr>
          <w:rFonts w:hint="eastAsia" w:ascii="仿宋_GB2312" w:hAnsi="仿宋_GB2312" w:cs="仿宋_GB2312"/>
          <w:sz w:val="32"/>
          <w:szCs w:val="32"/>
          <w:highlight w:val="none"/>
          <w:lang w:val="en-US" w:eastAsia="zh-CN"/>
        </w:rPr>
        <w:t>1601.86</w:t>
      </w:r>
      <w:r>
        <w:rPr>
          <w:rFonts w:hint="eastAsia" w:ascii="仿宋_GB2312" w:hAnsi="仿宋_GB2312" w:eastAsia="仿宋_GB2312" w:cs="仿宋_GB2312"/>
          <w:sz w:val="32"/>
          <w:szCs w:val="32"/>
          <w:highlight w:val="none"/>
          <w:lang w:val="en-US" w:eastAsia="zh-CN"/>
        </w:rPr>
        <w:t>万元；住房保障支出</w:t>
      </w:r>
      <w:r>
        <w:rPr>
          <w:rFonts w:hint="eastAsia" w:ascii="仿宋_GB2312" w:hAnsi="仿宋_GB2312" w:cs="仿宋_GB2312"/>
          <w:sz w:val="32"/>
          <w:szCs w:val="32"/>
          <w:highlight w:val="none"/>
          <w:lang w:val="en-US" w:eastAsia="zh-CN"/>
        </w:rPr>
        <w:t>111.02</w:t>
      </w:r>
      <w:r>
        <w:rPr>
          <w:rFonts w:hint="eastAsia" w:ascii="仿宋_GB2312" w:hAnsi="仿宋_GB2312" w:eastAsia="仿宋_GB2312" w:cs="仿宋_GB2312"/>
          <w:sz w:val="32"/>
          <w:szCs w:val="32"/>
          <w:highlight w:val="none"/>
          <w:lang w:val="en-US" w:eastAsia="zh-CN"/>
        </w:rPr>
        <w:t xml:space="preserve">万元。 </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default"/>
          <w:sz w:val="32"/>
          <w:szCs w:val="32"/>
          <w:lang w:val="en-US" w:eastAsia="zh-CN"/>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b w:val="0"/>
          <w:bCs w:val="0"/>
          <w:sz w:val="32"/>
          <w:szCs w:val="32"/>
          <w:lang w:val="en-US" w:eastAsia="zh-CN"/>
        </w:rPr>
        <w:t>决算报表</w:t>
      </w:r>
      <w:r>
        <w:rPr>
          <w:rFonts w:hint="eastAsia" w:ascii="仿宋_GB2312" w:hAnsi="仿宋_GB2312" w:cs="仿宋_GB2312"/>
          <w:b w:val="0"/>
          <w:bCs w:val="0"/>
          <w:sz w:val="32"/>
          <w:szCs w:val="32"/>
          <w:lang w:val="en-US" w:eastAsia="zh-CN"/>
        </w:rPr>
        <w:t>支出</w:t>
      </w:r>
      <w:r>
        <w:rPr>
          <w:rFonts w:hint="eastAsia" w:ascii="仿宋_GB2312" w:hAnsi="仿宋_GB2312" w:eastAsia="仿宋_GB2312" w:cs="仿宋_GB2312"/>
          <w:b w:val="0"/>
          <w:bCs w:val="0"/>
          <w:sz w:val="32"/>
          <w:szCs w:val="32"/>
          <w:lang w:val="en-US" w:eastAsia="zh-CN"/>
        </w:rPr>
        <w:t>情况</w:t>
      </w:r>
      <w:r>
        <w:rPr>
          <w:rFonts w:hint="eastAsia" w:ascii="仿宋_GB2312" w:hAnsi="仿宋_GB2312" w:cs="仿宋_GB2312"/>
          <w:b w:val="0"/>
          <w:bCs w:val="0"/>
          <w:sz w:val="32"/>
          <w:szCs w:val="32"/>
          <w:lang w:val="en-US" w:eastAsia="zh-CN"/>
        </w:rPr>
        <w:t>。2023年决算支出6433.23万元，</w:t>
      </w:r>
      <w:r>
        <w:rPr>
          <w:rFonts w:hint="eastAsia" w:ascii="仿宋_GB2312" w:hAnsi="仿宋_GB2312" w:eastAsia="仿宋_GB2312" w:cs="仿宋_GB2312"/>
          <w:sz w:val="32"/>
          <w:szCs w:val="32"/>
          <w:highlight w:val="none"/>
          <w:lang w:val="en-US" w:eastAsia="zh-CN"/>
        </w:rPr>
        <w:t>其中社会保障和就业支出</w:t>
      </w:r>
      <w:r>
        <w:rPr>
          <w:rFonts w:hint="eastAsia" w:ascii="仿宋_GB2312" w:hAnsi="仿宋_GB2312" w:cs="仿宋_GB2312"/>
          <w:sz w:val="32"/>
          <w:szCs w:val="32"/>
          <w:highlight w:val="none"/>
          <w:lang w:val="en-US" w:eastAsia="zh-CN"/>
        </w:rPr>
        <w:t>205.3万元，</w:t>
      </w:r>
      <w:r>
        <w:rPr>
          <w:rFonts w:hint="eastAsia" w:ascii="仿宋_GB2312" w:hAnsi="仿宋_GB2312" w:eastAsia="仿宋_GB2312" w:cs="仿宋_GB2312"/>
          <w:sz w:val="32"/>
          <w:szCs w:val="32"/>
          <w:highlight w:val="none"/>
          <w:lang w:val="en-US" w:eastAsia="zh-CN"/>
        </w:rPr>
        <w:t>卫生健康支出</w:t>
      </w:r>
      <w:r>
        <w:rPr>
          <w:rFonts w:hint="eastAsia" w:ascii="仿宋_GB2312" w:hAnsi="仿宋_GB2312" w:cs="仿宋_GB2312"/>
          <w:sz w:val="32"/>
          <w:szCs w:val="32"/>
          <w:highlight w:val="none"/>
          <w:lang w:val="en-US" w:eastAsia="zh-CN"/>
        </w:rPr>
        <w:t>60.93万元，</w:t>
      </w:r>
      <w:r>
        <w:rPr>
          <w:rFonts w:hint="eastAsia" w:ascii="仿宋_GB2312" w:hAnsi="仿宋_GB2312" w:eastAsia="仿宋_GB2312" w:cs="仿宋_GB2312"/>
          <w:sz w:val="32"/>
          <w:szCs w:val="32"/>
          <w:highlight w:val="none"/>
          <w:lang w:val="en-US" w:eastAsia="zh-CN"/>
        </w:rPr>
        <w:t>农林</w:t>
      </w:r>
      <w:r>
        <w:rPr>
          <w:rFonts w:hint="eastAsia" w:ascii="仿宋_GB2312" w:hAnsi="仿宋_GB2312" w:cs="仿宋_GB2312"/>
          <w:sz w:val="32"/>
          <w:szCs w:val="32"/>
          <w:highlight w:val="none"/>
          <w:lang w:val="en-US" w:eastAsia="zh-CN"/>
        </w:rPr>
        <w:t>水</w:t>
      </w:r>
      <w:r>
        <w:rPr>
          <w:rFonts w:hint="eastAsia" w:ascii="仿宋_GB2312" w:hAnsi="仿宋_GB2312" w:eastAsia="仿宋_GB2312" w:cs="仿宋_GB2312"/>
          <w:sz w:val="32"/>
          <w:szCs w:val="32"/>
          <w:highlight w:val="none"/>
          <w:lang w:val="en-US" w:eastAsia="zh-CN"/>
        </w:rPr>
        <w:t>支出</w:t>
      </w:r>
      <w:r>
        <w:rPr>
          <w:rFonts w:hint="eastAsia" w:ascii="仿宋_GB2312" w:hAnsi="仿宋_GB2312" w:cs="仿宋_GB2312"/>
          <w:sz w:val="32"/>
          <w:szCs w:val="32"/>
          <w:highlight w:val="none"/>
          <w:lang w:val="en-US" w:eastAsia="zh-CN"/>
        </w:rPr>
        <w:t>4729.71万元，</w:t>
      </w:r>
      <w:r>
        <w:rPr>
          <w:rFonts w:hint="eastAsia" w:ascii="仿宋_GB2312" w:hAnsi="仿宋_GB2312" w:eastAsia="仿宋_GB2312" w:cs="仿宋_GB2312"/>
          <w:sz w:val="32"/>
          <w:szCs w:val="32"/>
          <w:highlight w:val="none"/>
          <w:lang w:val="en-US" w:eastAsia="zh-CN"/>
        </w:rPr>
        <w:t>住房保障支出</w:t>
      </w:r>
      <w:r>
        <w:rPr>
          <w:rFonts w:hint="eastAsia" w:ascii="仿宋_GB2312" w:hAnsi="仿宋_GB2312" w:cs="仿宋_GB2312"/>
          <w:sz w:val="32"/>
          <w:szCs w:val="32"/>
          <w:highlight w:val="none"/>
          <w:lang w:val="en-US" w:eastAsia="zh-CN"/>
        </w:rPr>
        <w:t>112.29万元，其他支出1325万元。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Chars="200"/>
        <w:contextualSpacing/>
        <w:jc w:val="both"/>
        <w:textAlignment w:val="auto"/>
        <w:rPr>
          <w:rFonts w:hint="eastAsia" w:ascii="仿宋_GB2312" w:hAnsi="仿宋_GB2312" w:eastAsia="仿宋_GB2312" w:cs="仿宋_GB2312"/>
          <w:b w:val="0"/>
          <w:bCs w:val="0"/>
          <w:color w:val="000000"/>
          <w:kern w:val="0"/>
          <w:sz w:val="32"/>
          <w:szCs w:val="32"/>
          <w:highlight w:val="none"/>
          <w:shd w:val="clear" w:color="auto" w:fill="FFFFFF"/>
          <w:lang w:val="en-US" w:eastAsia="zh-CN"/>
        </w:rPr>
      </w:pPr>
      <w:r>
        <w:rPr>
          <w:rFonts w:hint="eastAsia" w:ascii="仿宋_GB2312" w:hAnsi="仿宋_GB2312" w:cs="仿宋_GB2312"/>
          <w:b w:val="0"/>
          <w:bCs w:val="0"/>
          <w:color w:val="000000"/>
          <w:kern w:val="0"/>
          <w:sz w:val="32"/>
          <w:szCs w:val="32"/>
          <w:highlight w:val="none"/>
          <w:shd w:val="clear" w:color="auto" w:fill="FFFFFF"/>
          <w:lang w:val="en-US" w:eastAsia="zh-CN"/>
        </w:rPr>
        <w:t>（三）</w:t>
      </w:r>
      <w:r>
        <w:rPr>
          <w:rFonts w:hint="eastAsia" w:ascii="仿宋_GB2312" w:hAnsi="仿宋_GB2312" w:eastAsia="仿宋_GB2312" w:cs="仿宋_GB2312"/>
          <w:b w:val="0"/>
          <w:bCs w:val="0"/>
          <w:color w:val="000000"/>
          <w:kern w:val="0"/>
          <w:sz w:val="32"/>
          <w:szCs w:val="32"/>
          <w:highlight w:val="none"/>
          <w:shd w:val="clear" w:color="auto" w:fill="FFFFFF"/>
          <w:lang w:val="en-US" w:eastAsia="zh-CN"/>
        </w:rPr>
        <w:t>结转结余情况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202</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年，</w:t>
      </w:r>
      <w:r>
        <w:rPr>
          <w:rFonts w:hint="eastAsia" w:ascii="仿宋_GB2312" w:hAnsi="仿宋_GB2312" w:cs="仿宋_GB2312"/>
          <w:sz w:val="32"/>
          <w:szCs w:val="32"/>
          <w:highlight w:val="none"/>
          <w:lang w:val="en-US" w:eastAsia="zh-CN"/>
        </w:rPr>
        <w:t>决算报表</w:t>
      </w:r>
      <w:r>
        <w:rPr>
          <w:rFonts w:hint="eastAsia" w:ascii="仿宋_GB2312" w:hAnsi="仿宋_GB2312" w:eastAsia="仿宋_GB2312" w:cs="仿宋_GB2312"/>
          <w:sz w:val="32"/>
          <w:szCs w:val="32"/>
          <w:highlight w:val="none"/>
          <w:lang w:val="en-US" w:eastAsia="zh-CN"/>
        </w:rPr>
        <w:t>财政拨款结转结余</w:t>
      </w:r>
      <w:r>
        <w:rPr>
          <w:rFonts w:hint="eastAsia" w:ascii="仿宋_GB2312" w:hAnsi="仿宋_GB2312" w:cs="仿宋_GB2312"/>
          <w:sz w:val="32"/>
          <w:szCs w:val="32"/>
          <w:highlight w:val="none"/>
          <w:lang w:val="en-US" w:eastAsia="zh-CN"/>
        </w:rPr>
        <w:t>85.92</w:t>
      </w:r>
      <w:r>
        <w:rPr>
          <w:rFonts w:hint="eastAsia" w:ascii="仿宋_GB2312" w:hAnsi="仿宋_GB2312" w:eastAsia="仿宋_GB2312" w:cs="仿宋_GB2312"/>
          <w:sz w:val="32"/>
          <w:szCs w:val="32"/>
          <w:highlight w:val="none"/>
          <w:lang w:val="en-US" w:eastAsia="zh-CN"/>
        </w:rPr>
        <w:t>万元。其中：基本养老保险缴费</w:t>
      </w:r>
      <w:r>
        <w:rPr>
          <w:rFonts w:hint="eastAsia" w:ascii="仿宋_GB2312" w:hAnsi="仿宋_GB2312" w:cs="仿宋_GB2312"/>
          <w:sz w:val="32"/>
          <w:szCs w:val="32"/>
          <w:highlight w:val="none"/>
          <w:lang w:val="en-US" w:eastAsia="zh-CN"/>
        </w:rPr>
        <w:t>9.28</w:t>
      </w:r>
      <w:r>
        <w:rPr>
          <w:rFonts w:hint="eastAsia" w:ascii="仿宋_GB2312" w:hAnsi="仿宋_GB2312" w:eastAsia="仿宋_GB2312" w:cs="仿宋_GB2312"/>
          <w:sz w:val="32"/>
          <w:szCs w:val="32"/>
          <w:highlight w:val="none"/>
          <w:lang w:val="en-US" w:eastAsia="zh-CN"/>
        </w:rPr>
        <w:t>万元</w:t>
      </w:r>
      <w:r>
        <w:rPr>
          <w:rFonts w:hint="eastAsia" w:ascii="仿宋_GB2312" w:hAnsi="仿宋_GB2312" w:cs="仿宋_GB2312"/>
          <w:sz w:val="32"/>
          <w:szCs w:val="32"/>
          <w:highlight w:val="none"/>
          <w:lang w:val="en-US" w:eastAsia="zh-CN"/>
        </w:rPr>
        <w:t>，医疗保险2.14万元，人员工资福利0.81万元，水利有关项目73.6</w:t>
      </w:r>
      <w:r>
        <w:rPr>
          <w:rFonts w:hint="eastAsia" w:ascii="仿宋_GB2312" w:hAnsi="仿宋_GB2312" w:eastAsia="仿宋_GB2312" w:cs="仿宋_GB231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leftChars="200"/>
        <w:contextualSpacing/>
        <w:jc w:val="both"/>
        <w:textAlignment w:val="auto"/>
        <w:rPr>
          <w:rFonts w:hint="eastAsia" w:ascii="黑体" w:hAnsi="黑体" w:eastAsia="黑体" w:cs="黑体"/>
          <w:b w:val="0"/>
          <w:bCs w:val="0"/>
          <w:color w:val="000000"/>
          <w:kern w:val="0"/>
          <w:sz w:val="32"/>
          <w:szCs w:val="32"/>
          <w:highlight w:val="none"/>
          <w:u w:val="none"/>
          <w:shd w:val="clear" w:color="auto" w:fill="FFFFFF"/>
          <w:lang w:eastAsia="zh-CN"/>
        </w:rPr>
      </w:pPr>
      <w:r>
        <w:rPr>
          <w:rFonts w:hint="eastAsia" w:ascii="黑体" w:hAnsi="黑体" w:eastAsia="黑体" w:cs="黑体"/>
          <w:b w:val="0"/>
          <w:bCs w:val="0"/>
          <w:color w:val="000000"/>
          <w:kern w:val="0"/>
          <w:sz w:val="32"/>
          <w:szCs w:val="32"/>
          <w:highlight w:val="none"/>
          <w:u w:val="none"/>
          <w:shd w:val="clear" w:color="auto" w:fill="FFFFFF"/>
          <w:lang w:eastAsia="zh-CN"/>
        </w:rPr>
        <w:t>三、</w:t>
      </w:r>
      <w:r>
        <w:rPr>
          <w:rFonts w:hint="eastAsia" w:ascii="黑体" w:hAnsi="黑体" w:eastAsia="黑体" w:cs="黑体"/>
          <w:b w:val="0"/>
          <w:bCs w:val="0"/>
          <w:color w:val="000000"/>
          <w:kern w:val="0"/>
          <w:sz w:val="32"/>
          <w:szCs w:val="32"/>
          <w:highlight w:val="none"/>
          <w:u w:val="none"/>
          <w:shd w:val="clear" w:color="auto" w:fill="FFFFFF"/>
        </w:rPr>
        <w:t>部门</w:t>
      </w:r>
      <w:r>
        <w:rPr>
          <w:rFonts w:hint="eastAsia" w:ascii="黑体" w:hAnsi="黑体" w:eastAsia="黑体" w:cs="黑体"/>
          <w:b w:val="0"/>
          <w:bCs w:val="0"/>
          <w:color w:val="000000"/>
          <w:kern w:val="0"/>
          <w:sz w:val="32"/>
          <w:szCs w:val="32"/>
          <w:highlight w:val="none"/>
          <w:u w:val="none"/>
          <w:shd w:val="clear" w:color="auto" w:fill="FFFFFF"/>
          <w:lang w:eastAsia="zh-CN"/>
        </w:rPr>
        <w:t>预算</w:t>
      </w:r>
      <w:r>
        <w:rPr>
          <w:rFonts w:hint="eastAsia" w:ascii="黑体" w:hAnsi="黑体" w:eastAsia="黑体" w:cs="黑体"/>
          <w:b w:val="0"/>
          <w:bCs w:val="0"/>
          <w:color w:val="000000"/>
          <w:kern w:val="0"/>
          <w:sz w:val="32"/>
          <w:szCs w:val="32"/>
          <w:highlight w:val="none"/>
          <w:u w:val="none"/>
          <w:shd w:val="clear" w:color="auto" w:fill="FFFFFF"/>
        </w:rPr>
        <w:t>绩效</w:t>
      </w:r>
      <w:r>
        <w:rPr>
          <w:rFonts w:hint="eastAsia" w:ascii="黑体" w:hAnsi="黑体" w:eastAsia="黑体" w:cs="黑体"/>
          <w:b w:val="0"/>
          <w:bCs w:val="0"/>
          <w:color w:val="000000"/>
          <w:kern w:val="0"/>
          <w:sz w:val="32"/>
          <w:szCs w:val="32"/>
          <w:highlight w:val="none"/>
          <w:u w:val="none"/>
          <w:shd w:val="clear" w:color="auto" w:fill="FFFFFF"/>
          <w:lang w:eastAsia="zh-CN"/>
        </w:rPr>
        <w:t>分析</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（一）</w:t>
      </w:r>
      <w:r>
        <w:rPr>
          <w:rFonts w:hint="eastAsia" w:eastAsia="楷体_GB2312" w:cs="Times New Roman"/>
          <w:b w:val="0"/>
          <w:bCs w:val="0"/>
          <w:color w:val="000000"/>
          <w:kern w:val="0"/>
          <w:sz w:val="32"/>
          <w:szCs w:val="32"/>
          <w:highlight w:val="none"/>
          <w:shd w:val="clear" w:color="auto" w:fill="FFFFFF"/>
          <w:lang w:val="zh-CN"/>
        </w:rPr>
        <w:t>部门预算</w:t>
      </w:r>
      <w:r>
        <w:rPr>
          <w:rFonts w:hint="default" w:ascii="Times New Roman" w:hAnsi="Times New Roman" w:eastAsia="楷体_GB2312" w:cs="Times New Roman"/>
          <w:b w:val="0"/>
          <w:bCs w:val="0"/>
          <w:color w:val="000000"/>
          <w:kern w:val="0"/>
          <w:sz w:val="32"/>
          <w:szCs w:val="32"/>
          <w:highlight w:val="none"/>
          <w:shd w:val="clear" w:color="auto" w:fill="FFFFFF"/>
          <w:lang w:val="zh-CN"/>
        </w:rPr>
        <w:t>总体绩效分析。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zh-CN"/>
        </w:rPr>
        <w:t>按照有关职责职能，通过年初合理设置</w:t>
      </w:r>
      <w:r>
        <w:rPr>
          <w:rFonts w:hint="eastAsia" w:ascii="仿宋_GB2312" w:hAnsi="仿宋_GB2312" w:eastAsia="仿宋_GB2312" w:cs="仿宋_GB2312"/>
          <w:sz w:val="32"/>
          <w:szCs w:val="32"/>
          <w:lang w:val="zh-CN"/>
        </w:rPr>
        <w:t>清晰、细化、可衡量绩效目标</w:t>
      </w:r>
      <w:r>
        <w:rPr>
          <w:rFonts w:hint="eastAsia" w:ascii="仿宋_GB2312" w:hAnsi="仿宋_GB2312" w:cs="仿宋_GB2312"/>
          <w:sz w:val="32"/>
          <w:szCs w:val="32"/>
          <w:lang w:val="zh-CN"/>
        </w:rPr>
        <w:t>，年中对照目标加快预算执行，我局总体绩效自评得</w:t>
      </w:r>
      <w:r>
        <w:rPr>
          <w:rFonts w:hint="eastAsia" w:ascii="仿宋_GB2312" w:hAnsi="仿宋_GB2312" w:cs="仿宋_GB2312"/>
          <w:sz w:val="32"/>
          <w:szCs w:val="32"/>
          <w:lang w:val="en-US" w:eastAsia="zh-CN"/>
        </w:rPr>
        <w:t>63.45分</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hAnsi="仿宋_GB2312" w:eastAsia="仿宋_GB2312" w:cs="仿宋_GB2312"/>
          <w:color w:val="000000"/>
          <w:kern w:val="0"/>
          <w:sz w:val="32"/>
          <w:szCs w:val="32"/>
          <w:highlight w:val="none"/>
          <w:shd w:val="clear" w:color="auto" w:fill="FFFFFF"/>
          <w:lang w:val="zh-CN"/>
        </w:rPr>
      </w:pPr>
      <w:r>
        <w:rPr>
          <w:rFonts w:hint="eastAsia" w:ascii="仿宋_GB2312" w:hAnsi="仿宋_GB2312" w:cs="仿宋_GB2312"/>
          <w:color w:val="000000"/>
          <w:kern w:val="0"/>
          <w:sz w:val="32"/>
          <w:szCs w:val="32"/>
          <w:highlight w:val="none"/>
          <w:shd w:val="clear" w:color="auto" w:fill="FFFFFF"/>
          <w:lang w:val="en-US" w:eastAsia="zh-CN"/>
        </w:rPr>
        <w:t>1.</w:t>
      </w:r>
      <w:r>
        <w:rPr>
          <w:rFonts w:hint="eastAsia" w:ascii="仿宋_GB2312" w:hAnsi="仿宋_GB2312" w:eastAsia="仿宋_GB2312" w:cs="仿宋_GB2312"/>
          <w:color w:val="000000"/>
          <w:kern w:val="0"/>
          <w:sz w:val="32"/>
          <w:szCs w:val="32"/>
          <w:highlight w:val="none"/>
          <w:shd w:val="clear" w:color="auto" w:fill="FFFFFF"/>
          <w:lang w:val="zh-CN"/>
        </w:rPr>
        <w:t>履职效能</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color w:val="000000"/>
          <w:kern w:val="0"/>
          <w:sz w:val="32"/>
          <w:szCs w:val="32"/>
          <w:highlight w:val="none"/>
          <w:shd w:val="clear" w:color="auto" w:fill="FFFFFF"/>
          <w:lang w:val="zh-CN"/>
        </w:rPr>
      </w:pPr>
      <w:r>
        <w:rPr>
          <w:rStyle w:val="41"/>
          <w:rFonts w:hint="eastAsia" w:ascii="仿宋_GB2312" w:cs="仿宋_GB2312"/>
          <w:caps w:val="0"/>
          <w:color w:val="auto"/>
          <w:kern w:val="2"/>
          <w:sz w:val="32"/>
          <w:szCs w:val="32"/>
          <w:vertAlign w:val="baseline"/>
          <w:lang w:val="en-US" w:eastAsia="zh-CN" w:bidi="ar"/>
        </w:rPr>
        <w:t>（1）经费保障履职效果。对本单位在编人员、退休人员、其他人员进行保障，包括基本工资、津补贴、绩效工资、养老保险、医疗保险、公积金等方面。</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val="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cs="仿宋_GB2312"/>
          <w:b w:val="0"/>
          <w:bCs w:val="0"/>
          <w:caps w:val="0"/>
          <w:color w:val="auto"/>
          <w:kern w:val="2"/>
          <w:sz w:val="32"/>
          <w:szCs w:val="32"/>
          <w:vertAlign w:val="baseline"/>
          <w:lang w:val="en-US" w:eastAsia="zh-CN" w:bidi="ar"/>
        </w:rPr>
      </w:pPr>
      <w:r>
        <w:rPr>
          <w:rFonts w:hint="eastAsia" w:ascii="仿宋_GB2312" w:hAnsi="仿宋_GB2312" w:cs="仿宋_GB2312"/>
          <w:color w:val="000000"/>
          <w:kern w:val="0"/>
          <w:sz w:val="32"/>
          <w:szCs w:val="32"/>
          <w:highlight w:val="none"/>
          <w:shd w:val="clear" w:color="auto" w:fill="FFFFFF"/>
          <w:lang w:val="zh-CN"/>
        </w:rPr>
        <w:t>（</w:t>
      </w:r>
      <w:r>
        <w:rPr>
          <w:rFonts w:hint="eastAsia" w:ascii="仿宋_GB2312" w:hAnsi="仿宋_GB2312" w:cs="仿宋_GB2312"/>
          <w:color w:val="000000"/>
          <w:kern w:val="0"/>
          <w:sz w:val="32"/>
          <w:szCs w:val="32"/>
          <w:highlight w:val="none"/>
          <w:shd w:val="clear" w:color="auto" w:fill="FFFFFF"/>
          <w:lang w:val="en-US" w:eastAsia="zh-CN"/>
        </w:rPr>
        <w:t>2）防汛履职效果。</w:t>
      </w:r>
      <w:r>
        <w:rPr>
          <w:rFonts w:hint="eastAsia" w:ascii="仿宋_GB2312" w:eastAsia="仿宋_GB2312" w:cs="仿宋_GB2312"/>
          <w:b w:val="0"/>
          <w:bCs w:val="0"/>
          <w:caps w:val="0"/>
          <w:color w:val="auto"/>
          <w:kern w:val="2"/>
          <w:sz w:val="32"/>
          <w:szCs w:val="32"/>
          <w:vertAlign w:val="baseline"/>
          <w:lang w:val="en-US" w:eastAsia="zh-CN" w:bidi="ar"/>
        </w:rPr>
        <w:t>坚持落实</w:t>
      </w:r>
      <w:r>
        <w:rPr>
          <w:rFonts w:hint="eastAsia" w:ascii="仿宋_GB2312" w:hAnsi="Times New Roman" w:eastAsia="仿宋_GB2312" w:cs="仿宋_GB2312"/>
          <w:b w:val="0"/>
          <w:bCs w:val="0"/>
          <w:caps w:val="0"/>
          <w:color w:val="auto"/>
          <w:kern w:val="2"/>
          <w:sz w:val="32"/>
          <w:szCs w:val="32"/>
          <w:vertAlign w:val="baseline"/>
          <w:lang w:val="en-US" w:eastAsia="zh-CN" w:bidi="ar"/>
        </w:rPr>
        <w:t>“30123”叫应机制</w:t>
      </w:r>
      <w:r>
        <w:rPr>
          <w:rFonts w:hint="eastAsia" w:ascii="仿宋_GB2312" w:eastAsia="仿宋_GB2312" w:cs="仿宋_GB2312"/>
          <w:b w:val="0"/>
          <w:bCs w:val="0"/>
          <w:caps w:val="0"/>
          <w:color w:val="auto"/>
          <w:kern w:val="2"/>
          <w:sz w:val="32"/>
          <w:szCs w:val="32"/>
          <w:vertAlign w:val="baseline"/>
          <w:lang w:val="en-US" w:eastAsia="zh-CN" w:bidi="ar"/>
        </w:rPr>
        <w:t>，扎实抓好</w:t>
      </w:r>
      <w:r>
        <w:rPr>
          <w:rFonts w:hint="eastAsia" w:ascii="仿宋_GB2312" w:hAnsi="Times New Roman" w:eastAsia="仿宋_GB2312" w:cs="仿宋_GB2312"/>
          <w:b w:val="0"/>
          <w:bCs w:val="0"/>
          <w:caps w:val="0"/>
          <w:color w:val="auto"/>
          <w:kern w:val="2"/>
          <w:sz w:val="32"/>
          <w:szCs w:val="32"/>
          <w:vertAlign w:val="baseline"/>
          <w:lang w:val="en-US" w:eastAsia="zh-CN" w:bidi="ar"/>
        </w:rPr>
        <w:t>监测预警，发布各类预警信息</w:t>
      </w:r>
      <w:r>
        <w:rPr>
          <w:rStyle w:val="41"/>
          <w:rFonts w:hint="eastAsia" w:ascii="仿宋_GB2312" w:hAnsi="Times New Roman" w:eastAsia="仿宋_GB2312" w:cs="仿宋_GB2312"/>
          <w:caps w:val="0"/>
          <w:color w:val="auto"/>
          <w:kern w:val="2"/>
          <w:sz w:val="32"/>
          <w:szCs w:val="32"/>
          <w:vertAlign w:val="baseline"/>
          <w:lang w:val="en-US" w:eastAsia="zh-CN" w:bidi="ar"/>
        </w:rPr>
        <w:t>169</w:t>
      </w:r>
      <w:r>
        <w:rPr>
          <w:rFonts w:hint="eastAsia" w:ascii="仿宋_GB2312" w:hAnsi="Times New Roman" w:eastAsia="仿宋_GB2312" w:cs="仿宋_GB2312"/>
          <w:b w:val="0"/>
          <w:bCs w:val="0"/>
          <w:caps w:val="0"/>
          <w:color w:val="auto"/>
          <w:kern w:val="2"/>
          <w:sz w:val="32"/>
          <w:szCs w:val="32"/>
          <w:vertAlign w:val="baseline"/>
          <w:lang w:val="en-US" w:eastAsia="zh-CN" w:bidi="ar"/>
        </w:rPr>
        <w:t>万余条</w:t>
      </w:r>
      <w:r>
        <w:rPr>
          <w:rFonts w:hint="eastAsia" w:ascii="仿宋_GB2312" w:eastAsia="仿宋_GB2312" w:cs="仿宋_GB2312"/>
          <w:b w:val="0"/>
          <w:bCs w:val="0"/>
          <w:caps w:val="0"/>
          <w:color w:val="auto"/>
          <w:kern w:val="2"/>
          <w:sz w:val="32"/>
          <w:szCs w:val="32"/>
          <w:vertAlign w:val="baseline"/>
          <w:lang w:val="en-US" w:eastAsia="zh-CN" w:bidi="ar"/>
        </w:rPr>
        <w:t>，</w:t>
      </w:r>
      <w:r>
        <w:rPr>
          <w:rStyle w:val="41"/>
          <w:rFonts w:hint="eastAsia" w:ascii="仿宋_GB2312" w:hAnsi="Times New Roman" w:eastAsia="仿宋_GB2312" w:cs="仿宋_GB2312"/>
          <w:caps w:val="0"/>
          <w:color w:val="auto"/>
          <w:kern w:val="2"/>
          <w:sz w:val="32"/>
          <w:szCs w:val="32"/>
          <w:vertAlign w:val="baseline"/>
          <w:lang w:val="en-US" w:eastAsia="zh-CN" w:bidi="ar"/>
        </w:rPr>
        <w:t>启动应急响应3</w:t>
      </w:r>
      <w:r>
        <w:rPr>
          <w:rStyle w:val="41"/>
          <w:rFonts w:hint="eastAsia" w:ascii="仿宋_GB2312" w:eastAsia="仿宋_GB2312" w:cs="仿宋_GB2312"/>
          <w:caps w:val="0"/>
          <w:color w:val="auto"/>
          <w:kern w:val="2"/>
          <w:sz w:val="32"/>
          <w:szCs w:val="32"/>
          <w:vertAlign w:val="baseline"/>
          <w:lang w:val="en-US" w:eastAsia="zh-CN" w:bidi="ar"/>
        </w:rPr>
        <w:t>4</w:t>
      </w:r>
      <w:r>
        <w:rPr>
          <w:rStyle w:val="41"/>
          <w:rFonts w:hint="eastAsia" w:ascii="仿宋_GB2312" w:hAnsi="Times New Roman" w:eastAsia="仿宋_GB2312" w:cs="仿宋_GB2312"/>
          <w:caps w:val="0"/>
          <w:color w:val="auto"/>
          <w:kern w:val="2"/>
          <w:sz w:val="32"/>
          <w:szCs w:val="32"/>
          <w:vertAlign w:val="baseline"/>
          <w:lang w:val="en-US" w:eastAsia="zh-CN" w:bidi="ar"/>
        </w:rPr>
        <w:t>次</w:t>
      </w:r>
      <w:r>
        <w:rPr>
          <w:rStyle w:val="41"/>
          <w:rFonts w:hint="eastAsia" w:ascii="仿宋_GB2312" w:eastAsia="仿宋_GB2312" w:cs="仿宋_GB2312"/>
          <w:caps w:val="0"/>
          <w:color w:val="auto"/>
          <w:kern w:val="2"/>
          <w:sz w:val="32"/>
          <w:szCs w:val="32"/>
          <w:vertAlign w:val="baseline"/>
          <w:lang w:val="en-US" w:eastAsia="zh-CN" w:bidi="ar"/>
        </w:rPr>
        <w:t>，</w:t>
      </w:r>
      <w:r>
        <w:rPr>
          <w:rFonts w:hint="eastAsia" w:ascii="仿宋_GB2312" w:eastAsia="仿宋_GB2312" w:cs="仿宋_GB2312"/>
          <w:b w:val="0"/>
          <w:bCs w:val="0"/>
          <w:caps w:val="0"/>
          <w:color w:val="auto"/>
          <w:kern w:val="2"/>
          <w:sz w:val="32"/>
          <w:szCs w:val="32"/>
          <w:vertAlign w:val="baseline"/>
          <w:lang w:val="en-US" w:eastAsia="zh-CN" w:bidi="ar"/>
        </w:rPr>
        <w:t>成功应对10轮强降雨过程，</w:t>
      </w:r>
      <w:r>
        <w:rPr>
          <w:rStyle w:val="41"/>
          <w:rFonts w:hint="eastAsia" w:ascii="仿宋_GB2312" w:hAnsi="Times New Roman" w:eastAsia="仿宋_GB2312" w:cs="仿宋_GB2312"/>
          <w:caps w:val="0"/>
          <w:color w:val="auto"/>
          <w:kern w:val="2"/>
          <w:sz w:val="32"/>
          <w:szCs w:val="32"/>
          <w:vertAlign w:val="baseline"/>
          <w:lang w:val="en-US" w:eastAsia="zh-CN" w:bidi="ar"/>
        </w:rPr>
        <w:t>累计</w:t>
      </w:r>
      <w:r>
        <w:rPr>
          <w:rFonts w:hint="eastAsia" w:ascii="仿宋_GB2312" w:hAnsi="Times New Roman" w:eastAsia="仿宋_GB2312" w:cs="仿宋_GB2312"/>
          <w:b w:val="0"/>
          <w:bCs w:val="0"/>
          <w:caps w:val="0"/>
          <w:color w:val="auto"/>
          <w:kern w:val="2"/>
          <w:sz w:val="32"/>
          <w:szCs w:val="32"/>
          <w:vertAlign w:val="baseline"/>
          <w:lang w:val="en-US" w:eastAsia="zh-CN" w:bidi="ar"/>
        </w:rPr>
        <w:t>紧急避险转移35290人，紧急转移安置1351人，</w:t>
      </w:r>
      <w:r>
        <w:rPr>
          <w:rFonts w:hint="eastAsia" w:ascii="仿宋_GB2312" w:eastAsia="仿宋_GB2312" w:cs="仿宋_GB2312"/>
          <w:b w:val="0"/>
          <w:bCs w:val="0"/>
          <w:caps w:val="0"/>
          <w:color w:val="auto"/>
          <w:kern w:val="2"/>
          <w:sz w:val="32"/>
          <w:szCs w:val="32"/>
          <w:vertAlign w:val="baseline"/>
          <w:lang w:val="en-US" w:eastAsia="zh-CN" w:bidi="ar"/>
        </w:rPr>
        <w:t>无人员伤亡</w:t>
      </w:r>
      <w:r>
        <w:rPr>
          <w:rFonts w:hint="eastAsia" w:ascii="仿宋_GB2312" w:cs="仿宋_GB2312"/>
          <w:b w:val="0"/>
          <w:bCs w:val="0"/>
          <w:caps w:val="0"/>
          <w:color w:val="auto"/>
          <w:kern w:val="2"/>
          <w:sz w:val="32"/>
          <w:szCs w:val="32"/>
          <w:vertAlign w:val="baseline"/>
          <w:lang w:val="en-US" w:eastAsia="zh-CN" w:bidi="ar"/>
        </w:rPr>
        <w:t>。</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val="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Style w:val="41"/>
          <w:rFonts w:hint="eastAsia" w:ascii="仿宋_GB2312" w:hAnsi="Times New Roman" w:eastAsia="仿宋_GB2312" w:cs="仿宋_GB2312"/>
          <w:caps w:val="0"/>
          <w:color w:val="auto"/>
          <w:kern w:val="2"/>
          <w:sz w:val="32"/>
          <w:szCs w:val="32"/>
          <w:vertAlign w:val="baseline"/>
          <w:lang w:val="en-US" w:eastAsia="zh-CN" w:bidi="ar"/>
        </w:rPr>
      </w:pPr>
      <w:r>
        <w:rPr>
          <w:rFonts w:hint="eastAsia" w:ascii="仿宋_GB2312" w:hAnsi="仿宋_GB2312" w:cs="仿宋_GB2312"/>
          <w:color w:val="000000"/>
          <w:kern w:val="0"/>
          <w:sz w:val="32"/>
          <w:szCs w:val="32"/>
          <w:highlight w:val="none"/>
          <w:shd w:val="clear" w:color="auto" w:fill="FFFFFF"/>
          <w:lang w:val="zh-CN"/>
        </w:rPr>
        <w:t>（</w:t>
      </w:r>
      <w:r>
        <w:rPr>
          <w:rFonts w:hint="eastAsia" w:ascii="仿宋_GB2312" w:hAnsi="仿宋_GB2312" w:cs="仿宋_GB2312"/>
          <w:color w:val="000000"/>
          <w:kern w:val="0"/>
          <w:sz w:val="32"/>
          <w:szCs w:val="32"/>
          <w:highlight w:val="none"/>
          <w:shd w:val="clear" w:color="auto" w:fill="FFFFFF"/>
          <w:lang w:val="en-US" w:eastAsia="zh-CN"/>
        </w:rPr>
        <w:t>3）</w:t>
      </w:r>
      <w:r>
        <w:rPr>
          <w:rStyle w:val="41"/>
          <w:rFonts w:hint="eastAsia" w:ascii="仿宋_GB2312" w:hAnsi="Times New Roman" w:eastAsia="仿宋_GB2312" w:cs="仿宋_GB2312"/>
          <w:caps w:val="0"/>
          <w:color w:val="auto"/>
          <w:kern w:val="2"/>
          <w:sz w:val="32"/>
          <w:szCs w:val="32"/>
          <w:vertAlign w:val="baseline"/>
          <w:lang w:val="en-US" w:eastAsia="zh-CN" w:bidi="ar"/>
        </w:rPr>
        <w:t>河湖管理保护履职效果。严格河湖岸线空间管控，完成59条流域面积50平方公里及以上河流健康评价，常态化规范化开展河湖“四乱”，河湖面貌持续向好。</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val="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hAnsi="仿宋_GB2312" w:eastAsia="仿宋_GB2312" w:cs="仿宋_GB2312"/>
          <w:color w:val="000000"/>
          <w:kern w:val="0"/>
          <w:sz w:val="32"/>
          <w:szCs w:val="32"/>
          <w:highlight w:val="none"/>
          <w:shd w:val="clear" w:color="auto" w:fill="FFFFFF"/>
          <w:lang w:val="zh-CN"/>
        </w:rPr>
      </w:pPr>
      <w:r>
        <w:rPr>
          <w:rFonts w:hint="eastAsia" w:ascii="仿宋_GB2312" w:hAnsi="仿宋_GB2312" w:eastAsia="仿宋_GB2312" w:cs="仿宋_GB2312"/>
          <w:color w:val="000000"/>
          <w:kern w:val="0"/>
          <w:sz w:val="32"/>
          <w:szCs w:val="32"/>
          <w:highlight w:val="none"/>
          <w:shd w:val="clear" w:color="auto" w:fill="FFFFFF"/>
          <w:lang w:val="en-US" w:eastAsia="zh-CN"/>
        </w:rPr>
        <w:t>2.</w:t>
      </w:r>
      <w:r>
        <w:rPr>
          <w:rFonts w:hint="eastAsia" w:ascii="仿宋_GB2312" w:hAnsi="仿宋_GB2312" w:eastAsia="仿宋_GB2312" w:cs="仿宋_GB2312"/>
          <w:color w:val="000000"/>
          <w:kern w:val="0"/>
          <w:sz w:val="32"/>
          <w:szCs w:val="32"/>
          <w:highlight w:val="none"/>
          <w:shd w:val="clear" w:color="auto" w:fill="FFFFFF"/>
          <w:lang w:val="zh-CN"/>
        </w:rPr>
        <w:t>预算管理</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sz w:val="32"/>
          <w:szCs w:val="32"/>
          <w:lang w:val="zh-CN"/>
        </w:rPr>
      </w:pPr>
      <w:r>
        <w:rPr>
          <w:rFonts w:hint="eastAsia" w:ascii="仿宋_GB2312" w:hAnsi="仿宋_GB2312" w:cs="仿宋_GB2312"/>
          <w:color w:val="000000"/>
          <w:kern w:val="0"/>
          <w:sz w:val="32"/>
          <w:szCs w:val="32"/>
          <w:highlight w:val="none"/>
          <w:shd w:val="clear" w:color="auto" w:fill="FFFFFF"/>
          <w:lang w:val="zh-CN"/>
        </w:rPr>
        <w:t>（</w:t>
      </w:r>
      <w:r>
        <w:rPr>
          <w:rFonts w:hint="eastAsia" w:ascii="仿宋_GB2312" w:hAnsi="仿宋_GB2312" w:cs="仿宋_GB2312"/>
          <w:color w:val="000000"/>
          <w:kern w:val="0"/>
          <w:sz w:val="32"/>
          <w:szCs w:val="32"/>
          <w:highlight w:val="none"/>
          <w:shd w:val="clear" w:color="auto" w:fill="FFFFFF"/>
          <w:lang w:val="en-US" w:eastAsia="zh-CN"/>
        </w:rPr>
        <w:t>1）预算编制质量。按照财政要求，2023年年初预算应编尽编，包括政府采购预算、资产配置预算年中无调整。</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8</w:t>
      </w:r>
      <w:r>
        <w:rPr>
          <w:rFonts w:hint="eastAsia" w:ascii="仿宋_GB2312" w:hAnsi="仿宋_GB2312" w:cs="仿宋_GB2312"/>
          <w:sz w:val="32"/>
          <w:szCs w:val="32"/>
          <w:lang w:val="zh-CN"/>
        </w:rPr>
        <w:t>分。</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sz w:val="32"/>
          <w:szCs w:val="32"/>
          <w:lang w:val="zh-CN"/>
        </w:rPr>
      </w:pPr>
      <w:r>
        <w:rPr>
          <w:rFonts w:hint="eastAsia" w:ascii="仿宋_GB2312" w:hAnsi="仿宋_GB2312" w:cs="仿宋_GB2312"/>
          <w:sz w:val="32"/>
          <w:szCs w:val="32"/>
          <w:lang w:val="zh-CN"/>
        </w:rPr>
        <w:t>（</w:t>
      </w:r>
      <w:r>
        <w:rPr>
          <w:rFonts w:hint="eastAsia" w:ascii="仿宋_GB2312" w:hAnsi="仿宋_GB2312" w:cs="仿宋_GB2312"/>
          <w:sz w:val="32"/>
          <w:szCs w:val="32"/>
          <w:lang w:val="en-US" w:eastAsia="zh-CN"/>
        </w:rPr>
        <w:t>2）单位收入统筹。经核实，2023年我局无自有收入。</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val="zh-CN"/>
        </w:rPr>
        <w:t>分。</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sz w:val="32"/>
          <w:szCs w:val="32"/>
          <w:lang w:val="zh-CN"/>
        </w:rPr>
      </w:pPr>
      <w:r>
        <w:rPr>
          <w:rFonts w:hint="eastAsia"/>
          <w:sz w:val="32"/>
          <w:szCs w:val="32"/>
          <w:lang w:val="en-US" w:eastAsia="zh-CN"/>
        </w:rPr>
        <w:t>（3）支出执行进度。</w:t>
      </w:r>
      <w:r>
        <w:rPr>
          <w:rFonts w:hint="eastAsia" w:ascii="仿宋_GB2312" w:hAnsi="仿宋_GB2312" w:cs="仿宋_GB2312"/>
          <w:kern w:val="2"/>
          <w:sz w:val="32"/>
          <w:szCs w:val="32"/>
          <w:lang w:val="en-US" w:eastAsia="zh-CN" w:bidi="ar-SA"/>
        </w:rPr>
        <w:t>2023年1-6月</w:t>
      </w: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累计</w:t>
      </w:r>
      <w:r>
        <w:rPr>
          <w:rFonts w:hint="eastAsia" w:ascii="仿宋_GB2312" w:hAnsi="仿宋_GB2312" w:eastAsia="仿宋_GB2312" w:cs="仿宋_GB2312"/>
          <w:kern w:val="2"/>
          <w:sz w:val="32"/>
          <w:szCs w:val="32"/>
          <w:lang w:val="en-US" w:eastAsia="zh-CN" w:bidi="ar-SA"/>
        </w:rPr>
        <w:t>下达2498.5万元，支出1192.96万元，进度47.74%；</w:t>
      </w:r>
      <w:r>
        <w:rPr>
          <w:rFonts w:hint="eastAsia" w:ascii="仿宋_GB2312" w:hAnsi="仿宋_GB2312" w:cs="仿宋_GB2312"/>
          <w:kern w:val="2"/>
          <w:sz w:val="32"/>
          <w:szCs w:val="32"/>
          <w:lang w:val="en-US" w:eastAsia="zh-CN" w:bidi="ar-SA"/>
        </w:rPr>
        <w:t>1-10月</w:t>
      </w: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累计</w:t>
      </w:r>
      <w:r>
        <w:rPr>
          <w:rFonts w:hint="eastAsia" w:ascii="仿宋_GB2312" w:hAnsi="仿宋_GB2312" w:eastAsia="仿宋_GB2312" w:cs="仿宋_GB2312"/>
          <w:kern w:val="2"/>
          <w:sz w:val="32"/>
          <w:szCs w:val="32"/>
          <w:lang w:val="en-US" w:eastAsia="zh-CN" w:bidi="ar-SA"/>
        </w:rPr>
        <w:t>下达6560.24万元，支出3716.83万元，进度56.65%</w:t>
      </w:r>
      <w:r>
        <w:rPr>
          <w:rFonts w:hint="eastAsia" w:ascii="仿宋_GB2312" w:hAnsi="仿宋_GB2312" w:cs="仿宋_GB2312"/>
          <w:kern w:val="2"/>
          <w:sz w:val="32"/>
          <w:szCs w:val="32"/>
          <w:lang w:val="en-US" w:eastAsia="zh-CN" w:bidi="ar-SA"/>
        </w:rPr>
        <w:t>。</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5.27</w:t>
      </w:r>
      <w:r>
        <w:rPr>
          <w:rFonts w:hint="eastAsia" w:ascii="仿宋_GB2312" w:hAnsi="仿宋_GB2312" w:cs="仿宋_GB2312"/>
          <w:sz w:val="32"/>
          <w:szCs w:val="32"/>
          <w:lang w:val="zh-CN"/>
        </w:rPr>
        <w:t>分。</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sz w:val="32"/>
          <w:szCs w:val="32"/>
          <w:lang w:val="zh-CN"/>
        </w:rPr>
      </w:pPr>
      <w:r>
        <w:rPr>
          <w:rFonts w:hint="eastAsia" w:ascii="仿宋_GB2312" w:hAnsi="仿宋_GB2312" w:eastAsia="仿宋_GB2312" w:cs="仿宋_GB2312"/>
          <w:kern w:val="2"/>
          <w:sz w:val="32"/>
          <w:szCs w:val="32"/>
          <w:lang w:val="zh-CN" w:eastAsia="zh-CN" w:bidi="ar-SA"/>
        </w:rPr>
        <w:t>（</w:t>
      </w:r>
      <w:r>
        <w:rPr>
          <w:rFonts w:hint="eastAsia" w:ascii="仿宋_GB2312" w:hAnsi="仿宋_GB2312" w:eastAsia="仿宋_GB2312" w:cs="仿宋_GB2312"/>
          <w:kern w:val="2"/>
          <w:sz w:val="32"/>
          <w:szCs w:val="32"/>
          <w:lang w:val="en-US" w:eastAsia="zh-CN" w:bidi="ar-SA"/>
        </w:rPr>
        <w:t>4）预算年终结余。2023年下达6560.24万元，支出6493.61万元，进度98.98%</w:t>
      </w:r>
      <w:r>
        <w:rPr>
          <w:rFonts w:hint="eastAsia" w:ascii="仿宋_GB2312" w:hAnsi="仿宋_GB2312" w:cs="仿宋_GB2312"/>
          <w:kern w:val="2"/>
          <w:sz w:val="32"/>
          <w:szCs w:val="32"/>
          <w:lang w:val="en-US" w:eastAsia="zh-CN" w:bidi="ar-SA"/>
        </w:rPr>
        <w:t>。</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1.98</w:t>
      </w:r>
      <w:r>
        <w:rPr>
          <w:rFonts w:hint="eastAsia" w:ascii="仿宋_GB2312" w:hAnsi="仿宋_GB2312" w:cs="仿宋_GB2312"/>
          <w:sz w:val="32"/>
          <w:szCs w:val="32"/>
          <w:lang w:val="zh-CN"/>
        </w:rPr>
        <w:t>分。</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（5）严控一般性支出。对于“三公”经费、会议、培训、差旅、办节办展、办公设备购置、信息网络及软件购置更新、课题8项经费，2022年年初预算、执行99.29万元,2023年年初预算99.15万元，执行94.05万元。</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val="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hAnsi="仿宋_GB2312" w:eastAsia="仿宋_GB2312" w:cs="仿宋_GB2312"/>
          <w:color w:val="000000"/>
          <w:kern w:val="0"/>
          <w:sz w:val="32"/>
          <w:szCs w:val="32"/>
          <w:highlight w:val="none"/>
          <w:shd w:val="clear" w:color="auto" w:fill="FFFFFF"/>
          <w:lang w:val="zh-CN"/>
        </w:rPr>
      </w:pPr>
      <w:r>
        <w:rPr>
          <w:rFonts w:hint="eastAsia" w:ascii="仿宋_GB2312" w:hAnsi="仿宋_GB2312" w:eastAsia="仿宋_GB2312" w:cs="仿宋_GB2312"/>
          <w:color w:val="000000"/>
          <w:kern w:val="0"/>
          <w:sz w:val="32"/>
          <w:szCs w:val="32"/>
          <w:highlight w:val="none"/>
          <w:shd w:val="clear" w:color="auto" w:fill="FFFFFF"/>
          <w:lang w:val="en-US" w:eastAsia="zh-CN"/>
        </w:rPr>
        <w:t>3.</w:t>
      </w:r>
      <w:r>
        <w:rPr>
          <w:rFonts w:hint="eastAsia" w:ascii="仿宋_GB2312" w:hAnsi="仿宋_GB2312" w:eastAsia="仿宋_GB2312" w:cs="仿宋_GB2312"/>
          <w:color w:val="000000"/>
          <w:kern w:val="0"/>
          <w:sz w:val="32"/>
          <w:szCs w:val="32"/>
          <w:highlight w:val="none"/>
          <w:shd w:val="clear" w:color="auto" w:fill="FFFFFF"/>
          <w:lang w:val="zh-CN"/>
        </w:rPr>
        <w:t>财务管理</w:t>
      </w:r>
      <w:r>
        <w:rPr>
          <w:rFonts w:hint="eastAsia" w:ascii="仿宋_GB2312" w:hAnsi="仿宋_GB2312" w:cs="仿宋_GB2312"/>
          <w:color w:val="000000"/>
          <w:kern w:val="0"/>
          <w:sz w:val="32"/>
          <w:szCs w:val="32"/>
          <w:highlight w:val="none"/>
          <w:shd w:val="clear" w:color="auto" w:fill="FFFFFF"/>
          <w:lang w:val="zh-CN"/>
        </w:rPr>
        <w:t>。我局按要求制定了各项财务管理制度，并逐一落实到位，合理设置财务工作岗位，明确职责权限，并严格实行不相容岗位分离。</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hAnsi="仿宋_GB2312" w:eastAsia="仿宋_GB2312" w:cs="仿宋_GB2312"/>
          <w:color w:val="000000"/>
          <w:kern w:val="0"/>
          <w:sz w:val="32"/>
          <w:szCs w:val="32"/>
          <w:highlight w:val="none"/>
          <w:shd w:val="clear" w:color="auto" w:fill="FFFFFF"/>
          <w:lang w:val="zh-CN"/>
        </w:rPr>
      </w:pPr>
      <w:r>
        <w:rPr>
          <w:rFonts w:hint="eastAsia" w:ascii="仿宋_GB2312" w:hAnsi="仿宋_GB2312" w:eastAsia="仿宋_GB2312" w:cs="仿宋_GB2312"/>
          <w:color w:val="000000"/>
          <w:kern w:val="0"/>
          <w:sz w:val="32"/>
          <w:szCs w:val="32"/>
          <w:highlight w:val="none"/>
          <w:shd w:val="clear" w:color="auto" w:fill="FFFFFF"/>
          <w:lang w:val="en-US" w:eastAsia="zh-CN"/>
        </w:rPr>
        <w:t>4.</w:t>
      </w:r>
      <w:r>
        <w:rPr>
          <w:rFonts w:hint="eastAsia" w:ascii="仿宋_GB2312" w:hAnsi="仿宋_GB2312" w:eastAsia="仿宋_GB2312" w:cs="仿宋_GB2312"/>
          <w:color w:val="000000"/>
          <w:kern w:val="0"/>
          <w:sz w:val="32"/>
          <w:szCs w:val="32"/>
          <w:highlight w:val="none"/>
          <w:shd w:val="clear" w:color="auto" w:fill="FFFFFF"/>
          <w:lang w:val="zh-CN"/>
        </w:rPr>
        <w:t>资产管理</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sz w:val="32"/>
          <w:szCs w:val="32"/>
          <w:lang w:val="zh-CN"/>
        </w:rPr>
      </w:pPr>
      <w:r>
        <w:rPr>
          <w:rFonts w:hint="eastAsia" w:ascii="仿宋_GB2312" w:hAnsi="仿宋_GB2312" w:cs="仿宋_GB2312"/>
          <w:color w:val="000000"/>
          <w:kern w:val="0"/>
          <w:sz w:val="32"/>
          <w:szCs w:val="32"/>
          <w:highlight w:val="none"/>
          <w:shd w:val="clear" w:color="auto" w:fill="FFFFFF"/>
          <w:lang w:val="zh-CN"/>
        </w:rPr>
        <w:t>（</w:t>
      </w:r>
      <w:r>
        <w:rPr>
          <w:rFonts w:hint="eastAsia" w:ascii="仿宋_GB2312" w:hAnsi="仿宋_GB2312" w:cs="仿宋_GB2312"/>
          <w:color w:val="000000"/>
          <w:kern w:val="0"/>
          <w:sz w:val="32"/>
          <w:szCs w:val="32"/>
          <w:highlight w:val="none"/>
          <w:shd w:val="clear" w:color="auto" w:fill="FFFFFF"/>
          <w:lang w:val="en-US" w:eastAsia="zh-CN"/>
        </w:rPr>
        <w:t>1）人均资产变化率。2022年人均资产7.13万元/人（513.52/72），2023年人均资产6.08万元/人（443.86/73），人均资产增长率-14.73%。</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val="zh-CN"/>
        </w:rPr>
        <w:t>分。</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sz w:val="32"/>
          <w:szCs w:val="32"/>
          <w:lang w:val="zh-CN"/>
        </w:rPr>
      </w:pPr>
      <w:r>
        <w:rPr>
          <w:rFonts w:hint="eastAsia" w:ascii="仿宋_GB2312" w:hAnsi="仿宋_GB2312" w:cs="仿宋_GB2312"/>
          <w:sz w:val="32"/>
          <w:szCs w:val="32"/>
          <w:lang w:val="zh-CN"/>
        </w:rPr>
        <w:t>（</w:t>
      </w:r>
      <w:r>
        <w:rPr>
          <w:rFonts w:hint="eastAsia" w:ascii="仿宋_GB2312" w:hAnsi="仿宋_GB2312" w:cs="仿宋_GB2312"/>
          <w:sz w:val="32"/>
          <w:szCs w:val="32"/>
          <w:lang w:val="en-US" w:eastAsia="zh-CN"/>
        </w:rPr>
        <w:t>2）资产利用率。</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val="zh-CN"/>
        </w:rPr>
        <w:t>分。</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sz w:val="32"/>
          <w:szCs w:val="32"/>
          <w:lang w:val="en-US" w:eastAsia="zh-CN"/>
        </w:rPr>
      </w:pPr>
      <w:r>
        <w:rPr>
          <w:rFonts w:hint="eastAsia"/>
          <w:sz w:val="32"/>
          <w:szCs w:val="32"/>
          <w:lang w:val="en-US" w:eastAsia="zh-CN"/>
        </w:rPr>
        <w:t>（3）资产盘活率。无闲置资产，</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val="zh-CN"/>
        </w:rPr>
        <w:t>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hAnsi="仿宋_GB2312" w:eastAsia="仿宋_GB2312" w:cs="仿宋_GB2312"/>
          <w:color w:val="000000"/>
          <w:kern w:val="0"/>
          <w:sz w:val="32"/>
          <w:szCs w:val="32"/>
          <w:highlight w:val="none"/>
          <w:shd w:val="clear" w:color="auto" w:fill="FFFFFF"/>
          <w:lang w:val="zh-CN"/>
        </w:rPr>
      </w:pPr>
      <w:r>
        <w:rPr>
          <w:rFonts w:hint="eastAsia" w:ascii="仿宋_GB2312" w:hAnsi="仿宋_GB2312" w:eastAsia="仿宋_GB2312" w:cs="仿宋_GB2312"/>
          <w:color w:val="000000"/>
          <w:kern w:val="0"/>
          <w:sz w:val="32"/>
          <w:szCs w:val="32"/>
          <w:highlight w:val="none"/>
          <w:shd w:val="clear" w:color="auto" w:fill="FFFFFF"/>
          <w:lang w:val="en-US" w:eastAsia="zh-CN"/>
        </w:rPr>
        <w:t>5.</w:t>
      </w:r>
      <w:r>
        <w:rPr>
          <w:rFonts w:hint="eastAsia" w:ascii="仿宋_GB2312" w:hAnsi="仿宋_GB2312" w:eastAsia="仿宋_GB2312" w:cs="仿宋_GB2312"/>
          <w:color w:val="000000"/>
          <w:kern w:val="0"/>
          <w:sz w:val="32"/>
          <w:szCs w:val="32"/>
          <w:highlight w:val="none"/>
          <w:shd w:val="clear" w:color="auto" w:fill="FFFFFF"/>
          <w:lang w:val="zh-CN"/>
        </w:rPr>
        <w:t>采购管理</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sz w:val="32"/>
          <w:szCs w:val="32"/>
          <w:lang w:val="zh-CN"/>
        </w:rPr>
      </w:pPr>
      <w:r>
        <w:rPr>
          <w:rFonts w:hint="eastAsia" w:ascii="仿宋_GB2312" w:hAnsi="仿宋_GB2312" w:cs="仿宋_GB2312"/>
          <w:color w:val="000000"/>
          <w:kern w:val="0"/>
          <w:sz w:val="32"/>
          <w:szCs w:val="32"/>
          <w:highlight w:val="none"/>
          <w:shd w:val="clear" w:color="auto" w:fill="FFFFFF"/>
          <w:lang w:val="zh-CN"/>
        </w:rPr>
        <w:t>（</w:t>
      </w:r>
      <w:r>
        <w:rPr>
          <w:rFonts w:hint="eastAsia" w:ascii="仿宋_GB2312" w:hAnsi="仿宋_GB2312" w:cs="仿宋_GB2312"/>
          <w:color w:val="000000"/>
          <w:kern w:val="0"/>
          <w:sz w:val="32"/>
          <w:szCs w:val="32"/>
          <w:highlight w:val="none"/>
          <w:shd w:val="clear" w:color="auto" w:fill="FFFFFF"/>
          <w:lang w:val="en-US" w:eastAsia="zh-CN"/>
        </w:rPr>
        <w:t>1）支持中小企业发展。对适宜由中小企业提供的采购项目和采购包，预留采购份额专门面向中小企业采购，并在采购预算中单独列示。</w:t>
      </w:r>
      <w:r>
        <w:rPr>
          <w:rFonts w:hint="eastAsia" w:ascii="仿宋_GB2312" w:hAnsi="仿宋_GB2312" w:cs="仿宋_GB2312"/>
          <w:sz w:val="32"/>
          <w:szCs w:val="32"/>
          <w:lang w:val="zh-CN"/>
        </w:rPr>
        <w:t>自评得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val="zh-CN"/>
        </w:rPr>
        <w:t>分。</w:t>
      </w:r>
    </w:p>
    <w:p>
      <w:pPr>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eastAsia" w:ascii="仿宋_GB2312" w:hAnsi="仿宋_GB2312" w:cs="仿宋_GB2312"/>
          <w:color w:val="000000"/>
          <w:kern w:val="0"/>
          <w:sz w:val="32"/>
          <w:szCs w:val="32"/>
          <w:highlight w:val="none"/>
          <w:shd w:val="clear" w:color="auto" w:fill="FFFFFF"/>
          <w:lang w:val="zh-CN" w:eastAsia="zh-CN"/>
        </w:rPr>
      </w:pPr>
      <w:r>
        <w:rPr>
          <w:rFonts w:hint="eastAsia" w:ascii="仿宋_GB2312" w:hAnsi="仿宋_GB2312" w:cs="仿宋_GB2312"/>
          <w:sz w:val="32"/>
          <w:szCs w:val="32"/>
          <w:lang w:val="zh-CN"/>
        </w:rPr>
        <w:t>（</w:t>
      </w:r>
      <w:r>
        <w:rPr>
          <w:rFonts w:hint="eastAsia" w:ascii="仿宋_GB2312" w:hAnsi="仿宋_GB2312" w:cs="仿宋_GB2312"/>
          <w:sz w:val="32"/>
          <w:szCs w:val="32"/>
          <w:lang w:val="en-US" w:eastAsia="zh-CN"/>
        </w:rPr>
        <w:t>2）</w:t>
      </w:r>
      <w:r>
        <w:rPr>
          <w:rFonts w:hint="eastAsia" w:ascii="仿宋_GB2312" w:hAnsi="仿宋_GB2312" w:cs="仿宋_GB2312"/>
          <w:color w:val="000000"/>
          <w:kern w:val="0"/>
          <w:sz w:val="32"/>
          <w:szCs w:val="32"/>
          <w:highlight w:val="none"/>
          <w:shd w:val="clear" w:color="auto" w:fill="FFFFFF"/>
          <w:lang w:val="en-US" w:eastAsia="zh-CN"/>
        </w:rPr>
        <w:t>采购执行率。政府采购实际支付总金额1648940元，政府采购总预算数1887000元，已完成采购项目节约金额238060元，执行率100%。</w:t>
      </w:r>
      <w:r>
        <w:rPr>
          <w:rFonts w:hint="eastAsia" w:ascii="仿宋_GB2312" w:hAnsi="仿宋_GB2312" w:cs="仿宋_GB2312"/>
          <w:color w:val="000000"/>
          <w:kern w:val="0"/>
          <w:sz w:val="32"/>
          <w:szCs w:val="32"/>
          <w:highlight w:val="none"/>
          <w:shd w:val="clear" w:color="auto" w:fill="FFFFFF"/>
          <w:lang w:val="zh-CN" w:eastAsia="zh-CN"/>
        </w:rPr>
        <w:t>自评得</w:t>
      </w:r>
      <w:r>
        <w:rPr>
          <w:rFonts w:hint="eastAsia" w:ascii="仿宋_GB2312" w:hAnsi="仿宋_GB2312" w:cs="仿宋_GB2312"/>
          <w:color w:val="000000"/>
          <w:kern w:val="0"/>
          <w:sz w:val="32"/>
          <w:szCs w:val="32"/>
          <w:highlight w:val="none"/>
          <w:shd w:val="clear" w:color="auto" w:fill="FFFFFF"/>
          <w:lang w:val="en-US" w:eastAsia="zh-CN"/>
        </w:rPr>
        <w:t>3</w:t>
      </w:r>
      <w:r>
        <w:rPr>
          <w:rFonts w:hint="eastAsia" w:ascii="仿宋_GB2312" w:hAnsi="仿宋_GB2312" w:cs="仿宋_GB2312"/>
          <w:color w:val="000000"/>
          <w:kern w:val="0"/>
          <w:sz w:val="32"/>
          <w:szCs w:val="32"/>
          <w:highlight w:val="none"/>
          <w:shd w:val="clear" w:color="auto" w:fill="FFFFFF"/>
          <w:lang w:val="zh-CN" w:eastAsia="zh-CN"/>
        </w:rPr>
        <w:t>分。</w:t>
      </w:r>
    </w:p>
    <w:p>
      <w:pPr>
        <w:pStyle w:val="2"/>
        <w:keepNext w:val="0"/>
        <w:keepLines w:val="0"/>
        <w:pageBreakBefore w:val="0"/>
        <w:widowControl w:val="0"/>
        <w:kinsoku/>
        <w:wordWrap/>
        <w:overflowPunct/>
        <w:topLinePunct w:val="0"/>
        <w:autoSpaceDE/>
        <w:autoSpaceDN/>
        <w:bidi w:val="0"/>
        <w:spacing w:line="580" w:lineRule="exact"/>
        <w:ind w:firstLine="640" w:firstLineChars="200"/>
        <w:textAlignment w:val="auto"/>
        <w:rPr>
          <w:rFonts w:hint="default" w:eastAsia="仿宋_GB2312"/>
          <w:sz w:val="32"/>
          <w:szCs w:val="32"/>
          <w:lang w:val="en-US" w:eastAsia="zh-CN"/>
        </w:rPr>
      </w:pPr>
      <w:r>
        <w:rPr>
          <w:rFonts w:hint="default" w:ascii="Times New Roman" w:hAnsi="Times New Roman" w:eastAsia="楷体_GB2312" w:cs="Times New Roman"/>
          <w:b w:val="0"/>
          <w:bCs w:val="0"/>
          <w:color w:val="000000"/>
          <w:kern w:val="0"/>
          <w:sz w:val="32"/>
          <w:szCs w:val="32"/>
          <w:highlight w:val="none"/>
          <w:shd w:val="clear" w:color="auto" w:fill="FFFFFF"/>
          <w:lang w:val="zh-CN"/>
        </w:rPr>
        <w:t>（二）部门预算项目绩效分析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b w:val="0"/>
          <w:bCs w:val="0"/>
          <w:sz w:val="32"/>
          <w:szCs w:val="32"/>
          <w:highlight w:val="none"/>
          <w:u w:val="none"/>
          <w:lang w:val="zh-CN" w:eastAsia="zh-CN"/>
        </w:rPr>
      </w:pPr>
      <w:r>
        <w:rPr>
          <w:rFonts w:hint="eastAsia" w:ascii="仿宋_GB2312" w:hAnsi="仿宋_GB2312" w:cs="仿宋_GB2312"/>
          <w:b w:val="0"/>
          <w:bCs w:val="0"/>
          <w:sz w:val="32"/>
          <w:szCs w:val="32"/>
          <w:highlight w:val="none"/>
          <w:u w:val="none"/>
          <w:lang w:val="en-US" w:eastAsia="zh-CN"/>
        </w:rPr>
        <w:t>2023年</w:t>
      </w:r>
      <w:r>
        <w:rPr>
          <w:rFonts w:hint="default" w:ascii="仿宋_GB2312" w:hAnsi="仿宋_GB2312" w:eastAsia="仿宋_GB2312" w:cs="仿宋_GB2312"/>
          <w:b w:val="0"/>
          <w:bCs w:val="0"/>
          <w:sz w:val="32"/>
          <w:szCs w:val="32"/>
          <w:highlight w:val="none"/>
          <w:u w:val="none"/>
          <w:lang w:val="zh-CN" w:eastAsia="zh-CN"/>
        </w:rPr>
        <w:t>项目总数</w:t>
      </w:r>
      <w:r>
        <w:rPr>
          <w:rFonts w:hint="eastAsia" w:ascii="仿宋_GB2312" w:hAnsi="仿宋_GB2312" w:cs="仿宋_GB2312"/>
          <w:b w:val="0"/>
          <w:bCs w:val="0"/>
          <w:sz w:val="32"/>
          <w:szCs w:val="32"/>
          <w:highlight w:val="none"/>
          <w:u w:val="none"/>
          <w:lang w:val="en-US" w:eastAsia="zh-CN"/>
        </w:rPr>
        <w:t>11</w:t>
      </w:r>
      <w:r>
        <w:rPr>
          <w:rFonts w:hint="default" w:ascii="仿宋_GB2312" w:hAnsi="仿宋_GB2312" w:eastAsia="仿宋_GB2312" w:cs="仿宋_GB2312"/>
          <w:b w:val="0"/>
          <w:bCs w:val="0"/>
          <w:sz w:val="32"/>
          <w:szCs w:val="32"/>
          <w:highlight w:val="none"/>
          <w:u w:val="none"/>
          <w:lang w:val="zh-CN" w:eastAsia="zh-CN"/>
        </w:rPr>
        <w:t>个，涉及预算总金额</w:t>
      </w:r>
      <w:r>
        <w:rPr>
          <w:rFonts w:hint="eastAsia" w:ascii="仿宋_GB2312" w:hAnsi="仿宋_GB2312" w:cs="仿宋_GB2312"/>
          <w:b w:val="0"/>
          <w:bCs w:val="0"/>
          <w:sz w:val="32"/>
          <w:szCs w:val="32"/>
          <w:highlight w:val="none"/>
          <w:u w:val="none"/>
          <w:lang w:val="en-US" w:eastAsia="zh-CN"/>
        </w:rPr>
        <w:t>4799.97</w:t>
      </w:r>
      <w:r>
        <w:rPr>
          <w:rFonts w:hint="default" w:ascii="仿宋_GB2312" w:hAnsi="仿宋_GB2312" w:eastAsia="仿宋_GB2312" w:cs="仿宋_GB2312"/>
          <w:b w:val="0"/>
          <w:bCs w:val="0"/>
          <w:sz w:val="32"/>
          <w:szCs w:val="32"/>
          <w:highlight w:val="none"/>
          <w:u w:val="none"/>
          <w:lang w:val="zh-CN" w:eastAsia="zh-CN"/>
        </w:rPr>
        <w:t>万元，1</w:t>
      </w:r>
      <w:r>
        <w:rPr>
          <w:rFonts w:hint="eastAsia" w:ascii="仿宋_GB2312" w:hAnsi="仿宋_GB2312" w:eastAsia="仿宋_GB2312" w:cs="仿宋_GB2312"/>
          <w:b w:val="0"/>
          <w:bCs w:val="0"/>
          <w:sz w:val="32"/>
          <w:szCs w:val="32"/>
          <w:highlight w:val="none"/>
          <w:u w:val="none"/>
          <w:lang w:val="zh-CN" w:eastAsia="zh-CN"/>
        </w:rPr>
        <w:t>—</w:t>
      </w:r>
      <w:r>
        <w:rPr>
          <w:rFonts w:hint="default" w:ascii="仿宋_GB2312" w:hAnsi="仿宋_GB2312" w:eastAsia="仿宋_GB2312" w:cs="仿宋_GB2312"/>
          <w:b w:val="0"/>
          <w:bCs w:val="0"/>
          <w:sz w:val="32"/>
          <w:szCs w:val="32"/>
          <w:highlight w:val="none"/>
          <w:u w:val="none"/>
          <w:lang w:val="zh-CN" w:eastAsia="zh-CN"/>
        </w:rPr>
        <w:t>1</w:t>
      </w:r>
      <w:r>
        <w:rPr>
          <w:rFonts w:hint="default" w:ascii="仿宋_GB2312" w:hAnsi="仿宋_GB2312" w:eastAsia="仿宋_GB2312" w:cs="仿宋_GB2312"/>
          <w:b w:val="0"/>
          <w:bCs w:val="0"/>
          <w:sz w:val="32"/>
          <w:szCs w:val="32"/>
          <w:highlight w:val="none"/>
          <w:u w:val="none"/>
          <w:lang w:val="en-US" w:eastAsia="zh-CN"/>
        </w:rPr>
        <w:t>2</w:t>
      </w:r>
      <w:r>
        <w:rPr>
          <w:rFonts w:hint="default" w:ascii="仿宋_GB2312" w:hAnsi="仿宋_GB2312" w:eastAsia="仿宋_GB2312" w:cs="仿宋_GB2312"/>
          <w:b w:val="0"/>
          <w:bCs w:val="0"/>
          <w:sz w:val="32"/>
          <w:szCs w:val="32"/>
          <w:highlight w:val="none"/>
          <w:u w:val="none"/>
          <w:lang w:val="zh-CN" w:eastAsia="zh-CN"/>
        </w:rPr>
        <w:t>月预算执行总体进度为</w:t>
      </w:r>
      <w:r>
        <w:rPr>
          <w:rFonts w:hint="eastAsia" w:ascii="仿宋_GB2312" w:hAnsi="仿宋_GB2312" w:cs="仿宋_GB2312"/>
          <w:b w:val="0"/>
          <w:bCs w:val="0"/>
          <w:sz w:val="32"/>
          <w:szCs w:val="32"/>
          <w:highlight w:val="none"/>
          <w:u w:val="none"/>
          <w:lang w:val="en-US" w:eastAsia="zh-CN"/>
        </w:rPr>
        <w:t>98.46</w:t>
      </w:r>
      <w:r>
        <w:rPr>
          <w:rFonts w:hint="default" w:ascii="仿宋_GB2312" w:hAnsi="仿宋_GB2312" w:eastAsia="仿宋_GB2312" w:cs="仿宋_GB2312"/>
          <w:b w:val="0"/>
          <w:bCs w:val="0"/>
          <w:sz w:val="32"/>
          <w:szCs w:val="32"/>
          <w:highlight w:val="none"/>
          <w:u w:val="none"/>
          <w:lang w:val="zh-CN" w:eastAsia="zh-CN"/>
        </w:rPr>
        <w:t>%，其中：预算结余率大于</w:t>
      </w:r>
      <w:r>
        <w:rPr>
          <w:rFonts w:hint="default" w:ascii="仿宋_GB2312" w:hAnsi="仿宋_GB2312" w:eastAsia="仿宋_GB2312" w:cs="仿宋_GB2312"/>
          <w:b w:val="0"/>
          <w:bCs w:val="0"/>
          <w:sz w:val="32"/>
          <w:szCs w:val="32"/>
          <w:highlight w:val="none"/>
          <w:u w:val="none"/>
          <w:lang w:val="en-US" w:eastAsia="zh-CN"/>
        </w:rPr>
        <w:t>10%</w:t>
      </w:r>
      <w:r>
        <w:rPr>
          <w:rFonts w:hint="default" w:ascii="仿宋_GB2312" w:hAnsi="仿宋_GB2312" w:eastAsia="仿宋_GB2312" w:cs="仿宋_GB2312"/>
          <w:b w:val="0"/>
          <w:bCs w:val="0"/>
          <w:sz w:val="32"/>
          <w:szCs w:val="32"/>
          <w:highlight w:val="none"/>
          <w:u w:val="none"/>
          <w:lang w:val="zh-CN" w:eastAsia="zh-CN"/>
        </w:rPr>
        <w:t>的项目共计</w:t>
      </w:r>
      <w:r>
        <w:rPr>
          <w:rFonts w:hint="eastAsia" w:ascii="仿宋_GB2312" w:hAnsi="仿宋_GB2312" w:cs="仿宋_GB2312"/>
          <w:b w:val="0"/>
          <w:bCs w:val="0"/>
          <w:sz w:val="32"/>
          <w:szCs w:val="32"/>
          <w:highlight w:val="none"/>
          <w:u w:val="none"/>
          <w:lang w:val="en-US" w:eastAsia="zh-CN"/>
        </w:rPr>
        <w:t>0</w:t>
      </w:r>
      <w:r>
        <w:rPr>
          <w:rFonts w:hint="default" w:ascii="仿宋_GB2312" w:hAnsi="仿宋_GB2312" w:eastAsia="仿宋_GB2312" w:cs="仿宋_GB2312"/>
          <w:b w:val="0"/>
          <w:bCs w:val="0"/>
          <w:sz w:val="32"/>
          <w:szCs w:val="32"/>
          <w:highlight w:val="none"/>
          <w:u w:val="none"/>
          <w:lang w:val="zh-CN" w:eastAsia="zh-CN"/>
        </w:rPr>
        <w:t>个。</w:t>
      </w:r>
      <w:r>
        <w:rPr>
          <w:rFonts w:hint="eastAsia" w:ascii="仿宋_GB2312" w:hAnsi="仿宋_GB2312" w:cs="仿宋_GB2312"/>
          <w:color w:val="000000"/>
          <w:kern w:val="0"/>
          <w:sz w:val="32"/>
          <w:szCs w:val="32"/>
          <w:highlight w:val="none"/>
          <w:shd w:val="clear" w:color="auto" w:fill="FFFFFF"/>
          <w:lang w:val="zh-CN" w:eastAsia="zh-CN"/>
        </w:rPr>
        <w:t>自评得</w:t>
      </w:r>
      <w:r>
        <w:rPr>
          <w:rFonts w:hint="eastAsia" w:ascii="仿宋_GB2312" w:hAnsi="仿宋_GB2312" w:cs="仿宋_GB2312"/>
          <w:color w:val="000000"/>
          <w:kern w:val="0"/>
          <w:sz w:val="32"/>
          <w:szCs w:val="32"/>
          <w:highlight w:val="none"/>
          <w:shd w:val="clear" w:color="auto" w:fill="FFFFFF"/>
          <w:lang w:val="en-US" w:eastAsia="zh-CN"/>
        </w:rPr>
        <w:t>35</w:t>
      </w:r>
      <w:r>
        <w:rPr>
          <w:rFonts w:hint="eastAsia" w:ascii="仿宋_GB2312" w:hAnsi="仿宋_GB2312" w:cs="仿宋_GB2312"/>
          <w:color w:val="000000"/>
          <w:kern w:val="0"/>
          <w:sz w:val="32"/>
          <w:szCs w:val="32"/>
          <w:highlight w:val="none"/>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color w:val="000000"/>
          <w:kern w:val="0"/>
          <w:sz w:val="32"/>
          <w:szCs w:val="32"/>
          <w:highlight w:val="none"/>
          <w:shd w:val="clear" w:color="auto" w:fill="FFFFFF"/>
          <w:lang w:val="zh-CN" w:eastAsia="zh-CN"/>
        </w:rPr>
      </w:pPr>
      <w:r>
        <w:rPr>
          <w:rFonts w:hint="eastAsia" w:ascii="仿宋_GB2312" w:hAnsi="仿宋_GB2312" w:cs="仿宋_GB2312"/>
          <w:b w:val="0"/>
          <w:bCs w:val="0"/>
          <w:sz w:val="32"/>
          <w:szCs w:val="32"/>
          <w:highlight w:val="none"/>
          <w:u w:val="none"/>
          <w:lang w:val="en-US" w:eastAsia="zh-CN"/>
        </w:rPr>
        <w:t>1.</w:t>
      </w:r>
      <w:r>
        <w:rPr>
          <w:rFonts w:hint="eastAsia" w:ascii="仿宋_GB2312" w:hAnsi="仿宋_GB2312" w:eastAsia="仿宋_GB2312" w:cs="仿宋_GB2312"/>
          <w:b w:val="0"/>
          <w:bCs w:val="0"/>
          <w:sz w:val="32"/>
          <w:szCs w:val="32"/>
          <w:highlight w:val="none"/>
          <w:u w:val="none"/>
          <w:lang w:val="zh-CN" w:eastAsia="zh-CN"/>
        </w:rPr>
        <w:t>项目决策。</w:t>
      </w:r>
      <w:r>
        <w:rPr>
          <w:rFonts w:hint="eastAsia" w:ascii="仿宋_GB2312" w:hAnsi="仿宋_GB2312" w:cs="仿宋_GB2312"/>
          <w:b w:val="0"/>
          <w:bCs w:val="0"/>
          <w:sz w:val="32"/>
          <w:szCs w:val="32"/>
          <w:highlight w:val="none"/>
          <w:u w:val="none"/>
          <w:lang w:val="zh-CN" w:eastAsia="zh-CN"/>
        </w:rPr>
        <w:t>一是涉及</w:t>
      </w:r>
      <w:r>
        <w:rPr>
          <w:rFonts w:hint="eastAsia" w:ascii="仿宋_GB2312" w:hAnsi="仿宋_GB2312" w:cs="仿宋_GB2312"/>
          <w:b w:val="0"/>
          <w:bCs w:val="0"/>
          <w:sz w:val="32"/>
          <w:szCs w:val="32"/>
          <w:highlight w:val="none"/>
          <w:u w:val="none"/>
          <w:lang w:val="en-US" w:eastAsia="zh-CN"/>
        </w:rPr>
        <w:t>11个项目均进行事前评估程序，二是通过精简数量、</w:t>
      </w:r>
      <w:r>
        <w:rPr>
          <w:rFonts w:hint="eastAsia" w:ascii="仿宋_GB2312" w:hAnsi="仿宋_GB2312" w:eastAsia="仿宋_GB2312" w:cs="仿宋_GB2312"/>
          <w:b w:val="0"/>
          <w:kern w:val="2"/>
          <w:sz w:val="32"/>
          <w:szCs w:val="32"/>
          <w:lang w:val="en-US" w:eastAsia="zh-CN" w:bidi="ar-SA"/>
        </w:rPr>
        <w:t>增加可量化指标</w:t>
      </w:r>
      <w:r>
        <w:rPr>
          <w:rFonts w:hint="eastAsia" w:ascii="仿宋_GB2312" w:hAnsi="仿宋_GB2312" w:cs="仿宋_GB2312"/>
          <w:b w:val="0"/>
          <w:kern w:val="2"/>
          <w:sz w:val="32"/>
          <w:szCs w:val="32"/>
          <w:lang w:val="en-US" w:eastAsia="zh-CN" w:bidi="ar-SA"/>
        </w:rPr>
        <w:t>、</w:t>
      </w:r>
      <w:r>
        <w:rPr>
          <w:rFonts w:hint="eastAsia" w:ascii="仿宋_GB2312" w:hAnsi="仿宋_GB2312" w:eastAsia="仿宋_GB2312" w:cs="仿宋_GB2312"/>
          <w:b w:val="0"/>
          <w:kern w:val="2"/>
          <w:sz w:val="32"/>
          <w:szCs w:val="32"/>
          <w:lang w:val="en-US" w:eastAsia="zh-CN" w:bidi="ar-SA"/>
        </w:rPr>
        <w:t>减少定性指标</w:t>
      </w:r>
      <w:r>
        <w:rPr>
          <w:rFonts w:hint="eastAsia" w:ascii="仿宋_GB2312" w:hAnsi="仿宋_GB2312" w:cs="仿宋_GB2312"/>
          <w:b w:val="0"/>
          <w:kern w:val="2"/>
          <w:sz w:val="32"/>
          <w:szCs w:val="32"/>
          <w:lang w:val="en-US" w:eastAsia="zh-CN" w:bidi="ar-SA"/>
        </w:rPr>
        <w:t>等措施，切实提高绩效目标设置质量，三是按规定时间进行新增项目入库、延续性项目调库处理。</w:t>
      </w:r>
      <w:r>
        <w:rPr>
          <w:rFonts w:hint="eastAsia" w:ascii="仿宋_GB2312" w:hAnsi="仿宋_GB2312" w:cs="仿宋_GB2312"/>
          <w:color w:val="000000"/>
          <w:kern w:val="0"/>
          <w:sz w:val="32"/>
          <w:szCs w:val="32"/>
          <w:highlight w:val="none"/>
          <w:shd w:val="clear" w:color="auto" w:fill="FFFFFF"/>
          <w:lang w:val="zh-CN" w:eastAsia="zh-CN"/>
        </w:rPr>
        <w:t>自评得</w:t>
      </w:r>
      <w:r>
        <w:rPr>
          <w:rFonts w:hint="eastAsia" w:ascii="仿宋_GB2312" w:hAnsi="仿宋_GB2312" w:cs="仿宋_GB2312"/>
          <w:color w:val="000000"/>
          <w:kern w:val="0"/>
          <w:sz w:val="32"/>
          <w:szCs w:val="32"/>
          <w:highlight w:val="none"/>
          <w:shd w:val="clear" w:color="auto" w:fill="FFFFFF"/>
          <w:lang w:val="en-US" w:eastAsia="zh-CN"/>
        </w:rPr>
        <w:t>12</w:t>
      </w:r>
      <w:r>
        <w:rPr>
          <w:rFonts w:hint="eastAsia" w:ascii="仿宋_GB2312" w:hAnsi="仿宋_GB2312" w:cs="仿宋_GB2312"/>
          <w:color w:val="000000"/>
          <w:kern w:val="0"/>
          <w:sz w:val="32"/>
          <w:szCs w:val="32"/>
          <w:highlight w:val="none"/>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b w:val="0"/>
          <w:bCs w:val="0"/>
          <w:sz w:val="32"/>
          <w:szCs w:val="32"/>
          <w:highlight w:val="none"/>
          <w:u w:val="none"/>
          <w:lang w:val="en-US" w:eastAsia="zh-CN"/>
        </w:rPr>
      </w:pPr>
      <w:r>
        <w:rPr>
          <w:rFonts w:hint="eastAsia" w:ascii="仿宋_GB2312" w:hAnsi="仿宋_GB2312" w:eastAsia="仿宋_GB2312" w:cs="仿宋_GB2312"/>
          <w:b w:val="0"/>
          <w:bCs w:val="0"/>
          <w:sz w:val="32"/>
          <w:szCs w:val="32"/>
          <w:highlight w:val="none"/>
          <w:u w:val="none"/>
          <w:lang w:val="en-US" w:eastAsia="zh-CN"/>
        </w:rPr>
        <w:t>2.项目执行</w:t>
      </w:r>
      <w:r>
        <w:rPr>
          <w:rFonts w:hint="eastAsia" w:ascii="仿宋_GB2312" w:hAnsi="仿宋_GB2312" w:eastAsia="仿宋_GB2312" w:cs="仿宋_GB2312"/>
          <w:b w:val="0"/>
          <w:bCs w:val="0"/>
          <w:sz w:val="32"/>
          <w:szCs w:val="32"/>
          <w:highlight w:val="none"/>
          <w:u w:val="none"/>
          <w:lang w:val="zh-CN" w:eastAsia="zh-CN"/>
        </w:rPr>
        <w:t>。</w:t>
      </w:r>
      <w:r>
        <w:rPr>
          <w:rFonts w:hint="eastAsia" w:ascii="仿宋_GB2312" w:hAnsi="仿宋_GB2312" w:cs="仿宋_GB2312"/>
          <w:b w:val="0"/>
          <w:bCs w:val="0"/>
          <w:sz w:val="32"/>
          <w:szCs w:val="32"/>
          <w:highlight w:val="none"/>
          <w:u w:val="none"/>
          <w:lang w:val="zh-CN" w:eastAsia="zh-CN"/>
        </w:rPr>
        <w:t>一是完全按照绩效目标、资金预算科目进行使用资金，二是全年没有应采取收回预算、调整目标等处置措施的部门预算特定目标类项目，三是3个项目存在结余，其中水利审批项目结余率0.6%，河湖健康评价项目结余率3.33%，中省水利项目结余率3.15%，均小于</w:t>
      </w:r>
      <w:r>
        <w:rPr>
          <w:rFonts w:hint="eastAsia" w:ascii="仿宋_GB2312" w:hAnsi="仿宋_GB2312" w:cs="仿宋_GB2312"/>
          <w:b w:val="0"/>
          <w:bCs w:val="0"/>
          <w:sz w:val="32"/>
          <w:szCs w:val="32"/>
          <w:highlight w:val="none"/>
          <w:u w:val="none"/>
          <w:lang w:val="en-US" w:eastAsia="zh-CN"/>
        </w:rPr>
        <w:t>10%。</w:t>
      </w:r>
      <w:r>
        <w:rPr>
          <w:rFonts w:hint="eastAsia" w:ascii="仿宋_GB2312" w:hAnsi="仿宋_GB2312" w:cs="仿宋_GB2312"/>
          <w:color w:val="000000"/>
          <w:kern w:val="0"/>
          <w:sz w:val="32"/>
          <w:szCs w:val="32"/>
          <w:highlight w:val="none"/>
          <w:shd w:val="clear" w:color="auto" w:fill="FFFFFF"/>
          <w:lang w:val="zh-CN" w:eastAsia="zh-CN"/>
        </w:rPr>
        <w:t>自评得</w:t>
      </w:r>
      <w:r>
        <w:rPr>
          <w:rFonts w:hint="eastAsia" w:ascii="仿宋_GB2312" w:hAnsi="仿宋_GB2312" w:cs="仿宋_GB2312"/>
          <w:color w:val="000000"/>
          <w:kern w:val="0"/>
          <w:sz w:val="32"/>
          <w:szCs w:val="32"/>
          <w:highlight w:val="none"/>
          <w:shd w:val="clear" w:color="auto" w:fill="FFFFFF"/>
          <w:lang w:val="en-US" w:eastAsia="zh-CN"/>
        </w:rPr>
        <w:t>12</w:t>
      </w:r>
      <w:r>
        <w:rPr>
          <w:rFonts w:hint="eastAsia" w:ascii="仿宋_GB2312" w:hAnsi="仿宋_GB2312" w:cs="仿宋_GB2312"/>
          <w:color w:val="000000"/>
          <w:kern w:val="0"/>
          <w:sz w:val="32"/>
          <w:szCs w:val="32"/>
          <w:highlight w:val="none"/>
          <w:shd w:val="clear" w:color="auto" w:fill="FFFFFF"/>
          <w:lang w:val="zh-CN"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color w:val="000000"/>
          <w:kern w:val="0"/>
          <w:sz w:val="32"/>
          <w:szCs w:val="32"/>
          <w:highlight w:val="none"/>
          <w:shd w:val="clear" w:color="auto" w:fill="FFFFFF"/>
          <w:lang w:val="zh-CN" w:eastAsia="zh-CN"/>
        </w:rPr>
      </w:pPr>
      <w:r>
        <w:rPr>
          <w:rFonts w:hint="eastAsia" w:ascii="仿宋_GB2312" w:hAnsi="仿宋_GB2312" w:eastAsia="仿宋_GB2312" w:cs="仿宋_GB2312"/>
          <w:b w:val="0"/>
          <w:bCs w:val="0"/>
          <w:sz w:val="32"/>
          <w:szCs w:val="32"/>
          <w:highlight w:val="none"/>
          <w:u w:val="none"/>
          <w:lang w:val="en-US" w:eastAsia="zh-CN"/>
        </w:rPr>
        <w:t>3.</w:t>
      </w:r>
      <w:r>
        <w:rPr>
          <w:rFonts w:hint="eastAsia" w:ascii="仿宋_GB2312" w:hAnsi="仿宋_GB2312" w:eastAsia="仿宋_GB2312" w:cs="仿宋_GB2312"/>
          <w:b w:val="0"/>
          <w:bCs w:val="0"/>
          <w:sz w:val="32"/>
          <w:szCs w:val="32"/>
          <w:highlight w:val="none"/>
          <w:u w:val="none"/>
          <w:lang w:val="zh-CN" w:eastAsia="zh-CN"/>
        </w:rPr>
        <w:t>目标实现。</w:t>
      </w:r>
      <w:r>
        <w:rPr>
          <w:rFonts w:hint="eastAsia" w:ascii="仿宋_GB2312" w:hAnsi="仿宋_GB2312" w:cs="仿宋_GB2312"/>
          <w:b w:val="0"/>
          <w:bCs w:val="0"/>
          <w:sz w:val="32"/>
          <w:szCs w:val="32"/>
          <w:highlight w:val="none"/>
          <w:u w:val="none"/>
          <w:lang w:val="zh-CN" w:eastAsia="zh-CN"/>
        </w:rPr>
        <w:t>一是涉及</w:t>
      </w:r>
      <w:r>
        <w:rPr>
          <w:rFonts w:hint="eastAsia" w:ascii="仿宋_GB2312" w:hAnsi="仿宋_GB2312" w:cs="仿宋_GB2312"/>
          <w:b w:val="0"/>
          <w:bCs w:val="0"/>
          <w:sz w:val="32"/>
          <w:szCs w:val="32"/>
          <w:highlight w:val="none"/>
          <w:u w:val="none"/>
          <w:lang w:val="en-US" w:eastAsia="zh-CN"/>
        </w:rPr>
        <w:t>11个项目全部完成既定目标，二是完成数量均在设定范围，三是项目绩效目标效益指标全部达到既定效果。</w:t>
      </w:r>
      <w:r>
        <w:rPr>
          <w:rFonts w:hint="eastAsia" w:ascii="仿宋_GB2312" w:hAnsi="仿宋_GB2312" w:cs="仿宋_GB2312"/>
          <w:color w:val="000000"/>
          <w:kern w:val="0"/>
          <w:sz w:val="32"/>
          <w:szCs w:val="32"/>
          <w:highlight w:val="none"/>
          <w:shd w:val="clear" w:color="auto" w:fill="FFFFFF"/>
          <w:lang w:val="zh-CN" w:eastAsia="zh-CN"/>
        </w:rPr>
        <w:t>自评得</w:t>
      </w:r>
      <w:r>
        <w:rPr>
          <w:rFonts w:hint="eastAsia" w:ascii="仿宋_GB2312" w:hAnsi="仿宋_GB2312" w:cs="仿宋_GB2312"/>
          <w:color w:val="000000"/>
          <w:kern w:val="0"/>
          <w:sz w:val="32"/>
          <w:szCs w:val="32"/>
          <w:highlight w:val="none"/>
          <w:shd w:val="clear" w:color="auto" w:fill="FFFFFF"/>
          <w:lang w:val="en-US" w:eastAsia="zh-CN"/>
        </w:rPr>
        <w:t>11</w:t>
      </w:r>
      <w:r>
        <w:rPr>
          <w:rFonts w:hint="eastAsia" w:ascii="仿宋_GB2312" w:hAnsi="仿宋_GB2312" w:cs="仿宋_GB2312"/>
          <w:color w:val="000000"/>
          <w:kern w:val="0"/>
          <w:sz w:val="32"/>
          <w:szCs w:val="32"/>
          <w:highlight w:val="none"/>
          <w:shd w:val="clear" w:color="auto" w:fill="FFFFFF"/>
          <w:lang w:val="zh-CN" w:eastAsia="zh-CN"/>
        </w:rPr>
        <w:t>分。</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default" w:ascii="Times New Roman" w:hAnsi="Times New Roman" w:eastAsia="黑体" w:cs="Times New Roman"/>
          <w:b w:val="0"/>
          <w:bCs w:val="0"/>
          <w:color w:val="000000"/>
          <w:kern w:val="0"/>
          <w:sz w:val="32"/>
          <w:szCs w:val="32"/>
          <w:highlight w:val="none"/>
          <w:shd w:val="clear" w:color="auto" w:fill="FFFFFF"/>
        </w:rPr>
      </w:pPr>
      <w:r>
        <w:rPr>
          <w:rFonts w:hint="default" w:ascii="Times New Roman" w:hAnsi="Times New Roman" w:eastAsia="黑体" w:cs="Times New Roman"/>
          <w:b w:val="0"/>
          <w:bCs w:val="0"/>
          <w:color w:val="000000"/>
          <w:kern w:val="0"/>
          <w:sz w:val="32"/>
          <w:szCs w:val="32"/>
          <w:highlight w:val="none"/>
          <w:shd w:val="clear" w:color="auto" w:fill="FFFFFF"/>
          <w:lang w:eastAsia="zh-CN"/>
        </w:rPr>
        <w:t>四、</w:t>
      </w:r>
      <w:r>
        <w:rPr>
          <w:rFonts w:hint="default" w:ascii="Times New Roman" w:hAnsi="Times New Roman" w:eastAsia="黑体" w:cs="Times New Roman"/>
          <w:b w:val="0"/>
          <w:bCs w:val="0"/>
          <w:color w:val="000000"/>
          <w:kern w:val="0"/>
          <w:sz w:val="32"/>
          <w:szCs w:val="32"/>
          <w:highlight w:val="none"/>
          <w:shd w:val="clear" w:color="auto" w:fill="FFFFFF"/>
        </w:rPr>
        <w:t>评价结论及建议</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contextualSpacing/>
        <w:jc w:val="both"/>
        <w:textAlignment w:val="auto"/>
        <w:rPr>
          <w:rFonts w:hint="eastAsia" w:ascii="仿宋_GB2312" w:hAnsi="仿宋_GB2312" w:eastAsia="仿宋_GB2312" w:cs="仿宋_GB2312"/>
          <w:b w:val="0"/>
          <w:bCs w:val="0"/>
          <w:color w:val="000000"/>
          <w:kern w:val="0"/>
          <w:sz w:val="32"/>
          <w:szCs w:val="32"/>
          <w:highlight w:val="none"/>
          <w:shd w:val="clear" w:color="auto" w:fill="FFFFFF"/>
          <w:lang w:val="zh-CN"/>
        </w:rPr>
      </w:pPr>
      <w:r>
        <w:rPr>
          <w:rFonts w:hint="default" w:ascii="Times New Roman" w:hAnsi="Times New Roman" w:eastAsia="楷体_GB2312" w:cs="Times New Roman"/>
          <w:b w:val="0"/>
          <w:bCs w:val="0"/>
          <w:color w:val="000000"/>
          <w:kern w:val="0"/>
          <w:sz w:val="32"/>
          <w:szCs w:val="32"/>
          <w:highlight w:val="none"/>
          <w:shd w:val="clear" w:color="auto" w:fill="FFFFFF"/>
          <w:lang w:val="zh-CN"/>
        </w:rPr>
        <w:t>（一）评价结论。</w:t>
      </w:r>
      <w:r>
        <w:rPr>
          <w:rFonts w:hint="eastAsia" w:ascii="仿宋_GB2312" w:hAnsi="仿宋_GB2312" w:eastAsia="仿宋_GB2312" w:cs="仿宋_GB2312"/>
          <w:color w:val="auto"/>
          <w:kern w:val="0"/>
          <w:sz w:val="32"/>
          <w:szCs w:val="32"/>
          <w:shd w:val="clear" w:color="auto" w:fill="FFFFFF"/>
          <w:lang w:val="zh-CN"/>
        </w:rPr>
        <w:t>按照202</w:t>
      </w:r>
      <w:r>
        <w:rPr>
          <w:rFonts w:hint="eastAsia" w:ascii="仿宋_GB2312" w:hAnsi="仿宋_GB2312" w:cs="仿宋_GB2312"/>
          <w:color w:val="auto"/>
          <w:kern w:val="0"/>
          <w:sz w:val="32"/>
          <w:szCs w:val="32"/>
          <w:shd w:val="clear" w:color="auto" w:fill="FFFFFF"/>
          <w:lang w:val="en-US" w:eastAsia="zh-CN"/>
        </w:rPr>
        <w:t>3</w:t>
      </w:r>
      <w:r>
        <w:rPr>
          <w:rFonts w:hint="eastAsia" w:ascii="仿宋_GB2312" w:hAnsi="仿宋_GB2312" w:eastAsia="仿宋_GB2312" w:cs="仿宋_GB2312"/>
          <w:color w:val="auto"/>
          <w:kern w:val="0"/>
          <w:sz w:val="32"/>
          <w:szCs w:val="32"/>
          <w:shd w:val="clear" w:color="auto" w:fill="FFFFFF"/>
          <w:lang w:val="zh-CN"/>
        </w:rPr>
        <w:t>年度部门整体支出绩效评价指标体系，绩效评价得分</w:t>
      </w:r>
      <w:r>
        <w:rPr>
          <w:rFonts w:hint="eastAsia" w:ascii="仿宋_GB2312" w:hAnsi="仿宋_GB2312" w:eastAsia="仿宋_GB2312" w:cs="仿宋_GB2312"/>
          <w:color w:val="auto"/>
          <w:kern w:val="0"/>
          <w:sz w:val="32"/>
          <w:szCs w:val="32"/>
          <w:shd w:val="clear" w:color="auto" w:fill="FFFFFF"/>
          <w:lang w:val="en-US" w:eastAsia="zh-CN"/>
        </w:rPr>
        <w:t>9</w:t>
      </w:r>
      <w:r>
        <w:rPr>
          <w:rFonts w:hint="eastAsia" w:ascii="仿宋_GB2312" w:hAnsi="仿宋_GB2312" w:cs="仿宋_GB2312"/>
          <w:color w:val="auto"/>
          <w:kern w:val="0"/>
          <w:sz w:val="32"/>
          <w:szCs w:val="32"/>
          <w:shd w:val="clear" w:color="auto" w:fill="FFFFFF"/>
          <w:lang w:val="en-US" w:eastAsia="zh-CN"/>
        </w:rPr>
        <w:t>8</w:t>
      </w:r>
      <w:r>
        <w:rPr>
          <w:rFonts w:hint="eastAsia" w:ascii="仿宋_GB2312" w:hAnsi="仿宋_GB2312" w:eastAsia="仿宋_GB2312" w:cs="仿宋_GB2312"/>
          <w:color w:val="auto"/>
          <w:kern w:val="0"/>
          <w:sz w:val="32"/>
          <w:szCs w:val="32"/>
          <w:shd w:val="clear" w:color="auto" w:fill="FFFFFF"/>
          <w:lang w:val="en-US" w:eastAsia="zh-CN"/>
        </w:rPr>
        <w:t>.</w:t>
      </w:r>
      <w:r>
        <w:rPr>
          <w:rFonts w:hint="eastAsia" w:ascii="仿宋_GB2312" w:hAnsi="仿宋_GB2312" w:cs="仿宋_GB2312"/>
          <w:color w:val="auto"/>
          <w:kern w:val="0"/>
          <w:sz w:val="32"/>
          <w:szCs w:val="32"/>
          <w:shd w:val="clear" w:color="auto" w:fill="FFFFFF"/>
          <w:lang w:val="en-US" w:eastAsia="zh-CN"/>
        </w:rPr>
        <w:t>25</w:t>
      </w:r>
      <w:r>
        <w:rPr>
          <w:rFonts w:hint="eastAsia" w:ascii="仿宋_GB2312" w:hAnsi="仿宋_GB2312" w:eastAsia="仿宋_GB2312" w:cs="仿宋_GB2312"/>
          <w:color w:val="auto"/>
          <w:kern w:val="0"/>
          <w:sz w:val="32"/>
          <w:szCs w:val="32"/>
          <w:shd w:val="clear" w:color="auto" w:fill="FFFFFF"/>
          <w:lang w:val="zh-CN"/>
        </w:rPr>
        <w:t>分</w:t>
      </w:r>
      <w:r>
        <w:rPr>
          <w:rFonts w:hint="eastAsia" w:ascii="仿宋_GB2312" w:hAnsi="仿宋_GB2312" w:eastAsia="仿宋_GB2312" w:cs="仿宋_GB2312"/>
          <w:color w:val="auto"/>
          <w:kern w:val="0"/>
          <w:sz w:val="32"/>
          <w:szCs w:val="32"/>
          <w:highlight w:val="none"/>
          <w:shd w:val="clear" w:color="auto" w:fill="FFFFFF"/>
          <w:lang w:val="en-US" w:eastAsia="zh-CN"/>
        </w:rPr>
        <w:t>。</w:t>
      </w:r>
      <w:r>
        <w:rPr>
          <w:rFonts w:hint="eastAsia" w:ascii="仿宋_GB2312" w:hAnsi="仿宋_GB2312" w:eastAsia="仿宋_GB2312" w:cs="仿宋_GB2312"/>
          <w:color w:val="auto"/>
          <w:kern w:val="0"/>
          <w:sz w:val="32"/>
          <w:szCs w:val="32"/>
          <w:highlight w:val="none"/>
          <w:shd w:val="clear" w:color="auto" w:fill="FFFFFF"/>
          <w:lang w:val="zh-CN"/>
        </w:rPr>
        <w:t>基本完成了年度预算绩效管理目标，扣分项主要涉及预算执行进度</w:t>
      </w:r>
      <w:r>
        <w:rPr>
          <w:rFonts w:hint="eastAsia" w:ascii="仿宋_GB2312" w:hAnsi="仿宋_GB2312" w:cs="仿宋_GB2312"/>
          <w:color w:val="auto"/>
          <w:kern w:val="0"/>
          <w:sz w:val="32"/>
          <w:szCs w:val="32"/>
          <w:highlight w:val="none"/>
          <w:shd w:val="clear" w:color="auto" w:fill="FFFFFF"/>
          <w:lang w:val="zh-CN"/>
        </w:rPr>
        <w:t>、一般性支出压减方面</w:t>
      </w:r>
      <w:r>
        <w:rPr>
          <w:rFonts w:hint="eastAsia" w:ascii="仿宋_GB2312" w:hAnsi="仿宋_GB2312" w:eastAsia="仿宋_GB2312" w:cs="仿宋_GB2312"/>
          <w:color w:val="auto"/>
          <w:kern w:val="0"/>
          <w:sz w:val="32"/>
          <w:szCs w:val="32"/>
          <w:highlight w:val="none"/>
          <w:shd w:val="clear" w:color="auto" w:fill="FFFFFF"/>
          <w:lang w:val="zh-CN"/>
        </w:rPr>
        <w:t>。</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Times New Roman" w:hAnsi="Times New Roman" w:eastAsia="楷体_GB2312" w:cs="Times New Roman"/>
          <w:b w:val="0"/>
          <w:bCs w:val="0"/>
          <w:color w:val="000000"/>
          <w:kern w:val="0"/>
          <w:sz w:val="32"/>
          <w:szCs w:val="32"/>
          <w:highlight w:val="none"/>
          <w:shd w:val="clear" w:color="auto" w:fill="FFFFFF"/>
          <w:lang w:val="en-US" w:eastAsia="zh-CN"/>
        </w:rPr>
      </w:pPr>
      <w:r>
        <w:rPr>
          <w:rFonts w:hint="default" w:ascii="Times New Roman" w:hAnsi="Times New Roman" w:eastAsia="楷体_GB2312" w:cs="Times New Roman"/>
          <w:b w:val="0"/>
          <w:bCs w:val="0"/>
          <w:color w:val="000000"/>
          <w:kern w:val="0"/>
          <w:sz w:val="32"/>
          <w:szCs w:val="32"/>
          <w:highlight w:val="none"/>
          <w:shd w:val="clear" w:color="auto" w:fill="FFFFFF"/>
          <w:lang w:val="zh-CN"/>
        </w:rPr>
        <w:t>（二）存在问题。</w:t>
      </w:r>
      <w:r>
        <w:rPr>
          <w:rFonts w:hint="eastAsia" w:ascii="仿宋_GB2312" w:hAnsi="仿宋_GB2312" w:eastAsia="仿宋_GB2312" w:cs="仿宋_GB2312"/>
          <w:color w:val="auto"/>
          <w:kern w:val="0"/>
          <w:sz w:val="32"/>
          <w:szCs w:val="32"/>
          <w:highlight w:val="none"/>
          <w:shd w:val="clear" w:color="auto" w:fill="FFFFFF"/>
          <w:lang w:val="zh-CN"/>
        </w:rPr>
        <w:t>一是</w:t>
      </w:r>
      <w:r>
        <w:rPr>
          <w:rFonts w:hint="eastAsia" w:ascii="仿宋_GB2312" w:hAnsi="仿宋_GB2312" w:cs="仿宋_GB2312"/>
          <w:color w:val="auto"/>
          <w:kern w:val="0"/>
          <w:sz w:val="32"/>
          <w:szCs w:val="32"/>
          <w:highlight w:val="none"/>
          <w:shd w:val="clear" w:color="auto" w:fill="FFFFFF"/>
          <w:lang w:val="zh-CN"/>
        </w:rPr>
        <w:t>资金支出进度不均衡，上半年支出较下半年缓慢；二是一般性支出压减难度较大，近几年来，随着“过紧日子”思想深入人心，一般性支出已逐年压减，但在岗职工人数只增不减，单位运转保障紧张，压减难度逐年加大</w:t>
      </w:r>
      <w:r>
        <w:rPr>
          <w:rFonts w:hint="eastAsia" w:ascii="仿宋_GB2312" w:hAnsi="仿宋_GB2312" w:eastAsia="仿宋_GB2312" w:cs="仿宋_GB2312"/>
          <w:b w:val="0"/>
          <w:bCs w:val="0"/>
          <w:w w:val="95"/>
          <w:kern w:val="0"/>
          <w:position w:val="0"/>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outlineLvl w:val="9"/>
        <w:rPr>
          <w:rFonts w:hint="eastAsia" w:ascii="仿宋_GB2312" w:hAnsi="仿宋_GB2312" w:cs="仿宋_GB2312"/>
          <w:b w:val="0"/>
          <w:bCs w:val="0"/>
          <w:color w:val="000000" w:themeColor="text1"/>
          <w:kern w:val="0"/>
          <w:sz w:val="32"/>
          <w:szCs w:val="32"/>
          <w:highlight w:val="none"/>
          <w:shd w:val="clear" w:color="auto" w:fill="FFFFFF"/>
          <w:lang w:val="zh-CN"/>
          <w14:textFill>
            <w14:solidFill>
              <w14:schemeClr w14:val="tx1"/>
            </w14:solidFill>
          </w14:textFill>
        </w:rPr>
      </w:pPr>
      <w:r>
        <w:rPr>
          <w:rFonts w:hint="default" w:ascii="Times New Roman" w:hAnsi="Times New Roman" w:eastAsia="楷体_GB2312" w:cs="Times New Roman"/>
          <w:b w:val="0"/>
          <w:bCs w:val="0"/>
          <w:color w:val="000000"/>
          <w:kern w:val="0"/>
          <w:sz w:val="32"/>
          <w:szCs w:val="32"/>
          <w:highlight w:val="none"/>
          <w:shd w:val="clear" w:color="auto" w:fill="FFFFFF"/>
          <w:lang w:val="zh-CN" w:eastAsia="zh-CN"/>
        </w:rPr>
        <w:t>（三）改进建议。</w:t>
      </w:r>
      <w:bookmarkStart w:id="81" w:name="_Hlk110546638"/>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202</w:t>
      </w:r>
      <w:r>
        <w:rPr>
          <w:rFonts w:hint="eastAsia" w:ascii="仿宋_GB2312" w:hAnsi="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年，我</w:t>
      </w:r>
      <w:r>
        <w:rPr>
          <w:rFonts w:hint="eastAsia" w:ascii="仿宋_GB2312" w:hAnsi="仿宋_GB2312" w:eastAsia="仿宋_GB2312" w:cs="仿宋_GB2312"/>
          <w:b w:val="0"/>
          <w:bCs w:val="0"/>
          <w:color w:val="000000" w:themeColor="text1"/>
          <w:kern w:val="0"/>
          <w:sz w:val="32"/>
          <w:szCs w:val="32"/>
          <w:highlight w:val="none"/>
          <w:shd w:val="clear" w:color="auto" w:fill="FFFFFF"/>
          <w:lang w:val="en-US" w:eastAsia="zh-CN"/>
          <w14:textFill>
            <w14:solidFill>
              <w14:schemeClr w14:val="tx1"/>
            </w14:solidFill>
          </w14:textFill>
        </w:rPr>
        <w:t>单位</w:t>
      </w:r>
      <w:r>
        <w:rPr>
          <w:rFonts w:hint="eastAsia" w:ascii="仿宋_GB2312" w:hAnsi="仿宋_GB2312" w:eastAsia="仿宋_GB2312" w:cs="仿宋_GB2312"/>
          <w:b w:val="0"/>
          <w:bCs w:val="0"/>
          <w:color w:val="000000" w:themeColor="text1"/>
          <w:kern w:val="0"/>
          <w:sz w:val="32"/>
          <w:szCs w:val="32"/>
          <w:highlight w:val="none"/>
          <w:shd w:val="clear" w:color="auto" w:fill="FFFFFF"/>
          <w:lang w:val="zh-CN"/>
          <w14:textFill>
            <w14:solidFill>
              <w14:schemeClr w14:val="tx1"/>
            </w14:solidFill>
          </w14:textFill>
        </w:rPr>
        <w:t>将采取以下措施，提升预算绩效工作水平。</w:t>
      </w:r>
      <w:r>
        <w:rPr>
          <w:rFonts w:hint="eastAsia" w:ascii="仿宋_GB2312" w:hAnsi="仿宋_GB2312" w:cs="仿宋_GB2312"/>
          <w:b w:val="0"/>
          <w:bCs w:val="0"/>
          <w:color w:val="000000" w:themeColor="text1"/>
          <w:kern w:val="0"/>
          <w:sz w:val="32"/>
          <w:szCs w:val="32"/>
          <w:highlight w:val="none"/>
          <w:shd w:val="clear" w:color="auto" w:fill="FFFFFF"/>
          <w:lang w:val="zh-CN"/>
          <w14:textFill>
            <w14:solidFill>
              <w14:schemeClr w14:val="tx1"/>
            </w14:solidFill>
          </w14:textFill>
        </w:rPr>
        <w:t>一是继续高频次通报资金支出进度，通过日常通报，会议调研等方式，督促项目管理科室，加快项目实施进度，促进资金支出；二是将绩效完成效果挂钩经费保障，通过年初预算、年中执行，压减绩效目标完成较差的科室经费，提高绩效目标完成较好的科室经费。</w:t>
      </w:r>
      <w:bookmarkEnd w:id="81"/>
    </w:p>
    <w:p>
      <w:pPr>
        <w:pStyle w:val="7"/>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color w:val="auto"/>
          <w:sz w:val="32"/>
          <w:szCs w:val="32"/>
          <w:highlight w:val="none"/>
          <w:lang w:val="zh-CN" w:eastAsia="zh-CN"/>
        </w:rPr>
      </w:pPr>
      <w:r>
        <w:rPr>
          <w:rFonts w:hint="eastAsia" w:hAnsi="Times New Roman" w:cs="Times New Roman"/>
          <w:color w:val="auto"/>
          <w:sz w:val="32"/>
          <w:szCs w:val="32"/>
          <w:highlight w:val="none"/>
          <w:lang w:val="zh-CN" w:eastAsia="zh-CN"/>
        </w:rPr>
        <w:t>附表：</w:t>
      </w:r>
      <w:r>
        <w:rPr>
          <w:rFonts w:hint="eastAsia" w:hAnsi="Times New Roman" w:cs="Times New Roman"/>
          <w:color w:val="auto"/>
          <w:sz w:val="32"/>
          <w:szCs w:val="32"/>
          <w:highlight w:val="none"/>
          <w:lang w:val="en-US" w:eastAsia="zh-CN"/>
        </w:rPr>
        <w:t>部门预算项目支出绩效自评表（202</w:t>
      </w:r>
      <w:r>
        <w:rPr>
          <w:rFonts w:hint="eastAsia" w:cs="Times New Roman"/>
          <w:color w:val="auto"/>
          <w:sz w:val="32"/>
          <w:szCs w:val="32"/>
          <w:highlight w:val="none"/>
          <w:lang w:val="en-US" w:eastAsia="zh-CN"/>
        </w:rPr>
        <w:t>3</w:t>
      </w:r>
      <w:r>
        <w:rPr>
          <w:rFonts w:hint="eastAsia" w:hAnsi="Times New Roman" w:cs="Times New Roman"/>
          <w:color w:val="auto"/>
          <w:sz w:val="32"/>
          <w:szCs w:val="32"/>
          <w:highlight w:val="none"/>
          <w:lang w:val="en-US" w:eastAsia="zh-CN"/>
        </w:rPr>
        <w:t>年度）</w:t>
      </w:r>
    </w:p>
    <w:p>
      <w:pPr>
        <w:pStyle w:val="2"/>
        <w:ind w:firstLine="600" w:firstLineChars="200"/>
        <w:rPr>
          <w:rFonts w:hint="eastAsia"/>
          <w:lang w:val="zh-CN"/>
        </w:rPr>
      </w:pPr>
      <w:r>
        <w:rPr>
          <w:rFonts w:hint="eastAsia"/>
          <w:lang w:val="zh-CN"/>
        </w:rPr>
        <w:t>具体内容见附表</w:t>
      </w: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kern w:val="0"/>
          <w:sz w:val="32"/>
          <w:szCs w:val="32"/>
          <w:highlight w:val="none"/>
          <w:shd w:val="clear" w:color="auto" w:fill="FFFFFF"/>
          <w:lang w:val="zh-CN"/>
        </w:rPr>
      </w:pPr>
    </w:p>
    <w:p>
      <w:pPr>
        <w:pStyle w:val="2"/>
        <w:shd w:val="clear"/>
        <w:rPr>
          <w:rFonts w:hint="eastAsia" w:ascii="黑体" w:hAnsi="黑体" w:eastAsia="黑体" w:cs="黑体"/>
          <w:color w:val="auto"/>
          <w:sz w:val="32"/>
          <w:szCs w:val="32"/>
          <w:highlight w:val="none"/>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2023年防汛工作经费</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绩效自评报告</w:t>
      </w:r>
    </w:p>
    <w:p>
      <w:pPr>
        <w:keepNext w:val="0"/>
        <w:keepLines w:val="0"/>
        <w:pageBreakBefore w:val="0"/>
        <w:widowControl w:val="0"/>
        <w:kinsoku/>
        <w:wordWrap/>
        <w:overflowPunct/>
        <w:topLinePunct w:val="0"/>
        <w:autoSpaceDE/>
        <w:autoSpaceDN/>
        <w:bidi w:val="0"/>
        <w:adjustRightInd w:val="0"/>
        <w:snapToGrid w:val="0"/>
        <w:spacing w:line="576" w:lineRule="exact"/>
        <w:ind w:firstLine="720"/>
        <w:textAlignment w:val="auto"/>
        <w:rPr>
          <w:rFonts w:hint="eastAsia" w:ascii="黑体" w:hAnsi="宋体" w:eastAsia="黑体"/>
          <w:b w:val="0"/>
          <w:bCs w:val="0"/>
        </w:rPr>
      </w:pP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auto"/>
          <w:sz w:val="32"/>
          <w:szCs w:val="32"/>
          <w:lang w:val="zh-CN" w:eastAsia="zh-CN"/>
        </w:rPr>
      </w:pPr>
      <w:r>
        <w:rPr>
          <w:rFonts w:hint="eastAsia" w:ascii="仿宋_GB2312" w:eastAsia="仿宋_GB2312"/>
          <w:color w:val="auto"/>
          <w:sz w:val="32"/>
          <w:szCs w:val="32"/>
          <w:lang w:val="zh-CN" w:eastAsia="zh-CN"/>
        </w:rPr>
        <w:t>承担市防汛抗旱指挥部办公室日常工作</w:t>
      </w:r>
      <w:r>
        <w:rPr>
          <w:rFonts w:hint="eastAsia" w:ascii="仿宋_GB2312" w:eastAsia="仿宋_GB2312"/>
          <w:color w:val="auto"/>
          <w:sz w:val="32"/>
          <w:szCs w:val="32"/>
          <w:lang w:val="en" w:eastAsia="en"/>
        </w:rPr>
        <w:t>,</w:t>
      </w:r>
      <w:r>
        <w:rPr>
          <w:rFonts w:hint="eastAsia" w:ascii="仿宋_GB2312" w:eastAsia="仿宋_GB2312"/>
          <w:color w:val="auto"/>
          <w:sz w:val="32"/>
          <w:szCs w:val="32"/>
          <w:lang w:val="zh-CN" w:eastAsia="zh-CN"/>
        </w:rPr>
        <w:t>负责全市水旱灾害防治工作，组织、协调、监督、指挥全市防汛抗旱工作，督促指导县区编制县城、河道超标洪水防御预案;承担水情旱情监测预警工作；建立水旱灾害防御专家库，视应急抢险需要派出专家开展技术支撑；协调抗旱期间水源调度和农村供水；负责市本级水旱灾害防治和水利工程险灾情救援防汛抗旱物资储备、采购、调拔；认真完成市防指交办的其他防灾减灾救灾任务。</w:t>
      </w:r>
    </w:p>
    <w:p>
      <w:pPr>
        <w:keepNext w:val="0"/>
        <w:keepLines w:val="0"/>
        <w:pageBreakBefore w:val="0"/>
        <w:widowControl w:val="0"/>
        <w:numPr>
          <w:ilvl w:val="0"/>
          <w:numId w:val="6"/>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FF0000"/>
          <w:sz w:val="32"/>
          <w:szCs w:val="32"/>
          <w:lang w:val="zh-CN" w:eastAsia="zh-CN"/>
        </w:rPr>
      </w:pPr>
      <w:r>
        <w:rPr>
          <w:rFonts w:hint="eastAsia" w:ascii="仿宋_GB2312" w:eastAsia="仿宋_GB2312"/>
          <w:color w:val="auto"/>
          <w:sz w:val="32"/>
          <w:szCs w:val="32"/>
          <w:lang w:val="zh-CN" w:eastAsia="zh-CN"/>
        </w:rPr>
        <w:t>根据《中华人民共和国防洪法》、《广元市防汛抗旱应急预案（2021年修订）》（广府办函〔2021〕57号）、省水利厅、省财政厅、省人社厅《关于落实基层防汛抗旱体系建设相关经费保障的通知》（川水发〔20</w:t>
      </w:r>
      <w:r>
        <w:rPr>
          <w:rFonts w:hint="eastAsia" w:ascii="仿宋_GB2312" w:eastAsia="仿宋_GB2312"/>
          <w:color w:val="auto"/>
          <w:sz w:val="32"/>
          <w:szCs w:val="32"/>
          <w:lang w:val="en-US" w:eastAsia="zh-CN"/>
        </w:rPr>
        <w:t>16</w:t>
      </w:r>
      <w:r>
        <w:rPr>
          <w:rFonts w:hint="eastAsia" w:ascii="仿宋_GB2312" w:eastAsia="仿宋_GB2312"/>
          <w:color w:val="auto"/>
          <w:sz w:val="32"/>
          <w:szCs w:val="32"/>
          <w:lang w:val="zh-CN" w:eastAsia="zh-CN"/>
        </w:rPr>
        <w:t>〕5号）和国家防总《关于对设立防汛值班补贴的答复意见》（办综〔20</w:t>
      </w:r>
      <w:r>
        <w:rPr>
          <w:rFonts w:hint="eastAsia" w:ascii="仿宋_GB2312" w:eastAsia="仿宋_GB2312"/>
          <w:color w:val="auto"/>
          <w:sz w:val="32"/>
          <w:szCs w:val="32"/>
          <w:lang w:val="en-US" w:eastAsia="zh-CN"/>
        </w:rPr>
        <w:t>08</w:t>
      </w:r>
      <w:r>
        <w:rPr>
          <w:rFonts w:hint="eastAsia" w:ascii="仿宋_GB2312" w:eastAsia="仿宋_GB2312"/>
          <w:color w:val="auto"/>
          <w:sz w:val="32"/>
          <w:szCs w:val="32"/>
          <w:lang w:val="zh-CN" w:eastAsia="zh-CN"/>
        </w:rPr>
        <w:t>〕</w:t>
      </w:r>
      <w:r>
        <w:rPr>
          <w:rFonts w:hint="eastAsia" w:ascii="仿宋_GB2312" w:eastAsia="仿宋_GB2312"/>
          <w:color w:val="auto"/>
          <w:sz w:val="32"/>
          <w:szCs w:val="32"/>
          <w:lang w:val="en-US" w:eastAsia="zh-CN"/>
        </w:rPr>
        <w:t>1号</w:t>
      </w:r>
      <w:r>
        <w:rPr>
          <w:rFonts w:hint="eastAsia" w:ascii="仿宋_GB2312" w:eastAsia="仿宋_GB2312"/>
          <w:color w:val="auto"/>
          <w:sz w:val="32"/>
          <w:szCs w:val="32"/>
          <w:lang w:val="zh-CN" w:eastAsia="zh-CN"/>
        </w:rPr>
        <w:t>）规定标准进行项目立项、资金申报。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宋体"/>
          <w:b w:val="0"/>
          <w:bCs w:val="0"/>
          <w:sz w:val="32"/>
          <w:szCs w:val="32"/>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宋体"/>
          <w:b w:val="0"/>
          <w:bCs w:val="0"/>
          <w:sz w:val="32"/>
          <w:szCs w:val="32"/>
          <w:lang w:val="zh-CN"/>
        </w:rPr>
        <w:t>开展防汛平台运行维护、防汛物资管理，汛期24小时值班值守、汛期安全专项检查，达到防汛要求，确保人民群众生命财产安全。</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ascii="楷体_GB2312" w:hAnsi="宋体" w:eastAsia="楷体_GB2312"/>
          <w:b/>
          <w:color w:val="auto"/>
          <w:sz w:val="32"/>
          <w:szCs w:val="32"/>
          <w:highlight w:val="none"/>
          <w:u w:val="none"/>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主要设置防汛物资仓储管理大于等于</w:t>
      </w:r>
      <w:r>
        <w:rPr>
          <w:rFonts w:hint="eastAsia" w:ascii="仿宋_GB2312" w:hAnsi="仿宋_GB2312" w:cs="仿宋_GB2312"/>
          <w:color w:val="auto"/>
          <w:kern w:val="0"/>
          <w:sz w:val="32"/>
          <w:szCs w:val="32"/>
          <w:highlight w:val="none"/>
          <w:u w:val="none"/>
          <w:shd w:val="clear" w:color="auto" w:fill="FFFFFF"/>
          <w:lang w:val="en-US" w:eastAsia="zh-CN"/>
        </w:rPr>
        <w:t>153天，防汛值班值守</w:t>
      </w:r>
      <w:r>
        <w:rPr>
          <w:rFonts w:hint="eastAsia" w:ascii="仿宋_GB2312" w:hAnsi="仿宋_GB2312" w:cs="仿宋_GB2312"/>
          <w:color w:val="auto"/>
          <w:kern w:val="0"/>
          <w:sz w:val="32"/>
          <w:szCs w:val="32"/>
          <w:highlight w:val="none"/>
          <w:u w:val="none"/>
          <w:shd w:val="clear" w:color="auto" w:fill="FFFFFF"/>
          <w:lang w:val="zh-CN" w:eastAsia="zh-CN"/>
        </w:rPr>
        <w:t>大于等于</w:t>
      </w:r>
      <w:r>
        <w:rPr>
          <w:rFonts w:hint="eastAsia" w:ascii="仿宋_GB2312" w:hAnsi="仿宋_GB2312" w:cs="仿宋_GB2312"/>
          <w:color w:val="auto"/>
          <w:kern w:val="0"/>
          <w:sz w:val="32"/>
          <w:szCs w:val="32"/>
          <w:highlight w:val="none"/>
          <w:u w:val="none"/>
          <w:shd w:val="clear" w:color="auto" w:fill="FFFFFF"/>
          <w:lang w:val="en-US" w:eastAsia="zh-CN"/>
        </w:rPr>
        <w:t>153天，防汛物资采购</w:t>
      </w:r>
      <w:r>
        <w:rPr>
          <w:rFonts w:hint="eastAsia" w:ascii="仿宋_GB2312" w:hAnsi="仿宋_GB2312" w:cs="仿宋_GB2312"/>
          <w:color w:val="auto"/>
          <w:kern w:val="0"/>
          <w:sz w:val="32"/>
          <w:szCs w:val="32"/>
          <w:highlight w:val="none"/>
          <w:u w:val="none"/>
          <w:shd w:val="clear" w:color="auto" w:fill="FFFFFF"/>
          <w:lang w:val="zh-CN" w:eastAsia="zh-CN"/>
        </w:rPr>
        <w:t>大于等于</w:t>
      </w:r>
      <w:r>
        <w:rPr>
          <w:rFonts w:hint="eastAsia" w:ascii="仿宋_GB2312" w:hAnsi="仿宋_GB2312" w:cs="仿宋_GB2312"/>
          <w:color w:val="auto"/>
          <w:kern w:val="0"/>
          <w:sz w:val="32"/>
          <w:szCs w:val="32"/>
          <w:highlight w:val="none"/>
          <w:u w:val="none"/>
          <w:shd w:val="clear" w:color="auto" w:fill="FFFFFF"/>
          <w:lang w:val="en-US" w:eastAsia="zh-CN"/>
        </w:rPr>
        <w:t>1批，防汛系统运行及维护1年，防汛系统正常运转率</w:t>
      </w:r>
      <w:r>
        <w:rPr>
          <w:rFonts w:hint="eastAsia" w:ascii="仿宋_GB2312" w:hAnsi="仿宋_GB2312" w:cs="仿宋_GB2312"/>
          <w:color w:val="auto"/>
          <w:kern w:val="0"/>
          <w:sz w:val="32"/>
          <w:szCs w:val="32"/>
          <w:highlight w:val="none"/>
          <w:u w:val="none"/>
          <w:shd w:val="clear" w:color="auto" w:fill="FFFFFF"/>
          <w:lang w:val="zh-CN" w:eastAsia="zh-CN"/>
        </w:rPr>
        <w:t>大于等于</w:t>
      </w:r>
      <w:r>
        <w:rPr>
          <w:rFonts w:hint="eastAsia" w:ascii="仿宋_GB2312" w:hAnsi="仿宋_GB2312" w:cs="仿宋_GB2312"/>
          <w:color w:val="auto"/>
          <w:kern w:val="0"/>
          <w:sz w:val="32"/>
          <w:szCs w:val="32"/>
          <w:highlight w:val="none"/>
          <w:u w:val="none"/>
          <w:shd w:val="clear" w:color="auto" w:fill="FFFFFF"/>
          <w:lang w:val="en-US" w:eastAsia="zh-CN"/>
        </w:rPr>
        <w:t>98%。</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w:t>
      </w:r>
      <w:r>
        <w:rPr>
          <w:rFonts w:hint="eastAsia" w:ascii="仿宋_GB2312" w:hAnsi="仿宋_GB2312" w:cs="仿宋_GB2312"/>
          <w:sz w:val="32"/>
          <w:szCs w:val="32"/>
          <w:lang w:val="en-US" w:eastAsia="zh-CN"/>
        </w:rPr>
        <w:t>防汛物资采购、防汛物资仓储、防汛系统运行情况进行抽查。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ind w:firstLine="640" w:firstLineChars="200"/>
        <w:rPr>
          <w:rFonts w:hint="default"/>
          <w:sz w:val="32"/>
          <w:szCs w:val="32"/>
          <w:lang w:val="en-US" w:eastAsia="zh-CN"/>
        </w:rPr>
      </w:pPr>
      <w:r>
        <w:rPr>
          <w:rFonts w:hint="eastAsia"/>
          <w:sz w:val="32"/>
          <w:szCs w:val="32"/>
          <w:lang w:val="en-US" w:eastAsia="zh-CN"/>
        </w:rPr>
        <w:t>防汛物资仓储管理360天；防汛值班值守188天；防汛物资采购1批；防汛系统运行及维护1年；防汛系统正常运转率100%；所有指标均在12个月内完成。</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严格</w:t>
      </w:r>
      <w:r>
        <w:rPr>
          <w:rFonts w:hint="eastAsia" w:ascii="仿宋_GB2312" w:hAnsi="仿宋_GB2312" w:eastAsia="仿宋_GB2312" w:cs="仿宋_GB2312"/>
          <w:sz w:val="32"/>
          <w:szCs w:val="32"/>
          <w:lang w:eastAsia="zh-CN"/>
        </w:rPr>
        <w:t>执行</w:t>
      </w:r>
      <w:r>
        <w:rPr>
          <w:rFonts w:hint="eastAsia" w:ascii="仿宋_GB2312" w:hAnsi="仿宋_GB2312" w:eastAsia="仿宋_GB2312" w:cs="仿宋_GB2312"/>
          <w:sz w:val="32"/>
          <w:szCs w:val="32"/>
        </w:rPr>
        <w:t>“30123”叫应机制，</w:t>
      </w:r>
      <w:r>
        <w:rPr>
          <w:rStyle w:val="41"/>
          <w:rFonts w:hint="eastAsia" w:ascii="仿宋_GB2312" w:hAnsi="仿宋_GB2312" w:eastAsia="仿宋_GB2312" w:cs="仿宋_GB2312"/>
          <w:sz w:val="32"/>
          <w:szCs w:val="32"/>
        </w:rPr>
        <w:t>强化预警响应联动</w:t>
      </w:r>
      <w:r>
        <w:rPr>
          <w:rStyle w:val="41"/>
          <w:rFonts w:hint="eastAsia" w:ascii="仿宋_GB2312" w:hAnsi="仿宋_GB2312" w:eastAsia="仿宋_GB2312" w:cs="仿宋_GB2312"/>
          <w:sz w:val="32"/>
          <w:szCs w:val="32"/>
          <w:lang w:eastAsia="zh-CN"/>
        </w:rPr>
        <w:t>，市、县累计</w:t>
      </w:r>
      <w:r>
        <w:rPr>
          <w:rStyle w:val="41"/>
          <w:rFonts w:hint="eastAsia" w:ascii="仿宋_GB2312" w:hAnsi="仿宋_GB2312" w:eastAsia="仿宋_GB2312" w:cs="仿宋_GB2312"/>
          <w:sz w:val="32"/>
          <w:szCs w:val="32"/>
        </w:rPr>
        <w:t>启动四级应急响应</w:t>
      </w:r>
      <w:r>
        <w:rPr>
          <w:rStyle w:val="41"/>
          <w:rFonts w:hint="eastAsia" w:ascii="仿宋_GB2312" w:hAnsi="仿宋_GB2312" w:eastAsia="仿宋_GB2312" w:cs="仿宋_GB2312"/>
          <w:sz w:val="32"/>
          <w:szCs w:val="32"/>
          <w:lang w:val="en-US" w:eastAsia="zh-CN"/>
        </w:rPr>
        <w:t>31</w:t>
      </w:r>
      <w:r>
        <w:rPr>
          <w:rStyle w:val="41"/>
          <w:rFonts w:hint="eastAsia" w:ascii="仿宋_GB2312" w:hAnsi="仿宋_GB2312" w:eastAsia="仿宋_GB2312" w:cs="仿宋_GB2312"/>
          <w:sz w:val="32"/>
          <w:szCs w:val="32"/>
        </w:rPr>
        <w:t>次，三级应急响应3次</w:t>
      </w:r>
      <w:r>
        <w:rPr>
          <w:rStyle w:val="41"/>
          <w:rFonts w:hint="eastAsia" w:ascii="仿宋_GB2312" w:hAnsi="仿宋_GB2312" w:eastAsia="仿宋_GB2312" w:cs="仿宋_GB2312"/>
          <w:sz w:val="32"/>
          <w:szCs w:val="32"/>
          <w:lang w:eastAsia="zh-CN"/>
        </w:rPr>
        <w:t>，</w:t>
      </w:r>
      <w:r>
        <w:rPr>
          <w:rStyle w:val="41"/>
          <w:rFonts w:hint="eastAsia" w:ascii="仿宋_GB2312" w:hAnsi="仿宋_GB2312" w:eastAsia="仿宋_GB2312" w:cs="仿宋_GB2312"/>
          <w:sz w:val="32"/>
          <w:szCs w:val="32"/>
        </w:rPr>
        <w:t>全力做好</w:t>
      </w:r>
      <w:r>
        <w:rPr>
          <w:rStyle w:val="41"/>
          <w:rFonts w:hint="eastAsia" w:ascii="仿宋_GB2312" w:hAnsi="仿宋_GB2312" w:eastAsia="仿宋_GB2312" w:cs="仿宋_GB2312"/>
          <w:sz w:val="32"/>
          <w:szCs w:val="32"/>
          <w:lang w:eastAsia="zh-CN"/>
        </w:rPr>
        <w:t>各项</w:t>
      </w:r>
      <w:r>
        <w:rPr>
          <w:rStyle w:val="41"/>
          <w:rFonts w:hint="eastAsia" w:ascii="仿宋_GB2312" w:hAnsi="仿宋_GB2312" w:eastAsia="仿宋_GB2312" w:cs="仿宋_GB2312"/>
          <w:sz w:val="32"/>
          <w:szCs w:val="32"/>
        </w:rPr>
        <w:t>防范应对工作</w:t>
      </w:r>
      <w:r>
        <w:rPr>
          <w:rStyle w:val="41"/>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严格落实极端天气和突发情况下的关、停、限等刚性约束措施，最大限度降低灾害安全风险。</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shd w:val="clear"/>
        <w:rPr>
          <w:rFonts w:hint="eastAsia" w:ascii="仿宋_GB2312" w:hAnsi="仿宋_GB2312" w:eastAsia="仿宋_GB2312" w:cs="仿宋_GB2312"/>
          <w:color w:val="auto"/>
          <w:highlight w:val="none"/>
          <w:lang w:val="en-US" w:eastAsia="zh-CN"/>
        </w:rPr>
      </w:pPr>
    </w:p>
    <w:p>
      <w:pPr>
        <w:shd w:val="clear"/>
        <w:rPr>
          <w:rFonts w:hint="eastAsia" w:ascii="仿宋_GB2312" w:hAnsi="仿宋_GB2312" w:eastAsia="仿宋_GB2312" w:cs="仿宋_GB2312"/>
          <w:color w:val="auto"/>
          <w:highlight w:val="none"/>
          <w:lang w:val="en-US" w:eastAsia="zh-CN"/>
        </w:rPr>
      </w:pPr>
    </w:p>
    <w:p>
      <w:pPr>
        <w:pStyle w:val="2"/>
        <w:shd w:val="clear"/>
        <w:rPr>
          <w:rFonts w:hint="eastAsia" w:ascii="仿宋_GB2312" w:hAnsi="仿宋_GB2312" w:eastAsia="仿宋_GB2312" w:cs="仿宋_GB2312"/>
          <w:color w:val="auto"/>
          <w:highlight w:val="none"/>
          <w:lang w:val="en-US" w:eastAsia="zh-CN"/>
        </w:rPr>
      </w:pPr>
    </w:p>
    <w:p>
      <w:pPr>
        <w:shd w:val="clear"/>
        <w:rPr>
          <w:rFonts w:hint="eastAsia" w:ascii="仿宋_GB2312" w:hAnsi="仿宋_GB2312" w:eastAsia="仿宋_GB2312" w:cs="仿宋_GB2312"/>
          <w:color w:val="auto"/>
          <w:highlight w:val="none"/>
          <w:lang w:val="en-US" w:eastAsia="zh-CN"/>
        </w:rPr>
      </w:pPr>
    </w:p>
    <w:p>
      <w:pPr>
        <w:pStyle w:val="2"/>
        <w:shd w:val="clear"/>
        <w:rPr>
          <w:rFonts w:hint="eastAsia"/>
          <w:color w:val="auto"/>
          <w:highlight w:val="none"/>
          <w:lang w:val="en-US" w:eastAsia="zh-CN"/>
        </w:rPr>
      </w:pPr>
    </w:p>
    <w:p>
      <w:pPr>
        <w:pStyle w:val="2"/>
        <w:shd w:val="clear"/>
        <w:rPr>
          <w:rFonts w:hint="eastAsia" w:ascii="黑体" w:hAnsi="黑体" w:eastAsia="黑体" w:cs="黑体"/>
          <w:color w:val="auto"/>
          <w:sz w:val="32"/>
          <w:szCs w:val="32"/>
          <w:highlight w:val="none"/>
          <w:lang w:val="en-US" w:eastAsia="zh-CN"/>
        </w:rPr>
      </w:pPr>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3</w:t>
      </w: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bookmarkStart w:id="82" w:name="_Toc15396618"/>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2023年</w:t>
      </w:r>
      <w:r>
        <w:rPr>
          <w:rFonts w:hint="eastAsia" w:ascii="方正小标宋简体" w:hAnsi="方正小标宋简体" w:eastAsia="方正小标宋简体" w:cs="方正小标宋简体"/>
          <w:b w:val="0"/>
          <w:bCs w:val="0"/>
          <w:color w:val="auto"/>
          <w:kern w:val="2"/>
          <w:sz w:val="44"/>
          <w:szCs w:val="44"/>
        </w:rPr>
        <w:t>河湖管理保护经费</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绩效自评</w:t>
      </w: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黑体" w:hAnsi="宋体" w:eastAsia="黑体"/>
          <w:b w:val="0"/>
          <w:bCs w:val="0"/>
        </w:rPr>
      </w:pPr>
      <w:r>
        <w:rPr>
          <w:rFonts w:hint="eastAsia" w:ascii="方正小标宋简体" w:hAnsi="方正小标宋简体" w:eastAsia="方正小标宋简体" w:cs="方正小标宋简体"/>
          <w:b w:val="0"/>
          <w:bCs w:val="0"/>
          <w:color w:val="auto"/>
          <w:kern w:val="2"/>
          <w:sz w:val="44"/>
          <w:szCs w:val="44"/>
        </w:rPr>
        <w:t>报</w:t>
      </w:r>
      <w:r>
        <w:rPr>
          <w:rFonts w:hint="eastAsia" w:ascii="方正小标宋简体" w:hAnsi="方正小标宋简体" w:eastAsia="方正小标宋简体" w:cs="方正小标宋简体"/>
          <w:b w:val="0"/>
          <w:bCs w:val="0"/>
          <w:color w:val="auto"/>
          <w:kern w:val="2"/>
          <w:sz w:val="44"/>
          <w:szCs w:val="44"/>
          <w:lang w:val="en-US" w:eastAsia="zh-CN"/>
        </w:rPr>
        <w:t xml:space="preserve">    </w:t>
      </w:r>
      <w:r>
        <w:rPr>
          <w:rFonts w:hint="eastAsia" w:ascii="方正小标宋简体" w:hAnsi="方正小标宋简体" w:eastAsia="方正小标宋简体" w:cs="方正小标宋简体"/>
          <w:b w:val="0"/>
          <w:bCs w:val="0"/>
          <w:color w:val="auto"/>
          <w:kern w:val="2"/>
          <w:sz w:val="44"/>
          <w:szCs w:val="44"/>
        </w:rPr>
        <w:t>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jc w:val="both"/>
        <w:textAlignment w:val="auto"/>
        <w:rPr>
          <w:rFonts w:ascii="黑体" w:hAnsi="宋体" w:eastAsia="黑体"/>
          <w:b w:val="0"/>
          <w:bCs w:val="0"/>
          <w:sz w:val="32"/>
          <w:szCs w:val="32"/>
          <w:lang w:val="zh-CN"/>
        </w:rPr>
      </w:pPr>
      <w:r>
        <w:rPr>
          <w:rFonts w:hint="eastAsia" w:ascii="黑体" w:hAnsi="宋体" w:eastAsia="黑体"/>
          <w:b w:val="0"/>
          <w:bCs w:val="0"/>
          <w:sz w:val="32"/>
          <w:szCs w:val="32"/>
        </w:rPr>
        <w:t>一、</w:t>
      </w:r>
      <w:r>
        <w:rPr>
          <w:rFonts w:hint="eastAsia" w:ascii="黑体" w:hAnsi="宋体" w:eastAsia="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auto"/>
          <w:sz w:val="32"/>
          <w:szCs w:val="32"/>
          <w:lang w:val="zh-CN" w:eastAsia="zh-CN"/>
        </w:rPr>
        <w:t>承担市总河长办公室日常工作。负责河长制组织实施具体工作；指导县区和市级有关部门（单位）制定河长制工作方案、明确河长制工作目标和任务；指导全市河湖管理与保护工作，组织编制重要河湖岸线保护和开发利用规划；指导全市河湖管理范围内建设项目管理、河道管理范围内采砂管理、河湖水系连通相关工作等。</w:t>
      </w:r>
    </w:p>
    <w:p>
      <w:pPr>
        <w:keepNext w:val="0"/>
        <w:keepLines w:val="0"/>
        <w:pageBreakBefore w:val="0"/>
        <w:widowControl w:val="0"/>
        <w:numPr>
          <w:ilvl w:val="0"/>
          <w:numId w:val="6"/>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color w:val="auto"/>
          <w:sz w:val="32"/>
          <w:szCs w:val="32"/>
          <w:lang w:val="zh-CN" w:eastAsia="zh-CN"/>
        </w:rPr>
        <w:t>《中共广元市委办公室广元市人民政府办公室关于印发〈广元市全面落实河长制工作方案〉的通知》（广委办〔2017〕29号）、《中共广元市委办公室广元市人民政府办公室关于贯彻落实四川省〈关于全面落实湖长制的实施意见〉的意见》（广委办〔2018〕42号）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jc w:val="both"/>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宋体"/>
          <w:b w:val="0"/>
          <w:bCs w:val="0"/>
          <w:sz w:val="32"/>
          <w:szCs w:val="32"/>
          <w:lang w:val="zh-CN"/>
        </w:rPr>
        <w:t>全面深化河湖长制，加强河湖长制统筹协调、督导考核等工作；确保河湖长制日常工作正常开展；加快完善河湖长制度信息化平台建设，提升河湖管理水平，有力推进河湖长制度各项工作落地落实，持续改善河湖面貌和水生态环境。</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主要设置幸福河湖建设大于等于</w:t>
      </w:r>
      <w:r>
        <w:rPr>
          <w:rFonts w:hint="eastAsia" w:ascii="仿宋_GB2312" w:hAnsi="仿宋_GB2312" w:cs="仿宋_GB2312"/>
          <w:color w:val="auto"/>
          <w:kern w:val="0"/>
          <w:sz w:val="32"/>
          <w:szCs w:val="32"/>
          <w:highlight w:val="none"/>
          <w:u w:val="none"/>
          <w:shd w:val="clear" w:color="auto" w:fill="FFFFFF"/>
          <w:lang w:val="en-US" w:eastAsia="zh-CN"/>
        </w:rPr>
        <w:t>2条；河长制平台运行维护1个；管理流域面积50平方公里以上河湖108条；河湖健康评价大于等于51条；提升优良水体达标率大于等于98%；相关指标在12个月内完成。</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w:t>
      </w:r>
      <w:r>
        <w:rPr>
          <w:rFonts w:hint="eastAsia" w:ascii="仿宋_GB2312" w:hAnsi="仿宋_GB2312" w:cs="仿宋_GB2312"/>
          <w:color w:val="auto"/>
          <w:kern w:val="0"/>
          <w:sz w:val="32"/>
          <w:szCs w:val="32"/>
          <w:highlight w:val="none"/>
          <w:u w:val="none"/>
          <w:shd w:val="clear" w:color="auto" w:fill="FFFFFF"/>
          <w:lang w:val="en-US" w:eastAsia="zh-CN"/>
        </w:rPr>
        <w:t>河湖健康评价河流条数</w:t>
      </w:r>
      <w:r>
        <w:rPr>
          <w:rFonts w:hint="eastAsia" w:ascii="仿宋_GB2312" w:hAnsi="仿宋_GB2312" w:cs="仿宋_GB2312"/>
          <w:color w:val="auto"/>
          <w:kern w:val="0"/>
          <w:sz w:val="32"/>
          <w:szCs w:val="32"/>
          <w:highlight w:val="none"/>
          <w:u w:val="none"/>
          <w:shd w:val="clear" w:color="auto" w:fill="FFFFFF"/>
          <w:lang w:val="zh-CN" w:eastAsia="zh-CN"/>
        </w:rPr>
        <w:t>、</w:t>
      </w:r>
      <w:r>
        <w:rPr>
          <w:rFonts w:hint="eastAsia" w:ascii="仿宋_GB2312" w:hAnsi="仿宋_GB2312" w:cs="仿宋_GB2312"/>
          <w:color w:val="auto"/>
          <w:kern w:val="0"/>
          <w:sz w:val="32"/>
          <w:szCs w:val="32"/>
          <w:highlight w:val="none"/>
          <w:u w:val="none"/>
          <w:shd w:val="clear" w:color="auto" w:fill="FFFFFF"/>
          <w:lang w:val="en-US" w:eastAsia="zh-CN"/>
        </w:rPr>
        <w:t>河长制平台运行维护</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sz w:val="32"/>
          <w:szCs w:val="32"/>
          <w:lang w:val="en-US" w:eastAsia="zh-CN"/>
        </w:rPr>
      </w:pPr>
      <w:r>
        <w:rPr>
          <w:rFonts w:hint="eastAsia" w:ascii="仿宋_GB2312" w:hAnsi="仿宋_GB2312" w:cs="仿宋_GB2312"/>
          <w:color w:val="auto"/>
          <w:kern w:val="0"/>
          <w:sz w:val="32"/>
          <w:szCs w:val="32"/>
          <w:highlight w:val="none"/>
          <w:u w:val="none"/>
          <w:shd w:val="clear" w:color="auto" w:fill="FFFFFF"/>
          <w:lang w:val="en-US" w:eastAsia="zh-CN"/>
        </w:rPr>
        <w:t>2023年</w:t>
      </w:r>
      <w:r>
        <w:rPr>
          <w:rFonts w:hint="eastAsia" w:ascii="仿宋_GB2312" w:hAnsi="仿宋_GB2312" w:cs="仿宋_GB2312"/>
          <w:color w:val="auto"/>
          <w:kern w:val="0"/>
          <w:sz w:val="32"/>
          <w:szCs w:val="32"/>
          <w:highlight w:val="none"/>
          <w:u w:val="none"/>
          <w:shd w:val="clear" w:color="auto" w:fill="FFFFFF"/>
          <w:lang w:val="zh-CN" w:eastAsia="zh-CN"/>
        </w:rPr>
        <w:t>幸福河湖建设</w:t>
      </w:r>
      <w:r>
        <w:rPr>
          <w:rFonts w:hint="eastAsia" w:ascii="仿宋_GB2312" w:hAnsi="仿宋_GB2312" w:cs="仿宋_GB2312"/>
          <w:color w:val="auto"/>
          <w:kern w:val="0"/>
          <w:sz w:val="32"/>
          <w:szCs w:val="32"/>
          <w:highlight w:val="none"/>
          <w:u w:val="none"/>
          <w:shd w:val="clear" w:color="auto" w:fill="FFFFFF"/>
          <w:lang w:val="en-US" w:eastAsia="zh-CN"/>
        </w:rPr>
        <w:t>2条；河长制平台运行维护1个；管理流域面积50平方公里以上河湖108条；河湖健康评价59条；平台正常运行率100%；提升优良水体达标率大于等于100%；相关指标在12个月内完成。</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2023年</w:t>
      </w:r>
      <w:r>
        <w:rPr>
          <w:rFonts w:hint="eastAsia" w:ascii="仿宋_GB2312" w:eastAsia="仿宋_GB2312"/>
          <w:color w:val="000000"/>
          <w:sz w:val="32"/>
          <w:szCs w:val="32"/>
        </w:rPr>
        <w:t>认真落实党中央、国务院和省委、省政府关于河湖长制</w:t>
      </w:r>
      <w:r>
        <w:rPr>
          <w:rFonts w:hint="eastAsia" w:ascii="仿宋_GB2312" w:eastAsia="仿宋_GB2312"/>
          <w:color w:val="000000"/>
          <w:sz w:val="32"/>
          <w:szCs w:val="32"/>
          <w:lang w:eastAsia="zh-CN"/>
        </w:rPr>
        <w:t>的各项</w:t>
      </w:r>
      <w:r>
        <w:rPr>
          <w:rFonts w:hint="eastAsia" w:ascii="仿宋_GB2312" w:eastAsia="仿宋_GB2312"/>
          <w:color w:val="000000"/>
          <w:sz w:val="32"/>
          <w:szCs w:val="32"/>
        </w:rPr>
        <w:t>决策部署，</w:t>
      </w:r>
      <w:r>
        <w:rPr>
          <w:rFonts w:hint="eastAsia" w:ascii="仿宋_GB2312" w:eastAsia="仿宋_GB2312"/>
          <w:color w:val="000000"/>
          <w:sz w:val="32"/>
          <w:szCs w:val="32"/>
          <w:lang w:eastAsia="zh-CN"/>
        </w:rPr>
        <w:t>树牢</w:t>
      </w:r>
      <w:r>
        <w:rPr>
          <w:rFonts w:hint="eastAsia" w:ascii="仿宋_GB2312" w:eastAsia="仿宋_GB2312"/>
          <w:color w:val="000000"/>
          <w:sz w:val="32"/>
          <w:szCs w:val="32"/>
        </w:rPr>
        <w:t>上游意识</w:t>
      </w:r>
      <w:r>
        <w:rPr>
          <w:rFonts w:hint="eastAsia" w:ascii="仿宋_GB2312" w:eastAsia="仿宋_GB2312"/>
          <w:color w:val="000000"/>
          <w:sz w:val="32"/>
          <w:szCs w:val="32"/>
          <w:lang w:eastAsia="zh-CN"/>
        </w:rPr>
        <w:t>、</w:t>
      </w:r>
      <w:r>
        <w:rPr>
          <w:rFonts w:hint="eastAsia" w:ascii="仿宋_GB2312" w:eastAsia="仿宋_GB2312"/>
          <w:color w:val="000000"/>
          <w:sz w:val="32"/>
          <w:szCs w:val="32"/>
        </w:rPr>
        <w:t>担当上游责任，</w:t>
      </w:r>
      <w:r>
        <w:rPr>
          <w:rFonts w:hint="eastAsia" w:ascii="仿宋_GB2312" w:eastAsia="仿宋_GB2312"/>
          <w:color w:val="000000"/>
          <w:sz w:val="32"/>
          <w:szCs w:val="32"/>
          <w:lang w:eastAsia="zh-CN"/>
        </w:rPr>
        <w:t>全面强化</w:t>
      </w:r>
      <w:r>
        <w:rPr>
          <w:rFonts w:hint="eastAsia" w:ascii="仿宋_GB2312" w:eastAsia="仿宋_GB2312"/>
          <w:color w:val="000000"/>
          <w:sz w:val="32"/>
          <w:szCs w:val="32"/>
        </w:rPr>
        <w:t>河湖</w:t>
      </w:r>
      <w:r>
        <w:rPr>
          <w:rFonts w:hint="eastAsia" w:ascii="仿宋_GB2312" w:eastAsia="仿宋_GB2312"/>
          <w:color w:val="000000"/>
          <w:sz w:val="32"/>
          <w:szCs w:val="32"/>
          <w:lang w:eastAsia="zh-CN"/>
        </w:rPr>
        <w:t>管理保护</w:t>
      </w:r>
      <w:r>
        <w:rPr>
          <w:rFonts w:hint="eastAsia" w:ascii="仿宋_GB2312" w:eastAsia="仿宋_GB2312"/>
          <w:color w:val="000000"/>
          <w:sz w:val="32"/>
          <w:szCs w:val="32"/>
        </w:rPr>
        <w:t>，河湖面貌和水生态环境</w:t>
      </w:r>
      <w:r>
        <w:rPr>
          <w:rFonts w:hint="eastAsia" w:ascii="仿宋_GB2312" w:eastAsia="仿宋_GB2312"/>
          <w:color w:val="000000"/>
          <w:sz w:val="32"/>
          <w:szCs w:val="32"/>
          <w:lang w:eastAsia="zh-CN"/>
        </w:rPr>
        <w:t>稳中向好</w:t>
      </w:r>
      <w:r>
        <w:rPr>
          <w:rFonts w:hint="eastAsia" w:ascii="仿宋_GB2312"/>
          <w:color w:val="000000"/>
          <w:sz w:val="32"/>
          <w:szCs w:val="32"/>
          <w:lang w:eastAsia="zh-CN"/>
        </w:rPr>
        <w:t>，</w:t>
      </w:r>
      <w:r>
        <w:rPr>
          <w:rFonts w:hint="eastAsia" w:ascii="仿宋_GB2312" w:eastAsia="仿宋_GB2312"/>
          <w:color w:val="000000"/>
          <w:sz w:val="32"/>
          <w:szCs w:val="32"/>
          <w:lang w:val="en-US" w:eastAsia="zh-CN"/>
        </w:rPr>
        <w:t>全市22个国省控断面水质优良率100%,一江清水出广元已成常态。</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shd w:val="clear"/>
        <w:rPr>
          <w:rFonts w:hint="eastAsia"/>
          <w:color w:val="auto"/>
          <w:sz w:val="32"/>
          <w:szCs w:val="32"/>
          <w:highlight w:val="none"/>
          <w:lang w:val="en-US" w:eastAsia="zh-CN"/>
        </w:rPr>
      </w:pPr>
    </w:p>
    <w:p>
      <w:pPr>
        <w:shd w:val="clear"/>
        <w:rPr>
          <w:rFonts w:hint="eastAsia" w:ascii="黑体" w:hAnsi="黑体" w:eastAsia="黑体"/>
          <w:color w:val="auto"/>
          <w:sz w:val="32"/>
          <w:szCs w:val="32"/>
          <w:highlight w:val="none"/>
        </w:rPr>
      </w:pPr>
    </w:p>
    <w:p>
      <w:pPr>
        <w:pStyle w:val="2"/>
        <w:shd w:val="clear"/>
        <w:rPr>
          <w:rFonts w:hint="eastAsia" w:ascii="黑体" w:hAnsi="黑体" w:eastAsia="黑体"/>
          <w:color w:val="auto"/>
          <w:sz w:val="32"/>
          <w:szCs w:val="32"/>
          <w:highlight w:val="none"/>
        </w:rPr>
      </w:pPr>
    </w:p>
    <w:p>
      <w:pPr>
        <w:pStyle w:val="2"/>
        <w:shd w:val="clear"/>
        <w:rPr>
          <w:rFonts w:hint="eastAsia" w:ascii="黑体" w:hAnsi="黑体" w:eastAsia="黑体"/>
          <w:color w:val="auto"/>
          <w:sz w:val="44"/>
          <w:szCs w:val="44"/>
          <w:highlight w:val="none"/>
        </w:rPr>
      </w:pPr>
    </w:p>
    <w:p>
      <w:pPr>
        <w:rPr>
          <w:rFonts w:hint="eastAsia" w:ascii="黑体" w:hAnsi="黑体" w:eastAsia="黑体"/>
          <w:color w:val="auto"/>
          <w:sz w:val="44"/>
          <w:szCs w:val="44"/>
          <w:highlight w:val="none"/>
        </w:rPr>
      </w:pP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2023年</w:t>
      </w:r>
      <w:r>
        <w:rPr>
          <w:rFonts w:hint="eastAsia" w:ascii="方正小标宋简体" w:hAnsi="方正小标宋简体" w:eastAsia="方正小标宋简体" w:cs="方正小标宋简体"/>
          <w:b w:val="0"/>
          <w:bCs w:val="0"/>
          <w:color w:val="auto"/>
          <w:kern w:val="2"/>
          <w:sz w:val="44"/>
          <w:szCs w:val="44"/>
        </w:rPr>
        <w:t>河湖健康评价</w:t>
      </w:r>
      <w:r>
        <w:rPr>
          <w:rFonts w:hint="eastAsia" w:ascii="方正小标宋简体" w:hAnsi="方正小标宋简体" w:eastAsia="方正小标宋简体" w:cs="方正小标宋简体"/>
          <w:b w:val="0"/>
          <w:bCs w:val="0"/>
          <w:color w:val="auto"/>
          <w:kern w:val="2"/>
          <w:sz w:val="44"/>
          <w:szCs w:val="44"/>
          <w:lang w:eastAsia="zh-CN"/>
        </w:rPr>
        <w:t>项目</w:t>
      </w:r>
      <w:r>
        <w:rPr>
          <w:rFonts w:hint="eastAsia" w:ascii="方正小标宋简体" w:hAnsi="方正小标宋简体" w:eastAsia="方正小标宋简体" w:cs="方正小标宋简体"/>
          <w:b w:val="0"/>
          <w:bCs w:val="0"/>
          <w:color w:val="auto"/>
          <w:kern w:val="2"/>
          <w:sz w:val="44"/>
          <w:szCs w:val="44"/>
        </w:rPr>
        <w:t>绩效自评</w:t>
      </w: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rPr>
        <w:t>报</w:t>
      </w:r>
      <w:r>
        <w:rPr>
          <w:rFonts w:hint="eastAsia" w:ascii="方正小标宋简体" w:hAnsi="方正小标宋简体" w:eastAsia="方正小标宋简体" w:cs="方正小标宋简体"/>
          <w:b w:val="0"/>
          <w:bCs w:val="0"/>
          <w:color w:val="auto"/>
          <w:kern w:val="2"/>
          <w:sz w:val="44"/>
          <w:szCs w:val="44"/>
          <w:lang w:val="en-US" w:eastAsia="zh-CN"/>
        </w:rPr>
        <w:t xml:space="preserve">    </w:t>
      </w:r>
      <w:r>
        <w:rPr>
          <w:rFonts w:hint="eastAsia" w:ascii="方正小标宋简体" w:hAnsi="方正小标宋简体" w:eastAsia="方正小标宋简体" w:cs="方正小标宋简体"/>
          <w:b w:val="0"/>
          <w:bCs w:val="0"/>
          <w:color w:val="auto"/>
          <w:kern w:val="2"/>
          <w:sz w:val="44"/>
          <w:szCs w:val="44"/>
        </w:rPr>
        <w:t>告</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w:t>
      </w:r>
      <w:r>
        <w:rPr>
          <w:rFonts w:hint="eastAsia" w:ascii="仿宋_GB2312" w:hAnsi="宋体"/>
          <w:b w:val="0"/>
          <w:bCs w:val="0"/>
          <w:sz w:val="32"/>
          <w:szCs w:val="32"/>
          <w:lang w:val="en-US" w:eastAsia="zh-CN"/>
        </w:rPr>
        <w:t>.</w:t>
      </w:r>
      <w:r>
        <w:rPr>
          <w:rFonts w:hint="eastAsia" w:ascii="仿宋_GB2312" w:hAnsi="宋体"/>
          <w:b w:val="0"/>
          <w:bCs w:val="0"/>
          <w:sz w:val="32"/>
          <w:szCs w:val="32"/>
          <w:lang w:val="zh-CN"/>
        </w:rPr>
        <w:t>部门管理职能</w:t>
      </w:r>
    </w:p>
    <w:p>
      <w:pPr>
        <w:keepNext w:val="0"/>
        <w:keepLines w:val="0"/>
        <w:pageBreakBefore w:val="0"/>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负责全市河湖管理保护工作；建立健全河长制工作机制，拟制市级河长制工作方案、相关制度及考核办法；统筹制定河湖管理保护方案，组织开展河长制相关工作；承担市防汛抗旱指挥部日常工作；承担水情旱情监测预警；科学调度洪水，及时启动应急响应；提供抢险救灾技术保障；落实上级防汛抗旱部门的安排部署；督促成员单位做好防汛抗旱工作；负责市栖凤湖水位调蓄、河道治“四乱”、堤防设施维护及安全巡查等事务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en-US" w:eastAsia="zh-CN"/>
        </w:rPr>
        <w:t>2.</w:t>
      </w:r>
      <w:r>
        <w:rPr>
          <w:rFonts w:hint="eastAsia" w:ascii="仿宋_GB2312" w:hAnsi="宋体"/>
          <w:b w:val="0"/>
          <w:bCs w:val="0"/>
          <w:sz w:val="32"/>
          <w:szCs w:val="32"/>
          <w:lang w:val="zh-CN"/>
        </w:rPr>
        <w:t>项目立项、资金申报的依据</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76" w:lineRule="exact"/>
        <w:ind w:left="0" w:right="0" w:firstLine="640" w:firstLineChars="200"/>
        <w:jc w:val="both"/>
        <w:textAlignment w:val="auto"/>
        <w:rPr>
          <w:rFonts w:hint="eastAsia" w:ascii="仿宋_GB2312" w:eastAsia="仿宋_GB2312"/>
          <w:color w:val="FF0000"/>
          <w:sz w:val="32"/>
          <w:szCs w:val="32"/>
          <w:lang w:val="zh-CN" w:eastAsia="zh-CN"/>
        </w:rPr>
      </w:pPr>
      <w:r>
        <w:rPr>
          <w:rFonts w:hint="eastAsia" w:ascii="仿宋_GB2312" w:hAnsi="宋体" w:eastAsia="仿宋_GB2312"/>
          <w:sz w:val="32"/>
          <w:szCs w:val="32"/>
          <w:lang w:val="en-US" w:eastAsia="zh-CN"/>
        </w:rPr>
        <w:t>根据2021</w:t>
      </w:r>
      <w:r>
        <w:rPr>
          <w:rFonts w:hint="eastAsia" w:ascii="仿宋_GB2312" w:hAnsi="宋体"/>
          <w:sz w:val="32"/>
          <w:szCs w:val="32"/>
          <w:lang w:val="en-US" w:eastAsia="zh-CN"/>
        </w:rPr>
        <w:t>、2022</w:t>
      </w:r>
      <w:r>
        <w:rPr>
          <w:rFonts w:hint="eastAsia" w:ascii="仿宋_GB2312" w:hAnsi="宋体" w:eastAsia="仿宋_GB2312"/>
          <w:sz w:val="32"/>
          <w:szCs w:val="32"/>
          <w:lang w:val="en-US" w:eastAsia="zh-CN"/>
        </w:rPr>
        <w:t>年度河湖长制考核各项任务的需要，</w:t>
      </w:r>
      <w:r>
        <w:rPr>
          <w:rFonts w:hint="eastAsia" w:ascii="仿宋_GB2312" w:hAnsi="宋体" w:eastAsia="仿宋_GB2312"/>
          <w:kern w:val="2"/>
          <w:sz w:val="32"/>
          <w:szCs w:val="32"/>
          <w:lang w:val="en-US" w:eastAsia="zh-CN"/>
        </w:rPr>
        <w:t>编制成果满足了工作实际需要,实现了考核达标的目标。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jc w:val="both"/>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宋体" w:eastAsia="仿宋_GB2312"/>
          <w:kern w:val="2"/>
          <w:sz w:val="32"/>
          <w:szCs w:val="32"/>
          <w:lang w:val="en-US" w:eastAsia="zh-CN"/>
        </w:rPr>
        <w:t>主要是完成2021年河湖健康评价、一河（湖）一策管理保护方案（2021-2025年）编制、栖凤湖堤防管理保护范围划定三项技术方案编制工作,完成东河、清江河、南河3条河流的健康评价工作</w:t>
      </w:r>
      <w:r>
        <w:rPr>
          <w:rFonts w:hint="eastAsia" w:ascii="仿宋_GB2312" w:hAnsi="宋体"/>
          <w:kern w:val="2"/>
          <w:sz w:val="32"/>
          <w:szCs w:val="32"/>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主要设置健康评价报告编制涉及河流条数</w:t>
      </w:r>
      <w:r>
        <w:rPr>
          <w:rFonts w:hint="eastAsia" w:ascii="仿宋_GB2312" w:hAnsi="仿宋_GB2312" w:cs="仿宋_GB2312"/>
          <w:color w:val="auto"/>
          <w:kern w:val="0"/>
          <w:sz w:val="32"/>
          <w:szCs w:val="32"/>
          <w:highlight w:val="none"/>
          <w:u w:val="none"/>
          <w:shd w:val="clear" w:color="auto" w:fill="FFFFFF"/>
          <w:lang w:val="en-US" w:eastAsia="zh-CN"/>
        </w:rPr>
        <w:t>12条；验收合格率大于等于90%；政府满意度大于等于90%；</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w:t>
      </w:r>
      <w:r>
        <w:rPr>
          <w:rFonts w:hint="eastAsia" w:ascii="仿宋_GB2312" w:hAnsi="仿宋_GB2312" w:cs="仿宋_GB2312"/>
          <w:color w:val="auto"/>
          <w:kern w:val="0"/>
          <w:sz w:val="32"/>
          <w:szCs w:val="32"/>
          <w:highlight w:val="none"/>
          <w:u w:val="none"/>
          <w:shd w:val="clear" w:color="auto" w:fill="FFFFFF"/>
          <w:lang w:val="zh-CN" w:eastAsia="zh-CN"/>
        </w:rPr>
        <w:t>健康评价报告编制涉及河流条数</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zh-CN" w:eastAsia="zh-CN"/>
        </w:rPr>
        <w:t>健康评价报告编制涉及河流条数</w:t>
      </w:r>
      <w:r>
        <w:rPr>
          <w:rFonts w:hint="eastAsia" w:ascii="仿宋_GB2312" w:hAnsi="仿宋_GB2312" w:cs="仿宋_GB2312"/>
          <w:color w:val="auto"/>
          <w:kern w:val="0"/>
          <w:sz w:val="32"/>
          <w:szCs w:val="32"/>
          <w:highlight w:val="none"/>
          <w:u w:val="none"/>
          <w:shd w:val="clear" w:color="auto" w:fill="FFFFFF"/>
          <w:lang w:val="en-US" w:eastAsia="zh-CN"/>
        </w:rPr>
        <w:t>12条；验收合格率大于等于90%；政府满意度大于等于90%；为“十四五”期间河湖管理保护提供精准施策的重要依据。</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000000"/>
          <w:sz w:val="32"/>
          <w:szCs w:val="32"/>
          <w:lang w:eastAsia="zh-CN"/>
        </w:rPr>
        <w:t>通过对</w:t>
      </w:r>
      <w:r>
        <w:rPr>
          <w:rFonts w:hint="eastAsia" w:ascii="仿宋_GB2312" w:hAnsi="仿宋_GB2312" w:cs="仿宋_GB2312"/>
          <w:color w:val="000000"/>
          <w:sz w:val="32"/>
          <w:szCs w:val="32"/>
          <w:lang w:val="en-US" w:eastAsia="zh-CN"/>
        </w:rPr>
        <w:t>12条河流健康评价工作，更加</w:t>
      </w:r>
      <w:r>
        <w:rPr>
          <w:rFonts w:hint="eastAsia" w:ascii="PingFang SC" w:hAnsi="PingFang SC" w:eastAsia="仿宋_GB2312" w:cs="仿宋_GB2312"/>
          <w:color w:val="000000"/>
          <w:spacing w:val="0"/>
          <w:kern w:val="2"/>
          <w:sz w:val="32"/>
          <w:szCs w:val="32"/>
          <w:shd w:val="clear" w:color="auto" w:fill="FFFFFF"/>
          <w:vertAlign w:val="baseline"/>
          <w:lang w:val="en-US" w:eastAsia="zh-CN" w:bidi="ar"/>
        </w:rPr>
        <w:t>严格管理水资源，加强涉水空间管控，强化水污染防治，改善水环境质量，加快修复水生态，完善</w:t>
      </w:r>
      <w:r>
        <w:rPr>
          <w:rFonts w:hint="eastAsia" w:ascii="PingFang SC" w:hAnsi="PingFang SC" w:cs="仿宋_GB2312"/>
          <w:color w:val="000000"/>
          <w:spacing w:val="0"/>
          <w:kern w:val="2"/>
          <w:sz w:val="32"/>
          <w:szCs w:val="32"/>
          <w:shd w:val="clear" w:color="auto" w:fill="FFFFFF"/>
          <w:vertAlign w:val="baseline"/>
          <w:lang w:val="en-US" w:eastAsia="zh-CN" w:bidi="ar"/>
        </w:rPr>
        <w:t>了</w:t>
      </w:r>
      <w:r>
        <w:rPr>
          <w:rFonts w:hint="eastAsia" w:ascii="PingFang SC" w:hAnsi="PingFang SC" w:eastAsia="仿宋_GB2312" w:cs="仿宋_GB2312"/>
          <w:color w:val="000000"/>
          <w:spacing w:val="0"/>
          <w:kern w:val="2"/>
          <w:sz w:val="32"/>
          <w:szCs w:val="32"/>
          <w:shd w:val="clear" w:color="auto" w:fill="FFFFFF"/>
          <w:vertAlign w:val="baseline"/>
          <w:lang w:val="en-US" w:eastAsia="zh-CN" w:bidi="ar"/>
        </w:rPr>
        <w:t>河湖管护体制机制，</w:t>
      </w:r>
      <w:r>
        <w:rPr>
          <w:rFonts w:hint="eastAsia" w:ascii="仿宋_GB2312" w:eastAsia="仿宋_GB2312" w:cs="仿宋_GB2312"/>
          <w:color w:val="000000"/>
          <w:sz w:val="32"/>
          <w:szCs w:val="32"/>
          <w:lang w:val="en-US" w:eastAsia="zh-CN" w:bidi="ar-SA"/>
        </w:rPr>
        <w:t>不断提升河湖保护和治理能力水平</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ind w:firstLine="640"/>
        <w:jc w:val="left"/>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ind w:firstLine="640"/>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pStyle w:val="2"/>
        <w:rPr>
          <w:rFonts w:hint="default" w:eastAsia="黑体"/>
          <w:sz w:val="32"/>
          <w:szCs w:val="32"/>
          <w:lang w:val="en-US" w:eastAsia="zh-CN"/>
        </w:rPr>
      </w:pPr>
    </w:p>
    <w:p>
      <w:pPr>
        <w:rPr>
          <w:rFonts w:hint="default" w:eastAsia="黑体"/>
          <w:sz w:val="32"/>
          <w:szCs w:val="32"/>
          <w:lang w:val="en-US" w:eastAsia="zh-CN"/>
        </w:rPr>
      </w:pPr>
    </w:p>
    <w:p>
      <w:pPr>
        <w:pStyle w:val="2"/>
        <w:rPr>
          <w:rFonts w:hint="default" w:eastAsia="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eastAsia="zh-CN"/>
        </w:rPr>
        <w:t>2022年度</w:t>
      </w:r>
      <w:r>
        <w:rPr>
          <w:rFonts w:hint="eastAsia" w:ascii="方正小标宋简体" w:hAnsi="方正小标宋简体" w:eastAsia="方正小标宋简体" w:cs="方正小标宋简体"/>
          <w:b w:val="0"/>
          <w:bCs w:val="0"/>
          <w:sz w:val="44"/>
          <w:szCs w:val="44"/>
          <w:highlight w:val="none"/>
          <w:shd w:val="clear" w:color="auto" w:fill="FFFFFF"/>
          <w:lang w:val="en-US" w:eastAsia="zh-CN"/>
        </w:rPr>
        <w:t>省级水利发展资金</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楷体_GB2312" w:hAnsi="楷体_GB2312" w:eastAsia="楷体_GB2312" w:cs="楷体_GB2312"/>
          <w:b w:val="0"/>
          <w:bCs w:val="0"/>
          <w:color w:val="auto"/>
          <w:kern w:val="2"/>
          <w:sz w:val="44"/>
          <w:szCs w:val="44"/>
          <w:highlight w:val="none"/>
          <w:lang w:val="en-US" w:eastAsia="zh-CN"/>
        </w:rPr>
      </w:pPr>
      <w:r>
        <w:rPr>
          <w:rFonts w:hint="eastAsia" w:ascii="方正小标宋简体" w:hAnsi="方正小标宋简体" w:eastAsia="方正小标宋简体" w:cs="方正小标宋简体"/>
          <w:b w:val="0"/>
          <w:bCs w:val="0"/>
          <w:color w:val="auto"/>
          <w:kern w:val="2"/>
          <w:sz w:val="44"/>
          <w:szCs w:val="44"/>
        </w:rPr>
        <w:t>自评报告</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kinsoku/>
        <w:wordWrap/>
        <w:overflowPunct/>
        <w:topLinePunct w:val="0"/>
        <w:autoSpaceDE/>
        <w:autoSpaceDN/>
        <w:bidi w:val="0"/>
        <w:adjustRightInd w:val="0"/>
        <w:snapToGrid w:val="0"/>
        <w:spacing w:beforeAutospacing="0" w:afterAutospacing="0" w:line="596" w:lineRule="exact"/>
        <w:ind w:left="0" w:firstLine="640" w:firstLineChars="200"/>
        <w:jc w:val="both"/>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负责统一监督管理全市水资源（含地表水和地下水），负责水资源保护工作和水文水资源和水文站网建设和管理；指导饮用水水源保护、地下水开发利用和地下水资源的管理保护；负责全市农村水利工作，负责全市乡镇集中供水、农村饮水安全、节水灌溉、排水等工程建设与管理工作；承担广元市防汛抗旱指挥部的日常工作。</w:t>
      </w:r>
    </w:p>
    <w:p>
      <w:pPr>
        <w:keepNext w:val="0"/>
        <w:keepLines w:val="0"/>
        <w:pageBreakBefore w:val="0"/>
        <w:widowControl w:val="0"/>
        <w:numPr>
          <w:ilvl w:val="0"/>
          <w:numId w:val="6"/>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FF0000"/>
          <w:sz w:val="32"/>
          <w:szCs w:val="32"/>
          <w:lang w:val="zh-CN" w:eastAsia="zh-CN"/>
        </w:rPr>
      </w:pPr>
      <w:r>
        <w:rPr>
          <w:rFonts w:hint="eastAsia" w:ascii="仿宋_GB2312" w:hAnsi="仿宋_GB2312" w:eastAsia="仿宋_GB2312" w:cs="仿宋_GB2312"/>
          <w:sz w:val="32"/>
          <w:szCs w:val="32"/>
          <w:lang w:val="en-US" w:eastAsia="zh-CN"/>
        </w:rPr>
        <w:t>根据水利建设实际情况，按照十四五水利发展规划，202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年，在水资源管理、山洪灾害防御、水文基础能力提升和水库水雨情与水资源监测设施建设方面，争取了中央</w:t>
      </w:r>
      <w:r>
        <w:rPr>
          <w:rFonts w:hint="eastAsia" w:ascii="仿宋_GB2312" w:hAnsi="仿宋_GB2312" w:cs="仿宋_GB2312"/>
          <w:sz w:val="32"/>
          <w:szCs w:val="32"/>
          <w:lang w:val="en-US" w:eastAsia="zh-CN"/>
        </w:rPr>
        <w:t>水利发展</w:t>
      </w:r>
      <w:r>
        <w:rPr>
          <w:rFonts w:hint="eastAsia" w:ascii="仿宋_GB2312" w:hAnsi="仿宋_GB2312" w:eastAsia="仿宋_GB2312" w:cs="仿宋_GB2312"/>
          <w:sz w:val="32"/>
          <w:szCs w:val="32"/>
          <w:lang w:val="en-US" w:eastAsia="zh-CN"/>
        </w:rPr>
        <w:t>资金</w:t>
      </w:r>
      <w:r>
        <w:rPr>
          <w:rFonts w:hint="eastAsia" w:ascii="仿宋_GB2312" w:hAnsi="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cs="仿宋_GB2312"/>
          <w:sz w:val="32"/>
          <w:szCs w:val="32"/>
          <w:lang w:val="en-US" w:eastAsia="zh-CN"/>
        </w:rPr>
        <w:t>一是按照《四川省山洪灾害风险隐患调查评价指南（试行）》，对全市1680条小流域开展山洪灾害风险隐患调查评价工作；二是实施水文基础能力提升项目。</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w:t>
      </w:r>
      <w:r>
        <w:rPr>
          <w:rFonts w:hint="eastAsia" w:ascii="仿宋_GB2312" w:hAnsi="仿宋_GB2312" w:cs="仿宋_GB2312"/>
          <w:color w:val="auto"/>
          <w:kern w:val="0"/>
          <w:sz w:val="32"/>
          <w:szCs w:val="32"/>
          <w:highlight w:val="none"/>
          <w:u w:val="none"/>
          <w:shd w:val="clear" w:color="auto" w:fill="FFFFFF"/>
          <w:lang w:val="en-US" w:eastAsia="zh-CN"/>
        </w:rPr>
        <w:t>实施山洪灾害非工程措施建设项目1个</w:t>
      </w:r>
      <w:r>
        <w:rPr>
          <w:rFonts w:hint="eastAsia" w:ascii="仿宋_GB2312" w:hAnsi="仿宋_GB2312" w:cs="仿宋_GB2312"/>
          <w:color w:val="auto"/>
          <w:kern w:val="0"/>
          <w:sz w:val="32"/>
          <w:szCs w:val="32"/>
          <w:highlight w:val="none"/>
          <w:u w:val="none"/>
          <w:shd w:val="clear" w:color="auto" w:fill="FFFFFF"/>
          <w:lang w:val="zh-CN" w:eastAsia="zh-CN"/>
        </w:rPr>
        <w:t>；实施水文基础能力提升项目</w:t>
      </w:r>
      <w:r>
        <w:rPr>
          <w:rFonts w:hint="eastAsia" w:ascii="仿宋_GB2312" w:hAnsi="仿宋_GB2312" w:cs="仿宋_GB2312"/>
          <w:color w:val="auto"/>
          <w:kern w:val="0"/>
          <w:sz w:val="32"/>
          <w:szCs w:val="32"/>
          <w:highlight w:val="none"/>
          <w:u w:val="none"/>
          <w:shd w:val="clear" w:color="auto" w:fill="FFFFFF"/>
          <w:lang w:val="en-US" w:eastAsia="zh-CN"/>
        </w:rPr>
        <w:t>1个；达到上级要求，合格率大于等于90%；政府满意度大于等于95%。</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w:t>
      </w:r>
      <w:r>
        <w:rPr>
          <w:rFonts w:hint="eastAsia" w:ascii="仿宋_GB2312" w:hAnsi="仿宋_GB2312" w:cs="仿宋_GB2312"/>
          <w:color w:val="auto"/>
          <w:kern w:val="0"/>
          <w:sz w:val="32"/>
          <w:szCs w:val="32"/>
          <w:highlight w:val="none"/>
          <w:u w:val="none"/>
          <w:shd w:val="clear" w:color="auto" w:fill="FFFFFF"/>
          <w:lang w:val="en-US" w:eastAsia="zh-CN"/>
        </w:rPr>
        <w:t>山洪灾害、</w:t>
      </w:r>
      <w:r>
        <w:rPr>
          <w:rFonts w:hint="eastAsia" w:ascii="仿宋_GB2312" w:hAnsi="仿宋_GB2312" w:cs="仿宋_GB2312"/>
          <w:color w:val="auto"/>
          <w:kern w:val="0"/>
          <w:sz w:val="32"/>
          <w:szCs w:val="32"/>
          <w:highlight w:val="none"/>
          <w:u w:val="none"/>
          <w:shd w:val="clear" w:color="auto" w:fill="FFFFFF"/>
          <w:lang w:val="zh-CN" w:eastAsia="zh-CN"/>
        </w:rPr>
        <w:t>水文基础能力提升项目实施</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财政资金拨付100%，单位资金使用达到96.35%。</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val="0"/>
        <w:snapToGrid w:val="0"/>
        <w:spacing w:line="596" w:lineRule="exact"/>
        <w:ind w:firstLine="640" w:firstLineChars="200"/>
        <w:jc w:val="both"/>
        <w:textAlignment w:val="auto"/>
        <w:rPr>
          <w:rFonts w:hint="eastAsia" w:ascii="黑体" w:hAnsi="黑体" w:eastAsia="黑体" w:cs="黑体"/>
          <w:b w:val="0"/>
          <w:bCs w:val="0"/>
          <w:sz w:val="32"/>
          <w:szCs w:val="32"/>
          <w:highlight w:val="none"/>
        </w:rPr>
      </w:pPr>
      <w:r>
        <w:rPr>
          <w:rFonts w:hint="eastAsia" w:ascii="仿宋_GB2312" w:hAnsi="仿宋_GB2312" w:cs="仿宋_GB2312"/>
          <w:color w:val="auto"/>
          <w:kern w:val="0"/>
          <w:sz w:val="32"/>
          <w:szCs w:val="32"/>
          <w:highlight w:val="none"/>
          <w:u w:val="none"/>
          <w:shd w:val="clear" w:color="auto" w:fill="FFFFFF"/>
          <w:lang w:val="en-US" w:eastAsia="zh-CN"/>
        </w:rPr>
        <w:t>实施山洪灾害非工程措施建设项目1个</w:t>
      </w:r>
      <w:r>
        <w:rPr>
          <w:rFonts w:hint="eastAsia" w:ascii="仿宋_GB2312" w:hAnsi="仿宋_GB2312" w:cs="仿宋_GB2312"/>
          <w:color w:val="auto"/>
          <w:kern w:val="0"/>
          <w:sz w:val="32"/>
          <w:szCs w:val="32"/>
          <w:highlight w:val="none"/>
          <w:u w:val="none"/>
          <w:shd w:val="clear" w:color="auto" w:fill="FFFFFF"/>
          <w:lang w:val="zh-CN" w:eastAsia="zh-CN"/>
        </w:rPr>
        <w:t>；实施水文基础能力提升项目</w:t>
      </w:r>
      <w:r>
        <w:rPr>
          <w:rFonts w:hint="eastAsia" w:ascii="仿宋_GB2312" w:hAnsi="仿宋_GB2312" w:cs="仿宋_GB2312"/>
          <w:color w:val="auto"/>
          <w:kern w:val="0"/>
          <w:sz w:val="32"/>
          <w:szCs w:val="32"/>
          <w:highlight w:val="none"/>
          <w:u w:val="none"/>
          <w:shd w:val="clear" w:color="auto" w:fill="FFFFFF"/>
          <w:lang w:val="en-US" w:eastAsia="zh-CN"/>
        </w:rPr>
        <w:t>1个；达到上级要求，合格率大于等于90%；政府满意度大于等于95%；完成时间12个月内。</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202</w:t>
      </w:r>
      <w:r>
        <w:rPr>
          <w:rFonts w:hint="eastAsia" w:ascii="仿宋_GB2312" w:hAnsi="仿宋_GB2312" w:cs="仿宋_GB2312"/>
          <w:b w:val="0"/>
          <w:bCs w:val="0"/>
          <w:color w:val="auto"/>
          <w:kern w:val="0"/>
          <w:sz w:val="32"/>
          <w:szCs w:val="32"/>
          <w:highlight w:val="none"/>
          <w:u w:val="none"/>
          <w:shd w:val="clear" w:color="auto" w:fill="FFFFFF"/>
          <w:lang w:val="en-US" w:eastAsia="zh-CN"/>
        </w:rPr>
        <w:t>3</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年中央水利发展资金项目按照资金管理要求，做到专款专用，账务处理及时，会计核算规范</w:t>
      </w:r>
      <w:r>
        <w:rPr>
          <w:rFonts w:hint="eastAsia" w:ascii="仿宋_GB2312" w:hAnsi="仿宋_GB2312" w:cs="仿宋_GB2312"/>
          <w:b w:val="0"/>
          <w:bCs w:val="0"/>
          <w:color w:val="auto"/>
          <w:kern w:val="0"/>
          <w:sz w:val="32"/>
          <w:szCs w:val="32"/>
          <w:highlight w:val="none"/>
          <w:u w:val="none"/>
          <w:shd w:val="clear" w:color="auto" w:fill="FFFFFF"/>
          <w:lang w:val="en-US" w:eastAsia="zh-CN"/>
        </w:rPr>
        <w:t>，</w:t>
      </w:r>
      <w:r>
        <w:rPr>
          <w:rStyle w:val="41"/>
          <w:rFonts w:hint="eastAsia" w:ascii="仿宋_GB2312" w:hAnsi="仿宋_GB2312" w:eastAsia="仿宋_GB2312" w:cs="仿宋_GB2312"/>
          <w:sz w:val="32"/>
          <w:szCs w:val="32"/>
          <w:lang w:eastAsia="zh-CN"/>
        </w:rPr>
        <w:t>深入</w:t>
      </w:r>
      <w:r>
        <w:rPr>
          <w:rFonts w:hint="eastAsia" w:ascii="仿宋_GB2312" w:hAnsi="仿宋_GB2312" w:eastAsia="仿宋_GB2312" w:cs="仿宋_GB2312"/>
          <w:color w:val="000000"/>
          <w:kern w:val="0"/>
          <w:sz w:val="32"/>
          <w:szCs w:val="32"/>
          <w:lang w:val="en-US" w:eastAsia="zh-CN" w:bidi="ar"/>
        </w:rPr>
        <w:t>开展山洪灾害风险隐患调查评价，水文基础能力</w:t>
      </w:r>
      <w:r>
        <w:rPr>
          <w:rFonts w:hint="eastAsia" w:ascii="仿宋_GB2312" w:hAnsi="仿宋_GB2312" w:cs="仿宋_GB2312"/>
          <w:color w:val="000000"/>
          <w:kern w:val="0"/>
          <w:sz w:val="32"/>
          <w:szCs w:val="32"/>
          <w:lang w:val="en-US" w:eastAsia="zh-CN" w:bidi="ar"/>
        </w:rPr>
        <w:t>进行</w:t>
      </w:r>
      <w:r>
        <w:rPr>
          <w:rFonts w:hint="eastAsia" w:ascii="仿宋_GB2312" w:hAnsi="仿宋_GB2312" w:eastAsia="仿宋_GB2312" w:cs="仿宋_GB2312"/>
          <w:color w:val="000000"/>
          <w:kern w:val="0"/>
          <w:sz w:val="32"/>
          <w:szCs w:val="32"/>
          <w:lang w:val="en-US" w:eastAsia="zh-CN" w:bidi="ar"/>
        </w:rPr>
        <w:t>提升</w:t>
      </w:r>
      <w:r>
        <w:rPr>
          <w:rFonts w:hint="eastAsia" w:ascii="仿宋_GB2312" w:hAnsi="仿宋_GB2312" w:cs="仿宋_GB2312"/>
          <w:color w:val="000000"/>
          <w:kern w:val="0"/>
          <w:sz w:val="32"/>
          <w:szCs w:val="32"/>
          <w:lang w:val="en-US" w:eastAsia="zh-CN" w:bidi="ar"/>
        </w:rPr>
        <w:t>，</w:t>
      </w:r>
      <w:r>
        <w:rPr>
          <w:rFonts w:hint="eastAsia" w:ascii="仿宋_GB2312" w:hAnsi="仿宋_GB2312" w:eastAsia="仿宋_GB2312" w:cs="仿宋_GB2312"/>
          <w:color w:val="000000"/>
          <w:kern w:val="0"/>
          <w:sz w:val="32"/>
          <w:szCs w:val="32"/>
          <w:lang w:val="en-US" w:eastAsia="zh-CN" w:bidi="ar"/>
        </w:rPr>
        <w:t>完善防御预案</w:t>
      </w:r>
      <w:r>
        <w:rPr>
          <w:rFonts w:hint="eastAsia" w:ascii="仿宋_GB2312" w:hAnsi="仿宋_GB2312" w:cs="仿宋_GB2312"/>
          <w:b w:val="0"/>
          <w:bCs w:val="0"/>
          <w:color w:val="auto"/>
          <w:kern w:val="0"/>
          <w:sz w:val="32"/>
          <w:szCs w:val="32"/>
          <w:highlight w:val="none"/>
          <w:u w:val="none"/>
          <w:shd w:val="clear" w:color="auto" w:fill="FFFFFF"/>
          <w:lang w:val="en-US" w:eastAsia="zh-CN"/>
        </w:rPr>
        <w:t>。</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ind w:firstLine="640"/>
        <w:jc w:val="left"/>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ind w:firstLine="640"/>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pStyle w:val="2"/>
        <w:rPr>
          <w:rFonts w:hint="eastAsia"/>
          <w:lang w:val="en" w:eastAsia="zh-CN"/>
        </w:rPr>
      </w:pPr>
    </w:p>
    <w:p>
      <w:pPr>
        <w:rPr>
          <w:rFonts w:hint="eastAsia"/>
          <w:lang w:val="en" w:eastAsia="zh-CN"/>
        </w:rPr>
      </w:pPr>
    </w:p>
    <w:p>
      <w:pPr>
        <w:rPr>
          <w:rFonts w:hint="default"/>
          <w:lang w:val="en-US" w:eastAsia="zh-CN"/>
        </w:rPr>
      </w:pPr>
    </w:p>
    <w:p>
      <w:pPr>
        <w:pStyle w:val="35"/>
        <w:keepNext w:val="0"/>
        <w:keepLines w:val="0"/>
        <w:pageBreakBefore w:val="0"/>
        <w:widowControl w:val="0"/>
        <w:kinsoku/>
        <w:wordWrap/>
        <w:overflowPunct/>
        <w:topLinePunct w:val="0"/>
        <w:autoSpaceDE/>
        <w:autoSpaceDN/>
        <w:bidi w:val="0"/>
        <w:adjustRightInd/>
        <w:snapToGrid/>
        <w:spacing w:line="58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58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2023年水利项目审批及监督经费</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p>
    <w:p>
      <w:pPr>
        <w:pStyle w:val="35"/>
        <w:keepNext w:val="0"/>
        <w:keepLines w:val="0"/>
        <w:pageBreakBefore w:val="0"/>
        <w:widowControl w:val="0"/>
        <w:kinsoku/>
        <w:wordWrap/>
        <w:overflowPunct/>
        <w:topLinePunct w:val="0"/>
        <w:autoSpaceDE/>
        <w:autoSpaceDN/>
        <w:bidi w:val="0"/>
        <w:adjustRightInd/>
        <w:snapToGrid/>
        <w:spacing w:line="580" w:lineRule="exact"/>
        <w:ind w:firstLine="0"/>
        <w:jc w:val="center"/>
        <w:textAlignment w:val="auto"/>
        <w:rPr>
          <w:rFonts w:hint="eastAsia" w:ascii="方正小标宋简体" w:eastAsia="方正小标宋简体"/>
          <w:color w:val="000000"/>
          <w:sz w:val="44"/>
          <w:szCs w:val="44"/>
        </w:rPr>
      </w:pPr>
      <w:r>
        <w:rPr>
          <w:rFonts w:hint="eastAsia" w:ascii="方正小标宋简体" w:hAnsi="方正小标宋简体" w:eastAsia="方正小标宋简体" w:cs="方正小标宋简体"/>
          <w:b w:val="0"/>
          <w:bCs w:val="0"/>
          <w:color w:val="auto"/>
          <w:kern w:val="2"/>
          <w:sz w:val="44"/>
          <w:szCs w:val="44"/>
        </w:rPr>
        <w:t>自评报告</w:t>
      </w:r>
    </w:p>
    <w:p>
      <w:pPr>
        <w:keepNext w:val="0"/>
        <w:keepLines w:val="0"/>
        <w:pageBreakBefore w:val="0"/>
        <w:widowControl w:val="0"/>
        <w:kinsoku/>
        <w:wordWrap/>
        <w:overflowPunct/>
        <w:topLinePunct w:val="0"/>
        <w:autoSpaceDE/>
        <w:autoSpaceDN/>
        <w:bidi w:val="0"/>
        <w:adjustRightInd w:val="0"/>
        <w:snapToGrid w:val="0"/>
        <w:spacing w:line="580" w:lineRule="exact"/>
        <w:ind w:firstLine="720"/>
        <w:jc w:val="both"/>
        <w:textAlignment w:val="auto"/>
        <w:rPr>
          <w:rFonts w:hint="eastAsia" w:ascii="黑体" w:hAnsi="宋体" w:eastAsia="黑体"/>
          <w:b w:val="0"/>
          <w:bCs w:val="0"/>
        </w:rPr>
      </w:pP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ascii="黑体" w:hAnsi="宋体" w:eastAsia="黑体"/>
          <w:b w:val="0"/>
          <w:bCs w:val="0"/>
          <w:sz w:val="32"/>
          <w:szCs w:val="32"/>
          <w:lang w:val="zh-CN"/>
        </w:rPr>
      </w:pPr>
      <w:r>
        <w:rPr>
          <w:rFonts w:hint="eastAsia" w:ascii="黑体" w:hAnsi="宋体" w:eastAsia="黑体"/>
          <w:b w:val="0"/>
          <w:bCs w:val="0"/>
          <w:sz w:val="32"/>
          <w:szCs w:val="32"/>
        </w:rPr>
        <w:t>一、</w:t>
      </w:r>
      <w:r>
        <w:rPr>
          <w:rFonts w:hint="eastAsia" w:ascii="黑体" w:hAnsi="宋体" w:eastAsia="黑体"/>
          <w:b w:val="0"/>
          <w:bCs w:val="0"/>
          <w:sz w:val="32"/>
          <w:szCs w:val="32"/>
          <w:lang w:val="zh-CN"/>
        </w:rPr>
        <w:t>项目概况</w:t>
      </w:r>
    </w:p>
    <w:p>
      <w:pPr>
        <w:keepNext w:val="0"/>
        <w:keepLines w:val="0"/>
        <w:pageBreakBefore w:val="0"/>
        <w:widowControl/>
        <w:suppressLineNumbers w:val="0"/>
        <w:kinsoku/>
        <w:wordWrap/>
        <w:overflowPunct/>
        <w:topLinePunct w:val="0"/>
        <w:autoSpaceDE/>
        <w:autoSpaceDN/>
        <w:bidi w:val="0"/>
        <w:adjustRightInd/>
        <w:snapToGrid/>
        <w:spacing w:line="580" w:lineRule="exact"/>
        <w:ind w:firstLine="642" w:firstLineChars="200"/>
        <w:jc w:val="both"/>
        <w:textAlignment w:val="auto"/>
        <w:rPr>
          <w:rFonts w:hint="eastAsia" w:ascii="仿宋_GB2312" w:hAnsi="仿宋_GB2312" w:eastAsia="仿宋_GB2312" w:cs="仿宋_GB2312"/>
          <w:sz w:val="32"/>
          <w:szCs w:val="32"/>
          <w:lang w:val="zh-CN"/>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hAnsi="仿宋_GB2312" w:eastAsia="仿宋_GB2312" w:cs="仿宋_GB2312"/>
          <w:color w:val="auto"/>
          <w:sz w:val="32"/>
          <w:szCs w:val="32"/>
          <w:lang w:val="zh-CN" w:eastAsia="zh-CN" w:bidi="ar-SA"/>
        </w:rPr>
        <w:t>根据《广元市法治教育第七个五年规划》</w:t>
      </w:r>
      <w:r>
        <w:rPr>
          <w:rFonts w:hint="eastAsia" w:ascii="仿宋_GB2312" w:hAnsi="仿宋_GB2312" w:cs="仿宋_GB2312"/>
          <w:color w:val="auto"/>
          <w:sz w:val="32"/>
          <w:szCs w:val="32"/>
          <w:lang w:val="zh-CN" w:eastAsia="zh-CN" w:bidi="ar-SA"/>
        </w:rPr>
        <w:t>等</w:t>
      </w:r>
      <w:r>
        <w:rPr>
          <w:rFonts w:hint="eastAsia" w:ascii="仿宋_GB2312" w:hAnsi="仿宋_GB2312" w:eastAsia="仿宋_GB2312" w:cs="仿宋_GB2312"/>
          <w:color w:val="auto"/>
          <w:sz w:val="32"/>
          <w:szCs w:val="32"/>
          <w:lang w:val="zh-CN" w:eastAsia="zh-CN" w:bidi="ar-SA"/>
        </w:rPr>
        <w:t>要求，相关行业部门须积极开展法律法规宣传，提高社会各界知晓率和支持率</w:t>
      </w:r>
      <w:r>
        <w:rPr>
          <w:rFonts w:hint="eastAsia" w:ascii="仿宋_GB2312" w:hAnsi="仿宋_GB2312" w:cs="仿宋_GB2312"/>
          <w:color w:val="auto"/>
          <w:sz w:val="32"/>
          <w:szCs w:val="32"/>
          <w:lang w:val="zh-CN" w:eastAsia="zh-CN" w:bidi="ar-SA"/>
        </w:rPr>
        <w:t>，</w:t>
      </w:r>
      <w:r>
        <w:rPr>
          <w:rFonts w:hint="eastAsia" w:ascii="仿宋_GB2312" w:hAnsi="仿宋_GB2312" w:eastAsia="仿宋_GB2312" w:cs="仿宋_GB2312"/>
          <w:color w:val="auto"/>
          <w:spacing w:val="0"/>
          <w:kern w:val="0"/>
          <w:sz w:val="32"/>
          <w:szCs w:val="32"/>
          <w:shd w:val="clear" w:color="auto" w:fill="FFFFFF"/>
          <w:lang w:val="en-US" w:eastAsia="zh-CN" w:bidi="ar"/>
        </w:rPr>
        <w:t>开展机关规范性文件等涉法事务合法性审查工作。</w:t>
      </w:r>
      <w:r>
        <w:rPr>
          <w:rFonts w:hint="eastAsia" w:ascii="仿宋_GB2312" w:hAnsi="仿宋_GB2312" w:cs="仿宋_GB2312"/>
          <w:color w:val="auto"/>
          <w:spacing w:val="0"/>
          <w:kern w:val="0"/>
          <w:sz w:val="32"/>
          <w:szCs w:val="32"/>
          <w:shd w:val="clear" w:color="auto" w:fill="FFFFFF"/>
          <w:lang w:val="en-US" w:eastAsia="zh-CN" w:bidi="ar"/>
        </w:rPr>
        <w:t>我局</w:t>
      </w:r>
      <w:r>
        <w:rPr>
          <w:rFonts w:hint="eastAsia" w:ascii="仿宋_GB2312" w:hAnsi="仿宋_GB2312" w:eastAsia="仿宋_GB2312" w:cs="仿宋_GB2312"/>
          <w:color w:val="auto"/>
          <w:sz w:val="32"/>
          <w:szCs w:val="32"/>
          <w:lang w:val="zh-CN" w:eastAsia="zh-CN" w:bidi="ar-SA"/>
        </w:rPr>
        <w:t>主要</w:t>
      </w:r>
      <w:r>
        <w:rPr>
          <w:rFonts w:hint="eastAsia" w:ascii="仿宋_GB2312" w:hAnsi="仿宋_GB2312" w:eastAsia="仿宋_GB2312" w:cs="仿宋_GB2312"/>
          <w:color w:val="auto"/>
          <w:spacing w:val="0"/>
          <w:kern w:val="0"/>
          <w:sz w:val="32"/>
          <w:szCs w:val="32"/>
          <w:shd w:val="clear" w:color="auto" w:fill="FFFFFF"/>
          <w:lang w:val="en-US" w:eastAsia="zh-CN" w:bidi="ar"/>
        </w:rPr>
        <w:t>负责拟订全市水利政策和法制建设规划；组织实施行业依法治理、法治政府建设和普法教育；承办行政诉讼、行政听证、行政复议、行政调解和行政许可事项听证工作；负责机关规范性文件等涉法事务合法性审查工作；负责监督指导、组织协调重大水事案件查处和跨区域的执法；统筹、协调、指导全市水利行政综合执法工作，协调仲裁重大水事纠纷；组织开展水利行业相关法律法规宣传教育工作；负责开展水利项目行政审批和水利项目质量监督抽检等。</w:t>
      </w:r>
    </w:p>
    <w:p>
      <w:pPr>
        <w:keepNext w:val="0"/>
        <w:keepLines w:val="0"/>
        <w:pageBreakBefore w:val="0"/>
        <w:kinsoku/>
        <w:wordWrap/>
        <w:overflowPunct/>
        <w:topLinePunct w:val="0"/>
        <w:autoSpaceDE/>
        <w:autoSpaceDN/>
        <w:bidi w:val="0"/>
        <w:adjustRightInd w:val="0"/>
        <w:snapToGrid w:val="0"/>
        <w:spacing w:line="580" w:lineRule="exact"/>
        <w:ind w:left="0" w:leftChars="0"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sz w:val="32"/>
          <w:szCs w:val="32"/>
          <w:lang w:val="zh-CN" w:eastAsia="zh-CN" w:bidi="ar-SA"/>
        </w:rPr>
        <w:t>按照职能落实好“谁执法谁普法”责任制和水法律法规的宣传教育工作。开展世界水日、中国水周、环境保护日、国家宪法日等宣传日活动，以及聘请法律顾问参与重大行政决策、行政诉讼等，提高决策的合法性和规范性。开展水利项目行政审批和水利项目质量监督抽查。</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2" w:firstLineChars="200"/>
        <w:jc w:val="both"/>
        <w:textAlignment w:val="auto"/>
        <w:rPr>
          <w:rFonts w:hint="eastAsia" w:ascii="仿宋_GB2312" w:hAnsi="仿宋_GB2312" w:eastAsia="仿宋_GB2312" w:cs="仿宋_GB2312"/>
          <w:sz w:val="32"/>
          <w:szCs w:val="32"/>
          <w:lang w:val="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eastAsia="仿宋_GB2312" w:cs="仿宋_GB2312"/>
          <w:sz w:val="32"/>
          <w:szCs w:val="32"/>
          <w:lang w:val="zh-CN"/>
        </w:rPr>
        <w:t>开展年度行政审批及监督工作，购买法律顾问服务1年；小水电安全生产标准化建设</w:t>
      </w:r>
      <w:r>
        <w:rPr>
          <w:rFonts w:hint="eastAsia" w:ascii="仿宋_GB2312" w:hAnsi="仿宋_GB2312" w:cs="仿宋_GB2312"/>
          <w:sz w:val="32"/>
          <w:szCs w:val="32"/>
          <w:lang w:val="en-US" w:eastAsia="zh-CN"/>
        </w:rPr>
        <w:t>20座；项目审批办公设备购置小于等于14台；水利工程质量监督项目大于等于10个；行业政策宣传及培训次数</w:t>
      </w:r>
      <w:r>
        <w:rPr>
          <w:rFonts w:hint="eastAsia" w:ascii="仿宋_GB2312" w:hAnsi="仿宋_GB2312" w:eastAsia="仿宋_GB2312" w:cs="仿宋_GB2312"/>
          <w:sz w:val="32"/>
          <w:szCs w:val="32"/>
          <w:lang w:val="zh-CN"/>
        </w:rPr>
        <w:t>大于等于</w:t>
      </w:r>
      <w:r>
        <w:rPr>
          <w:rFonts w:hint="eastAsia" w:ascii="仿宋_GB2312" w:hAnsi="仿宋_GB2312" w:cs="仿宋_GB2312"/>
          <w:sz w:val="32"/>
          <w:szCs w:val="32"/>
          <w:lang w:val="en-US" w:eastAsia="zh-CN"/>
        </w:rPr>
        <w:t>5次；涉水技术方案审批件数</w:t>
      </w:r>
      <w:r>
        <w:rPr>
          <w:rFonts w:hint="eastAsia" w:ascii="仿宋_GB2312" w:hAnsi="仿宋_GB2312" w:eastAsia="仿宋_GB2312" w:cs="仿宋_GB2312"/>
          <w:sz w:val="32"/>
          <w:szCs w:val="32"/>
          <w:lang w:val="zh-CN"/>
        </w:rPr>
        <w:t>大于等于</w:t>
      </w:r>
      <w:r>
        <w:rPr>
          <w:rFonts w:hint="eastAsia" w:ascii="仿宋_GB2312" w:hAnsi="仿宋_GB2312" w:cs="仿宋_GB2312"/>
          <w:sz w:val="32"/>
          <w:szCs w:val="32"/>
          <w:lang w:val="en-US" w:eastAsia="zh-CN"/>
        </w:rPr>
        <w:t>40件；</w:t>
      </w:r>
      <w:r>
        <w:rPr>
          <w:rFonts w:hint="eastAsia" w:ascii="仿宋_GB2312" w:hAnsi="仿宋_GB2312" w:eastAsia="仿宋_GB2312" w:cs="仿宋_GB2312"/>
          <w:color w:val="auto"/>
          <w:sz w:val="32"/>
          <w:szCs w:val="32"/>
          <w:lang w:val="en-US" w:eastAsia="zh-CN" w:bidi="ar-SA"/>
        </w:rPr>
        <w:t>相关内容均于年底前全面完成。</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w:t>
      </w:r>
      <w:r>
        <w:rPr>
          <w:rFonts w:hint="eastAsia" w:ascii="仿宋_GB2312" w:hAnsi="仿宋_GB2312" w:cs="仿宋_GB2312"/>
          <w:sz w:val="32"/>
          <w:szCs w:val="32"/>
          <w:lang w:val="en-US" w:eastAsia="zh-CN"/>
        </w:rPr>
        <w:t>水利工程质量监督项目个数、涉水技术方案审批件数进行查看</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黑体" w:hAnsi="宋体" w:eastAsia="黑体"/>
          <w:color w:val="auto"/>
          <w:sz w:val="32"/>
          <w:szCs w:val="32"/>
          <w:highlight w:val="none"/>
          <w:u w:val="none"/>
          <w:lang w:eastAsia="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eastAsia" w:ascii="Times New Roman" w:hAnsi="Times New Roman" w:eastAsia="楷体_GB2312" w:cs="Times New Roman"/>
          <w:b/>
          <w:bCs/>
          <w:color w:val="000000"/>
          <w:kern w:val="0"/>
          <w:sz w:val="32"/>
          <w:szCs w:val="32"/>
          <w:highlight w:val="none"/>
          <w:shd w:val="clear" w:color="auto" w:fill="FFFFFF"/>
          <w:lang w:val="en-US" w:eastAsia="zh-CN"/>
        </w:rPr>
      </w:pPr>
      <w:r>
        <w:rPr>
          <w:rFonts w:hint="eastAsia" w:ascii="仿宋_GB2312" w:eastAsia="仿宋_GB2312" w:cs="仿宋_GB2312"/>
          <w:bCs/>
          <w:color w:val="auto"/>
          <w:sz w:val="32"/>
          <w:szCs w:val="32"/>
          <w:lang w:val="zh-CN" w:eastAsia="zh-CN" w:bidi="ar-SA"/>
        </w:rPr>
        <w:t>开</w:t>
      </w:r>
      <w:r>
        <w:rPr>
          <w:rFonts w:hint="eastAsia" w:ascii="仿宋_GB2312" w:hAnsi="仿宋_GB2312" w:eastAsia="仿宋_GB2312" w:cs="仿宋_GB2312"/>
          <w:sz w:val="32"/>
          <w:szCs w:val="32"/>
          <w:lang w:val="zh-CN"/>
        </w:rPr>
        <w:t>展年度行政审批及监督工作，购买法律顾问服务1年；小水电安全生产标准化建设</w:t>
      </w:r>
      <w:r>
        <w:rPr>
          <w:rFonts w:hint="eastAsia" w:ascii="仿宋_GB2312" w:hAnsi="仿宋_GB2312" w:cs="仿宋_GB2312"/>
          <w:sz w:val="32"/>
          <w:szCs w:val="32"/>
          <w:lang w:val="en-US" w:eastAsia="zh-CN"/>
        </w:rPr>
        <w:t>20座；项目审批办公设备购置小于等于14台；水利工程质量监督项目36个；行业政策宣传及培训11次；涉水技术方案审批51件；</w:t>
      </w:r>
      <w:r>
        <w:rPr>
          <w:rFonts w:hint="eastAsia" w:ascii="仿宋_GB2312" w:hAnsi="仿宋_GB2312" w:eastAsia="仿宋_GB2312" w:cs="仿宋_GB2312"/>
          <w:color w:val="auto"/>
          <w:sz w:val="32"/>
          <w:szCs w:val="32"/>
          <w:lang w:val="en-US" w:eastAsia="zh-CN" w:bidi="ar-SA"/>
        </w:rPr>
        <w:t>相关内容均于</w:t>
      </w:r>
      <w:r>
        <w:rPr>
          <w:rFonts w:hint="eastAsia" w:ascii="仿宋_GB2312" w:hAnsi="仿宋_GB2312" w:cs="仿宋_GB2312"/>
          <w:color w:val="auto"/>
          <w:sz w:val="32"/>
          <w:szCs w:val="32"/>
          <w:lang w:val="en-US" w:eastAsia="zh-CN" w:bidi="ar-SA"/>
        </w:rPr>
        <w:t>12个月内</w:t>
      </w:r>
      <w:r>
        <w:rPr>
          <w:rFonts w:hint="eastAsia" w:ascii="仿宋_GB2312" w:hAnsi="仿宋_GB2312" w:eastAsia="仿宋_GB2312" w:cs="仿宋_GB2312"/>
          <w:color w:val="auto"/>
          <w:sz w:val="32"/>
          <w:szCs w:val="32"/>
          <w:lang w:val="en-US" w:eastAsia="zh-CN" w:bidi="ar-SA"/>
        </w:rPr>
        <w:t>全面完成。</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eastAsia="仿宋_GB2312"/>
          <w:color w:val="auto"/>
          <w:sz w:val="32"/>
          <w:szCs w:val="32"/>
          <w:lang w:val="zh-CN" w:eastAsia="zh-CN"/>
        </w:rPr>
        <w:t>通过该项目实施，全面完成了各项绩效目标，</w:t>
      </w:r>
      <w:r>
        <w:rPr>
          <w:rFonts w:hint="eastAsia" w:ascii="仿宋_GB2312" w:eastAsia="仿宋_GB2312" w:cs="仿宋_GB2312"/>
          <w:color w:val="auto"/>
          <w:sz w:val="32"/>
          <w:szCs w:val="32"/>
          <w:lang w:val="zh-CN" w:eastAsia="zh-CN" w:bidi="ar-SA"/>
        </w:rPr>
        <w:t>提高了社会</w:t>
      </w:r>
      <w:r>
        <w:rPr>
          <w:rFonts w:hint="eastAsia" w:ascii="仿宋_GB2312" w:hAnsi="仿宋_GB2312" w:eastAsia="仿宋_GB2312" w:cs="仿宋_GB2312"/>
          <w:color w:val="auto"/>
          <w:sz w:val="32"/>
          <w:szCs w:val="32"/>
          <w:lang w:val="zh-CN" w:eastAsia="zh-CN" w:bidi="ar-SA"/>
        </w:rPr>
        <w:t>各界水法律法规知晓率，营造了学法、懂法、用法、守法的良好行业发展环境，进一步提升了重大行政决策水平，有效降低了决策风险。</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ind w:firstLine="640"/>
        <w:jc w:val="left"/>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ind w:firstLine="640"/>
        <w:rPr>
          <w:rFonts w:hint="eastAsia"/>
          <w:lang w:val="en" w:eastAsia="zh-CN"/>
        </w:rPr>
      </w:pPr>
    </w:p>
    <w:p>
      <w:pPr>
        <w:pStyle w:val="2"/>
        <w:ind w:firstLine="640"/>
        <w:rPr>
          <w:rFonts w:hint="eastAsia"/>
          <w:lang w:val="en" w:eastAsia="zh-CN"/>
        </w:rPr>
      </w:pPr>
    </w:p>
    <w:p>
      <w:pPr>
        <w:pStyle w:val="2"/>
        <w:ind w:firstLine="640"/>
        <w:rPr>
          <w:rFonts w:hint="eastAsia"/>
          <w:lang w:val="en" w:eastAsia="zh-CN"/>
        </w:rPr>
      </w:pPr>
    </w:p>
    <w:p>
      <w:pPr>
        <w:pStyle w:val="2"/>
        <w:ind w:firstLine="640"/>
        <w:rPr>
          <w:rFonts w:hint="eastAsia"/>
          <w:lang w:val="en" w:eastAsia="zh-CN"/>
        </w:rPr>
      </w:pPr>
    </w:p>
    <w:p>
      <w:pPr>
        <w:pStyle w:val="2"/>
        <w:ind w:firstLine="640"/>
        <w:rPr>
          <w:rFonts w:hint="eastAsia"/>
          <w:lang w:val="en" w:eastAsia="zh-CN"/>
        </w:rPr>
      </w:pPr>
    </w:p>
    <w:p>
      <w:pPr>
        <w:pStyle w:val="2"/>
        <w:ind w:firstLine="640"/>
        <w:rPr>
          <w:rFonts w:hint="eastAsia"/>
          <w:lang w:val="en" w:eastAsia="zh-CN"/>
        </w:rPr>
      </w:pPr>
    </w:p>
    <w:p>
      <w:pPr>
        <w:pStyle w:val="2"/>
        <w:ind w:firstLine="640"/>
        <w:rPr>
          <w:rFonts w:hint="eastAsia"/>
          <w:lang w:val="en" w:eastAsia="zh-CN"/>
        </w:rPr>
      </w:pPr>
    </w:p>
    <w:p>
      <w:pPr>
        <w:pStyle w:val="35"/>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b w:val="0"/>
          <w:bCs w:val="0"/>
          <w:color w:val="auto"/>
          <w:kern w:val="2"/>
          <w:sz w:val="40"/>
          <w:szCs w:val="40"/>
          <w:lang w:val="en-US" w:eastAsia="zh-CN"/>
        </w:rPr>
      </w:pP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eastAsia="zh-CN"/>
        </w:rPr>
        <w:t>202</w:t>
      </w:r>
      <w:r>
        <w:rPr>
          <w:rFonts w:hint="eastAsia" w:ascii="方正小标宋简体" w:hAnsi="方正小标宋简体" w:eastAsia="方正小标宋简体" w:cs="方正小标宋简体"/>
          <w:b w:val="0"/>
          <w:bCs w:val="0"/>
          <w:color w:val="auto"/>
          <w:kern w:val="2"/>
          <w:sz w:val="44"/>
          <w:szCs w:val="44"/>
          <w:lang w:val="en-US" w:eastAsia="zh-CN"/>
        </w:rPr>
        <w:t>3</w:t>
      </w:r>
      <w:r>
        <w:rPr>
          <w:rFonts w:hint="eastAsia" w:ascii="方正小标宋简体" w:hAnsi="方正小标宋简体" w:eastAsia="方正小标宋简体" w:cs="方正小标宋简体"/>
          <w:b w:val="0"/>
          <w:bCs w:val="0"/>
          <w:color w:val="auto"/>
          <w:kern w:val="2"/>
          <w:sz w:val="44"/>
          <w:szCs w:val="44"/>
          <w:lang w:eastAsia="zh-CN"/>
        </w:rPr>
        <w:t>年度水文监测系统运行及水文测报项目支出</w:t>
      </w:r>
      <w:r>
        <w:rPr>
          <w:rFonts w:hint="eastAsia" w:ascii="方正小标宋简体" w:hAnsi="方正小标宋简体" w:eastAsia="方正小标宋简体" w:cs="方正小标宋简体"/>
          <w:b w:val="0"/>
          <w:bCs w:val="0"/>
          <w:color w:val="auto"/>
          <w:kern w:val="2"/>
          <w:sz w:val="44"/>
          <w:szCs w:val="44"/>
        </w:rPr>
        <w:t>绩效自评报告</w:t>
      </w:r>
    </w:p>
    <w:p>
      <w:pPr>
        <w:keepNext w:val="0"/>
        <w:keepLines w:val="0"/>
        <w:pageBreakBefore w:val="0"/>
        <w:widowControl w:val="0"/>
        <w:kinsoku/>
        <w:wordWrap/>
        <w:overflowPunct/>
        <w:topLinePunct w:val="0"/>
        <w:autoSpaceDE/>
        <w:autoSpaceDN/>
        <w:bidi w:val="0"/>
        <w:adjustRightInd w:val="0"/>
        <w:snapToGrid w:val="0"/>
        <w:spacing w:line="520" w:lineRule="exact"/>
        <w:ind w:firstLine="720"/>
        <w:textAlignment w:val="auto"/>
        <w:rPr>
          <w:rFonts w:hint="eastAsia" w:ascii="黑体" w:hAnsi="宋体" w:eastAsia="黑体"/>
          <w:b w:val="0"/>
          <w:bCs w:val="0"/>
        </w:rPr>
      </w:pPr>
    </w:p>
    <w:p>
      <w:pPr>
        <w:keepNext w:val="0"/>
        <w:keepLines w:val="0"/>
        <w:pageBreakBefore w:val="0"/>
        <w:widowControl w:val="0"/>
        <w:numPr>
          <w:ilvl w:val="0"/>
          <w:numId w:val="8"/>
        </w:numPr>
        <w:kinsoku/>
        <w:wordWrap/>
        <w:overflowPunct/>
        <w:topLinePunct w:val="0"/>
        <w:autoSpaceDE/>
        <w:autoSpaceDN/>
        <w:bidi w:val="0"/>
        <w:adjustRightInd w:val="0"/>
        <w:snapToGrid w:val="0"/>
        <w:spacing w:line="576" w:lineRule="exact"/>
        <w:ind w:firstLine="640" w:firstLineChars="200"/>
        <w:textAlignment w:val="auto"/>
        <w:rPr>
          <w:rFonts w:hint="eastAsia" w:ascii="黑体" w:hAnsi="宋体" w:eastAsia="黑体"/>
          <w:b w:val="0"/>
          <w:bCs w:val="0"/>
          <w:sz w:val="32"/>
          <w:szCs w:val="32"/>
          <w:lang w:val="zh-CN"/>
        </w:rPr>
      </w:pPr>
      <w:r>
        <w:rPr>
          <w:rFonts w:hint="eastAsia" w:ascii="黑体" w:hAnsi="宋体" w:eastAsia="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w:t>
      </w:r>
      <w:r>
        <w:rPr>
          <w:rFonts w:hint="eastAsia" w:ascii="仿宋_GB2312" w:hAnsi="宋体"/>
          <w:b w:val="0"/>
          <w:bCs w:val="0"/>
          <w:sz w:val="32"/>
          <w:szCs w:val="32"/>
          <w:lang w:val="en-US" w:eastAsia="zh-CN"/>
        </w:rPr>
        <w:t>.</w:t>
      </w:r>
      <w:r>
        <w:rPr>
          <w:rFonts w:hint="eastAsia" w:ascii="仿宋_GB2312" w:hAnsi="宋体"/>
          <w:b w:val="0"/>
          <w:bCs w:val="0"/>
          <w:sz w:val="32"/>
          <w:szCs w:val="32"/>
          <w:lang w:val="zh-CN"/>
        </w:rPr>
        <w:t>部门管理职能</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720"/>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承担水利系统防汛抗旱相关工作。组织编制洪水干旱防治规划。承担水情旱情预警工作。组织协调指导防御洪水应急抢险的技术保障工作。组织指导水旱灾害防御演练、信息化建设工作。负责水文站点建设和管理。承担全市水利系统综合安全监督管理职能，统筹协调指导水利行业安全生产监督管理工作。</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en-US" w:eastAsia="zh-CN"/>
        </w:rPr>
        <w:t>2.</w:t>
      </w:r>
      <w:r>
        <w:rPr>
          <w:rFonts w:hint="eastAsia" w:ascii="仿宋_GB2312" w:hAnsi="宋体"/>
          <w:b w:val="0"/>
          <w:bCs w:val="0"/>
          <w:sz w:val="32"/>
          <w:szCs w:val="32"/>
          <w:lang w:val="zh-CN"/>
        </w:rPr>
        <w:t>项目立项、资金申报的依据</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720"/>
        <w:textAlignment w:val="auto"/>
        <w:rPr>
          <w:sz w:val="32"/>
          <w:szCs w:val="32"/>
          <w:lang w:val="zh-CN"/>
        </w:rPr>
      </w:pPr>
      <w:r>
        <w:rPr>
          <w:rFonts w:hint="eastAsia" w:ascii="仿宋_GB2312"/>
          <w:color w:val="000000"/>
          <w:sz w:val="32"/>
          <w:szCs w:val="32"/>
          <w:lang w:val="zh-CN" w:eastAsia="zh-CN"/>
        </w:rPr>
        <w:t>根据</w:t>
      </w:r>
      <w:r>
        <w:rPr>
          <w:rFonts w:hint="eastAsia" w:ascii="仿宋_GB2312" w:eastAsia="仿宋_GB2312"/>
          <w:color w:val="000000"/>
          <w:sz w:val="32"/>
          <w:szCs w:val="32"/>
          <w:lang w:val="zh-CN" w:eastAsia="zh-CN"/>
        </w:rPr>
        <w:t>《中华人民共和国防洪法》、《中华人民共和国水法》、</w:t>
      </w:r>
      <w:r>
        <w:rPr>
          <w:rFonts w:hint="eastAsia" w:ascii="仿宋_GB2312" w:eastAsia="仿宋_GB2312"/>
          <w:color w:val="000000"/>
          <w:sz w:val="32"/>
          <w:szCs w:val="32"/>
          <w:lang w:val="en-US" w:eastAsia="zh-CN"/>
        </w:rPr>
        <w:t>《四川省党政机关公务用车配备使用管理实施办法》（川委办</w:t>
      </w:r>
      <w:r>
        <w:rPr>
          <w:rFonts w:hint="eastAsia" w:ascii="仿宋_GB2312" w:eastAsia="仿宋_GB2312" w:cs="仿宋_GB2312"/>
          <w:color w:val="000000"/>
          <w:sz w:val="32"/>
          <w:szCs w:val="32"/>
          <w:lang w:bidi="ar-SA"/>
        </w:rPr>
        <w:t>〔20</w:t>
      </w:r>
      <w:r>
        <w:rPr>
          <w:rFonts w:hint="eastAsia" w:ascii="仿宋_GB2312" w:eastAsia="仿宋_GB2312" w:cs="仿宋_GB2312"/>
          <w:color w:val="000000"/>
          <w:sz w:val="32"/>
          <w:szCs w:val="32"/>
          <w:lang w:val="en-US" w:eastAsia="zh-CN" w:bidi="ar-SA"/>
        </w:rPr>
        <w:t>12</w:t>
      </w:r>
      <w:r>
        <w:rPr>
          <w:rFonts w:hint="eastAsia" w:ascii="仿宋_GB2312" w:eastAsia="仿宋_GB2312" w:cs="仿宋_GB2312"/>
          <w:color w:val="000000"/>
          <w:sz w:val="32"/>
          <w:szCs w:val="32"/>
          <w:lang w:bidi="ar-SA"/>
        </w:rPr>
        <w:t>〕</w:t>
      </w:r>
      <w:r>
        <w:rPr>
          <w:rFonts w:hint="eastAsia" w:ascii="仿宋_GB2312" w:eastAsia="仿宋_GB2312"/>
          <w:color w:val="000000"/>
          <w:sz w:val="32"/>
          <w:szCs w:val="32"/>
          <w:lang w:val="en-US" w:eastAsia="zh-CN"/>
        </w:rPr>
        <w:t>1号）规定标准为项目申报、立项依据</w:t>
      </w:r>
      <w:r>
        <w:rPr>
          <w:rFonts w:hint="eastAsia" w:ascii="仿宋_GB2312" w:eastAsia="仿宋_GB2312"/>
          <w:color w:val="000000"/>
          <w:sz w:val="32"/>
          <w:szCs w:val="32"/>
          <w:lang w:val="zh-CN" w:eastAsia="zh-CN"/>
        </w:rPr>
        <w:t>。</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firstLine="642" w:firstLineChars="200"/>
        <w:textAlignment w:val="auto"/>
        <w:rPr>
          <w:rFonts w:hint="eastAsia"/>
          <w:sz w:val="32"/>
          <w:szCs w:val="32"/>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color w:val="000000"/>
          <w:sz w:val="32"/>
          <w:szCs w:val="32"/>
          <w:lang w:val="zh-CN" w:eastAsia="zh-CN"/>
        </w:rPr>
        <w:t>该项目资金主要用于</w:t>
      </w:r>
      <w:r>
        <w:rPr>
          <w:rFonts w:hint="eastAsia" w:ascii="仿宋_GB2312" w:eastAsia="仿宋_GB2312"/>
          <w:color w:val="000000"/>
          <w:sz w:val="32"/>
          <w:szCs w:val="32"/>
          <w:lang w:val="en-US" w:eastAsia="zh-CN"/>
        </w:rPr>
        <w:t>开展完成广元市中小河流182个雨量站点站点、16个水位站点设备维护保养工作。完成中小河流9个水文站，7个水位站，汛前整站、汛末测量、清理测井沉砂池、常规测流工作。完成中小河流站点流量、水位测量，大断面测量，水准点、基准点、水尺校核测量。</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ascii="楷体_GB2312" w:hAnsi="宋体" w:eastAsia="楷体_GB2312"/>
          <w:b/>
          <w:color w:val="auto"/>
          <w:sz w:val="32"/>
          <w:szCs w:val="32"/>
          <w:highlight w:val="none"/>
          <w:u w:val="none"/>
          <w:lang w:val="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主要设置中小河流雨量站维护数量</w:t>
      </w:r>
      <w:r>
        <w:rPr>
          <w:rFonts w:hint="eastAsia" w:ascii="仿宋_GB2312" w:hAnsi="仿宋_GB2312" w:cs="仿宋_GB2312"/>
          <w:color w:val="auto"/>
          <w:kern w:val="0"/>
          <w:sz w:val="32"/>
          <w:szCs w:val="32"/>
          <w:highlight w:val="none"/>
          <w:u w:val="none"/>
          <w:shd w:val="clear" w:color="auto" w:fill="FFFFFF"/>
          <w:lang w:val="en-US" w:eastAsia="zh-CN"/>
        </w:rPr>
        <w:t>182个；水文监测系统运行维护1年；中小河流水位站维护数量16个；水文监测数据准确率大于等于95%。</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w:t>
      </w:r>
      <w:r>
        <w:rPr>
          <w:rFonts w:hint="eastAsia" w:ascii="仿宋_GB2312" w:hAnsi="仿宋_GB2312" w:cs="仿宋_GB2312"/>
          <w:color w:val="auto"/>
          <w:kern w:val="0"/>
          <w:sz w:val="32"/>
          <w:szCs w:val="32"/>
          <w:highlight w:val="none"/>
          <w:u w:val="none"/>
          <w:shd w:val="clear" w:color="auto" w:fill="FFFFFF"/>
          <w:lang w:val="zh-CN" w:eastAsia="zh-CN"/>
        </w:rPr>
        <w:t>中小河流雨量站维护数量</w:t>
      </w:r>
      <w:r>
        <w:rPr>
          <w:rFonts w:hint="eastAsia" w:ascii="仿宋_GB2312" w:hAnsi="仿宋_GB2312" w:cs="仿宋_GB2312"/>
          <w:sz w:val="32"/>
          <w:szCs w:val="32"/>
          <w:lang w:val="en-US" w:eastAsia="zh-CN"/>
        </w:rPr>
        <w:t>、</w:t>
      </w:r>
      <w:r>
        <w:rPr>
          <w:rFonts w:hint="eastAsia" w:ascii="仿宋_GB2312" w:hAnsi="仿宋_GB2312" w:cs="仿宋_GB2312"/>
          <w:color w:val="auto"/>
          <w:kern w:val="0"/>
          <w:sz w:val="32"/>
          <w:szCs w:val="32"/>
          <w:highlight w:val="none"/>
          <w:u w:val="none"/>
          <w:shd w:val="clear" w:color="auto" w:fill="FFFFFF"/>
          <w:lang w:val="en-US" w:eastAsia="zh-CN"/>
        </w:rPr>
        <w:t>中小河流水位站维护数量</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numPr>
          <w:ilvl w:val="0"/>
          <w:numId w:val="0"/>
        </w:numPr>
        <w:ind w:firstLine="640" w:firstLineChars="200"/>
        <w:rPr>
          <w:sz w:val="32"/>
          <w:szCs w:val="32"/>
          <w:lang w:val="zh-CN"/>
        </w:rPr>
      </w:pPr>
      <w:r>
        <w:rPr>
          <w:rFonts w:hint="eastAsia" w:ascii="仿宋_GB2312" w:hAnsi="仿宋_GB2312" w:cs="仿宋_GB2312"/>
          <w:color w:val="auto"/>
          <w:kern w:val="0"/>
          <w:sz w:val="32"/>
          <w:szCs w:val="32"/>
          <w:highlight w:val="none"/>
          <w:u w:val="none"/>
          <w:shd w:val="clear" w:color="auto" w:fill="FFFFFF"/>
          <w:lang w:val="zh-CN" w:eastAsia="zh-CN"/>
        </w:rPr>
        <w:t>中小河流雨量站维护数量</w:t>
      </w:r>
      <w:r>
        <w:rPr>
          <w:rFonts w:hint="eastAsia" w:ascii="仿宋_GB2312" w:hAnsi="仿宋_GB2312" w:cs="仿宋_GB2312"/>
          <w:color w:val="auto"/>
          <w:kern w:val="0"/>
          <w:sz w:val="32"/>
          <w:szCs w:val="32"/>
          <w:highlight w:val="none"/>
          <w:u w:val="none"/>
          <w:shd w:val="clear" w:color="auto" w:fill="FFFFFF"/>
          <w:lang w:val="en-US" w:eastAsia="zh-CN"/>
        </w:rPr>
        <w:t>182个；水文监测系统运行维护1年；中小河流水位站维护数量16个；水文监测数据准确率100%；</w:t>
      </w:r>
      <w:r>
        <w:rPr>
          <w:rFonts w:hint="eastAsia"/>
          <w:sz w:val="32"/>
          <w:szCs w:val="32"/>
          <w:lang w:val="en-US" w:eastAsia="zh-CN"/>
        </w:rPr>
        <w:t>所有指标均在12个月内完成</w:t>
      </w:r>
      <w:r>
        <w:rPr>
          <w:rFonts w:hint="eastAsia" w:ascii="仿宋_GB2312" w:hAnsi="仿宋_GB2312" w:cs="仿宋_GB2312"/>
          <w:color w:val="auto"/>
          <w:kern w:val="0"/>
          <w:sz w:val="32"/>
          <w:szCs w:val="32"/>
          <w:highlight w:val="none"/>
          <w:u w:val="none"/>
          <w:shd w:val="clear" w:color="auto" w:fill="FFFFFF"/>
          <w:lang w:val="en-US" w:eastAsia="zh-CN"/>
        </w:rPr>
        <w:t>。</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sz w:val="32"/>
          <w:szCs w:val="32"/>
          <w:lang w:val="en-US" w:eastAsia="zh-CN"/>
        </w:rPr>
        <w:t>2023年</w:t>
      </w:r>
      <w:r>
        <w:rPr>
          <w:rFonts w:hint="eastAsia" w:ascii="仿宋_GB2312" w:hAnsi="仿宋_GB2312" w:eastAsia="仿宋_GB2312" w:cs="仿宋_GB2312"/>
          <w:sz w:val="32"/>
          <w:szCs w:val="32"/>
        </w:rPr>
        <w:t>完成广元市中小河流182个雨量站和16个水位站设备维护工作；完成中小河流9个水文站、7个水位站，整站、测量和常规测流工作；完成中小河流站点流量、水位测量，大断面测量，水准点、基准点、水尺校核测量。</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rPr>
          <w:rFonts w:hint="eastAsia"/>
          <w:sz w:val="32"/>
          <w:szCs w:val="32"/>
        </w:rPr>
      </w:pPr>
    </w:p>
    <w:p>
      <w:pPr>
        <w:rPr>
          <w:rFonts w:hint="eastAsia"/>
          <w:sz w:val="32"/>
          <w:szCs w:val="32"/>
        </w:rPr>
      </w:pPr>
    </w:p>
    <w:p>
      <w:pPr>
        <w:pStyle w:val="2"/>
        <w:rPr>
          <w:rFonts w:hint="eastAsia"/>
          <w:sz w:val="32"/>
          <w:szCs w:val="32"/>
        </w:rPr>
      </w:pPr>
    </w:p>
    <w:p>
      <w:pPr>
        <w:rPr>
          <w:rFonts w:hint="eastAsia"/>
          <w:sz w:val="32"/>
          <w:szCs w:val="32"/>
        </w:rPr>
      </w:pPr>
    </w:p>
    <w:p>
      <w:pPr>
        <w:pStyle w:val="2"/>
        <w:rPr>
          <w:rFonts w:hint="eastAsia"/>
          <w:sz w:val="32"/>
          <w:szCs w:val="32"/>
        </w:rPr>
      </w:pPr>
    </w:p>
    <w:p>
      <w:pPr>
        <w:rPr>
          <w:rFonts w:hint="eastAsia"/>
          <w:sz w:val="32"/>
          <w:szCs w:val="32"/>
        </w:rPr>
      </w:pP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2023年</w:t>
      </w:r>
      <w:r>
        <w:rPr>
          <w:rFonts w:hint="eastAsia" w:ascii="方正小标宋简体" w:hAnsi="方正小标宋简体" w:eastAsia="方正小标宋简体" w:cs="方正小标宋简体"/>
          <w:b w:val="0"/>
          <w:bCs w:val="0"/>
          <w:color w:val="auto"/>
          <w:kern w:val="2"/>
          <w:sz w:val="44"/>
          <w:szCs w:val="44"/>
        </w:rPr>
        <w:t>水资源管理经费</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绩效自评报告</w:t>
      </w:r>
    </w:p>
    <w:p>
      <w:pPr>
        <w:keepNext w:val="0"/>
        <w:keepLines w:val="0"/>
        <w:pageBreakBefore w:val="0"/>
        <w:widowControl w:val="0"/>
        <w:kinsoku/>
        <w:wordWrap/>
        <w:overflowPunct/>
        <w:topLinePunct w:val="0"/>
        <w:autoSpaceDE/>
        <w:autoSpaceDN/>
        <w:bidi w:val="0"/>
        <w:adjustRightInd w:val="0"/>
        <w:snapToGrid w:val="0"/>
        <w:spacing w:line="576" w:lineRule="exact"/>
        <w:ind w:firstLine="420" w:firstLineChars="200"/>
        <w:textAlignment w:val="auto"/>
        <w:rPr>
          <w:rFonts w:hint="eastAsia" w:ascii="黑体" w:hAnsi="宋体" w:eastAsia="黑体"/>
          <w:b w:val="0"/>
          <w:bCs w:val="0"/>
        </w:rPr>
      </w:pPr>
    </w:p>
    <w:p>
      <w:pPr>
        <w:keepNext w:val="0"/>
        <w:keepLines w:val="0"/>
        <w:pageBreakBefore w:val="0"/>
        <w:widowControl w:val="0"/>
        <w:numPr>
          <w:ilvl w:val="0"/>
          <w:numId w:val="9"/>
        </w:numPr>
        <w:kinsoku/>
        <w:wordWrap/>
        <w:overflowPunct/>
        <w:topLinePunct w:val="0"/>
        <w:autoSpaceDE/>
        <w:autoSpaceDN/>
        <w:bidi w:val="0"/>
        <w:adjustRightInd w:val="0"/>
        <w:snapToGrid w:val="0"/>
        <w:spacing w:line="576" w:lineRule="exact"/>
        <w:ind w:firstLine="640" w:firstLineChars="200"/>
        <w:textAlignment w:val="auto"/>
        <w:rPr>
          <w:rFonts w:hint="eastAsia" w:ascii="黑体" w:hAnsi="宋体" w:eastAsia="黑体"/>
          <w:b w:val="0"/>
          <w:bCs w:val="0"/>
          <w:sz w:val="32"/>
          <w:szCs w:val="32"/>
          <w:lang w:val="zh-CN"/>
        </w:rPr>
      </w:pPr>
      <w:r>
        <w:rPr>
          <w:rFonts w:hint="eastAsia" w:ascii="黑体" w:hAnsi="宋体" w:eastAsia="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en-US" w:eastAsia="zh-CN"/>
        </w:rPr>
        <w:t>承担实施最严格水资源管理制度相关工作，组织实施取水许可、水资源论证等制度，指导开展水资源有偿使用工作。组织水资源监测，编制并发布水资源公报。拟定水量分配、水资源调度方案并监督实施。指导饮用水水源保护有关工作。指导地下水开发利用和地下水资源的管理保护；按规定组织开展水能资源调查评价和水资源承载能力监测预警、组织指导地下水超采区综合治理工作。参与编制水功能区划和指导入河排污口设置管理工作。组织编制并协调实施节约用水规划，组织指导计划用水、节约用水工作;组织实施用水总量控制、用水效率控制、计划用水和定额管理制度。指导和推动节水型社会建设工作。</w:t>
      </w:r>
    </w:p>
    <w:p>
      <w:pPr>
        <w:keepNext w:val="0"/>
        <w:keepLines w:val="0"/>
        <w:pageBreakBefore w:val="0"/>
        <w:widowControl w:val="0"/>
        <w:numPr>
          <w:ilvl w:val="0"/>
          <w:numId w:val="6"/>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firstLine="640" w:firstLineChars="200"/>
        <w:textAlignment w:val="auto"/>
        <w:rPr>
          <w:rFonts w:hint="eastAsia" w:ascii="仿宋_GB2312" w:eastAsia="仿宋_GB2312"/>
          <w:color w:val="FF0000"/>
          <w:sz w:val="32"/>
          <w:szCs w:val="32"/>
          <w:lang w:val="zh-CN" w:eastAsia="zh-CN"/>
        </w:rPr>
      </w:pPr>
      <w:r>
        <w:rPr>
          <w:rFonts w:hint="eastAsia" w:ascii="仿宋_GB2312" w:eastAsia="仿宋_GB2312"/>
          <w:color w:val="auto"/>
          <w:sz w:val="32"/>
          <w:szCs w:val="32"/>
          <w:lang w:val="en-US" w:eastAsia="zh-CN"/>
        </w:rPr>
        <w:t>根据《中华人民共和国水法》、市编委《关于调整市水利局机构编织事项的通知》（广编发</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20</w:t>
      </w:r>
      <w:r>
        <w:rPr>
          <w:rFonts w:hint="eastAsia" w:ascii="仿宋_GB2312" w:hAnsi="仿宋_GB2312" w:cs="仿宋_GB2312"/>
          <w:color w:val="000000"/>
          <w:sz w:val="32"/>
          <w:szCs w:val="32"/>
          <w:lang w:val="en-US" w:eastAsia="zh-CN"/>
        </w:rPr>
        <w:t>19</w:t>
      </w:r>
      <w:r>
        <w:rPr>
          <w:rFonts w:hint="eastAsia" w:ascii="仿宋_GB2312" w:hAnsi="仿宋_GB2312" w:eastAsia="仿宋_GB2312" w:cs="仿宋_GB2312"/>
          <w:color w:val="000000"/>
          <w:sz w:val="32"/>
          <w:szCs w:val="32"/>
        </w:rPr>
        <w:t>〕</w:t>
      </w:r>
      <w:r>
        <w:rPr>
          <w:rFonts w:hint="eastAsia" w:ascii="仿宋_GB2312" w:eastAsia="仿宋_GB2312"/>
          <w:color w:val="auto"/>
          <w:sz w:val="32"/>
          <w:szCs w:val="32"/>
          <w:lang w:val="en-US" w:eastAsia="zh-CN"/>
        </w:rPr>
        <w:t>46号）规定</w:t>
      </w:r>
      <w:r>
        <w:rPr>
          <w:rFonts w:hint="eastAsia" w:ascii="仿宋_GB2312" w:eastAsia="仿宋_GB2312"/>
          <w:color w:val="auto"/>
          <w:sz w:val="32"/>
          <w:szCs w:val="32"/>
          <w:lang w:val="zh-CN" w:eastAsia="zh-CN"/>
        </w:rPr>
        <w:t>进行项目立项、资金申报。</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color w:val="auto"/>
          <w:sz w:val="32"/>
          <w:szCs w:val="32"/>
          <w:lang w:val="zh-CN" w:eastAsia="zh-CN"/>
        </w:rPr>
        <w:t>根据我局内控管理制度中《预算支出管理制度》和《预算法》进行资金收支管理，该资金</w:t>
      </w:r>
      <w:r>
        <w:rPr>
          <w:rFonts w:hint="eastAsia" w:ascii="仿宋_GB2312"/>
          <w:color w:val="auto"/>
          <w:sz w:val="32"/>
          <w:szCs w:val="32"/>
          <w:lang w:val="zh-CN" w:eastAsia="zh-CN"/>
        </w:rPr>
        <w:t>主要</w:t>
      </w:r>
      <w:r>
        <w:rPr>
          <w:rFonts w:hint="eastAsia" w:ascii="仿宋_GB2312" w:eastAsia="仿宋_GB2312"/>
          <w:color w:val="auto"/>
          <w:sz w:val="32"/>
          <w:szCs w:val="32"/>
          <w:lang w:val="zh-CN" w:eastAsia="zh-CN"/>
        </w:rPr>
        <w:t>用于支付第三方机构承担水资源公报的编制费用。</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主要设置2022年度水资源公报编制</w:t>
      </w:r>
      <w:r>
        <w:rPr>
          <w:rFonts w:hint="eastAsia" w:ascii="仿宋_GB2312" w:hAnsi="仿宋_GB2312" w:cs="仿宋_GB2312"/>
          <w:color w:val="auto"/>
          <w:kern w:val="0"/>
          <w:sz w:val="32"/>
          <w:szCs w:val="32"/>
          <w:highlight w:val="none"/>
          <w:u w:val="none"/>
          <w:shd w:val="clear" w:color="auto" w:fill="FFFFFF"/>
          <w:lang w:val="en-US" w:eastAsia="zh-CN"/>
        </w:rPr>
        <w:t>60本；重要饮用水源地水质在线监测点位2处；在线监测数据上报准确率大于等于90%；相关指标在12个月内完成。</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w:t>
      </w:r>
      <w:r>
        <w:rPr>
          <w:rFonts w:hint="eastAsia" w:ascii="仿宋_GB2312" w:hAnsi="仿宋_GB2312" w:cs="仿宋_GB2312"/>
          <w:color w:val="auto"/>
          <w:kern w:val="0"/>
          <w:sz w:val="32"/>
          <w:szCs w:val="32"/>
          <w:highlight w:val="none"/>
          <w:u w:val="none"/>
          <w:shd w:val="clear" w:color="auto" w:fill="FFFFFF"/>
          <w:lang w:val="zh-CN" w:eastAsia="zh-CN"/>
        </w:rPr>
        <w:t>水资源公报编制数量、饮用水监测点位</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ind w:firstLine="640" w:firstLineChars="200"/>
        <w:rPr>
          <w:rFonts w:hint="default"/>
          <w:sz w:val="32"/>
          <w:szCs w:val="32"/>
          <w:lang w:val="en-US"/>
        </w:rPr>
      </w:pPr>
      <w:r>
        <w:rPr>
          <w:rFonts w:hint="eastAsia" w:ascii="仿宋_GB2312" w:hAnsi="仿宋_GB2312" w:cs="仿宋_GB2312"/>
          <w:color w:val="auto"/>
          <w:kern w:val="0"/>
          <w:sz w:val="32"/>
          <w:szCs w:val="32"/>
          <w:highlight w:val="none"/>
          <w:u w:val="none"/>
          <w:shd w:val="clear" w:color="auto" w:fill="FFFFFF"/>
          <w:lang w:val="zh-CN" w:eastAsia="zh-CN"/>
        </w:rPr>
        <w:t>2022年度水资源公报编制</w:t>
      </w:r>
      <w:r>
        <w:rPr>
          <w:rFonts w:hint="eastAsia" w:ascii="仿宋_GB2312" w:hAnsi="仿宋_GB2312" w:cs="仿宋_GB2312"/>
          <w:color w:val="auto"/>
          <w:kern w:val="0"/>
          <w:sz w:val="32"/>
          <w:szCs w:val="32"/>
          <w:highlight w:val="none"/>
          <w:u w:val="none"/>
          <w:shd w:val="clear" w:color="auto" w:fill="FFFFFF"/>
          <w:lang w:val="en-US" w:eastAsia="zh-CN"/>
        </w:rPr>
        <w:t>60本；重要饮用水源地水质在线监测点位2处；在线监测数据上报准确率100%；提升监测点位水质达标率100%；</w:t>
      </w:r>
      <w:r>
        <w:rPr>
          <w:rFonts w:hint="eastAsia"/>
          <w:sz w:val="32"/>
          <w:szCs w:val="32"/>
          <w:lang w:val="en-US" w:eastAsia="zh-CN"/>
        </w:rPr>
        <w:t>所有指标均在12个月内完成。</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实施水资源节约战略，把水资源作为最大的刚性约束，紧盯“弄清家底、算好水账、科学配置、严格监管”四个环节，努力提高水资源管理水平，努力实现水资源节约集约高效利用，为全市经济社会</w:t>
      </w:r>
      <w:r>
        <w:rPr>
          <w:rFonts w:hint="default" w:ascii="仿宋_GB2312" w:hAnsi="仿宋_GB2312" w:eastAsia="仿宋_GB2312" w:cs="仿宋_GB2312"/>
          <w:kern w:val="2"/>
          <w:sz w:val="32"/>
          <w:szCs w:val="32"/>
          <w:lang w:val="en-US" w:eastAsia="zh-CN" w:bidi="ar-SA"/>
        </w:rPr>
        <w:t>高质量</w:t>
      </w:r>
      <w:r>
        <w:rPr>
          <w:rFonts w:hint="eastAsia" w:ascii="仿宋_GB2312" w:hAnsi="仿宋_GB2312" w:eastAsia="仿宋_GB2312" w:cs="仿宋_GB2312"/>
          <w:kern w:val="2"/>
          <w:sz w:val="32"/>
          <w:szCs w:val="32"/>
          <w:lang w:val="en-US" w:eastAsia="zh-CN" w:bidi="ar-SA"/>
        </w:rPr>
        <w:t>发展提供坚强水资源保障</w:t>
      </w:r>
      <w:r>
        <w:rPr>
          <w:rFonts w:hint="default" w:ascii="仿宋_GB2312" w:hAnsi="仿宋_GB2312" w:eastAsia="仿宋_GB2312" w:cs="仿宋_GB2312"/>
          <w:kern w:val="2"/>
          <w:sz w:val="32"/>
          <w:szCs w:val="32"/>
          <w:lang w:val="en-US" w:eastAsia="zh-CN" w:bidi="ar-SA"/>
        </w:rPr>
        <w:t>。</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 w:val="32"/>
          <w:szCs w:val="32"/>
          <w:highlight w:val="none"/>
          <w:shd w:val="clear" w:color="auto" w:fill="FFFFFF"/>
          <w:lang w:val="zh-CN" w:eastAsia="zh-CN"/>
        </w:rPr>
      </w:pPr>
    </w:p>
    <w:p>
      <w:pPr>
        <w:pStyle w:val="2"/>
        <w:rPr>
          <w:rFonts w:hint="eastAsia" w:ascii="Times New Roman" w:hAnsi="Times New Roman" w:cs="Times New Roman"/>
          <w:color w:val="000000"/>
          <w:kern w:val="0"/>
          <w:sz w:val="32"/>
          <w:szCs w:val="32"/>
          <w:highlight w:val="none"/>
          <w:shd w:val="clear" w:color="auto" w:fill="FFFFFF"/>
          <w:lang w:val="zh-CN" w:eastAsia="zh-CN"/>
        </w:rPr>
      </w:pPr>
    </w:p>
    <w:p>
      <w:pPr>
        <w:rPr>
          <w:rFonts w:hint="eastAsia" w:ascii="Times New Roman" w:hAnsi="Times New Roman" w:cs="Times New Roman"/>
          <w:color w:val="000000"/>
          <w:kern w:val="0"/>
          <w:sz w:val="32"/>
          <w:szCs w:val="32"/>
          <w:highlight w:val="none"/>
          <w:shd w:val="clear" w:color="auto" w:fill="FFFFFF"/>
          <w:lang w:val="zh-CN" w:eastAsia="zh-CN"/>
        </w:rPr>
      </w:pPr>
    </w:p>
    <w:p>
      <w:pPr>
        <w:pStyle w:val="2"/>
        <w:rPr>
          <w:rFonts w:hint="eastAsia" w:ascii="Times New Roman" w:hAnsi="Times New Roman" w:cs="Times New Roman"/>
          <w:color w:val="000000"/>
          <w:kern w:val="0"/>
          <w:sz w:val="32"/>
          <w:szCs w:val="32"/>
          <w:highlight w:val="none"/>
          <w:shd w:val="clear" w:color="auto" w:fill="FFFFFF"/>
          <w:lang w:val="zh-CN" w:eastAsia="zh-CN"/>
        </w:rPr>
      </w:pPr>
    </w:p>
    <w:p>
      <w:pPr>
        <w:rPr>
          <w:rFonts w:hint="eastAsia" w:ascii="Times New Roman" w:hAnsi="Times New Roman" w:cs="Times New Roman"/>
          <w:color w:val="000000"/>
          <w:kern w:val="0"/>
          <w:sz w:val="32"/>
          <w:szCs w:val="32"/>
          <w:highlight w:val="none"/>
          <w:shd w:val="clear" w:color="auto" w:fill="FFFFFF"/>
          <w:lang w:val="zh-CN" w:eastAsia="zh-CN"/>
        </w:rPr>
      </w:pPr>
    </w:p>
    <w:p>
      <w:pPr>
        <w:pStyle w:val="2"/>
        <w:rPr>
          <w:rFonts w:hint="eastAsia" w:ascii="Times New Roman" w:hAnsi="Times New Roman" w:cs="Times New Roman"/>
          <w:color w:val="000000"/>
          <w:kern w:val="0"/>
          <w:sz w:val="32"/>
          <w:szCs w:val="32"/>
          <w:highlight w:val="none"/>
          <w:shd w:val="clear" w:color="auto" w:fill="FFFFFF"/>
          <w:lang w:val="zh-CN" w:eastAsia="zh-CN"/>
        </w:rPr>
      </w:pPr>
    </w:p>
    <w:p>
      <w:pPr>
        <w:rPr>
          <w:rFonts w:hint="eastAsia" w:ascii="Times New Roman" w:hAnsi="Times New Roman" w:cs="Times New Roman"/>
          <w:color w:val="000000"/>
          <w:kern w:val="0"/>
          <w:sz w:val="32"/>
          <w:szCs w:val="32"/>
          <w:highlight w:val="none"/>
          <w:shd w:val="clear" w:color="auto" w:fill="FFFFFF"/>
          <w:lang w:val="zh-CN" w:eastAsia="zh-CN"/>
        </w:rPr>
      </w:pPr>
    </w:p>
    <w:p>
      <w:pPr>
        <w:pStyle w:val="35"/>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b w:val="0"/>
          <w:bCs w:val="0"/>
          <w:color w:val="auto"/>
          <w:kern w:val="2"/>
          <w:sz w:val="40"/>
          <w:szCs w:val="40"/>
          <w:lang w:val="en-US" w:eastAsia="zh-CN"/>
        </w:rPr>
      </w:pPr>
    </w:p>
    <w:p>
      <w:pPr>
        <w:pStyle w:val="35"/>
        <w:keepNext w:val="0"/>
        <w:keepLines w:val="0"/>
        <w:pageBreakBefore w:val="0"/>
        <w:widowControl w:val="0"/>
        <w:kinsoku/>
        <w:wordWrap/>
        <w:overflowPunct/>
        <w:topLinePunct w:val="0"/>
        <w:autoSpaceDE/>
        <w:autoSpaceDN/>
        <w:bidi w:val="0"/>
        <w:adjustRightInd/>
        <w:snapToGrid/>
        <w:spacing w:line="556" w:lineRule="exact"/>
        <w:ind w:firstLine="0"/>
        <w:jc w:val="center"/>
        <w:textAlignment w:val="auto"/>
        <w:rPr>
          <w:rFonts w:hint="eastAsia" w:ascii="方正小标宋简体" w:hAnsi="方正小标宋简体" w:eastAsia="方正小标宋简体" w:cs="方正小标宋简体"/>
          <w:b w:val="0"/>
          <w:bCs w:val="0"/>
          <w:color w:val="auto"/>
          <w:kern w:val="2"/>
          <w:sz w:val="40"/>
          <w:szCs w:val="40"/>
          <w:lang w:val="en-US" w:eastAsia="zh-CN"/>
        </w:rPr>
      </w:pPr>
      <w:r>
        <w:rPr>
          <w:rFonts w:hint="eastAsia" w:ascii="方正小标宋简体" w:hAnsi="方正小标宋简体" w:eastAsia="方正小标宋简体" w:cs="方正小标宋简体"/>
          <w:b w:val="0"/>
          <w:bCs w:val="0"/>
          <w:color w:val="auto"/>
          <w:kern w:val="2"/>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55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val="en-US" w:eastAsia="zh-CN"/>
        </w:rPr>
        <w:t>2023年</w:t>
      </w:r>
      <w:r>
        <w:rPr>
          <w:rFonts w:hint="eastAsia" w:ascii="方正小标宋简体" w:hAnsi="方正小标宋简体" w:eastAsia="方正小标宋简体" w:cs="方正小标宋简体"/>
          <w:b w:val="0"/>
          <w:bCs w:val="0"/>
          <w:color w:val="auto"/>
          <w:kern w:val="2"/>
          <w:sz w:val="44"/>
          <w:szCs w:val="44"/>
          <w:lang w:eastAsia="zh-CN"/>
        </w:rPr>
        <w:t>乡村振兴工作经费支出</w:t>
      </w:r>
      <w:r>
        <w:rPr>
          <w:rFonts w:hint="eastAsia" w:ascii="方正小标宋简体" w:hAnsi="方正小标宋简体" w:eastAsia="方正小标宋简体" w:cs="方正小标宋简体"/>
          <w:b w:val="0"/>
          <w:bCs w:val="0"/>
          <w:color w:val="auto"/>
          <w:kern w:val="2"/>
          <w:sz w:val="44"/>
          <w:szCs w:val="44"/>
        </w:rPr>
        <w:t>绩效自评报告</w:t>
      </w:r>
    </w:p>
    <w:p>
      <w:pPr>
        <w:keepNext w:val="0"/>
        <w:keepLines w:val="0"/>
        <w:pageBreakBefore w:val="0"/>
        <w:widowControl w:val="0"/>
        <w:kinsoku/>
        <w:wordWrap/>
        <w:overflowPunct/>
        <w:topLinePunct w:val="0"/>
        <w:autoSpaceDE/>
        <w:autoSpaceDN/>
        <w:bidi w:val="0"/>
        <w:adjustRightInd w:val="0"/>
        <w:snapToGrid w:val="0"/>
        <w:spacing w:line="556" w:lineRule="exact"/>
        <w:ind w:firstLine="420" w:firstLineChars="200"/>
        <w:textAlignment w:val="auto"/>
        <w:rPr>
          <w:rFonts w:hint="eastAsia" w:ascii="黑体" w:hAnsi="宋体" w:eastAsia="黑体"/>
          <w:b w:val="0"/>
          <w:bCs w:val="0"/>
        </w:rPr>
      </w:pPr>
    </w:p>
    <w:p>
      <w:pPr>
        <w:keepNext w:val="0"/>
        <w:keepLines w:val="0"/>
        <w:pageBreakBefore w:val="0"/>
        <w:widowControl w:val="0"/>
        <w:kinsoku/>
        <w:wordWrap/>
        <w:overflowPunct/>
        <w:topLinePunct w:val="0"/>
        <w:autoSpaceDE/>
        <w:autoSpaceDN/>
        <w:bidi w:val="0"/>
        <w:adjustRightInd w:val="0"/>
        <w:snapToGrid w:val="0"/>
        <w:spacing w:line="578" w:lineRule="exact"/>
        <w:ind w:firstLine="420" w:firstLineChars="200"/>
        <w:textAlignment w:val="auto"/>
        <w:rPr>
          <w:rFonts w:ascii="黑体" w:hAnsi="宋体" w:eastAsia="黑体"/>
          <w:sz w:val="32"/>
          <w:szCs w:val="32"/>
          <w:highlight w:val="none"/>
          <w:lang w:val="zh-CN"/>
        </w:rPr>
      </w:pPr>
      <w:r>
        <w:rPr>
          <w:rFonts w:hint="eastAsia" w:ascii="黑体" w:hAnsi="宋体" w:eastAsia="黑体"/>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auto"/>
          <w:sz w:val="32"/>
          <w:szCs w:val="32"/>
          <w:lang w:val="zh-CN" w:eastAsia="zh-CN"/>
        </w:rPr>
      </w:pPr>
      <w:r>
        <w:rPr>
          <w:rFonts w:hint="eastAsia" w:ascii="仿宋_GB2312" w:eastAsia="仿宋_GB2312" w:cs="仿宋_GB2312"/>
          <w:sz w:val="32"/>
          <w:szCs w:val="32"/>
          <w:lang w:eastAsia="zh-CN" w:bidi="ar-SA"/>
        </w:rPr>
        <w:t>按照市委统一部署，我局对口帮扶朝天区</w:t>
      </w:r>
      <w:r>
        <w:rPr>
          <w:rFonts w:hint="eastAsia" w:ascii="仿宋_GB2312" w:cs="仿宋_GB2312"/>
          <w:sz w:val="32"/>
          <w:szCs w:val="32"/>
          <w:lang w:eastAsia="zh-CN" w:bidi="ar-SA"/>
        </w:rPr>
        <w:t>中子</w:t>
      </w:r>
      <w:r>
        <w:rPr>
          <w:rFonts w:hint="eastAsia" w:ascii="仿宋_GB2312" w:eastAsia="仿宋_GB2312" w:cs="仿宋_GB2312"/>
          <w:sz w:val="32"/>
          <w:szCs w:val="32"/>
          <w:lang w:eastAsia="zh-CN" w:bidi="ar-SA"/>
        </w:rPr>
        <w:t>镇</w:t>
      </w:r>
      <w:r>
        <w:rPr>
          <w:rFonts w:hint="eastAsia" w:ascii="仿宋_GB2312" w:cs="仿宋_GB2312"/>
          <w:sz w:val="32"/>
          <w:szCs w:val="32"/>
          <w:lang w:eastAsia="zh-CN" w:bidi="ar-SA"/>
        </w:rPr>
        <w:t>高车</w:t>
      </w:r>
      <w:r>
        <w:rPr>
          <w:rFonts w:hint="eastAsia" w:ascii="仿宋_GB2312" w:eastAsia="仿宋_GB2312" w:cs="仿宋_GB2312"/>
          <w:sz w:val="32"/>
          <w:szCs w:val="32"/>
          <w:lang w:eastAsia="zh-CN" w:bidi="ar-SA"/>
        </w:rPr>
        <w:t>村</w:t>
      </w:r>
      <w:r>
        <w:rPr>
          <w:rFonts w:hint="eastAsia" w:ascii="仿宋_GB2312" w:cs="仿宋_GB2312"/>
          <w:sz w:val="32"/>
          <w:szCs w:val="32"/>
          <w:lang w:eastAsia="zh-CN" w:bidi="ar-SA"/>
        </w:rPr>
        <w:t>、朝天镇小安村。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en-US" w:eastAsia="zh-CN"/>
        </w:rPr>
        <w:t>2.</w:t>
      </w:r>
      <w:r>
        <w:rPr>
          <w:rFonts w:hint="eastAsia" w:ascii="仿宋_GB2312" w:hAnsi="宋体"/>
          <w:b w:val="0"/>
          <w:bCs w:val="0"/>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000000"/>
          <w:sz w:val="32"/>
          <w:szCs w:val="32"/>
          <w:lang w:val="zh-CN" w:eastAsia="zh-CN"/>
        </w:rPr>
      </w:pPr>
      <w:r>
        <w:rPr>
          <w:rFonts w:hint="eastAsia" w:ascii="仿宋_GB2312" w:eastAsia="仿宋_GB2312" w:cs="仿宋_GB2312"/>
          <w:color w:val="000000"/>
          <w:sz w:val="32"/>
          <w:szCs w:val="32"/>
          <w:lang w:val="en-US" w:eastAsia="zh-CN" w:bidi="ar-SA"/>
        </w:rPr>
        <w:t>根据全市</w:t>
      </w:r>
      <w:r>
        <w:rPr>
          <w:rFonts w:hint="eastAsia" w:ascii="仿宋_GB2312" w:cs="仿宋_GB2312"/>
          <w:color w:val="000000"/>
          <w:sz w:val="32"/>
          <w:szCs w:val="32"/>
          <w:lang w:val="en-US" w:eastAsia="zh-CN" w:bidi="ar-SA"/>
        </w:rPr>
        <w:t>乡村振兴</w:t>
      </w:r>
      <w:r>
        <w:rPr>
          <w:rFonts w:hint="eastAsia" w:ascii="仿宋_GB2312" w:eastAsia="仿宋_GB2312" w:cs="仿宋_GB2312"/>
          <w:color w:val="000000"/>
          <w:sz w:val="32"/>
          <w:szCs w:val="32"/>
          <w:lang w:val="en-US" w:eastAsia="zh-CN" w:bidi="ar-SA"/>
        </w:rPr>
        <w:t>经费保障统一安排</w:t>
      </w:r>
      <w:r>
        <w:rPr>
          <w:rFonts w:hint="eastAsia" w:ascii="仿宋_GB2312" w:cs="仿宋_GB2312"/>
          <w:color w:val="000000"/>
          <w:sz w:val="32"/>
          <w:szCs w:val="32"/>
          <w:lang w:val="en-US" w:eastAsia="zh-CN" w:bidi="ar-SA"/>
        </w:rPr>
        <w:t>，</w:t>
      </w:r>
      <w:r>
        <w:rPr>
          <w:rFonts w:hint="eastAsia" w:ascii="仿宋_GB2312" w:eastAsia="仿宋_GB2312" w:cs="仿宋_GB2312"/>
          <w:color w:val="000000"/>
          <w:sz w:val="32"/>
          <w:szCs w:val="32"/>
          <w:lang w:val="en-US" w:eastAsia="zh-CN" w:bidi="ar-SA"/>
        </w:rPr>
        <w:t>作</w:t>
      </w:r>
      <w:r>
        <w:rPr>
          <w:rFonts w:hint="eastAsia" w:ascii="仿宋_GB2312" w:eastAsia="仿宋_GB2312"/>
          <w:color w:val="000000"/>
          <w:sz w:val="32"/>
          <w:szCs w:val="32"/>
          <w:lang w:val="en-US" w:eastAsia="zh-CN"/>
        </w:rPr>
        <w:t>为项目申报、立项依据</w:t>
      </w:r>
      <w:r>
        <w:rPr>
          <w:rFonts w:hint="eastAsia" w:ascii="仿宋_GB2312" w:eastAsia="仿宋_GB2312"/>
          <w:color w:val="000000"/>
          <w:sz w:val="32"/>
          <w:szCs w:val="32"/>
          <w:lang w:val="zh-CN" w:eastAsia="zh-CN"/>
        </w:rPr>
        <w:t>。</w:t>
      </w:r>
    </w:p>
    <w:p>
      <w:pPr>
        <w:keepNext w:val="0"/>
        <w:keepLines w:val="0"/>
        <w:pageBreakBefore w:val="0"/>
        <w:widowControl w:val="0"/>
        <w:suppressAutoHyphens/>
        <w:kinsoku/>
        <w:wordWrap/>
        <w:overflowPunct/>
        <w:topLinePunct w:val="0"/>
        <w:autoSpaceDE/>
        <w:autoSpaceDN/>
        <w:bidi w:val="0"/>
        <w:adjustRightInd w:val="0"/>
        <w:snapToGrid w:val="0"/>
        <w:spacing w:line="556" w:lineRule="exact"/>
        <w:ind w:left="0"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color w:val="000000"/>
          <w:sz w:val="32"/>
          <w:szCs w:val="32"/>
          <w:lang w:val="zh-CN" w:eastAsia="zh-CN"/>
        </w:rPr>
        <w:t>该项目资金主要用于</w:t>
      </w:r>
      <w:r>
        <w:rPr>
          <w:rFonts w:hint="eastAsia" w:ascii="仿宋_GB2312" w:eastAsia="仿宋_GB2312"/>
          <w:color w:val="000000"/>
          <w:sz w:val="32"/>
          <w:szCs w:val="32"/>
          <w:lang w:val="en-US" w:eastAsia="zh-CN"/>
        </w:rPr>
        <w:t>第一书记、帮扶队员开展帮扶工作所产生的</w:t>
      </w:r>
      <w:r>
        <w:rPr>
          <w:rFonts w:hint="eastAsia" w:ascii="仿宋_GB2312"/>
          <w:color w:val="000000"/>
          <w:sz w:val="32"/>
          <w:szCs w:val="32"/>
          <w:lang w:val="en-US" w:eastAsia="zh-CN"/>
        </w:rPr>
        <w:t>交通费、差旅</w:t>
      </w:r>
      <w:r>
        <w:rPr>
          <w:rFonts w:hint="eastAsia" w:ascii="仿宋_GB2312" w:eastAsia="仿宋_GB2312"/>
          <w:color w:val="000000"/>
          <w:sz w:val="32"/>
          <w:szCs w:val="32"/>
          <w:lang w:val="en-US" w:eastAsia="zh-CN"/>
        </w:rPr>
        <w:t>费等费用</w:t>
      </w:r>
      <w:r>
        <w:rPr>
          <w:rFonts w:hint="eastAsia" w:ascii="仿宋_GB2312" w:eastAsia="仿宋_GB2312"/>
          <w:color w:val="000000"/>
          <w:sz w:val="32"/>
          <w:szCs w:val="32"/>
          <w:lang w:val="zh-CN" w:eastAsia="zh-CN"/>
        </w:rPr>
        <w:t>。我局根据《预算支出管理制度》等内部控制制度对其进行资金收支管理。</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主要设置乡村振兴村数量</w:t>
      </w:r>
      <w:r>
        <w:rPr>
          <w:rFonts w:hint="eastAsia" w:ascii="仿宋_GB2312" w:hAnsi="仿宋_GB2312" w:cs="仿宋_GB2312"/>
          <w:color w:val="auto"/>
          <w:kern w:val="0"/>
          <w:sz w:val="32"/>
          <w:szCs w:val="32"/>
          <w:highlight w:val="none"/>
          <w:u w:val="none"/>
          <w:shd w:val="clear" w:color="auto" w:fill="FFFFFF"/>
          <w:lang w:val="en-US" w:eastAsia="zh-CN"/>
        </w:rPr>
        <w:t>2个；派出工作队员4人；帮扶项目大于等于2个；达到乡村振兴相关考核指标要求；政府满意度大于等于90%；群众满意度大于等于90%。</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对项目实施中资金发放</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（三）个性指标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仿宋_GB2312" w:hAnsi="仿宋_GB2312" w:cs="仿宋_GB2312"/>
          <w:color w:val="auto"/>
          <w:kern w:val="0"/>
          <w:sz w:val="32"/>
          <w:szCs w:val="32"/>
          <w:highlight w:val="none"/>
          <w:u w:val="none"/>
          <w:shd w:val="clear" w:color="auto" w:fill="FFFFFF"/>
          <w:lang w:val="zh-CN" w:eastAsia="zh-CN"/>
        </w:rPr>
        <w:t>乡村振兴村数量</w:t>
      </w:r>
      <w:r>
        <w:rPr>
          <w:rFonts w:hint="eastAsia" w:ascii="仿宋_GB2312" w:hAnsi="仿宋_GB2312" w:cs="仿宋_GB2312"/>
          <w:color w:val="auto"/>
          <w:kern w:val="0"/>
          <w:sz w:val="32"/>
          <w:szCs w:val="32"/>
          <w:highlight w:val="none"/>
          <w:u w:val="none"/>
          <w:shd w:val="clear" w:color="auto" w:fill="FFFFFF"/>
          <w:lang w:val="en-US" w:eastAsia="zh-CN"/>
        </w:rPr>
        <w:t>2个；派出工作队员4人；帮扶项目大于等于2个；达到乡村振兴相关考核指标要求；政府满意度大于等于90%；群众满意度大于等于90%；所有资金均按时按规定发放。</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56" w:lineRule="exact"/>
        <w:ind w:firstLine="640" w:firstLineChars="200"/>
        <w:textAlignment w:val="auto"/>
        <w:rPr>
          <w:rFonts w:hint="eastAsia" w:ascii="仿宋_GB2312" w:hAnsi="仿宋_GB2312" w:eastAsia="仿宋_GB2312" w:cs="仿宋_GB2312"/>
          <w:color w:val="000000"/>
          <w:sz w:val="32"/>
          <w:szCs w:val="32"/>
          <w:lang w:val="en-US" w:eastAsia="zh-CN" w:bidi="ar-SA"/>
        </w:rPr>
      </w:pPr>
      <w:r>
        <w:rPr>
          <w:rFonts w:hint="eastAsia" w:ascii="仿宋_GB2312" w:hAnsi="仿宋_GB2312" w:eastAsia="仿宋_GB2312" w:cs="仿宋_GB2312"/>
          <w:color w:val="000000"/>
          <w:sz w:val="32"/>
          <w:szCs w:val="32"/>
          <w:lang w:eastAsia="zh-CN" w:bidi="ar-SA"/>
        </w:rPr>
        <w:t>该项目为我局开展乡村振兴工作</w:t>
      </w:r>
      <w:r>
        <w:rPr>
          <w:rFonts w:hint="eastAsia" w:ascii="仿宋_GB2312" w:hAnsi="仿宋_GB2312" w:eastAsia="仿宋_GB2312" w:cs="仿宋_GB2312"/>
          <w:color w:val="000000"/>
          <w:sz w:val="32"/>
          <w:szCs w:val="32"/>
          <w:lang w:val="en-US" w:eastAsia="zh-CN"/>
        </w:rPr>
        <w:t>提供了资金保障，成效显著，群众满意度高</w:t>
      </w:r>
      <w:r>
        <w:rPr>
          <w:rFonts w:hint="eastAsia" w:ascii="仿宋_GB2312" w:hAnsi="仿宋_GB2312" w:eastAsia="仿宋_GB2312" w:cs="仿宋_GB2312"/>
          <w:color w:val="000000"/>
          <w:sz w:val="32"/>
          <w:szCs w:val="32"/>
          <w:lang w:eastAsia="zh-CN" w:bidi="ar-SA"/>
        </w:rPr>
        <w:t>。自评得分</w:t>
      </w:r>
      <w:r>
        <w:rPr>
          <w:rFonts w:hint="eastAsia" w:ascii="仿宋_GB2312" w:hAnsi="仿宋_GB2312" w:eastAsia="仿宋_GB2312" w:cs="仿宋_GB2312"/>
          <w:color w:val="000000"/>
          <w:sz w:val="32"/>
          <w:szCs w:val="32"/>
          <w:lang w:val="en-US" w:eastAsia="zh-CN" w:bidi="ar-SA"/>
        </w:rPr>
        <w:t>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ascii="Times New Roman" w:hAnsi="Times New Roman" w:cs="Times New Roman"/>
          <w:color w:val="000000"/>
          <w:kern w:val="0"/>
          <w:szCs w:val="32"/>
          <w:highlight w:val="none"/>
          <w:shd w:val="clear" w:color="auto" w:fill="FFFFFF"/>
          <w:lang w:val="zh-CN" w:eastAsia="zh-CN"/>
        </w:rPr>
      </w:pPr>
    </w:p>
    <w:p>
      <w:pPr>
        <w:rPr>
          <w:rFonts w:hint="eastAsia" w:ascii="Times New Roman" w:hAnsi="Times New Roman" w:cs="Times New Roman"/>
          <w:color w:val="000000"/>
          <w:kern w:val="0"/>
          <w:szCs w:val="32"/>
          <w:highlight w:val="none"/>
          <w:shd w:val="clear" w:color="auto" w:fill="FFFFFF"/>
          <w:lang w:val="zh-CN" w:eastAsia="zh-CN"/>
        </w:rPr>
      </w:pPr>
    </w:p>
    <w:p>
      <w:pPr>
        <w:pStyle w:val="35"/>
        <w:keepNext w:val="0"/>
        <w:keepLines w:val="0"/>
        <w:pageBreakBefore w:val="0"/>
        <w:widowControl w:val="0"/>
        <w:kinsoku/>
        <w:wordWrap/>
        <w:overflowPunct/>
        <w:topLinePunct w:val="0"/>
        <w:autoSpaceDE/>
        <w:autoSpaceDN/>
        <w:bidi w:val="0"/>
        <w:adjustRightInd/>
        <w:snapToGrid/>
        <w:spacing w:line="58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eastAsia="zh-CN"/>
        </w:rPr>
      </w:pPr>
      <w:r>
        <w:rPr>
          <w:rFonts w:hint="eastAsia" w:ascii="方正小标宋简体" w:hAnsi="方正小标宋简体" w:eastAsia="方正小标宋简体" w:cs="方正小标宋简体"/>
          <w:b w:val="0"/>
          <w:bCs w:val="0"/>
          <w:color w:val="auto"/>
          <w:kern w:val="2"/>
          <w:sz w:val="44"/>
          <w:szCs w:val="44"/>
          <w:lang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58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eastAsia="zh-CN"/>
        </w:rPr>
        <w:t>2022年争取项目资金工作经费支出</w:t>
      </w:r>
      <w:r>
        <w:rPr>
          <w:rFonts w:hint="eastAsia" w:ascii="方正小标宋简体" w:hAnsi="方正小标宋简体" w:eastAsia="方正小标宋简体" w:cs="方正小标宋简体"/>
          <w:b w:val="0"/>
          <w:bCs w:val="0"/>
          <w:color w:val="auto"/>
          <w:kern w:val="2"/>
          <w:sz w:val="44"/>
          <w:szCs w:val="44"/>
        </w:rPr>
        <w:t>绩效</w:t>
      </w:r>
    </w:p>
    <w:p>
      <w:pPr>
        <w:pStyle w:val="35"/>
        <w:keepNext w:val="0"/>
        <w:keepLines w:val="0"/>
        <w:pageBreakBefore w:val="0"/>
        <w:widowControl w:val="0"/>
        <w:kinsoku/>
        <w:wordWrap/>
        <w:overflowPunct/>
        <w:topLinePunct w:val="0"/>
        <w:autoSpaceDE/>
        <w:autoSpaceDN/>
        <w:bidi w:val="0"/>
        <w:adjustRightInd/>
        <w:snapToGrid/>
        <w:spacing w:line="580" w:lineRule="exact"/>
        <w:ind w:firstLine="0"/>
        <w:jc w:val="center"/>
        <w:textAlignment w:val="auto"/>
        <w:rPr>
          <w:rFonts w:hint="eastAsia" w:ascii="黑体" w:hAnsi="宋体" w:eastAsia="黑体"/>
          <w:b w:val="0"/>
          <w:bCs w:val="0"/>
        </w:rPr>
      </w:pPr>
      <w:r>
        <w:rPr>
          <w:rFonts w:hint="eastAsia" w:ascii="方正小标宋简体" w:hAnsi="方正小标宋简体" w:eastAsia="方正小标宋简体" w:cs="方正小标宋简体"/>
          <w:b w:val="0"/>
          <w:bCs w:val="0"/>
          <w:color w:val="auto"/>
          <w:kern w:val="2"/>
          <w:sz w:val="44"/>
          <w:szCs w:val="44"/>
        </w:rPr>
        <w:t>自评报告</w:t>
      </w:r>
    </w:p>
    <w:p>
      <w:pPr>
        <w:keepNext w:val="0"/>
        <w:keepLines w:val="0"/>
        <w:pageBreakBefore w:val="0"/>
        <w:widowControl w:val="0"/>
        <w:kinsoku/>
        <w:wordWrap/>
        <w:overflowPunct/>
        <w:topLinePunct w:val="0"/>
        <w:autoSpaceDE/>
        <w:autoSpaceDN/>
        <w:bidi w:val="0"/>
        <w:adjustRightInd w:val="0"/>
        <w:snapToGrid w:val="0"/>
        <w:spacing w:line="580" w:lineRule="exact"/>
        <w:ind w:firstLine="420" w:firstLineChars="200"/>
        <w:textAlignment w:val="auto"/>
        <w:rPr>
          <w:rFonts w:ascii="黑体" w:hAnsi="宋体" w:eastAsia="黑体"/>
          <w:sz w:val="32"/>
          <w:szCs w:val="32"/>
          <w:highlight w:val="none"/>
          <w:lang w:val="zh-CN"/>
        </w:rPr>
      </w:pPr>
      <w:r>
        <w:rPr>
          <w:rFonts w:hint="eastAsia" w:ascii="黑体" w:hAnsi="宋体" w:eastAsia="黑体"/>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80"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rPr>
          <w:rFonts w:hint="eastAsia" w:ascii="仿宋_GB2312" w:eastAsia="仿宋_GB2312"/>
          <w:color w:val="000000"/>
          <w:sz w:val="32"/>
          <w:szCs w:val="32"/>
          <w:lang w:val="zh-CN" w:eastAsia="zh-CN"/>
        </w:rPr>
      </w:pPr>
      <w:r>
        <w:rPr>
          <w:rFonts w:hint="eastAsia" w:ascii="仿宋_GB2312" w:eastAsia="仿宋_GB2312" w:cs="仿宋_GB2312"/>
          <w:sz w:val="32"/>
          <w:szCs w:val="32"/>
          <w:lang w:eastAsia="zh-CN" w:bidi="ar-SA"/>
        </w:rPr>
        <w:t>按照市委</w:t>
      </w:r>
      <w:r>
        <w:rPr>
          <w:rFonts w:hint="eastAsia" w:ascii="仿宋_GB2312" w:cs="仿宋_GB2312"/>
          <w:sz w:val="32"/>
          <w:szCs w:val="32"/>
          <w:lang w:eastAsia="zh-CN" w:bidi="ar-SA"/>
        </w:rPr>
        <w:t>市政府要求</w:t>
      </w:r>
      <w:r>
        <w:rPr>
          <w:rFonts w:hint="eastAsia" w:ascii="仿宋_GB2312" w:eastAsia="仿宋_GB2312" w:cs="仿宋_GB2312"/>
          <w:sz w:val="32"/>
          <w:szCs w:val="32"/>
          <w:lang w:eastAsia="zh-CN" w:bidi="ar-SA"/>
        </w:rPr>
        <w:t>，我局</w:t>
      </w:r>
      <w:r>
        <w:rPr>
          <w:rFonts w:hint="eastAsia" w:ascii="仿宋_GB2312" w:cs="仿宋_GB2312"/>
          <w:sz w:val="32"/>
          <w:szCs w:val="32"/>
          <w:lang w:eastAsia="zh-CN" w:bidi="ar-SA"/>
        </w:rPr>
        <w:t>要积极向上争取各类专项资金，加大水利行业投入，促进我市各项水利事业快速发展</w:t>
      </w:r>
      <w:r>
        <w:rPr>
          <w:rFonts w:hint="eastAsia" w:ascii="仿宋_GB2312" w:eastAsia="仿宋_GB2312" w:cs="仿宋_GB2312"/>
          <w:color w:val="000000"/>
          <w:sz w:val="32"/>
          <w:szCs w:val="32"/>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en-US" w:eastAsia="zh-CN"/>
        </w:rPr>
        <w:t>2.</w:t>
      </w:r>
      <w:r>
        <w:rPr>
          <w:rFonts w:hint="eastAsia" w:ascii="仿宋_GB2312" w:hAnsi="宋体"/>
          <w:b w:val="0"/>
          <w:bCs w:val="0"/>
          <w:sz w:val="32"/>
          <w:szCs w:val="32"/>
          <w:lang w:val="zh-CN"/>
        </w:rPr>
        <w:t>项目立项、资金申报的依据</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textAlignment w:val="auto"/>
        <w:rPr>
          <w:rFonts w:hint="eastAsia" w:ascii="仿宋_GB2312" w:eastAsia="仿宋_GB2312"/>
          <w:color w:val="000000"/>
          <w:sz w:val="32"/>
          <w:szCs w:val="32"/>
          <w:lang w:val="zh-CN" w:eastAsia="zh-CN"/>
        </w:rPr>
      </w:pPr>
      <w:r>
        <w:rPr>
          <w:rFonts w:hint="eastAsia" w:ascii="仿宋_GB2312" w:eastAsia="仿宋_GB2312" w:cs="仿宋_GB2312"/>
          <w:color w:val="000000"/>
          <w:sz w:val="32"/>
          <w:szCs w:val="32"/>
          <w:lang w:val="en-US" w:eastAsia="zh-CN" w:bidi="ar-SA"/>
        </w:rPr>
        <w:t>根据</w:t>
      </w:r>
      <w:r>
        <w:rPr>
          <w:rFonts w:hint="eastAsia" w:ascii="仿宋_GB2312" w:cs="仿宋_GB2312"/>
          <w:color w:val="000000"/>
          <w:sz w:val="32"/>
          <w:szCs w:val="32"/>
          <w:lang w:val="en-US" w:eastAsia="zh-CN" w:bidi="ar-SA"/>
        </w:rPr>
        <w:t>市财政</w:t>
      </w:r>
      <w:r>
        <w:rPr>
          <w:rFonts w:hint="eastAsia" w:ascii="仿宋_GB2312" w:eastAsia="仿宋_GB2312" w:cs="仿宋_GB2312"/>
          <w:color w:val="000000"/>
          <w:sz w:val="32"/>
          <w:szCs w:val="32"/>
          <w:lang w:val="en-US" w:eastAsia="zh-CN" w:bidi="ar-SA"/>
        </w:rPr>
        <w:t>经费保障统一安排</w:t>
      </w:r>
      <w:r>
        <w:rPr>
          <w:rFonts w:hint="eastAsia" w:ascii="仿宋_GB2312" w:cs="仿宋_GB2312"/>
          <w:color w:val="000000"/>
          <w:sz w:val="32"/>
          <w:szCs w:val="32"/>
          <w:lang w:val="en-US" w:eastAsia="zh-CN" w:bidi="ar-SA"/>
        </w:rPr>
        <w:t>，</w:t>
      </w:r>
      <w:r>
        <w:rPr>
          <w:rFonts w:hint="eastAsia" w:ascii="仿宋_GB2312" w:eastAsia="仿宋_GB2312" w:cs="仿宋_GB2312"/>
          <w:color w:val="000000"/>
          <w:sz w:val="32"/>
          <w:szCs w:val="32"/>
          <w:lang w:val="en-US" w:eastAsia="zh-CN" w:bidi="ar-SA"/>
        </w:rPr>
        <w:t>作</w:t>
      </w:r>
      <w:r>
        <w:rPr>
          <w:rFonts w:hint="eastAsia" w:ascii="仿宋_GB2312" w:eastAsia="仿宋_GB2312"/>
          <w:color w:val="000000"/>
          <w:sz w:val="32"/>
          <w:szCs w:val="32"/>
          <w:lang w:val="en-US" w:eastAsia="zh-CN"/>
        </w:rPr>
        <w:t>为项目申报、立项依据</w:t>
      </w:r>
      <w:r>
        <w:rPr>
          <w:rFonts w:hint="eastAsia" w:ascii="仿宋_GB2312" w:eastAsia="仿宋_GB2312"/>
          <w:color w:val="000000"/>
          <w:sz w:val="32"/>
          <w:szCs w:val="32"/>
          <w:lang w:val="zh-CN"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color w:val="000000"/>
          <w:sz w:val="32"/>
          <w:szCs w:val="32"/>
          <w:lang w:val="zh-CN" w:eastAsia="zh-CN"/>
        </w:rPr>
        <w:t>该项目资金主要用于</w:t>
      </w:r>
      <w:r>
        <w:rPr>
          <w:rFonts w:hint="eastAsia" w:ascii="仿宋_GB2312"/>
          <w:color w:val="000000"/>
          <w:sz w:val="32"/>
          <w:szCs w:val="32"/>
          <w:lang w:val="zh-CN" w:eastAsia="zh-CN"/>
        </w:rPr>
        <w:t>争取资金工作</w:t>
      </w:r>
      <w:r>
        <w:rPr>
          <w:rFonts w:hint="eastAsia" w:ascii="仿宋_GB2312" w:eastAsia="仿宋_GB2312"/>
          <w:color w:val="000000"/>
          <w:sz w:val="32"/>
          <w:szCs w:val="32"/>
          <w:lang w:val="en-US" w:eastAsia="zh-CN"/>
        </w:rPr>
        <w:t>所产生的</w:t>
      </w:r>
      <w:r>
        <w:rPr>
          <w:rFonts w:hint="eastAsia" w:ascii="仿宋_GB2312"/>
          <w:color w:val="000000"/>
          <w:sz w:val="32"/>
          <w:szCs w:val="32"/>
          <w:lang w:val="en-US" w:eastAsia="zh-CN"/>
        </w:rPr>
        <w:t>交通费、差旅</w:t>
      </w:r>
      <w:r>
        <w:rPr>
          <w:rFonts w:hint="eastAsia" w:ascii="仿宋_GB2312" w:eastAsia="仿宋_GB2312"/>
          <w:color w:val="000000"/>
          <w:sz w:val="32"/>
          <w:szCs w:val="32"/>
          <w:lang w:val="en-US" w:eastAsia="zh-CN"/>
        </w:rPr>
        <w:t>费</w:t>
      </w:r>
      <w:r>
        <w:rPr>
          <w:rFonts w:hint="eastAsia" w:ascii="仿宋_GB2312"/>
          <w:color w:val="000000"/>
          <w:sz w:val="32"/>
          <w:szCs w:val="32"/>
          <w:lang w:val="en-US" w:eastAsia="zh-CN"/>
        </w:rPr>
        <w:t>、资料、会议等</w:t>
      </w:r>
      <w:r>
        <w:rPr>
          <w:rFonts w:hint="eastAsia" w:ascii="仿宋_GB2312" w:eastAsia="仿宋_GB2312"/>
          <w:color w:val="000000"/>
          <w:sz w:val="32"/>
          <w:szCs w:val="32"/>
          <w:lang w:val="en-US" w:eastAsia="zh-CN"/>
        </w:rPr>
        <w:t>费用</w:t>
      </w:r>
      <w:r>
        <w:rPr>
          <w:rFonts w:hint="eastAsia" w:ascii="仿宋_GB2312"/>
          <w:color w:val="000000"/>
          <w:sz w:val="32"/>
          <w:szCs w:val="32"/>
          <w:lang w:val="zh-CN" w:eastAsia="zh-CN"/>
        </w:rPr>
        <w:t>，并</w:t>
      </w:r>
      <w:r>
        <w:rPr>
          <w:rFonts w:hint="eastAsia" w:ascii="仿宋_GB2312" w:eastAsia="仿宋_GB2312"/>
          <w:color w:val="000000"/>
          <w:sz w:val="32"/>
          <w:szCs w:val="32"/>
          <w:lang w:val="zh-CN" w:eastAsia="zh-CN"/>
        </w:rPr>
        <w:t>根据《预算支出管理制度》等</w:t>
      </w:r>
      <w:r>
        <w:rPr>
          <w:rFonts w:hint="eastAsia" w:ascii="仿宋_GB2312"/>
          <w:color w:val="000000"/>
          <w:sz w:val="32"/>
          <w:szCs w:val="32"/>
          <w:lang w:val="zh-CN" w:eastAsia="zh-CN"/>
        </w:rPr>
        <w:t>进行管理。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80" w:lineRule="exact"/>
        <w:ind w:left="0" w:leftChars="0" w:firstLine="642" w:firstLineChars="200"/>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主要设置主要领导到省次数大于等于</w:t>
      </w:r>
      <w:r>
        <w:rPr>
          <w:rFonts w:hint="eastAsia" w:ascii="仿宋_GB2312" w:hAnsi="仿宋_GB2312" w:cs="仿宋_GB2312"/>
          <w:color w:val="auto"/>
          <w:kern w:val="0"/>
          <w:sz w:val="32"/>
          <w:szCs w:val="32"/>
          <w:highlight w:val="none"/>
          <w:u w:val="none"/>
          <w:shd w:val="clear" w:color="auto" w:fill="FFFFFF"/>
          <w:lang w:val="en-US" w:eastAsia="zh-CN"/>
        </w:rPr>
        <w:t>12次/年，主要领导到部次数</w:t>
      </w:r>
      <w:r>
        <w:rPr>
          <w:rFonts w:hint="eastAsia" w:ascii="仿宋_GB2312" w:hAnsi="仿宋_GB2312" w:cs="仿宋_GB2312"/>
          <w:color w:val="auto"/>
          <w:kern w:val="0"/>
          <w:sz w:val="32"/>
          <w:szCs w:val="32"/>
          <w:highlight w:val="none"/>
          <w:u w:val="none"/>
          <w:shd w:val="clear" w:color="auto" w:fill="FFFFFF"/>
          <w:lang w:val="zh-CN" w:eastAsia="zh-CN"/>
        </w:rPr>
        <w:t>大于等于</w:t>
      </w:r>
      <w:r>
        <w:rPr>
          <w:rFonts w:hint="eastAsia" w:ascii="仿宋_GB2312" w:hAnsi="仿宋_GB2312" w:cs="仿宋_GB2312"/>
          <w:color w:val="auto"/>
          <w:kern w:val="0"/>
          <w:sz w:val="32"/>
          <w:szCs w:val="32"/>
          <w:highlight w:val="none"/>
          <w:u w:val="none"/>
          <w:shd w:val="clear" w:color="auto" w:fill="FFFFFF"/>
          <w:lang w:val="en-US" w:eastAsia="zh-CN"/>
        </w:rPr>
        <w:t>2次/年；争取项目个数</w:t>
      </w:r>
      <w:r>
        <w:rPr>
          <w:rFonts w:hint="eastAsia" w:ascii="仿宋_GB2312" w:hAnsi="仿宋_GB2312" w:cs="仿宋_GB2312"/>
          <w:color w:val="auto"/>
          <w:kern w:val="0"/>
          <w:sz w:val="32"/>
          <w:szCs w:val="32"/>
          <w:highlight w:val="none"/>
          <w:u w:val="none"/>
          <w:shd w:val="clear" w:color="auto" w:fill="FFFFFF"/>
          <w:lang w:val="zh-CN" w:eastAsia="zh-CN"/>
        </w:rPr>
        <w:t>大于等于</w:t>
      </w:r>
      <w:r>
        <w:rPr>
          <w:rFonts w:hint="eastAsia" w:ascii="仿宋_GB2312" w:hAnsi="仿宋_GB2312" w:cs="仿宋_GB2312"/>
          <w:color w:val="auto"/>
          <w:kern w:val="0"/>
          <w:sz w:val="32"/>
          <w:szCs w:val="32"/>
          <w:highlight w:val="none"/>
          <w:u w:val="none"/>
          <w:shd w:val="clear" w:color="auto" w:fill="FFFFFF"/>
          <w:lang w:val="en-US" w:eastAsia="zh-CN"/>
        </w:rPr>
        <w:t>6个。</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对项目实施中项目争取情况、主要领导到部委和省厅</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80"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keepNext w:val="0"/>
        <w:keepLines w:val="0"/>
        <w:pageBreakBefore w:val="0"/>
        <w:kinsoku/>
        <w:wordWrap/>
        <w:overflowPunct/>
        <w:topLinePunct w:val="0"/>
        <w:autoSpaceDE/>
        <w:autoSpaceDN/>
        <w:bidi w:val="0"/>
        <w:adjustRightInd w:val="0"/>
        <w:snapToGrid w:val="0"/>
        <w:spacing w:line="580" w:lineRule="exact"/>
        <w:ind w:left="0" w:leftChars="0"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（三）个性指标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left="0" w:leftChars="0" w:firstLine="640" w:firstLineChars="200"/>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zh-CN" w:eastAsia="zh-CN"/>
        </w:rPr>
        <w:t>主要设置主要领导到省</w:t>
      </w:r>
      <w:r>
        <w:rPr>
          <w:rFonts w:hint="eastAsia" w:ascii="仿宋_GB2312" w:hAnsi="仿宋_GB2312" w:cs="仿宋_GB2312"/>
          <w:color w:val="auto"/>
          <w:kern w:val="0"/>
          <w:sz w:val="32"/>
          <w:szCs w:val="32"/>
          <w:highlight w:val="none"/>
          <w:u w:val="none"/>
          <w:shd w:val="clear" w:color="auto" w:fill="FFFFFF"/>
          <w:lang w:val="en-US" w:eastAsia="zh-CN"/>
        </w:rPr>
        <w:t>15次，主要领导到部3次；争取项目31个；所有指标均在12个月内完成。</w:t>
      </w:r>
    </w:p>
    <w:p>
      <w:pPr>
        <w:pStyle w:val="2"/>
        <w:keepNext w:val="0"/>
        <w:keepLines w:val="0"/>
        <w:pageBreakBefore w:val="0"/>
        <w:numPr>
          <w:ilvl w:val="0"/>
          <w:numId w:val="1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rPr>
        <w:t>评价结论</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eastAsia="仿宋_GB2312" w:cs="仿宋_GB2312"/>
          <w:color w:val="000000"/>
          <w:sz w:val="32"/>
          <w:szCs w:val="32"/>
          <w:lang w:eastAsia="zh-CN" w:bidi="ar-SA"/>
        </w:rPr>
        <w:t>该项目</w:t>
      </w:r>
      <w:r>
        <w:rPr>
          <w:rFonts w:hint="eastAsia" w:ascii="仿宋_GB2312" w:cs="仿宋_GB2312"/>
          <w:color w:val="000000"/>
          <w:sz w:val="32"/>
          <w:szCs w:val="32"/>
          <w:lang w:eastAsia="zh-CN" w:bidi="ar-SA"/>
        </w:rPr>
        <w:t>对包括国债资金在内的争取</w:t>
      </w:r>
      <w:r>
        <w:rPr>
          <w:rFonts w:hint="eastAsia" w:ascii="仿宋_GB2312" w:eastAsia="仿宋_GB2312" w:cs="仿宋_GB2312"/>
          <w:color w:val="000000"/>
          <w:sz w:val="32"/>
          <w:szCs w:val="32"/>
          <w:lang w:eastAsia="zh-CN" w:bidi="ar-SA"/>
        </w:rPr>
        <w:t>工作</w:t>
      </w:r>
      <w:r>
        <w:rPr>
          <w:rFonts w:hint="eastAsia" w:ascii="仿宋_GB2312" w:eastAsia="仿宋_GB2312"/>
          <w:color w:val="000000"/>
          <w:sz w:val="32"/>
          <w:szCs w:val="32"/>
          <w:lang w:val="en-US" w:eastAsia="zh-CN"/>
        </w:rPr>
        <w:t>提供了资金保障，成效显著</w:t>
      </w:r>
      <w:r>
        <w:rPr>
          <w:rFonts w:hint="eastAsia" w:ascii="仿宋_GB2312" w:eastAsia="仿宋_GB2312" w:cs="仿宋_GB2312"/>
          <w:color w:val="000000"/>
          <w:sz w:val="32"/>
          <w:szCs w:val="32"/>
          <w:lang w:eastAsia="zh-CN" w:bidi="ar-SA"/>
        </w:rPr>
        <w:t>。</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ind w:firstLine="640"/>
        <w:jc w:val="left"/>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eastAsia="zh-CN"/>
        </w:rPr>
        <w:t>2022年度</w:t>
      </w:r>
      <w:r>
        <w:rPr>
          <w:rFonts w:hint="eastAsia" w:ascii="方正小标宋简体" w:hAnsi="方正小标宋简体" w:eastAsia="方正小标宋简体" w:cs="方正小标宋简体"/>
          <w:b w:val="0"/>
          <w:bCs w:val="0"/>
          <w:sz w:val="44"/>
          <w:szCs w:val="44"/>
          <w:highlight w:val="none"/>
          <w:shd w:val="clear" w:color="auto" w:fill="FFFFFF"/>
          <w:lang w:val="en-US" w:eastAsia="zh-CN"/>
        </w:rPr>
        <w:t>中央水利发展资金</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楷体_GB2312" w:hAnsi="楷体_GB2312" w:eastAsia="楷体_GB2312" w:cs="楷体_GB2312"/>
          <w:b w:val="0"/>
          <w:bCs w:val="0"/>
          <w:color w:val="auto"/>
          <w:kern w:val="2"/>
          <w:sz w:val="44"/>
          <w:szCs w:val="44"/>
          <w:highlight w:val="none"/>
          <w:lang w:val="en-US" w:eastAsia="zh-CN"/>
        </w:rPr>
      </w:pPr>
      <w:r>
        <w:rPr>
          <w:rFonts w:hint="eastAsia" w:ascii="方正小标宋简体" w:hAnsi="方正小标宋简体" w:eastAsia="方正小标宋简体" w:cs="方正小标宋简体"/>
          <w:b w:val="0"/>
          <w:bCs w:val="0"/>
          <w:color w:val="auto"/>
          <w:kern w:val="2"/>
          <w:sz w:val="44"/>
          <w:szCs w:val="44"/>
        </w:rPr>
        <w:t>自评报告</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kinsoku/>
        <w:wordWrap/>
        <w:overflowPunct/>
        <w:topLinePunct w:val="0"/>
        <w:autoSpaceDE/>
        <w:autoSpaceDN/>
        <w:bidi w:val="0"/>
        <w:adjustRightInd w:val="0"/>
        <w:snapToGrid w:val="0"/>
        <w:spacing w:beforeAutospacing="0" w:afterAutospacing="0" w:line="596" w:lineRule="exact"/>
        <w:ind w:left="0" w:firstLine="640" w:firstLineChars="200"/>
        <w:jc w:val="both"/>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负责统一监督管理全市水资源（含地表水和地下水），负责水资源保护工作和水文水资源和水文站网建设和管理；指导饮用水水源保护、地下水开发利用和地下水资源的管理保护；负责全市农村水利工作，负责全市乡镇集中供水、农村饮水安全、节水灌溉、排水等工程建设与管理工作；承担广元市防汛抗旱指挥部的日常工作。</w:t>
      </w:r>
    </w:p>
    <w:p>
      <w:pPr>
        <w:keepNext w:val="0"/>
        <w:keepLines w:val="0"/>
        <w:pageBreakBefore w:val="0"/>
        <w:widowControl w:val="0"/>
        <w:numPr>
          <w:ilvl w:val="0"/>
          <w:numId w:val="6"/>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eastAsia" w:ascii="仿宋_GB2312" w:eastAsia="仿宋_GB2312"/>
          <w:color w:val="FF0000"/>
          <w:sz w:val="32"/>
          <w:szCs w:val="32"/>
          <w:lang w:val="zh-CN" w:eastAsia="zh-CN"/>
        </w:rPr>
      </w:pPr>
      <w:r>
        <w:rPr>
          <w:rFonts w:hint="eastAsia" w:ascii="仿宋_GB2312" w:hAnsi="仿宋_GB2312" w:eastAsia="仿宋_GB2312" w:cs="仿宋_GB2312"/>
          <w:sz w:val="32"/>
          <w:szCs w:val="32"/>
          <w:lang w:val="en-US" w:eastAsia="zh-CN"/>
        </w:rPr>
        <w:t>根据水利建设实际情况，按照十四五水利发展规划，202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年，在水资源管理、山洪灾害防御、水文基础能力提升和水库水雨情与水资源监测设施建设方面，争取了中央</w:t>
      </w:r>
      <w:r>
        <w:rPr>
          <w:rFonts w:hint="eastAsia" w:ascii="仿宋_GB2312" w:hAnsi="仿宋_GB2312" w:cs="仿宋_GB2312"/>
          <w:sz w:val="32"/>
          <w:szCs w:val="32"/>
          <w:lang w:val="en-US" w:eastAsia="zh-CN"/>
        </w:rPr>
        <w:t>水利发展</w:t>
      </w:r>
      <w:r>
        <w:rPr>
          <w:rFonts w:hint="eastAsia" w:ascii="仿宋_GB2312" w:hAnsi="仿宋_GB2312" w:eastAsia="仿宋_GB2312" w:cs="仿宋_GB2312"/>
          <w:sz w:val="32"/>
          <w:szCs w:val="32"/>
          <w:lang w:val="en-US" w:eastAsia="zh-CN"/>
        </w:rPr>
        <w:t>资金</w:t>
      </w:r>
      <w:r>
        <w:rPr>
          <w:rFonts w:hint="eastAsia" w:ascii="仿宋_GB2312" w:hAnsi="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sz w:val="32"/>
          <w:szCs w:val="32"/>
          <w:lang w:val="en-US" w:eastAsia="zh-CN"/>
        </w:rPr>
        <w:t>加大基层取用水情况指导监督力度，摸清取水口、用水量家底，严格执行取水许可和计划用水等制度，密切关注节水制度执行情况，提升取用水管理整体水平，充分发挥水资源要素保障作用。</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w:t>
      </w:r>
      <w:r>
        <w:rPr>
          <w:rFonts w:hint="eastAsia" w:ascii="仿宋_GB2312" w:hAnsi="仿宋_GB2312" w:cs="仿宋_GB2312"/>
          <w:color w:val="auto"/>
          <w:kern w:val="0"/>
          <w:sz w:val="32"/>
          <w:szCs w:val="32"/>
          <w:highlight w:val="none"/>
          <w:u w:val="none"/>
          <w:shd w:val="clear" w:color="auto" w:fill="FFFFFF"/>
          <w:lang w:val="en-US" w:eastAsia="zh-CN"/>
        </w:rPr>
        <w:t>40个</w:t>
      </w:r>
      <w:r>
        <w:rPr>
          <w:rFonts w:hint="eastAsia" w:ascii="仿宋_GB2312" w:hAnsi="仿宋_GB2312" w:cs="仿宋_GB2312"/>
          <w:color w:val="auto"/>
          <w:kern w:val="0"/>
          <w:sz w:val="32"/>
          <w:szCs w:val="32"/>
          <w:highlight w:val="none"/>
          <w:u w:val="none"/>
          <w:shd w:val="clear" w:color="auto" w:fill="FFFFFF"/>
          <w:lang w:val="zh-CN" w:eastAsia="zh-CN"/>
        </w:rPr>
        <w:t>取水口取水监测计量体系建设；政府满意度大于等于</w:t>
      </w:r>
      <w:r>
        <w:rPr>
          <w:rFonts w:hint="eastAsia" w:ascii="仿宋_GB2312" w:hAnsi="仿宋_GB2312" w:cs="仿宋_GB2312"/>
          <w:color w:val="auto"/>
          <w:kern w:val="0"/>
          <w:sz w:val="32"/>
          <w:szCs w:val="32"/>
          <w:highlight w:val="none"/>
          <w:u w:val="none"/>
          <w:shd w:val="clear" w:color="auto" w:fill="FFFFFF"/>
          <w:lang w:val="en-US" w:eastAsia="zh-CN"/>
        </w:rPr>
        <w:t>95%。</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w:t>
      </w:r>
      <w:r>
        <w:rPr>
          <w:rFonts w:hint="eastAsia" w:ascii="仿宋_GB2312" w:hAnsi="仿宋_GB2312" w:cs="仿宋_GB2312"/>
          <w:color w:val="auto"/>
          <w:kern w:val="0"/>
          <w:sz w:val="32"/>
          <w:szCs w:val="32"/>
          <w:highlight w:val="none"/>
          <w:u w:val="none"/>
          <w:shd w:val="clear" w:color="auto" w:fill="FFFFFF"/>
          <w:lang w:val="zh-CN" w:eastAsia="zh-CN"/>
        </w:rPr>
        <w:t>取水口取水监测</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val="0"/>
        <w:snapToGrid w:val="0"/>
        <w:spacing w:line="596" w:lineRule="exact"/>
        <w:ind w:firstLine="640" w:firstLineChars="200"/>
        <w:jc w:val="both"/>
        <w:textAlignment w:val="auto"/>
        <w:rPr>
          <w:rFonts w:hint="eastAsia" w:ascii="黑体" w:hAnsi="黑体" w:eastAsia="黑体" w:cs="黑体"/>
          <w:b w:val="0"/>
          <w:bCs w:val="0"/>
          <w:sz w:val="32"/>
          <w:szCs w:val="32"/>
          <w:highlight w:val="none"/>
        </w:rPr>
      </w:pPr>
      <w:r>
        <w:rPr>
          <w:rFonts w:hint="eastAsia" w:ascii="仿宋_GB2312" w:hAnsi="仿宋_GB2312" w:cs="仿宋_GB2312"/>
          <w:color w:val="auto"/>
          <w:kern w:val="0"/>
          <w:sz w:val="32"/>
          <w:szCs w:val="32"/>
          <w:highlight w:val="none"/>
          <w:u w:val="none"/>
          <w:shd w:val="clear" w:color="auto" w:fill="FFFFFF"/>
          <w:lang w:val="zh-CN" w:eastAsia="zh-CN"/>
        </w:rPr>
        <w:t>取水口取水监测计量体系建设</w:t>
      </w:r>
      <w:r>
        <w:rPr>
          <w:rFonts w:hint="eastAsia" w:ascii="仿宋_GB2312" w:hAnsi="仿宋_GB2312" w:cs="仿宋_GB2312"/>
          <w:color w:val="auto"/>
          <w:kern w:val="0"/>
          <w:sz w:val="32"/>
          <w:szCs w:val="32"/>
          <w:highlight w:val="none"/>
          <w:u w:val="none"/>
          <w:shd w:val="clear" w:color="auto" w:fill="FFFFFF"/>
          <w:lang w:val="en-US" w:eastAsia="zh-CN"/>
        </w:rPr>
        <w:t>40个</w:t>
      </w:r>
      <w:r>
        <w:rPr>
          <w:rFonts w:hint="eastAsia" w:ascii="仿宋_GB2312" w:hAnsi="仿宋_GB2312" w:cs="仿宋_GB2312"/>
          <w:color w:val="auto"/>
          <w:kern w:val="0"/>
          <w:sz w:val="32"/>
          <w:szCs w:val="32"/>
          <w:highlight w:val="none"/>
          <w:u w:val="none"/>
          <w:shd w:val="clear" w:color="auto" w:fill="FFFFFF"/>
          <w:lang w:val="zh-CN" w:eastAsia="zh-CN"/>
        </w:rPr>
        <w:t>；政府满意度大于等于</w:t>
      </w:r>
      <w:r>
        <w:rPr>
          <w:rFonts w:hint="eastAsia" w:ascii="仿宋_GB2312" w:hAnsi="仿宋_GB2312" w:cs="仿宋_GB2312"/>
          <w:color w:val="auto"/>
          <w:kern w:val="0"/>
          <w:sz w:val="32"/>
          <w:szCs w:val="32"/>
          <w:highlight w:val="none"/>
          <w:u w:val="none"/>
          <w:shd w:val="clear" w:color="auto" w:fill="FFFFFF"/>
          <w:lang w:val="en-US" w:eastAsia="zh-CN"/>
        </w:rPr>
        <w:t>95%；完成时间12个月内。</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202</w:t>
      </w:r>
      <w:r>
        <w:rPr>
          <w:rFonts w:hint="eastAsia" w:ascii="仿宋_GB2312" w:hAnsi="仿宋_GB2312" w:cs="仿宋_GB2312"/>
          <w:b w:val="0"/>
          <w:bCs w:val="0"/>
          <w:color w:val="auto"/>
          <w:kern w:val="0"/>
          <w:sz w:val="32"/>
          <w:szCs w:val="32"/>
          <w:highlight w:val="none"/>
          <w:u w:val="none"/>
          <w:shd w:val="clear" w:color="auto" w:fill="FFFFFF"/>
          <w:lang w:val="en-US" w:eastAsia="zh-CN"/>
        </w:rPr>
        <w:t>3</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年中央水利发展资金项目按照资金管理要求，做到专款专用，账务处理及时，会计核算规范</w:t>
      </w:r>
      <w:r>
        <w:rPr>
          <w:rFonts w:hint="eastAsia" w:ascii="仿宋_GB2312" w:hAnsi="仿宋_GB2312" w:cs="仿宋_GB2312"/>
          <w:b w:val="0"/>
          <w:bCs w:val="0"/>
          <w:color w:val="auto"/>
          <w:kern w:val="0"/>
          <w:sz w:val="32"/>
          <w:szCs w:val="32"/>
          <w:highlight w:val="none"/>
          <w:u w:val="none"/>
          <w:shd w:val="clear" w:color="auto" w:fill="FFFFFF"/>
          <w:lang w:val="en-US" w:eastAsia="zh-CN"/>
        </w:rPr>
        <w:t>，</w:t>
      </w:r>
      <w:r>
        <w:rPr>
          <w:rFonts w:hint="eastAsia" w:ascii="仿宋_GB2312" w:hAnsi="仿宋_GB2312" w:eastAsia="仿宋_GB2312" w:cs="仿宋_GB2312"/>
          <w:b w:val="0"/>
          <w:bCs w:val="0"/>
          <w:color w:val="auto"/>
          <w:kern w:val="0"/>
          <w:sz w:val="32"/>
          <w:szCs w:val="32"/>
          <w:highlight w:val="none"/>
          <w:u w:val="none"/>
          <w:shd w:val="clear" w:color="auto" w:fill="FFFFFF"/>
          <w:lang w:val="en-US" w:eastAsia="zh-CN"/>
        </w:rPr>
        <w:t>取水口</w:t>
      </w:r>
      <w:r>
        <w:rPr>
          <w:rFonts w:hint="eastAsia" w:ascii="仿宋_GB2312" w:hAnsi="仿宋_GB2312" w:cs="仿宋_GB2312"/>
          <w:color w:val="auto"/>
          <w:kern w:val="0"/>
          <w:sz w:val="32"/>
          <w:szCs w:val="32"/>
          <w:highlight w:val="none"/>
          <w:u w:val="none"/>
          <w:shd w:val="clear" w:color="auto" w:fill="FFFFFF"/>
          <w:lang w:val="zh-CN" w:eastAsia="zh-CN"/>
        </w:rPr>
        <w:t>取水监测计量体系建设得到提升巩固</w:t>
      </w:r>
      <w:r>
        <w:rPr>
          <w:rFonts w:hint="eastAsia" w:ascii="仿宋_GB2312" w:hAnsi="仿宋_GB2312" w:cs="仿宋_GB2312"/>
          <w:b w:val="0"/>
          <w:bCs w:val="0"/>
          <w:color w:val="auto"/>
          <w:kern w:val="0"/>
          <w:sz w:val="32"/>
          <w:szCs w:val="32"/>
          <w:highlight w:val="none"/>
          <w:u w:val="none"/>
          <w:shd w:val="clear" w:color="auto" w:fill="FFFFFF"/>
          <w:lang w:val="en-US" w:eastAsia="zh-CN"/>
        </w:rPr>
        <w:t>。</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rPr>
          <w:rFonts w:hint="eastAsia"/>
          <w:lang w:val="en-US" w:eastAsia="zh-CN"/>
        </w:rPr>
      </w:pPr>
    </w:p>
    <w:p>
      <w:pPr>
        <w:pStyle w:val="2"/>
        <w:rPr>
          <w:rFonts w:hint="eastAsia"/>
          <w:lang w:val="zh-CN" w:eastAsia="zh-CN"/>
        </w:rPr>
      </w:pPr>
    </w:p>
    <w:p>
      <w:pPr>
        <w:pStyle w:val="2"/>
        <w:rPr>
          <w:rFonts w:hint="eastAsia"/>
          <w:lang w:val="zh-CN" w:eastAsia="zh-CN"/>
        </w:rPr>
      </w:pPr>
    </w:p>
    <w:p>
      <w:pPr>
        <w:rPr>
          <w:rFonts w:hint="eastAsia"/>
          <w:lang w:val="zh-CN" w:eastAsia="zh-CN"/>
        </w:rPr>
      </w:pPr>
    </w:p>
    <w:p>
      <w:pPr>
        <w:pStyle w:val="2"/>
        <w:rPr>
          <w:rFonts w:hint="eastAsia"/>
          <w:lang w:val="zh-CN" w:eastAsia="zh-CN"/>
        </w:rPr>
      </w:pPr>
    </w:p>
    <w:p>
      <w:pPr>
        <w:rPr>
          <w:rFonts w:hint="eastAsia"/>
          <w:lang w:val="zh-CN" w:eastAsia="zh-CN"/>
        </w:rPr>
      </w:pPr>
    </w:p>
    <w:p>
      <w:pPr>
        <w:pStyle w:val="2"/>
        <w:rPr>
          <w:rFonts w:hint="eastAsia"/>
          <w:lang w:val="zh-CN" w:eastAsia="zh-CN"/>
        </w:rPr>
      </w:pPr>
    </w:p>
    <w:p>
      <w:pPr>
        <w:rPr>
          <w:rFonts w:hint="eastAsia"/>
          <w:lang w:val="zh-CN" w:eastAsia="zh-CN"/>
        </w:rPr>
      </w:pPr>
    </w:p>
    <w:p>
      <w:pPr>
        <w:pStyle w:val="2"/>
        <w:rPr>
          <w:rFonts w:hint="eastAsia"/>
          <w:lang w:val="zh-CN" w:eastAsia="zh-CN"/>
        </w:rPr>
      </w:pPr>
    </w:p>
    <w:p>
      <w:pPr>
        <w:rPr>
          <w:rFonts w:hint="eastAsia"/>
          <w:lang w:val="zh-CN" w:eastAsia="zh-CN"/>
        </w:rPr>
      </w:pPr>
    </w:p>
    <w:p>
      <w:pPr>
        <w:pStyle w:val="2"/>
        <w:rPr>
          <w:rFonts w:hint="eastAsia"/>
          <w:lang w:val="zh-CN" w:eastAsia="zh-CN"/>
        </w:rPr>
      </w:pPr>
    </w:p>
    <w:p>
      <w:pPr>
        <w:rPr>
          <w:rFonts w:hint="eastAsia"/>
          <w:lang w:val="zh-CN" w:eastAsia="zh-CN"/>
        </w:rPr>
      </w:pPr>
    </w:p>
    <w:p>
      <w:pPr>
        <w:pStyle w:val="2"/>
        <w:rPr>
          <w:rFonts w:hint="eastAsia"/>
          <w:lang w:val="zh-CN" w:eastAsia="zh-CN"/>
        </w:rPr>
      </w:pPr>
    </w:p>
    <w:p>
      <w:pPr>
        <w:rPr>
          <w:rFonts w:hint="eastAsia"/>
          <w:lang w:val="zh-CN" w:eastAsia="zh-CN"/>
        </w:rPr>
      </w:pPr>
    </w:p>
    <w:p>
      <w:pPr>
        <w:pStyle w:val="2"/>
        <w:rPr>
          <w:rFonts w:hint="eastAsia"/>
          <w:lang w:val="zh-CN" w:eastAsia="zh-CN"/>
        </w:rPr>
      </w:pPr>
    </w:p>
    <w:p>
      <w:pPr>
        <w:rPr>
          <w:rFonts w:hint="eastAsia"/>
          <w:lang w:val="zh-CN"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eastAsia="zh-CN"/>
        </w:rPr>
        <w:t>2022年度</w:t>
      </w:r>
      <w:r>
        <w:rPr>
          <w:rFonts w:hint="eastAsia" w:ascii="方正小标宋简体" w:hAnsi="方正小标宋简体" w:eastAsia="方正小标宋简体" w:cs="方正小标宋简体"/>
          <w:b w:val="0"/>
          <w:bCs w:val="0"/>
          <w:sz w:val="44"/>
          <w:szCs w:val="44"/>
          <w:highlight w:val="none"/>
          <w:shd w:val="clear" w:color="auto" w:fill="FFFFFF"/>
          <w:lang w:val="en-US" w:eastAsia="zh-CN"/>
        </w:rPr>
        <w:t>专项债券项目</w:t>
      </w:r>
      <w:r>
        <w:rPr>
          <w:rFonts w:hint="eastAsia" w:ascii="方正小标宋简体" w:hAnsi="方正小标宋简体" w:eastAsia="方正小标宋简体" w:cs="方正小标宋简体"/>
          <w:b w:val="0"/>
          <w:bCs w:val="0"/>
          <w:color w:val="auto"/>
          <w:kern w:val="2"/>
          <w:sz w:val="44"/>
          <w:szCs w:val="44"/>
          <w:lang w:eastAsia="zh-CN"/>
        </w:rPr>
        <w:t>支出</w:t>
      </w:r>
      <w:r>
        <w:rPr>
          <w:rFonts w:hint="eastAsia" w:ascii="方正小标宋简体" w:hAnsi="方正小标宋简体" w:eastAsia="方正小标宋简体" w:cs="方正小标宋简体"/>
          <w:b w:val="0"/>
          <w:bCs w:val="0"/>
          <w:color w:val="auto"/>
          <w:kern w:val="2"/>
          <w:sz w:val="44"/>
          <w:szCs w:val="44"/>
        </w:rPr>
        <w:t>绩效</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楷体_GB2312" w:hAnsi="楷体_GB2312" w:eastAsia="楷体_GB2312" w:cs="楷体_GB2312"/>
          <w:b w:val="0"/>
          <w:bCs w:val="0"/>
          <w:color w:val="auto"/>
          <w:kern w:val="2"/>
          <w:sz w:val="44"/>
          <w:szCs w:val="44"/>
          <w:highlight w:val="none"/>
          <w:lang w:val="en-US" w:eastAsia="zh-CN"/>
        </w:rPr>
      </w:pPr>
      <w:r>
        <w:rPr>
          <w:rFonts w:hint="eastAsia" w:ascii="方正小标宋简体" w:hAnsi="方正小标宋简体" w:eastAsia="方正小标宋简体" w:cs="方正小标宋简体"/>
          <w:b w:val="0"/>
          <w:bCs w:val="0"/>
          <w:color w:val="auto"/>
          <w:kern w:val="2"/>
          <w:sz w:val="44"/>
          <w:szCs w:val="44"/>
        </w:rPr>
        <w:t>自评报告</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1．部门管理职能</w:t>
      </w:r>
    </w:p>
    <w:p>
      <w:pPr>
        <w:keepNext w:val="0"/>
        <w:keepLines w:val="0"/>
        <w:pageBreakBefore w:val="0"/>
        <w:kinsoku/>
        <w:wordWrap/>
        <w:overflowPunct/>
        <w:topLinePunct w:val="0"/>
        <w:autoSpaceDE/>
        <w:autoSpaceDN/>
        <w:bidi w:val="0"/>
        <w:adjustRightInd w:val="0"/>
        <w:snapToGrid w:val="0"/>
        <w:spacing w:beforeAutospacing="0" w:afterAutospacing="0" w:line="596" w:lineRule="exact"/>
        <w:ind w:left="0" w:firstLine="640" w:firstLineChars="200"/>
        <w:jc w:val="both"/>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负责统一监督管理全市水资源（含地表水和地下水），负责水资源保护工作和水文水资源和水文站网建设和管理；指导饮用水水源保护、地下水开发利用和地下水资源的管理保护；负责全市农村水利工作，负责全市乡镇集中供水、农村饮水安全、节水灌溉、排水等工程建设与管理工作；承担广元市防汛抗旱指挥部的日常工作。</w:t>
      </w:r>
    </w:p>
    <w:p>
      <w:pPr>
        <w:keepNext w:val="0"/>
        <w:keepLines w:val="0"/>
        <w:pageBreakBefore w:val="0"/>
        <w:widowControl w:val="0"/>
        <w:numPr>
          <w:ilvl w:val="0"/>
          <w:numId w:val="6"/>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项目立项、资金申报的依据</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hint="default" w:ascii="仿宋_GB2312" w:eastAsia="仿宋_GB2312"/>
          <w:color w:val="FF0000"/>
          <w:sz w:val="32"/>
          <w:szCs w:val="32"/>
          <w:lang w:val="en-US" w:eastAsia="zh-CN"/>
        </w:rPr>
      </w:pPr>
      <w:r>
        <w:rPr>
          <w:rFonts w:hint="eastAsia" w:ascii="仿宋_GB2312" w:hAnsi="仿宋_GB2312" w:cs="仿宋_GB2312"/>
          <w:sz w:val="32"/>
          <w:szCs w:val="32"/>
          <w:lang w:val="en-US" w:eastAsia="zh-CN"/>
        </w:rPr>
        <w:t>为更好发挥地方债券资金使用效益，促进经济增长，社会事业发展，</w:t>
      </w:r>
      <w:r>
        <w:rPr>
          <w:rFonts w:hint="eastAsia" w:ascii="仿宋_GB2312" w:hAnsi="仿宋_GB2312" w:eastAsia="仿宋_GB2312" w:cs="仿宋_GB2312"/>
          <w:sz w:val="32"/>
          <w:szCs w:val="32"/>
          <w:lang w:val="en-US" w:eastAsia="zh-CN"/>
        </w:rPr>
        <w:t>根据</w:t>
      </w:r>
      <w:r>
        <w:rPr>
          <w:rFonts w:hint="eastAsia" w:ascii="仿宋_GB2312" w:hAnsi="仿宋_GB2312" w:cs="仿宋_GB2312"/>
          <w:sz w:val="32"/>
          <w:szCs w:val="32"/>
          <w:lang w:val="en-US" w:eastAsia="zh-CN"/>
        </w:rPr>
        <w:t>专项债券使用规定，可申请专项债用于偿还拖欠企业账款，经初步清理，我局拖欠1325万元企业账款。</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cs="仿宋_GB2312"/>
          <w:sz w:val="32"/>
          <w:szCs w:val="32"/>
          <w:lang w:val="en-US" w:eastAsia="zh-CN"/>
        </w:rPr>
        <w:t>偿还拖欠企业账款</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w:t>
      </w:r>
      <w:r>
        <w:rPr>
          <w:rFonts w:hint="eastAsia" w:ascii="仿宋_GB2312" w:hAnsi="仿宋_GB2312" w:cs="仿宋_GB2312"/>
          <w:color w:val="auto"/>
          <w:kern w:val="0"/>
          <w:sz w:val="32"/>
          <w:szCs w:val="32"/>
          <w:highlight w:val="none"/>
          <w:u w:val="none"/>
          <w:shd w:val="clear" w:color="auto" w:fill="FFFFFF"/>
          <w:lang w:val="en-US" w:eastAsia="zh-CN"/>
        </w:rPr>
        <w:t>拖欠企业数量3家；资金偿还时间小于等于2个月；企业满意度大于等于95%。</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w:t>
      </w:r>
      <w:r>
        <w:rPr>
          <w:rFonts w:hint="eastAsia" w:ascii="仿宋_GB2312" w:hAnsi="仿宋_GB2312" w:cs="仿宋_GB2312"/>
          <w:color w:val="auto"/>
          <w:kern w:val="0"/>
          <w:sz w:val="32"/>
          <w:szCs w:val="32"/>
          <w:highlight w:val="none"/>
          <w:u w:val="none"/>
          <w:shd w:val="clear" w:color="auto" w:fill="FFFFFF"/>
          <w:lang w:val="en-US" w:eastAsia="zh-CN"/>
        </w:rPr>
        <w:t>对偿还支付</w:t>
      </w:r>
      <w:r>
        <w:rPr>
          <w:rFonts w:hint="eastAsia" w:ascii="仿宋_GB2312" w:hAnsi="仿宋_GB2312" w:cs="仿宋_GB2312"/>
          <w:sz w:val="32"/>
          <w:szCs w:val="32"/>
          <w:lang w:val="en-US" w:eastAsia="zh-CN"/>
        </w:rPr>
        <w:t>情况进行抽查。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该项目按规定用途、适用范围进行本地区专项资金分配，资金管理程序符合专项资金管理要求，资金分配标准符合专项资金管理要求</w:t>
      </w:r>
      <w:r>
        <w:rPr>
          <w:rFonts w:hint="eastAsia" w:cs="Times New Roman"/>
          <w:color w:val="auto"/>
          <w:kern w:val="2"/>
          <w:sz w:val="32"/>
          <w:szCs w:val="32"/>
          <w:lang w:val="en-US" w:eastAsia="zh-CN" w:bidi="ar-SA"/>
        </w:rPr>
        <w:t>。</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kinsoku/>
        <w:wordWrap/>
        <w:overflowPunct/>
        <w:topLinePunct w:val="0"/>
        <w:autoSpaceDE/>
        <w:autoSpaceDN/>
        <w:bidi w:val="0"/>
        <w:adjustRightInd w:val="0"/>
        <w:snapToGrid w:val="0"/>
        <w:spacing w:line="596" w:lineRule="exact"/>
        <w:ind w:firstLine="640" w:firstLineChars="200"/>
        <w:jc w:val="both"/>
        <w:textAlignment w:val="auto"/>
        <w:rPr>
          <w:rFonts w:hint="eastAsia" w:ascii="黑体" w:hAnsi="黑体" w:eastAsia="黑体" w:cs="黑体"/>
          <w:b w:val="0"/>
          <w:bCs w:val="0"/>
          <w:sz w:val="32"/>
          <w:szCs w:val="32"/>
          <w:highlight w:val="none"/>
        </w:rPr>
      </w:pPr>
      <w:r>
        <w:rPr>
          <w:rFonts w:hint="eastAsia" w:ascii="仿宋_GB2312" w:hAnsi="仿宋_GB2312" w:cs="仿宋_GB2312"/>
          <w:color w:val="auto"/>
          <w:kern w:val="0"/>
          <w:sz w:val="32"/>
          <w:szCs w:val="32"/>
          <w:highlight w:val="none"/>
          <w:u w:val="none"/>
          <w:shd w:val="clear" w:color="auto" w:fill="FFFFFF"/>
          <w:lang w:val="en-US" w:eastAsia="zh-CN"/>
        </w:rPr>
        <w:t>拖欠企业数量3家；资金偿还时间小于等于2个月；企业满意度100%。</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cs="仿宋_GB2312"/>
          <w:b w:val="0"/>
          <w:bCs w:val="0"/>
          <w:color w:val="auto"/>
          <w:kern w:val="0"/>
          <w:sz w:val="32"/>
          <w:szCs w:val="32"/>
          <w:highlight w:val="none"/>
          <w:u w:val="none"/>
          <w:shd w:val="clear" w:color="auto" w:fill="FFFFFF"/>
          <w:lang w:val="en-US" w:eastAsia="zh-CN"/>
        </w:rPr>
        <w:t>按照文件要求，我局深度清理拖欠企业欠款1325万元，并与企业沟通核实，按程序进申报专项债券资金偿还，做好偿还资料归档，提升营商环境。</w:t>
      </w:r>
      <w:r>
        <w:rPr>
          <w:rFonts w:hint="eastAsia" w:ascii="仿宋_GB2312" w:hAnsi="仿宋_GB2312" w:eastAsia="仿宋_GB2312" w:cs="仿宋_GB2312"/>
          <w:color w:val="auto"/>
          <w:sz w:val="32"/>
          <w:szCs w:val="32"/>
          <w:lang w:val="en-US" w:eastAsia="zh-CN"/>
        </w:rPr>
        <w:t>自评得分100分。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pStyle w:val="2"/>
        <w:rPr>
          <w:rFonts w:hint="eastAsia"/>
          <w:lang w:val="zh-CN" w:eastAsia="zh-CN"/>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35"/>
        <w:keepNext w:val="0"/>
        <w:keepLines w:val="0"/>
        <w:pageBreakBefore w:val="0"/>
        <w:widowControl w:val="0"/>
        <w:kinsoku/>
        <w:wordWrap/>
        <w:overflowPunct/>
        <w:topLinePunct w:val="0"/>
        <w:autoSpaceDE/>
        <w:autoSpaceDN/>
        <w:bidi w:val="0"/>
        <w:adjustRightInd/>
        <w:snapToGrid/>
        <w:spacing w:line="700"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lang w:eastAsia="zh-CN"/>
        </w:rPr>
      </w:pPr>
      <w:r>
        <w:rPr>
          <w:rFonts w:hint="eastAsia" w:ascii="方正小标宋简体" w:hAnsi="方正小标宋简体" w:eastAsia="方正小标宋简体" w:cs="方正小标宋简体"/>
          <w:b w:val="0"/>
          <w:bCs w:val="0"/>
          <w:color w:val="auto"/>
          <w:kern w:val="2"/>
          <w:sz w:val="44"/>
          <w:szCs w:val="44"/>
          <w:lang w:eastAsia="zh-CN"/>
        </w:rPr>
        <w:t>广元市水利局</w:t>
      </w:r>
    </w:p>
    <w:p>
      <w:pPr>
        <w:pStyle w:val="35"/>
        <w:keepNext w:val="0"/>
        <w:keepLines w:val="0"/>
        <w:pageBreakBefore w:val="0"/>
        <w:widowControl w:val="0"/>
        <w:kinsoku/>
        <w:wordWrap/>
        <w:overflowPunct/>
        <w:topLinePunct w:val="0"/>
        <w:autoSpaceDE/>
        <w:autoSpaceDN/>
        <w:bidi w:val="0"/>
        <w:adjustRightInd/>
        <w:snapToGrid/>
        <w:spacing w:line="576" w:lineRule="exact"/>
        <w:ind w:firstLine="0"/>
        <w:jc w:val="center"/>
        <w:textAlignment w:val="auto"/>
        <w:rPr>
          <w:rFonts w:hint="eastAsia" w:ascii="方正小标宋简体" w:hAnsi="方正小标宋简体" w:eastAsia="方正小标宋简体" w:cs="方正小标宋简体"/>
          <w:b w:val="0"/>
          <w:bCs w:val="0"/>
          <w:color w:val="auto"/>
          <w:kern w:val="2"/>
          <w:sz w:val="44"/>
          <w:szCs w:val="44"/>
        </w:rPr>
      </w:pPr>
      <w:r>
        <w:rPr>
          <w:rFonts w:hint="eastAsia" w:ascii="方正小标宋简体" w:hAnsi="方正小标宋简体" w:eastAsia="方正小标宋简体" w:cs="方正小标宋简体"/>
          <w:b w:val="0"/>
          <w:bCs w:val="0"/>
          <w:color w:val="auto"/>
          <w:kern w:val="2"/>
          <w:sz w:val="44"/>
          <w:szCs w:val="44"/>
          <w:lang w:eastAsia="zh-CN"/>
        </w:rPr>
        <w:t>202</w:t>
      </w:r>
      <w:r>
        <w:rPr>
          <w:rFonts w:hint="eastAsia" w:ascii="方正小标宋简体" w:hAnsi="方正小标宋简体" w:eastAsia="方正小标宋简体" w:cs="方正小标宋简体"/>
          <w:b w:val="0"/>
          <w:bCs w:val="0"/>
          <w:color w:val="auto"/>
          <w:kern w:val="2"/>
          <w:sz w:val="44"/>
          <w:szCs w:val="44"/>
          <w:lang w:val="en-US" w:eastAsia="zh-CN"/>
        </w:rPr>
        <w:t>3</w:t>
      </w:r>
      <w:r>
        <w:rPr>
          <w:rFonts w:hint="eastAsia" w:ascii="方正小标宋简体" w:hAnsi="方正小标宋简体" w:eastAsia="方正小标宋简体" w:cs="方正小标宋简体"/>
          <w:b w:val="0"/>
          <w:bCs w:val="0"/>
          <w:color w:val="auto"/>
          <w:kern w:val="2"/>
          <w:sz w:val="44"/>
          <w:szCs w:val="44"/>
          <w:lang w:eastAsia="zh-CN"/>
        </w:rPr>
        <w:t>年新建南河城区段拦水坝项目支出</w:t>
      </w:r>
      <w:r>
        <w:rPr>
          <w:rFonts w:hint="eastAsia" w:ascii="方正小标宋简体" w:hAnsi="方正小标宋简体" w:eastAsia="方正小标宋简体" w:cs="方正小标宋简体"/>
          <w:b w:val="0"/>
          <w:bCs w:val="0"/>
          <w:color w:val="auto"/>
          <w:kern w:val="2"/>
          <w:sz w:val="44"/>
          <w:szCs w:val="44"/>
        </w:rPr>
        <w:t>绩效自评报告</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sz w:val="32"/>
          <w:szCs w:val="32"/>
          <w:highlight w:val="none"/>
          <w:lang w:val="zh-CN"/>
        </w:rPr>
      </w:pPr>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zh-CN"/>
        </w:rPr>
        <w:t>1</w:t>
      </w:r>
      <w:r>
        <w:rPr>
          <w:rFonts w:hint="eastAsia" w:ascii="仿宋_GB2312" w:hAnsi="宋体"/>
          <w:b w:val="0"/>
          <w:bCs w:val="0"/>
          <w:sz w:val="32"/>
          <w:szCs w:val="32"/>
          <w:lang w:val="en-US" w:eastAsia="zh-CN"/>
        </w:rPr>
        <w:t>.</w:t>
      </w:r>
      <w:r>
        <w:rPr>
          <w:rFonts w:hint="eastAsia" w:ascii="仿宋_GB2312" w:hAnsi="宋体"/>
          <w:b w:val="0"/>
          <w:bCs w:val="0"/>
          <w:sz w:val="32"/>
          <w:szCs w:val="32"/>
          <w:lang w:val="zh-CN"/>
        </w:rPr>
        <w:t>部门管理职能</w:t>
      </w:r>
    </w:p>
    <w:p>
      <w:pPr>
        <w:keepNext w:val="0"/>
        <w:keepLines w:val="0"/>
        <w:pageBreakBefore w:val="0"/>
        <w:widowControl w:val="0"/>
        <w:suppressLineNumbers w:val="0"/>
        <w:kinsoku/>
        <w:wordWrap/>
        <w:overflowPunct/>
        <w:topLinePunct w:val="0"/>
        <w:autoSpaceDE/>
        <w:autoSpaceDN/>
        <w:bidi w:val="0"/>
        <w:spacing w:line="576" w:lineRule="exact"/>
        <w:ind w:firstLine="640" w:firstLineChars="200"/>
        <w:jc w:val="both"/>
        <w:textAlignment w:val="auto"/>
        <w:rPr>
          <w:rFonts w:hint="eastAsia" w:ascii="仿宋_GB2312" w:eastAsia="仿宋_GB2312"/>
          <w:color w:val="000000"/>
          <w:sz w:val="32"/>
          <w:szCs w:val="32"/>
          <w:lang w:val="zh-CN" w:eastAsia="zh-CN"/>
        </w:rPr>
      </w:pPr>
      <w:r>
        <w:rPr>
          <w:rFonts w:hint="eastAsia" w:ascii="仿宋_GB2312" w:eastAsia="仿宋_GB2312" w:cs="仿宋_GB2312"/>
          <w:sz w:val="32"/>
          <w:szCs w:val="32"/>
          <w:lang w:eastAsia="zh-CN" w:bidi="ar-SA"/>
        </w:rPr>
        <w:t>按照市委</w:t>
      </w:r>
      <w:r>
        <w:rPr>
          <w:rFonts w:hint="eastAsia" w:ascii="仿宋_GB2312" w:cs="仿宋_GB2312"/>
          <w:sz w:val="32"/>
          <w:szCs w:val="32"/>
          <w:lang w:eastAsia="zh-CN" w:bidi="ar-SA"/>
        </w:rPr>
        <w:t>市政府要求</w:t>
      </w:r>
      <w:r>
        <w:rPr>
          <w:rFonts w:hint="eastAsia" w:ascii="仿宋_GB2312" w:eastAsia="仿宋_GB2312" w:cs="仿宋_GB2312"/>
          <w:sz w:val="32"/>
          <w:szCs w:val="32"/>
          <w:lang w:eastAsia="zh-CN" w:bidi="ar-SA"/>
        </w:rPr>
        <w:t>，</w:t>
      </w:r>
      <w:r>
        <w:rPr>
          <w:rFonts w:hint="eastAsia" w:ascii="仿宋_GB2312" w:eastAsia="仿宋_GB2312" w:cs="仿宋_GB2312"/>
          <w:sz w:val="32"/>
          <w:szCs w:val="32"/>
          <w:lang w:val="en-US" w:eastAsia="zh-CN" w:bidi="ar-SA"/>
        </w:rPr>
        <w:t>广元市南河城区段新建拦水坝工程与广元市水利局工作职责相符，与《栖凤湖规划》及当年重点工作相关。</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宋体"/>
          <w:b w:val="0"/>
          <w:bCs w:val="0"/>
          <w:sz w:val="32"/>
          <w:szCs w:val="32"/>
          <w:lang w:val="zh-CN"/>
        </w:rPr>
      </w:pPr>
      <w:r>
        <w:rPr>
          <w:rFonts w:hint="eastAsia" w:ascii="仿宋_GB2312" w:hAnsi="宋体"/>
          <w:b w:val="0"/>
          <w:bCs w:val="0"/>
          <w:sz w:val="32"/>
          <w:szCs w:val="32"/>
          <w:lang w:val="en-US" w:eastAsia="zh-CN"/>
        </w:rPr>
        <w:t>2.</w:t>
      </w:r>
      <w:r>
        <w:rPr>
          <w:rFonts w:hint="eastAsia" w:ascii="仿宋_GB2312" w:hAnsi="宋体"/>
          <w:b w:val="0"/>
          <w:bCs w:val="0"/>
          <w:sz w:val="32"/>
          <w:szCs w:val="32"/>
          <w:lang w:val="zh-CN"/>
        </w:rPr>
        <w:t>项目立项、资金申报的依据</w:t>
      </w:r>
    </w:p>
    <w:p>
      <w:pPr>
        <w:keepNext w:val="0"/>
        <w:keepLines w:val="0"/>
        <w:pageBreakBefore w:val="0"/>
        <w:widowControl w:val="0"/>
        <w:suppressLineNumbers w:val="0"/>
        <w:kinsoku/>
        <w:wordWrap/>
        <w:overflowPunct/>
        <w:topLinePunct w:val="0"/>
        <w:autoSpaceDE/>
        <w:autoSpaceDN/>
        <w:bidi w:val="0"/>
        <w:spacing w:line="576" w:lineRule="exact"/>
        <w:ind w:firstLine="640" w:firstLineChars="200"/>
        <w:jc w:val="both"/>
        <w:textAlignment w:val="auto"/>
        <w:rPr>
          <w:rFonts w:hint="eastAsia" w:ascii="仿宋_GB2312" w:eastAsia="仿宋_GB2312" w:cs="仿宋_GB2312"/>
          <w:sz w:val="32"/>
          <w:szCs w:val="32"/>
          <w:lang w:eastAsia="zh-CN" w:bidi="ar-SA"/>
        </w:rPr>
      </w:pPr>
      <w:r>
        <w:rPr>
          <w:rFonts w:hint="eastAsia" w:ascii="仿宋_GB2312" w:eastAsia="仿宋_GB2312" w:cs="仿宋_GB2312"/>
          <w:sz w:val="32"/>
          <w:szCs w:val="32"/>
          <w:lang w:val="en-US" w:eastAsia="zh-CN" w:bidi="ar-SA"/>
        </w:rPr>
        <w:t>根据《栖凤湖总体规划》，为将栖凤湖打造成为广元城市名片、城市文化休闲旅游目的地和生态康养旅游集散地</w:t>
      </w:r>
      <w:r>
        <w:rPr>
          <w:rFonts w:hint="eastAsia" w:ascii="仿宋_GB2312" w:cs="仿宋_GB2312"/>
          <w:sz w:val="32"/>
          <w:szCs w:val="32"/>
          <w:lang w:val="en-US" w:eastAsia="zh-CN" w:bidi="ar-SA"/>
        </w:rPr>
        <w:t>，并</w:t>
      </w:r>
      <w:r>
        <w:rPr>
          <w:rFonts w:hint="eastAsia" w:ascii="仿宋_GB2312" w:eastAsia="仿宋_GB2312" w:cs="仿宋_GB2312"/>
          <w:sz w:val="32"/>
          <w:szCs w:val="32"/>
          <w:lang w:val="en-US" w:eastAsia="zh-CN" w:bidi="ar-SA"/>
        </w:rPr>
        <w:t>根据第七届市人民政府第 113 次常务会议议定，原则同意 2021 年启动该项目建设，项目资金纳入市财政预算。</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eastAsia="仿宋_GB2312"/>
          <w:color w:val="000000"/>
          <w:sz w:val="32"/>
          <w:szCs w:val="32"/>
          <w:lang w:val="zh-CN" w:eastAsia="zh-CN"/>
        </w:rPr>
        <w:t>该项目资金主要用于</w:t>
      </w:r>
      <w:r>
        <w:rPr>
          <w:rFonts w:hint="eastAsia" w:ascii="仿宋_GB2312" w:eastAsia="仿宋_GB2312" w:cs="仿宋_GB2312"/>
          <w:sz w:val="32"/>
          <w:szCs w:val="32"/>
          <w:lang w:val="en-US" w:eastAsia="zh-CN" w:bidi="ar-SA"/>
        </w:rPr>
        <w:t>规划新建雪峰拦水坝和九华拦水坝2座。</w:t>
      </w:r>
    </w:p>
    <w:p>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ascii="仿宋_GB2312" w:hAnsi="仿宋_GB2312" w:cs="仿宋_GB2312"/>
          <w:color w:val="auto"/>
          <w:kern w:val="0"/>
          <w:sz w:val="32"/>
          <w:szCs w:val="32"/>
          <w:highlight w:val="none"/>
          <w:u w:val="none"/>
          <w:shd w:val="clear" w:color="auto" w:fill="FFFFFF"/>
          <w:lang w:val="zh-CN" w:eastAsia="zh-CN"/>
        </w:rPr>
        <w:t>该项目为连续性项目，按照各科室职责职能，有关事项进行申报，合理测算资金需求，经资金管理科室初步审核，有关分管领导确认后提交局党组会，并根据市财政局资金下达总体情况，按当年工作任务，分轻重缓急，适当调整实施内容和金额，最终确定具体实施方案。</w:t>
      </w:r>
    </w:p>
    <w:p>
      <w:pPr>
        <w:keepNext w:val="0"/>
        <w:keepLines w:val="0"/>
        <w:pageBreakBefore w:val="0"/>
        <w:kinsoku/>
        <w:wordWrap/>
        <w:overflowPunct/>
        <w:topLinePunct w:val="0"/>
        <w:autoSpaceDE/>
        <w:autoSpaceDN/>
        <w:bidi w:val="0"/>
        <w:adjustRightInd w:val="0"/>
        <w:snapToGrid w:val="0"/>
        <w:spacing w:line="578" w:lineRule="exact"/>
        <w:ind w:left="0" w:leftChars="0" w:firstLine="642" w:firstLineChars="200"/>
        <w:textAlignment w:val="auto"/>
        <w:rPr>
          <w:rFonts w:hint="default" w:ascii="仿宋_GB2312" w:hAnsi="仿宋_GB2312" w:cs="仿宋_GB2312"/>
          <w:color w:val="auto"/>
          <w:kern w:val="0"/>
          <w:sz w:val="32"/>
          <w:szCs w:val="32"/>
          <w:highlight w:val="none"/>
          <w:u w:val="none"/>
          <w:shd w:val="clear" w:color="auto" w:fill="FFFFFF"/>
          <w:lang w:val="en-US"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ascii="仿宋_GB2312" w:hAnsi="仿宋_GB2312" w:cs="仿宋_GB2312"/>
          <w:color w:val="auto"/>
          <w:kern w:val="0"/>
          <w:sz w:val="32"/>
          <w:szCs w:val="32"/>
          <w:highlight w:val="none"/>
          <w:u w:val="none"/>
          <w:shd w:val="clear" w:color="auto" w:fill="FFFFFF"/>
          <w:lang w:val="zh-CN" w:eastAsia="zh-CN"/>
        </w:rPr>
        <w:t>主要设置建设拦水坝</w:t>
      </w:r>
      <w:r>
        <w:rPr>
          <w:rFonts w:hint="eastAsia" w:ascii="仿宋_GB2312" w:hAnsi="仿宋_GB2312" w:cs="仿宋_GB2312"/>
          <w:color w:val="auto"/>
          <w:kern w:val="0"/>
          <w:sz w:val="32"/>
          <w:szCs w:val="32"/>
          <w:highlight w:val="none"/>
          <w:u w:val="none"/>
          <w:shd w:val="clear" w:color="auto" w:fill="FFFFFF"/>
          <w:lang w:val="en-US" w:eastAsia="zh-CN"/>
        </w:rPr>
        <w:t>2座；项目验收合格率100%；建设工期小于等于10个月；群众满意度大于等于90%；政府满意度大于等于90%。</w:t>
      </w:r>
    </w:p>
    <w:p>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sz w:val="32"/>
          <w:szCs w:val="32"/>
          <w:highlight w:val="none"/>
          <w:lang w:eastAsia="zh-CN"/>
        </w:rPr>
      </w:pPr>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 w:val="32"/>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 w:val="32"/>
          <w:szCs w:val="32"/>
        </w:rPr>
        <w:t>通过</w:t>
      </w:r>
      <w:r>
        <w:rPr>
          <w:rFonts w:hint="eastAsia" w:cs="Times New Roman"/>
          <w:sz w:val="32"/>
          <w:szCs w:val="32"/>
          <w:lang w:eastAsia="zh-CN"/>
        </w:rPr>
        <w:t>项目</w:t>
      </w:r>
      <w:r>
        <w:rPr>
          <w:rFonts w:hint="eastAsia" w:eastAsia="仿宋_GB2312" w:cs="Times New Roman"/>
          <w:sz w:val="32"/>
          <w:szCs w:val="32"/>
        </w:rPr>
        <w:t>绩效</w:t>
      </w:r>
      <w:r>
        <w:rPr>
          <w:rFonts w:hint="eastAsia" w:cs="Times New Roman"/>
          <w:sz w:val="32"/>
          <w:szCs w:val="32"/>
          <w:lang w:eastAsia="zh-CN"/>
        </w:rPr>
        <w:t>自评，验证项目完成、资金使用效益情况。</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eastAsia="zh-CN"/>
        </w:rPr>
      </w:pPr>
      <w:r>
        <w:rPr>
          <w:rFonts w:hint="eastAsia" w:ascii="楷体_GB2312" w:hAnsi="宋体" w:eastAsia="楷体_GB2312"/>
          <w:b/>
          <w:color w:val="auto"/>
          <w:sz w:val="32"/>
          <w:szCs w:val="32"/>
          <w:highlight w:val="none"/>
          <w:u w:val="none"/>
          <w:lang w:val="zh-CN"/>
        </w:rPr>
        <w:t>（二）预设问题及评价重点。</w:t>
      </w:r>
      <w:r>
        <w:rPr>
          <w:rFonts w:hint="eastAsia" w:eastAsia="仿宋_GB2312" w:cs="Times New Roman"/>
          <w:sz w:val="32"/>
          <w:szCs w:val="32"/>
        </w:rPr>
        <w:t>按照绩效评价指标体系，对资金支出使用全过程及其实施效果进行综合评价和判断</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2" w:firstLineChars="200"/>
        <w:textAlignment w:val="auto"/>
        <w:outlineLvl w:val="9"/>
        <w:rPr>
          <w:rFonts w:hint="eastAsia" w:cs="Times New Roman"/>
          <w:sz w:val="32"/>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 w:val="32"/>
          <w:szCs w:val="32"/>
          <w:lang w:val="zh-CN" w:eastAsia="zh-CN"/>
        </w:rPr>
        <w:t>对项目实施中</w:t>
      </w:r>
      <w:r>
        <w:rPr>
          <w:rFonts w:hint="eastAsia" w:ascii="仿宋_GB2312" w:hAnsi="仿宋_GB2312" w:cs="仿宋_GB2312"/>
          <w:sz w:val="32"/>
          <w:szCs w:val="32"/>
          <w:lang w:val="en-US" w:eastAsia="zh-CN"/>
        </w:rPr>
        <w:t>验收合格率进行抽查。</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 w:val="32"/>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 w:val="32"/>
          <w:szCs w:val="32"/>
        </w:rPr>
        <w:t>根据项目情况和评价重点，</w:t>
      </w:r>
      <w:r>
        <w:rPr>
          <w:rFonts w:hint="eastAsia" w:cs="Times New Roman"/>
          <w:sz w:val="32"/>
          <w:szCs w:val="32"/>
          <w:lang w:eastAsia="zh-CN"/>
        </w:rPr>
        <w:t>用来</w:t>
      </w:r>
      <w:r>
        <w:rPr>
          <w:rFonts w:eastAsia="仿宋_GB2312" w:cs="Times New Roman"/>
          <w:sz w:val="32"/>
          <w:szCs w:val="32"/>
        </w:rPr>
        <w:t>收集相关材料和开展具体评价</w:t>
      </w:r>
      <w:r>
        <w:rPr>
          <w:rFonts w:hint="eastAsia" w:cs="Times New Roman"/>
          <w:sz w:val="32"/>
          <w:szCs w:val="32"/>
          <w:lang w:eastAsia="zh-CN"/>
        </w:rPr>
        <w:t>的方法</w:t>
      </w:r>
      <w:r>
        <w:rPr>
          <w:rFonts w:eastAsia="仿宋_GB2312" w:cs="Times New Roman"/>
          <w:sz w:val="32"/>
          <w:szCs w:val="32"/>
        </w:rPr>
        <w:t>。</w:t>
      </w:r>
      <w:r>
        <w:rPr>
          <w:rFonts w:hint="eastAsia" w:cs="Times New Roman"/>
          <w:sz w:val="32"/>
          <w:szCs w:val="32"/>
          <w:lang w:eastAsia="zh-CN"/>
        </w:rPr>
        <w:t>包括：</w:t>
      </w:r>
      <w:r>
        <w:rPr>
          <w:rFonts w:eastAsia="仿宋_GB2312" w:cs="Times New Roman"/>
          <w:sz w:val="32"/>
          <w:szCs w:val="32"/>
        </w:rPr>
        <w:t>采用</w:t>
      </w:r>
      <w:r>
        <w:rPr>
          <w:rFonts w:hint="eastAsia" w:eastAsia="仿宋_GB2312" w:cs="Times New Roman"/>
          <w:sz w:val="32"/>
          <w:szCs w:val="32"/>
        </w:rPr>
        <w:t>成本效益分析法、标杆管理法、</w:t>
      </w:r>
      <w:r>
        <w:rPr>
          <w:rFonts w:eastAsia="仿宋_GB2312" w:cs="Times New Roman"/>
          <w:sz w:val="32"/>
          <w:szCs w:val="32"/>
        </w:rPr>
        <w:t>案卷研究法、单位自评法、实地勘察法、问卷调查法、座谈调研法等多种方法</w:t>
      </w:r>
      <w:r>
        <w:rPr>
          <w:rFonts w:hint="eastAsia" w:cs="Times New Roman"/>
          <w:sz w:val="32"/>
          <w:szCs w:val="32"/>
          <w:lang w:eastAsia="zh-CN"/>
        </w:rPr>
        <w:t>。</w:t>
      </w: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sz w:val="32"/>
          <w:szCs w:val="32"/>
          <w:lang w:eastAsia="zh-CN"/>
        </w:rPr>
      </w:pPr>
      <w:r>
        <w:rPr>
          <w:rFonts w:hint="eastAsia" w:ascii="楷体_GB2312" w:hAnsi="宋体" w:eastAsia="楷体_GB2312"/>
          <w:b/>
          <w:color w:val="auto"/>
          <w:sz w:val="32"/>
          <w:szCs w:val="32"/>
          <w:highlight w:val="none"/>
          <w:u w:val="none"/>
          <w:lang w:val="zh-CN"/>
        </w:rPr>
        <w:t>（五）评价组织。</w:t>
      </w:r>
      <w:r>
        <w:rPr>
          <w:rFonts w:hint="eastAsia" w:cs="Times New Roman"/>
          <w:sz w:val="32"/>
          <w:szCs w:val="32"/>
          <w:lang w:eastAsia="zh-CN"/>
        </w:rPr>
        <w:t>局财务科牵头，由具体项目科室进行评价。</w:t>
      </w:r>
    </w:p>
    <w:p>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宋体" w:eastAsia="仿宋_GB2312" w:cs="仿宋_GB2312"/>
          <w:b w:val="0"/>
          <w:bCs/>
          <w:color w:val="auto"/>
          <w:sz w:val="32"/>
          <w:szCs w:val="32"/>
          <w:lang w:val="zh-CN" w:eastAsia="zh-CN" w:bidi="ar-SA"/>
        </w:rPr>
      </w:pPr>
      <w:r>
        <w:rPr>
          <w:rFonts w:hint="eastAsia" w:ascii="仿宋_GB2312" w:hAnsi="宋体"/>
          <w:color w:val="auto"/>
          <w:sz w:val="32"/>
          <w:szCs w:val="32"/>
          <w:highlight w:val="none"/>
          <w:u w:val="none"/>
          <w:lang w:val="zh-CN"/>
        </w:rPr>
        <w:tab/>
      </w: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r>
        <w:rPr>
          <w:rFonts w:hint="eastAsia" w:ascii="仿宋_GB2312" w:eastAsia="仿宋_GB2312" w:cs="仿宋_GB2312"/>
          <w:bCs/>
          <w:color w:val="auto"/>
          <w:sz w:val="32"/>
          <w:szCs w:val="32"/>
          <w:lang w:val="zh-CN" w:eastAsia="zh-CN" w:bidi="ar-SA"/>
        </w:rPr>
        <w:t>项目</w:t>
      </w:r>
      <w:r>
        <w:rPr>
          <w:rFonts w:hint="eastAsia" w:ascii="仿宋_GB2312" w:cs="仿宋_GB2312"/>
          <w:bCs/>
          <w:color w:val="auto"/>
          <w:sz w:val="32"/>
          <w:szCs w:val="32"/>
          <w:lang w:val="zh-CN" w:eastAsia="zh-CN" w:bidi="ar-SA"/>
        </w:rPr>
        <w:t>的</w:t>
      </w:r>
      <w:r>
        <w:rPr>
          <w:rFonts w:hint="eastAsia" w:ascii="仿宋_GB2312" w:eastAsia="仿宋_GB2312" w:cs="仿宋_GB2312"/>
          <w:bCs/>
          <w:color w:val="auto"/>
          <w:sz w:val="32"/>
          <w:szCs w:val="32"/>
          <w:lang w:val="zh-CN" w:eastAsia="zh-CN" w:bidi="ar-SA"/>
        </w:rPr>
        <w:t>设立、调整延续等方面是否符合资金管理基本规范和决策程序要求</w:t>
      </w:r>
      <w:r>
        <w:rPr>
          <w:rFonts w:hint="eastAsia" w:ascii="仿宋_GB2312" w:cs="仿宋_GB2312"/>
          <w:bCs/>
          <w:color w:val="auto"/>
          <w:sz w:val="32"/>
          <w:szCs w:val="32"/>
          <w:lang w:val="zh-CN" w:eastAsia="zh-CN" w:bidi="ar-SA"/>
        </w:rPr>
        <w:t>，项目规划符合党中央国务院、省委省政府、市委市政府有关决策部署安排，聚焦重大任务、重点领域、重点环节和重点项目，体现“集中财力办大事”原则，避免“撒胡椒面”，未与其他同类项目或部门内部相关项目交叉重复。</w:t>
      </w:r>
    </w:p>
    <w:p>
      <w:pPr>
        <w:keepNext w:val="0"/>
        <w:keepLines w:val="0"/>
        <w:pageBreakBefore w:val="0"/>
        <w:widowControl w:val="0"/>
        <w:suppressAutoHyphens/>
        <w:kinsoku/>
        <w:wordWrap/>
        <w:overflowPunct/>
        <w:topLinePunct w:val="0"/>
        <w:autoSpaceDE/>
        <w:autoSpaceDN/>
        <w:bidi w:val="0"/>
        <w:adjustRightInd w:val="0"/>
        <w:snapToGrid w:val="0"/>
        <w:spacing w:line="580" w:lineRule="exact"/>
        <w:ind w:left="0" w:firstLine="640" w:firstLineChars="200"/>
        <w:jc w:val="both"/>
        <w:textAlignment w:val="auto"/>
        <w:rPr>
          <w:rFonts w:hint="eastAsia" w:ascii="Times New Roman" w:hAnsi="Times New Roman" w:cs="Times New Roman"/>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r>
        <w:rPr>
          <w:rFonts w:hint="eastAsia" w:ascii="仿宋_GB2312" w:cs="仿宋_GB2312"/>
          <w:bCs/>
          <w:color w:val="auto"/>
          <w:sz w:val="32"/>
          <w:szCs w:val="32"/>
          <w:lang w:val="zh-CN" w:eastAsia="zh-CN" w:bidi="ar-SA"/>
        </w:rPr>
        <w:t>该项目资金管</w:t>
      </w:r>
      <w:r>
        <w:rPr>
          <w:rFonts w:hint="eastAsia" w:ascii="仿宋_GB2312" w:eastAsia="仿宋_GB2312" w:cs="仿宋_GB2312"/>
          <w:bCs/>
          <w:color w:val="auto"/>
          <w:sz w:val="32"/>
          <w:szCs w:val="32"/>
          <w:lang w:val="zh-CN" w:eastAsia="zh-CN" w:bidi="ar-SA"/>
        </w:rPr>
        <w:t>理办法等管理制度体系健全完善，不存在管理制度缺失、管理办法过期情况</w:t>
      </w:r>
      <w:r>
        <w:rPr>
          <w:rFonts w:hint="eastAsia" w:ascii="仿宋_GB2312" w:cs="仿宋_GB2312"/>
          <w:bCs/>
          <w:color w:val="auto"/>
          <w:sz w:val="32"/>
          <w:szCs w:val="32"/>
          <w:lang w:val="zh-CN" w:eastAsia="zh-CN" w:bidi="ar-SA"/>
        </w:rPr>
        <w:t>。</w:t>
      </w:r>
      <w:r>
        <w:rPr>
          <w:rFonts w:hint="eastAsia" w:ascii="仿宋_GB2312" w:eastAsia="仿宋_GB2312" w:cs="仿宋_GB2312"/>
          <w:bCs/>
          <w:color w:val="auto"/>
          <w:sz w:val="32"/>
          <w:szCs w:val="32"/>
          <w:lang w:val="zh-CN" w:eastAsia="zh-CN" w:bidi="ar-SA"/>
        </w:rPr>
        <w:t>项目资金分配因素选取、权重设置、区域分布，项目管理、审批符合管理要求</w:t>
      </w:r>
      <w:r>
        <w:rPr>
          <w:rFonts w:hint="eastAsia" w:ascii="仿宋_GB2312" w:cs="仿宋_GB2312"/>
          <w:bCs/>
          <w:color w:val="auto"/>
          <w:sz w:val="32"/>
          <w:szCs w:val="32"/>
          <w:lang w:val="zh-CN" w:eastAsia="zh-CN" w:bidi="ar-SA"/>
        </w:rPr>
        <w:t>。项目绩效监管按要求开展。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40" w:firstLineChars="200"/>
        <w:jc w:val="both"/>
        <w:textAlignment w:val="auto"/>
        <w:rPr>
          <w:rFonts w:hint="default" w:ascii="仿宋_GB2312" w:eastAsia="仿宋_GB2312" w:cs="仿宋_GB2312"/>
          <w:bCs/>
          <w:color w:val="auto"/>
          <w:sz w:val="32"/>
          <w:szCs w:val="32"/>
          <w:lang w:val="en-US" w:eastAsia="zh-CN" w:bidi="ar-SA"/>
        </w:rPr>
      </w:pPr>
      <w:r>
        <w:rPr>
          <w:rFonts w:hint="eastAsia" w:ascii="楷体_GB2312" w:hAnsi="楷体_GB2312" w:eastAsia="楷体_GB2312" w:cs="楷体_GB2312"/>
          <w:color w:val="auto"/>
          <w:sz w:val="32"/>
          <w:szCs w:val="32"/>
          <w:lang w:val="en-US" w:eastAsia="zh-CN"/>
        </w:rPr>
        <w:t>3.项目实施。</w:t>
      </w:r>
      <w:r>
        <w:rPr>
          <w:rFonts w:hint="eastAsia" w:ascii="仿宋_GB2312" w:eastAsia="仿宋_GB2312" w:cs="仿宋_GB2312"/>
          <w:bCs/>
          <w:color w:val="auto"/>
          <w:sz w:val="32"/>
          <w:szCs w:val="32"/>
          <w:lang w:val="en-US" w:eastAsia="zh-CN" w:bidi="ar-SA"/>
        </w:rPr>
        <w:t>项目资金使用、拨付符合国家财经法规、财务管理制度及有关专项资金管理制度办法规定和审批程序，</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存在超范围、超标准、超进度使用专项资金，</w:t>
      </w:r>
      <w:r>
        <w:rPr>
          <w:rFonts w:hint="eastAsia" w:ascii="仿宋_GB2312" w:cs="仿宋_GB2312"/>
          <w:bCs/>
          <w:color w:val="auto"/>
          <w:sz w:val="32"/>
          <w:szCs w:val="32"/>
          <w:lang w:val="en-US" w:eastAsia="zh-CN" w:bidi="ar-SA"/>
        </w:rPr>
        <w:t>不</w:t>
      </w:r>
      <w:r>
        <w:rPr>
          <w:rFonts w:hint="eastAsia" w:ascii="仿宋_GB2312" w:eastAsia="仿宋_GB2312" w:cs="仿宋_GB2312"/>
          <w:bCs/>
          <w:color w:val="auto"/>
          <w:sz w:val="32"/>
          <w:szCs w:val="32"/>
          <w:lang w:val="en-US" w:eastAsia="zh-CN" w:bidi="ar-SA"/>
        </w:rPr>
        <w:t>存在资金损失浪费、长期沉淀、截留、挤占、挪用、虚列支出等情况，</w:t>
      </w:r>
      <w:r>
        <w:rPr>
          <w:rFonts w:hint="eastAsia" w:ascii="仿宋_GB2312" w:cs="仿宋_GB2312"/>
          <w:bCs/>
          <w:color w:val="auto"/>
          <w:sz w:val="32"/>
          <w:szCs w:val="32"/>
          <w:lang w:val="en-US" w:eastAsia="zh-CN" w:bidi="ar-SA"/>
        </w:rPr>
        <w:t>财政资金拨付100%，单位资金使用达到100%。</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楷体_GB2312" w:hAnsi="楷体_GB2312" w:eastAsia="楷体_GB2312" w:cs="楷体_GB2312"/>
          <w:color w:val="auto"/>
          <w:sz w:val="32"/>
          <w:szCs w:val="32"/>
          <w:lang w:val="en-US" w:eastAsia="zh-CN"/>
        </w:rPr>
        <w:t>4.项目结果。</w:t>
      </w:r>
      <w:r>
        <w:rPr>
          <w:rFonts w:hint="eastAsia" w:ascii="仿宋_GB2312" w:hAnsi="仿宋_GB2312" w:eastAsia="仿宋_GB2312" w:cs="仿宋_GB2312"/>
          <w:sz w:val="32"/>
          <w:szCs w:val="32"/>
          <w:lang w:val="en-US" w:eastAsia="zh-CN"/>
        </w:rPr>
        <w:t>项目完成预期目标，实施结果与绩效目标相匹配，目标实现程度</w:t>
      </w:r>
      <w:r>
        <w:rPr>
          <w:rFonts w:hint="eastAsia" w:ascii="仿宋_GB2312" w:hAnsi="仿宋_GB2312" w:cs="仿宋_GB2312"/>
          <w:sz w:val="32"/>
          <w:szCs w:val="32"/>
          <w:lang w:val="en-US" w:eastAsia="zh-CN"/>
        </w:rPr>
        <w:t>高，实际完成时间与计划完成时间相符。</w:t>
      </w:r>
    </w:p>
    <w:p>
      <w:pPr>
        <w:pStyle w:val="2"/>
        <w:keepNext w:val="0"/>
        <w:keepLines w:val="0"/>
        <w:pageBreakBefore w:val="0"/>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Style w:val="2"/>
        <w:keepNext w:val="0"/>
        <w:keepLines w:val="0"/>
        <w:pageBreakBefore w:val="0"/>
        <w:kinsoku/>
        <w:wordWrap/>
        <w:overflowPunct/>
        <w:topLinePunct w:val="0"/>
        <w:autoSpaceDE/>
        <w:autoSpaceDN/>
        <w:bidi w:val="0"/>
        <w:spacing w:line="580" w:lineRule="exact"/>
        <w:ind w:firstLine="640" w:firstLineChars="200"/>
        <w:textAlignment w:val="auto"/>
        <w:rPr>
          <w:rFonts w:hint="eastAsia" w:cs="Times New Roman"/>
          <w:color w:val="auto"/>
          <w:kern w:val="2"/>
          <w:sz w:val="32"/>
          <w:szCs w:val="32"/>
          <w:lang w:val="en-US" w:eastAsia="zh-CN" w:bidi="ar-SA"/>
        </w:rPr>
      </w:pPr>
      <w:r>
        <w:rPr>
          <w:rFonts w:hint="eastAsia" w:cs="Times New Roman"/>
          <w:color w:val="auto"/>
          <w:kern w:val="2"/>
          <w:sz w:val="32"/>
          <w:szCs w:val="32"/>
          <w:lang w:val="en-US" w:eastAsia="zh-CN" w:bidi="ar-SA"/>
        </w:rPr>
        <w:t>1.</w:t>
      </w:r>
      <w:r>
        <w:rPr>
          <w:rFonts w:hint="eastAsia" w:ascii="Times New Roman" w:hAnsi="Times New Roman" w:eastAsia="仿宋_GB2312" w:cs="Times New Roman"/>
          <w:color w:val="auto"/>
          <w:kern w:val="2"/>
          <w:sz w:val="32"/>
          <w:szCs w:val="32"/>
          <w:lang w:val="en-US" w:eastAsia="zh-CN" w:bidi="ar-SA"/>
        </w:rPr>
        <w:t>工程进度</w:t>
      </w:r>
      <w:r>
        <w:rPr>
          <w:rFonts w:hint="eastAsia" w:cs="Times New Roman"/>
          <w:color w:val="auto"/>
          <w:kern w:val="2"/>
          <w:sz w:val="32"/>
          <w:szCs w:val="32"/>
          <w:lang w:val="en-US" w:eastAsia="zh-CN" w:bidi="ar-SA"/>
        </w:rPr>
        <w:t>。达到计划工程进度。</w:t>
      </w:r>
    </w:p>
    <w:p>
      <w:pPr>
        <w:ind w:firstLine="640" w:firstLineChars="200"/>
        <w:rPr>
          <w:rFonts w:hint="default"/>
          <w:sz w:val="32"/>
          <w:szCs w:val="32"/>
          <w:lang w:val="en-US" w:eastAsia="zh-CN"/>
        </w:rPr>
      </w:pPr>
      <w:r>
        <w:rPr>
          <w:rFonts w:hint="eastAsia" w:cs="Times New Roman"/>
          <w:color w:val="auto"/>
          <w:kern w:val="2"/>
          <w:sz w:val="32"/>
          <w:szCs w:val="32"/>
          <w:lang w:val="en-US" w:eastAsia="zh-CN" w:bidi="ar-SA"/>
        </w:rPr>
        <w:t>2.资金拨付。该项目为续建项目，达到预先确定的资金拨付进度，拨付100%。</w:t>
      </w:r>
    </w:p>
    <w:p>
      <w:pPr>
        <w:pStyle w:val="2"/>
        <w:keepNext w:val="0"/>
        <w:keepLines w:val="0"/>
        <w:pageBreakBefore w:val="0"/>
        <w:numPr>
          <w:ilvl w:val="0"/>
          <w:numId w:val="7"/>
        </w:numPr>
        <w:kinsoku/>
        <w:wordWrap/>
        <w:overflowPunct/>
        <w:topLinePunct w:val="0"/>
        <w:autoSpaceDE/>
        <w:autoSpaceDN/>
        <w:bidi w:val="0"/>
        <w:spacing w:line="580"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cs="仿宋_GB2312"/>
          <w:color w:val="auto"/>
          <w:kern w:val="0"/>
          <w:sz w:val="32"/>
          <w:szCs w:val="32"/>
          <w:highlight w:val="none"/>
          <w:u w:val="none"/>
          <w:shd w:val="clear" w:color="auto" w:fill="FFFFFF"/>
          <w:lang w:val="en-US" w:eastAsia="zh-CN"/>
        </w:rPr>
      </w:pPr>
      <w:r>
        <w:rPr>
          <w:rFonts w:hint="eastAsia" w:ascii="仿宋_GB2312" w:hAnsi="仿宋_GB2312" w:cs="仿宋_GB2312"/>
          <w:color w:val="auto"/>
          <w:kern w:val="0"/>
          <w:sz w:val="32"/>
          <w:szCs w:val="32"/>
          <w:highlight w:val="none"/>
          <w:u w:val="none"/>
          <w:shd w:val="clear" w:color="auto" w:fill="FFFFFF"/>
          <w:lang w:val="zh-CN" w:eastAsia="zh-CN"/>
        </w:rPr>
        <w:t>建设拦水坝</w:t>
      </w:r>
      <w:r>
        <w:rPr>
          <w:rFonts w:hint="eastAsia" w:ascii="仿宋_GB2312" w:hAnsi="仿宋_GB2312" w:cs="仿宋_GB2312"/>
          <w:color w:val="auto"/>
          <w:kern w:val="0"/>
          <w:sz w:val="32"/>
          <w:szCs w:val="32"/>
          <w:highlight w:val="none"/>
          <w:u w:val="none"/>
          <w:shd w:val="clear" w:color="auto" w:fill="FFFFFF"/>
          <w:lang w:val="en-US" w:eastAsia="zh-CN"/>
        </w:rPr>
        <w:t>2座；项目验收合格率100%；建设工期小于等于10个月；群众满意度大于等于90%；政府满意度大于等于90%。</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jc w:val="both"/>
        <w:textAlignment w:val="auto"/>
        <w:rPr>
          <w:rFonts w:hint="eastAsia" w:ascii="仿宋_GB2312" w:hAnsi="仿宋_GB2312" w:eastAsia="仿宋_GB2312" w:cs="仿宋_GB2312"/>
          <w:color w:val="000000"/>
          <w:sz w:val="32"/>
          <w:szCs w:val="32"/>
          <w:lang w:val="en-US" w:eastAsia="zh-CN" w:bidi="ar-SA"/>
        </w:rPr>
      </w:pPr>
      <w:r>
        <w:rPr>
          <w:rFonts w:hint="eastAsia" w:ascii="仿宋_GB2312"/>
          <w:color w:val="000000"/>
          <w:sz w:val="32"/>
          <w:szCs w:val="32"/>
          <w:lang w:val="en-US" w:eastAsia="zh-CN"/>
        </w:rPr>
        <w:t>该项目立项依据充分，项目内容与国家法律法规、社会发展、相关政策等相符，与部门职能职责及当年重点工作相关，与现实需求相符，项目绩效目标设置明确，绩效指标细化、量化，可衡量。项目单位相关制度健全，组织、进度安排合理，技术规程、标准完善得到有效执行，相关</w:t>
      </w:r>
      <w:r>
        <w:rPr>
          <w:rFonts w:hint="eastAsia" w:ascii="仿宋_GB2312" w:hAnsi="仿宋_GB2312" w:eastAsia="仿宋_GB2312" w:cs="仿宋_GB2312"/>
          <w:color w:val="000000"/>
          <w:sz w:val="32"/>
          <w:szCs w:val="32"/>
          <w:lang w:val="en-US" w:eastAsia="zh-CN"/>
        </w:rPr>
        <w:t>管控措施、机制能够保障项目顺利实施。</w:t>
      </w:r>
      <w:r>
        <w:rPr>
          <w:rFonts w:hint="eastAsia" w:ascii="仿宋_GB2312" w:hAnsi="仿宋_GB2312" w:eastAsia="仿宋_GB2312" w:cs="仿宋_GB2312"/>
          <w:color w:val="000000"/>
          <w:sz w:val="32"/>
          <w:szCs w:val="32"/>
          <w:lang w:eastAsia="zh-CN" w:bidi="ar-SA"/>
        </w:rPr>
        <w:t>自评</w:t>
      </w:r>
      <w:r>
        <w:rPr>
          <w:rFonts w:hint="eastAsia" w:ascii="仿宋_GB2312" w:hAnsi="仿宋_GB2312" w:eastAsia="仿宋_GB2312" w:cs="仿宋_GB2312"/>
          <w:color w:val="000000"/>
          <w:sz w:val="32"/>
          <w:szCs w:val="32"/>
          <w:lang w:val="en-US" w:eastAsia="zh-CN" w:bidi="ar-SA"/>
        </w:rPr>
        <w:t>100分。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eastAsia="黑体" w:cs="Times New Roman"/>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仿宋_GB2312" w:hAnsi="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8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80" w:lineRule="exact"/>
        <w:jc w:val="left"/>
        <w:textAlignment w:val="auto"/>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无</w:t>
      </w:r>
    </w:p>
    <w:p>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numPr>
          <w:ilvl w:val="0"/>
          <w:numId w:val="0"/>
        </w:numPr>
        <w:shd w:val="clear"/>
        <w:spacing w:line="600" w:lineRule="exact"/>
        <w:ind w:leftChars="150" w:firstLine="2200" w:firstLineChars="500"/>
        <w:jc w:val="both"/>
        <w:outlineLvl w:val="0"/>
        <w:rPr>
          <w:rStyle w:val="19"/>
          <w:rFonts w:hint="eastAsia" w:ascii="黑体" w:hAnsi="黑体" w:eastAsia="黑体"/>
          <w:b w:val="0"/>
          <w:color w:val="auto"/>
          <w:highlight w:val="none"/>
        </w:rPr>
      </w:pPr>
      <w:bookmarkStart w:id="83" w:name="_Toc20300"/>
      <w:r>
        <w:rPr>
          <w:rStyle w:val="19"/>
          <w:rFonts w:hint="eastAsia" w:ascii="黑体" w:hAnsi="黑体" w:eastAsia="黑体"/>
          <w:b w:val="0"/>
          <w:color w:val="auto"/>
          <w:highlight w:val="none"/>
          <w:lang w:eastAsia="zh-CN"/>
        </w:rPr>
        <w:t>第五部分</w:t>
      </w:r>
      <w:r>
        <w:rPr>
          <w:rStyle w:val="19"/>
          <w:rFonts w:hint="eastAsia" w:ascii="黑体" w:hAnsi="黑体" w:eastAsia="黑体"/>
          <w:b w:val="0"/>
          <w:color w:val="auto"/>
          <w:highlight w:val="none"/>
          <w:lang w:val="en-US" w:eastAsia="zh-CN"/>
        </w:rPr>
        <w:t xml:space="preserve"> </w:t>
      </w:r>
      <w:r>
        <w:rPr>
          <w:rStyle w:val="19"/>
          <w:rFonts w:hint="eastAsia" w:ascii="黑体" w:hAnsi="黑体" w:eastAsia="黑体"/>
          <w:b w:val="0"/>
          <w:color w:val="auto"/>
          <w:highlight w:val="none"/>
        </w:rPr>
        <w:t>附表</w:t>
      </w:r>
      <w:bookmarkEnd w:id="77"/>
      <w:bookmarkEnd w:id="82"/>
      <w:bookmarkEnd w:id="83"/>
      <w:bookmarkStart w:id="84" w:name="_Toc26327"/>
    </w:p>
    <w:p>
      <w:pPr>
        <w:pStyle w:val="2"/>
        <w:rPr>
          <w:rFonts w:hint="eastAsia"/>
        </w:rPr>
      </w:pPr>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一、收入支出决算总表</w:t>
      </w:r>
      <w:bookmarkEnd w:id="84"/>
      <w:bookmarkStart w:id="85" w:name="_Toc26220"/>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二、收入决算表</w:t>
      </w:r>
      <w:bookmarkEnd w:id="85"/>
      <w:bookmarkStart w:id="86" w:name="_Toc5825"/>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三、支出决算表</w:t>
      </w:r>
      <w:bookmarkEnd w:id="86"/>
      <w:bookmarkStart w:id="87" w:name="_Toc13179"/>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四、财政拨款收入支出决算总表</w:t>
      </w:r>
      <w:bookmarkEnd w:id="87"/>
      <w:bookmarkStart w:id="88" w:name="_Toc25422"/>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五、财政拨款支出决算明细表</w:t>
      </w:r>
      <w:bookmarkEnd w:id="88"/>
      <w:bookmarkStart w:id="89" w:name="_Toc21569"/>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六、一般公共预算财政拨款支出决算表</w:t>
      </w:r>
      <w:bookmarkEnd w:id="89"/>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0" w:name="_Toc2264"/>
      <w:r>
        <w:rPr>
          <w:rFonts w:hint="eastAsia" w:ascii="仿宋_GB2312" w:eastAsia="仿宋_GB2312"/>
          <w:color w:val="auto"/>
          <w:sz w:val="32"/>
          <w:szCs w:val="32"/>
          <w:highlight w:val="none"/>
          <w:lang w:val="en-US" w:eastAsia="zh-CN"/>
        </w:rPr>
        <w:t>七、一般公共预算财政拨款支出决算明细表</w:t>
      </w:r>
      <w:bookmarkEnd w:id="90"/>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1" w:name="_Toc31409"/>
      <w:r>
        <w:rPr>
          <w:rFonts w:hint="eastAsia" w:ascii="仿宋_GB2312" w:eastAsia="仿宋_GB2312"/>
          <w:color w:val="auto"/>
          <w:sz w:val="32"/>
          <w:szCs w:val="32"/>
          <w:highlight w:val="none"/>
          <w:lang w:val="en-US" w:eastAsia="zh-CN"/>
        </w:rPr>
        <w:t>八、一般公共预算财政拨款基本支出决算表</w:t>
      </w:r>
      <w:bookmarkEnd w:id="91"/>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2" w:name="_Toc17532"/>
      <w:r>
        <w:rPr>
          <w:rFonts w:hint="eastAsia" w:ascii="仿宋_GB2312" w:eastAsia="仿宋_GB2312"/>
          <w:color w:val="auto"/>
          <w:sz w:val="32"/>
          <w:szCs w:val="32"/>
          <w:highlight w:val="none"/>
          <w:lang w:val="en-US" w:eastAsia="zh-CN"/>
        </w:rPr>
        <w:t>九、一般公共预算财政拨款项目支出决算表</w:t>
      </w:r>
      <w:bookmarkEnd w:id="92"/>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3" w:name="_Toc24200"/>
      <w:r>
        <w:rPr>
          <w:rFonts w:hint="eastAsia" w:ascii="仿宋_GB2312" w:eastAsia="仿宋_GB2312"/>
          <w:color w:val="auto"/>
          <w:sz w:val="32"/>
          <w:szCs w:val="32"/>
          <w:highlight w:val="none"/>
          <w:lang w:val="en-US" w:eastAsia="zh-CN"/>
        </w:rPr>
        <w:t>十、政府性基金预算财政拨款收入支出决算表</w:t>
      </w:r>
      <w:bookmarkEnd w:id="93"/>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4" w:name="_Toc27087"/>
      <w:r>
        <w:rPr>
          <w:rFonts w:hint="eastAsia" w:ascii="仿宋_GB2312" w:eastAsia="仿宋_GB2312"/>
          <w:color w:val="auto"/>
          <w:sz w:val="32"/>
          <w:szCs w:val="32"/>
          <w:highlight w:val="none"/>
          <w:lang w:val="en-US" w:eastAsia="zh-CN"/>
        </w:rPr>
        <w:t>十一、国有资本经营预算财政拨款收入支出决算表</w:t>
      </w:r>
      <w:bookmarkEnd w:id="94"/>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5" w:name="_Toc15527"/>
      <w:r>
        <w:rPr>
          <w:rFonts w:hint="eastAsia" w:ascii="仿宋_GB2312" w:eastAsia="仿宋_GB2312"/>
          <w:color w:val="auto"/>
          <w:sz w:val="32"/>
          <w:szCs w:val="32"/>
          <w:highlight w:val="none"/>
          <w:lang w:val="en-US" w:eastAsia="zh-CN"/>
        </w:rPr>
        <w:t>十二、国有资本经营预算财政拨款支出决算表</w:t>
      </w:r>
      <w:bookmarkEnd w:id="95"/>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jc w:val="both"/>
        <w:textAlignment w:val="auto"/>
        <w:rPr>
          <w:rFonts w:hint="eastAsia" w:ascii="仿宋_GB2312" w:eastAsia="仿宋_GB2312"/>
          <w:color w:val="auto"/>
          <w:sz w:val="32"/>
          <w:szCs w:val="32"/>
          <w:highlight w:val="none"/>
          <w:lang w:val="en-US" w:eastAsia="zh-CN"/>
        </w:rPr>
      </w:pPr>
      <w:bookmarkStart w:id="96" w:name="_Toc9031"/>
      <w:r>
        <w:rPr>
          <w:rFonts w:hint="eastAsia" w:ascii="仿宋_GB2312" w:eastAsia="仿宋_GB2312"/>
          <w:color w:val="auto"/>
          <w:sz w:val="32"/>
          <w:szCs w:val="32"/>
          <w:highlight w:val="none"/>
          <w:lang w:val="en-US" w:eastAsia="zh-CN"/>
        </w:rPr>
        <w:t>十三、财政拨款“三公”经费支出决算表</w:t>
      </w:r>
      <w:bookmarkEnd w:id="96"/>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ind w:firstLine="720"/>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shd w:val="clear"/>
        <w:suppressAutoHyphens/>
        <w:kinsoku/>
        <w:wordWrap/>
        <w:overflowPunct/>
        <w:topLinePunct w:val="0"/>
        <w:autoSpaceDE/>
        <w:autoSpaceDN/>
        <w:bidi w:val="0"/>
        <w:adjustRightInd w:val="0"/>
        <w:snapToGrid w:val="0"/>
        <w:spacing w:line="576" w:lineRule="exact"/>
        <w:ind w:firstLine="720"/>
        <w:textAlignment w:val="auto"/>
        <w:rPr>
          <w:rFonts w:hint="eastAsia" w:ascii="仿宋_GB2312" w:eastAsia="仿宋_GB2312"/>
          <w:color w:val="auto"/>
          <w:sz w:val="32"/>
          <w:szCs w:val="32"/>
          <w:highlight w:val="none"/>
          <w:lang w:val="en-US" w:eastAsia="zh-CN"/>
        </w:rPr>
      </w:pPr>
    </w:p>
    <w:sectPr>
      <w:footerReference r:id="rId5" w:type="first"/>
      <w:footerReference r:id="rId4" w:type="default"/>
      <w:pgSz w:w="11906" w:h="16838"/>
      <w:pgMar w:top="1701" w:right="1587" w:bottom="1701" w:left="158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PingFang SC">
    <w:altName w:val="Mangal"/>
    <w:panose1 w:val="00000000000000000000"/>
    <w:charset w:val="00"/>
    <w:family w:val="auto"/>
    <w:pitch w:val="default"/>
    <w:sig w:usb0="00000000" w:usb1="00000000" w:usb2="00000000"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Mangal">
    <w:panose1 w:val="00000400000000000000"/>
    <w:charset w:val="00"/>
    <w:family w:val="auto"/>
    <w:pitch w:val="default"/>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825CD4"/>
    <w:multiLevelType w:val="singleLevel"/>
    <w:tmpl w:val="8C825CD4"/>
    <w:lvl w:ilvl="0" w:tentative="0">
      <w:start w:val="1"/>
      <w:numFmt w:val="chineseCounting"/>
      <w:suff w:val="nothing"/>
      <w:lvlText w:val="%1、"/>
      <w:lvlJc w:val="left"/>
      <w:rPr>
        <w:rFonts w:hint="eastAsia"/>
      </w:rPr>
    </w:lvl>
  </w:abstractNum>
  <w:abstractNum w:abstractNumId="1">
    <w:nsid w:val="97EA006A"/>
    <w:multiLevelType w:val="singleLevel"/>
    <w:tmpl w:val="97EA006A"/>
    <w:lvl w:ilvl="0" w:tentative="0">
      <w:start w:val="1"/>
      <w:numFmt w:val="chineseCounting"/>
      <w:suff w:val="nothing"/>
      <w:lvlText w:val="（%1）"/>
      <w:lvlJc w:val="left"/>
      <w:rPr>
        <w:rFonts w:hint="eastAsia" w:ascii="楷体_GB2312" w:hAnsi="楷体_GB2312" w:eastAsia="楷体_GB2312" w:cs="楷体_GB2312"/>
        <w:sz w:val="32"/>
        <w:szCs w:val="32"/>
      </w:rPr>
    </w:lvl>
  </w:abstractNum>
  <w:abstractNum w:abstractNumId="2">
    <w:nsid w:val="B10E0085"/>
    <w:multiLevelType w:val="singleLevel"/>
    <w:tmpl w:val="B10E0085"/>
    <w:lvl w:ilvl="0" w:tentative="0">
      <w:start w:val="4"/>
      <w:numFmt w:val="chineseCounting"/>
      <w:suff w:val="nothing"/>
      <w:lvlText w:val="%1、"/>
      <w:lvlJc w:val="left"/>
      <w:rPr>
        <w:rFonts w:hint="eastAsia"/>
      </w:rPr>
    </w:lvl>
  </w:abstractNum>
  <w:abstractNum w:abstractNumId="3">
    <w:nsid w:val="C4A54F82"/>
    <w:multiLevelType w:val="singleLevel"/>
    <w:tmpl w:val="C4A54F82"/>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4">
    <w:nsid w:val="CF652CEC"/>
    <w:multiLevelType w:val="singleLevel"/>
    <w:tmpl w:val="CF652CEC"/>
    <w:lvl w:ilvl="0" w:tentative="0">
      <w:start w:val="9"/>
      <w:numFmt w:val="chineseCounting"/>
      <w:suff w:val="nothing"/>
      <w:lvlText w:val="%1、"/>
      <w:lvlJc w:val="left"/>
      <w:rPr>
        <w:rFonts w:hint="eastAsia"/>
      </w:rPr>
    </w:lvl>
  </w:abstractNum>
  <w:abstractNum w:abstractNumId="5">
    <w:nsid w:val="E2FA047D"/>
    <w:multiLevelType w:val="singleLevel"/>
    <w:tmpl w:val="E2FA047D"/>
    <w:lvl w:ilvl="0" w:tentative="0">
      <w:start w:val="3"/>
      <w:numFmt w:val="chineseCounting"/>
      <w:suff w:val="space"/>
      <w:lvlText w:val="第%1部分"/>
      <w:lvlJc w:val="left"/>
      <w:rPr>
        <w:rFonts w:hint="eastAsia"/>
      </w:rPr>
    </w:lvl>
  </w:abstractNum>
  <w:abstractNum w:abstractNumId="6">
    <w:nsid w:val="FFF674BC"/>
    <w:multiLevelType w:val="singleLevel"/>
    <w:tmpl w:val="FFF674BC"/>
    <w:lvl w:ilvl="0" w:tentative="0">
      <w:start w:val="1"/>
      <w:numFmt w:val="chineseCounting"/>
      <w:suff w:val="nothing"/>
      <w:lvlText w:val="%1、"/>
      <w:lvlJc w:val="left"/>
      <w:rPr>
        <w:rFonts w:hint="eastAsia" w:ascii="黑体" w:hAnsi="黑体" w:eastAsia="黑体" w:cs="黑体"/>
        <w:sz w:val="32"/>
        <w:szCs w:val="32"/>
      </w:rPr>
    </w:lvl>
  </w:abstractNum>
  <w:abstractNum w:abstractNumId="7">
    <w:nsid w:val="3A4D6D41"/>
    <w:multiLevelType w:val="singleLevel"/>
    <w:tmpl w:val="3A4D6D41"/>
    <w:lvl w:ilvl="0" w:tentative="0">
      <w:start w:val="3"/>
      <w:numFmt w:val="chineseCounting"/>
      <w:suff w:val="nothing"/>
      <w:lvlText w:val="（%1）"/>
      <w:lvlJc w:val="left"/>
      <w:rPr>
        <w:rFonts w:hint="eastAsia"/>
      </w:rPr>
    </w:lvl>
  </w:abstractNum>
  <w:abstractNum w:abstractNumId="8">
    <w:nsid w:val="5C170E1A"/>
    <w:multiLevelType w:val="singleLevel"/>
    <w:tmpl w:val="5C170E1A"/>
    <w:lvl w:ilvl="0" w:tentative="0">
      <w:start w:val="1"/>
      <w:numFmt w:val="chineseCounting"/>
      <w:suff w:val="nothing"/>
      <w:lvlText w:val="%1、"/>
      <w:lvlJc w:val="left"/>
      <w:rPr>
        <w:rFonts w:hint="eastAsia"/>
      </w:rPr>
    </w:lvl>
  </w:abstractNum>
  <w:abstractNum w:abstractNumId="9">
    <w:nsid w:val="7DDE215B"/>
    <w:multiLevelType w:val="singleLevel"/>
    <w:tmpl w:val="7DDE215B"/>
    <w:lvl w:ilvl="0" w:tentative="0">
      <w:start w:val="2"/>
      <w:numFmt w:val="decimal"/>
      <w:suff w:val="nothing"/>
      <w:lvlText w:val="%1．"/>
      <w:lvlJc w:val="left"/>
    </w:lvl>
  </w:abstractNum>
  <w:num w:numId="1">
    <w:abstractNumId w:val="4"/>
  </w:num>
  <w:num w:numId="2">
    <w:abstractNumId w:val="5"/>
  </w:num>
  <w:num w:numId="3">
    <w:abstractNumId w:val="3"/>
  </w:num>
  <w:num w:numId="4">
    <w:abstractNumId w:val="6"/>
  </w:num>
  <w:num w:numId="5">
    <w:abstractNumId w:val="1"/>
  </w:num>
  <w:num w:numId="6">
    <w:abstractNumId w:val="9"/>
  </w:num>
  <w:num w:numId="7">
    <w:abstractNumId w:val="7"/>
  </w:num>
  <w:num w:numId="8">
    <w:abstractNumId w:val="0"/>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zMzc1N2Y5MDk0NGRlZDY1MTA1ZTY4Y2I4Y2M5Yj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91F"/>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A7640C"/>
    <w:rsid w:val="02E132C9"/>
    <w:rsid w:val="02F32A2A"/>
    <w:rsid w:val="05E92FD1"/>
    <w:rsid w:val="066E0107"/>
    <w:rsid w:val="07996F6E"/>
    <w:rsid w:val="07C136C9"/>
    <w:rsid w:val="09FFA98A"/>
    <w:rsid w:val="0A2032A3"/>
    <w:rsid w:val="0A435883"/>
    <w:rsid w:val="0BA54B88"/>
    <w:rsid w:val="0DBF2182"/>
    <w:rsid w:val="0E7E5E6A"/>
    <w:rsid w:val="10014FAA"/>
    <w:rsid w:val="101860EC"/>
    <w:rsid w:val="10C055FF"/>
    <w:rsid w:val="10E01064"/>
    <w:rsid w:val="10EDA697"/>
    <w:rsid w:val="118107EC"/>
    <w:rsid w:val="12557610"/>
    <w:rsid w:val="13166FBF"/>
    <w:rsid w:val="13D50BC4"/>
    <w:rsid w:val="14252FD6"/>
    <w:rsid w:val="1442623C"/>
    <w:rsid w:val="15CF2127"/>
    <w:rsid w:val="16BB723D"/>
    <w:rsid w:val="17850B18"/>
    <w:rsid w:val="179663C2"/>
    <w:rsid w:val="17FDDCE2"/>
    <w:rsid w:val="1BAB21E9"/>
    <w:rsid w:val="1BAF784A"/>
    <w:rsid w:val="1BE8440E"/>
    <w:rsid w:val="1BFBF8E7"/>
    <w:rsid w:val="1CAE37F5"/>
    <w:rsid w:val="1D155CEE"/>
    <w:rsid w:val="1E37A199"/>
    <w:rsid w:val="1E8F66C4"/>
    <w:rsid w:val="1EE51481"/>
    <w:rsid w:val="1EF7C72D"/>
    <w:rsid w:val="1EFC3B07"/>
    <w:rsid w:val="1F32358C"/>
    <w:rsid w:val="1F4B06EB"/>
    <w:rsid w:val="1F5F6AC7"/>
    <w:rsid w:val="1F7FE758"/>
    <w:rsid w:val="1F980BBF"/>
    <w:rsid w:val="1FDFF7F1"/>
    <w:rsid w:val="1FFABD5E"/>
    <w:rsid w:val="1FFD9F6C"/>
    <w:rsid w:val="1FFFE5B9"/>
    <w:rsid w:val="20103CA7"/>
    <w:rsid w:val="205366ED"/>
    <w:rsid w:val="211423B2"/>
    <w:rsid w:val="2255792F"/>
    <w:rsid w:val="23187F67"/>
    <w:rsid w:val="234514E0"/>
    <w:rsid w:val="2375282B"/>
    <w:rsid w:val="23860B96"/>
    <w:rsid w:val="23F70E46"/>
    <w:rsid w:val="240371BF"/>
    <w:rsid w:val="246A7931"/>
    <w:rsid w:val="249A1F8C"/>
    <w:rsid w:val="27FF7BEA"/>
    <w:rsid w:val="29C620EE"/>
    <w:rsid w:val="29FD04D3"/>
    <w:rsid w:val="2AB87230"/>
    <w:rsid w:val="2C8A61B5"/>
    <w:rsid w:val="2CFF41BE"/>
    <w:rsid w:val="2D357AB1"/>
    <w:rsid w:val="2D3B7113"/>
    <w:rsid w:val="2DEE7FCB"/>
    <w:rsid w:val="2DF04E50"/>
    <w:rsid w:val="2EFFD82C"/>
    <w:rsid w:val="2F3B3732"/>
    <w:rsid w:val="2FF7E1CC"/>
    <w:rsid w:val="301E46D4"/>
    <w:rsid w:val="313F66F5"/>
    <w:rsid w:val="317A7A7E"/>
    <w:rsid w:val="319F03C4"/>
    <w:rsid w:val="319F7F4E"/>
    <w:rsid w:val="32725963"/>
    <w:rsid w:val="32831DB2"/>
    <w:rsid w:val="33D2596F"/>
    <w:rsid w:val="34C35CE1"/>
    <w:rsid w:val="357EB468"/>
    <w:rsid w:val="359F7AA1"/>
    <w:rsid w:val="35A818A1"/>
    <w:rsid w:val="36AA5135"/>
    <w:rsid w:val="36FFC810"/>
    <w:rsid w:val="37E16F03"/>
    <w:rsid w:val="38411727"/>
    <w:rsid w:val="384F50CC"/>
    <w:rsid w:val="38FD0B0F"/>
    <w:rsid w:val="39416966"/>
    <w:rsid w:val="39BF4044"/>
    <w:rsid w:val="3ABB3314"/>
    <w:rsid w:val="3B6E37EF"/>
    <w:rsid w:val="3C1F45B2"/>
    <w:rsid w:val="3C677187"/>
    <w:rsid w:val="3D98207C"/>
    <w:rsid w:val="3DF643DC"/>
    <w:rsid w:val="3EB5761B"/>
    <w:rsid w:val="3EDE6333"/>
    <w:rsid w:val="3EEB93E0"/>
    <w:rsid w:val="3F2F1C44"/>
    <w:rsid w:val="3F4B54AA"/>
    <w:rsid w:val="3F73C633"/>
    <w:rsid w:val="3FB14897"/>
    <w:rsid w:val="3FB77010"/>
    <w:rsid w:val="3FDB1EF3"/>
    <w:rsid w:val="3FEFA6A6"/>
    <w:rsid w:val="3FFD7DB9"/>
    <w:rsid w:val="403501D5"/>
    <w:rsid w:val="40883736"/>
    <w:rsid w:val="43000407"/>
    <w:rsid w:val="432A6B7B"/>
    <w:rsid w:val="43590788"/>
    <w:rsid w:val="44E268DA"/>
    <w:rsid w:val="47FD6974"/>
    <w:rsid w:val="47FFA055"/>
    <w:rsid w:val="49494CF1"/>
    <w:rsid w:val="499E3242"/>
    <w:rsid w:val="499FB540"/>
    <w:rsid w:val="4A627F82"/>
    <w:rsid w:val="4AC33EE4"/>
    <w:rsid w:val="4B4F25DA"/>
    <w:rsid w:val="4BE068DB"/>
    <w:rsid w:val="4CF9FF63"/>
    <w:rsid w:val="4D577224"/>
    <w:rsid w:val="4E3E56EC"/>
    <w:rsid w:val="4EAB630A"/>
    <w:rsid w:val="4EBFE3B6"/>
    <w:rsid w:val="4ECE2238"/>
    <w:rsid w:val="4EFFED9F"/>
    <w:rsid w:val="4FA949EF"/>
    <w:rsid w:val="4FD868DD"/>
    <w:rsid w:val="50802F39"/>
    <w:rsid w:val="527B94D0"/>
    <w:rsid w:val="534724B7"/>
    <w:rsid w:val="539A5C1F"/>
    <w:rsid w:val="53DFB393"/>
    <w:rsid w:val="53FB0E95"/>
    <w:rsid w:val="54E64464"/>
    <w:rsid w:val="55286574"/>
    <w:rsid w:val="55AB702A"/>
    <w:rsid w:val="55B20F58"/>
    <w:rsid w:val="55BBA9DF"/>
    <w:rsid w:val="567705CC"/>
    <w:rsid w:val="56E7A2A4"/>
    <w:rsid w:val="573936A3"/>
    <w:rsid w:val="57AB3FB3"/>
    <w:rsid w:val="57CFA608"/>
    <w:rsid w:val="57D97023"/>
    <w:rsid w:val="57DE59CF"/>
    <w:rsid w:val="57EFECA9"/>
    <w:rsid w:val="57F87F41"/>
    <w:rsid w:val="5AAED985"/>
    <w:rsid w:val="5AF92295"/>
    <w:rsid w:val="5B47A430"/>
    <w:rsid w:val="5CD71FC4"/>
    <w:rsid w:val="5DB59A9E"/>
    <w:rsid w:val="5DFFC1EF"/>
    <w:rsid w:val="5E9382AC"/>
    <w:rsid w:val="5EAB07FE"/>
    <w:rsid w:val="5EE40357"/>
    <w:rsid w:val="5EFB3D1E"/>
    <w:rsid w:val="5F2345A8"/>
    <w:rsid w:val="5FBF25E5"/>
    <w:rsid w:val="5FDBAA55"/>
    <w:rsid w:val="5FF5154F"/>
    <w:rsid w:val="5FFFC405"/>
    <w:rsid w:val="604364E6"/>
    <w:rsid w:val="60BF2E87"/>
    <w:rsid w:val="61793551"/>
    <w:rsid w:val="64F43F3D"/>
    <w:rsid w:val="64FB0B07"/>
    <w:rsid w:val="66376316"/>
    <w:rsid w:val="67EC589A"/>
    <w:rsid w:val="6887610B"/>
    <w:rsid w:val="68DF137C"/>
    <w:rsid w:val="698719DE"/>
    <w:rsid w:val="699D4512"/>
    <w:rsid w:val="6B837A01"/>
    <w:rsid w:val="6BBF6C54"/>
    <w:rsid w:val="6BC90704"/>
    <w:rsid w:val="6C4A05C8"/>
    <w:rsid w:val="6CDD73B2"/>
    <w:rsid w:val="6CF740EB"/>
    <w:rsid w:val="6DF7FDB5"/>
    <w:rsid w:val="6E6FAF47"/>
    <w:rsid w:val="6E734448"/>
    <w:rsid w:val="6E7E3605"/>
    <w:rsid w:val="6FF5CC65"/>
    <w:rsid w:val="6FF6D8DC"/>
    <w:rsid w:val="6FFE87EA"/>
    <w:rsid w:val="70096E04"/>
    <w:rsid w:val="71541F1A"/>
    <w:rsid w:val="715C0E4B"/>
    <w:rsid w:val="72734D90"/>
    <w:rsid w:val="728E3E2C"/>
    <w:rsid w:val="72D7B680"/>
    <w:rsid w:val="7353149C"/>
    <w:rsid w:val="73AD73D5"/>
    <w:rsid w:val="73B6EB34"/>
    <w:rsid w:val="73DFE356"/>
    <w:rsid w:val="7457716A"/>
    <w:rsid w:val="74F7DB6C"/>
    <w:rsid w:val="75C7A235"/>
    <w:rsid w:val="75E7A144"/>
    <w:rsid w:val="76AF4746"/>
    <w:rsid w:val="76CF39D1"/>
    <w:rsid w:val="7741F4CD"/>
    <w:rsid w:val="77536BB7"/>
    <w:rsid w:val="77772939"/>
    <w:rsid w:val="77773BAF"/>
    <w:rsid w:val="777F3DEC"/>
    <w:rsid w:val="777F40AB"/>
    <w:rsid w:val="77A40B3C"/>
    <w:rsid w:val="77BD6C90"/>
    <w:rsid w:val="77C33505"/>
    <w:rsid w:val="78DC497A"/>
    <w:rsid w:val="78F6383C"/>
    <w:rsid w:val="797A63E1"/>
    <w:rsid w:val="79E7C0DD"/>
    <w:rsid w:val="79EE5BA4"/>
    <w:rsid w:val="7A4B626B"/>
    <w:rsid w:val="7A894339"/>
    <w:rsid w:val="7AF1ED40"/>
    <w:rsid w:val="7AF32F69"/>
    <w:rsid w:val="7B6549C5"/>
    <w:rsid w:val="7B764886"/>
    <w:rsid w:val="7BB73002"/>
    <w:rsid w:val="7BBF7176"/>
    <w:rsid w:val="7BFF8279"/>
    <w:rsid w:val="7BFFA20F"/>
    <w:rsid w:val="7BFFD237"/>
    <w:rsid w:val="7C7B328A"/>
    <w:rsid w:val="7CB66066"/>
    <w:rsid w:val="7CE24DCC"/>
    <w:rsid w:val="7CFF617B"/>
    <w:rsid w:val="7CFFB36E"/>
    <w:rsid w:val="7D216E8C"/>
    <w:rsid w:val="7D56752E"/>
    <w:rsid w:val="7D7CA2F5"/>
    <w:rsid w:val="7D7FA4CF"/>
    <w:rsid w:val="7DA5D6E5"/>
    <w:rsid w:val="7DB24A38"/>
    <w:rsid w:val="7DD6E12B"/>
    <w:rsid w:val="7DEAF4B6"/>
    <w:rsid w:val="7DEFDA98"/>
    <w:rsid w:val="7DFD75AD"/>
    <w:rsid w:val="7DFF8AA0"/>
    <w:rsid w:val="7EBD8BFE"/>
    <w:rsid w:val="7EC56666"/>
    <w:rsid w:val="7EDC357C"/>
    <w:rsid w:val="7EE7BECD"/>
    <w:rsid w:val="7EEF11D3"/>
    <w:rsid w:val="7EF97AF3"/>
    <w:rsid w:val="7EFF9244"/>
    <w:rsid w:val="7EFFCAA1"/>
    <w:rsid w:val="7F0709B3"/>
    <w:rsid w:val="7F3F4E61"/>
    <w:rsid w:val="7F7EA8C7"/>
    <w:rsid w:val="7F7F873C"/>
    <w:rsid w:val="7FA30C79"/>
    <w:rsid w:val="7FB0A0E8"/>
    <w:rsid w:val="7FB755C9"/>
    <w:rsid w:val="7FB9311D"/>
    <w:rsid w:val="7FBE5C30"/>
    <w:rsid w:val="7FBFE637"/>
    <w:rsid w:val="7FC96657"/>
    <w:rsid w:val="7FCEA69F"/>
    <w:rsid w:val="7FE6656D"/>
    <w:rsid w:val="7FEE082F"/>
    <w:rsid w:val="7FF52428"/>
    <w:rsid w:val="7FF74280"/>
    <w:rsid w:val="7FF7D5DE"/>
    <w:rsid w:val="7FFB2767"/>
    <w:rsid w:val="7FFF6E53"/>
    <w:rsid w:val="87FDFF4F"/>
    <w:rsid w:val="8AEFDB80"/>
    <w:rsid w:val="8EFFC17D"/>
    <w:rsid w:val="978BF3FA"/>
    <w:rsid w:val="9ABFD00A"/>
    <w:rsid w:val="9DB00AD6"/>
    <w:rsid w:val="9EFF0E2A"/>
    <w:rsid w:val="A3F25EFF"/>
    <w:rsid w:val="A67B1FF3"/>
    <w:rsid w:val="A793AA3F"/>
    <w:rsid w:val="A7BE8320"/>
    <w:rsid w:val="ABEB75AB"/>
    <w:rsid w:val="ABFB1568"/>
    <w:rsid w:val="ADCAEF7F"/>
    <w:rsid w:val="AE7FB82C"/>
    <w:rsid w:val="B67DEADD"/>
    <w:rsid w:val="B7DC640B"/>
    <w:rsid w:val="B7DF72A5"/>
    <w:rsid w:val="B7F72060"/>
    <w:rsid w:val="B7FF7B83"/>
    <w:rsid w:val="BB07C80E"/>
    <w:rsid w:val="BBFBAA18"/>
    <w:rsid w:val="BDDFEB88"/>
    <w:rsid w:val="BDEF7A73"/>
    <w:rsid w:val="BDF79E2B"/>
    <w:rsid w:val="BFFDE354"/>
    <w:rsid w:val="BFFECB9F"/>
    <w:rsid w:val="C6F73CE9"/>
    <w:rsid w:val="C77C04CA"/>
    <w:rsid w:val="C7FD561F"/>
    <w:rsid w:val="CB7D7013"/>
    <w:rsid w:val="CF595EC4"/>
    <w:rsid w:val="CFBC117E"/>
    <w:rsid w:val="CFEE11EA"/>
    <w:rsid w:val="CFFEA24E"/>
    <w:rsid w:val="D1DD36CE"/>
    <w:rsid w:val="D3F1F89A"/>
    <w:rsid w:val="D3FC770E"/>
    <w:rsid w:val="D8D6DB89"/>
    <w:rsid w:val="DB398026"/>
    <w:rsid w:val="DB6F4CAB"/>
    <w:rsid w:val="DCFA372F"/>
    <w:rsid w:val="DDF91F82"/>
    <w:rsid w:val="DDFF0E96"/>
    <w:rsid w:val="DDFFA0CB"/>
    <w:rsid w:val="DEFF1C47"/>
    <w:rsid w:val="DF1757F7"/>
    <w:rsid w:val="DF3E41DD"/>
    <w:rsid w:val="DF6F9789"/>
    <w:rsid w:val="DFDF241F"/>
    <w:rsid w:val="DFFED2C1"/>
    <w:rsid w:val="DFFF06DC"/>
    <w:rsid w:val="E6EA8C09"/>
    <w:rsid w:val="E7B78E53"/>
    <w:rsid w:val="E7F7BCC9"/>
    <w:rsid w:val="E8EFA59E"/>
    <w:rsid w:val="E8F79421"/>
    <w:rsid w:val="E9FEE3B7"/>
    <w:rsid w:val="EAFF51D6"/>
    <w:rsid w:val="EB561779"/>
    <w:rsid w:val="EBF76248"/>
    <w:rsid w:val="EEFDA383"/>
    <w:rsid w:val="EEFF4B5B"/>
    <w:rsid w:val="EF7D1E66"/>
    <w:rsid w:val="EFDE6F22"/>
    <w:rsid w:val="EFF7937E"/>
    <w:rsid w:val="EFFB1367"/>
    <w:rsid w:val="F3DD6336"/>
    <w:rsid w:val="F3F3A415"/>
    <w:rsid w:val="F3FBE02B"/>
    <w:rsid w:val="F3FDCDCF"/>
    <w:rsid w:val="F3FFEAF2"/>
    <w:rsid w:val="F5DF4B10"/>
    <w:rsid w:val="F5FDC531"/>
    <w:rsid w:val="F6F71057"/>
    <w:rsid w:val="F6FF0885"/>
    <w:rsid w:val="F71F63B6"/>
    <w:rsid w:val="F76F2937"/>
    <w:rsid w:val="F87E6949"/>
    <w:rsid w:val="F89B30B3"/>
    <w:rsid w:val="F8EEBE18"/>
    <w:rsid w:val="F8FF2AF1"/>
    <w:rsid w:val="F99AD95F"/>
    <w:rsid w:val="F9F5DA09"/>
    <w:rsid w:val="FA5FA32D"/>
    <w:rsid w:val="FA7F7CED"/>
    <w:rsid w:val="FA9B886D"/>
    <w:rsid w:val="FAEE965C"/>
    <w:rsid w:val="FB37E95B"/>
    <w:rsid w:val="FB3E4714"/>
    <w:rsid w:val="FBB7ECEB"/>
    <w:rsid w:val="FBBBC02E"/>
    <w:rsid w:val="FBEB1FB4"/>
    <w:rsid w:val="FBFF69DA"/>
    <w:rsid w:val="FC3BF54D"/>
    <w:rsid w:val="FCCD7F23"/>
    <w:rsid w:val="FCF6AD8E"/>
    <w:rsid w:val="FD3E6B9C"/>
    <w:rsid w:val="FD6F7E16"/>
    <w:rsid w:val="FD78DF76"/>
    <w:rsid w:val="FD7F29F2"/>
    <w:rsid w:val="FDBFD2E4"/>
    <w:rsid w:val="FDEF72B7"/>
    <w:rsid w:val="FDFB90A5"/>
    <w:rsid w:val="FDFE0943"/>
    <w:rsid w:val="FDFFB207"/>
    <w:rsid w:val="FE3F387A"/>
    <w:rsid w:val="FEA98F38"/>
    <w:rsid w:val="FED9D10A"/>
    <w:rsid w:val="FEDFC498"/>
    <w:rsid w:val="FEEE1CA5"/>
    <w:rsid w:val="FEFC7947"/>
    <w:rsid w:val="FEFD5521"/>
    <w:rsid w:val="FF33F9E1"/>
    <w:rsid w:val="FF3F4E50"/>
    <w:rsid w:val="FF3FEB52"/>
    <w:rsid w:val="FF5D9885"/>
    <w:rsid w:val="FF6F4387"/>
    <w:rsid w:val="FF7F819E"/>
    <w:rsid w:val="FFCF7CCE"/>
    <w:rsid w:val="FFDB70A6"/>
    <w:rsid w:val="FFDF42B3"/>
    <w:rsid w:val="FFDF7C82"/>
    <w:rsid w:val="FFED0E3E"/>
    <w:rsid w:val="FFEFA67F"/>
    <w:rsid w:val="FFF18EB8"/>
    <w:rsid w:val="FFF7286E"/>
    <w:rsid w:val="FFF7883F"/>
    <w:rsid w:val="FFFBA431"/>
    <w:rsid w:val="FFFF88F2"/>
    <w:rsid w:val="FFFFA5BD"/>
    <w:rsid w:val="FFFFD2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7"/>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420" w:leftChars="200"/>
    </w:pPr>
    <w:rPr>
      <w:rFonts w:cs="Calibri"/>
    </w:rPr>
  </w:style>
  <w:style w:type="paragraph" w:styleId="7">
    <w:name w:val="Body Text First Indent 2"/>
    <w:basedOn w:val="6"/>
    <w:next w:val="1"/>
    <w:qFormat/>
    <w:uiPriority w:val="0"/>
    <w:pPr>
      <w:ind w:firstLine="420" w:firstLineChars="200"/>
    </w:pPr>
    <w:rPr>
      <w:rFonts w:cs="Times New Roman"/>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character" w:customStyle="1" w:styleId="22">
    <w:name w:val="Header Char"/>
    <w:basedOn w:val="16"/>
    <w:semiHidden/>
    <w:qFormat/>
    <w:uiPriority w:val="99"/>
    <w:rPr>
      <w:rFonts w:ascii="Times New Roman" w:hAnsi="Times New Roman"/>
      <w:sz w:val="18"/>
      <w:szCs w:val="18"/>
    </w:rPr>
  </w:style>
  <w:style w:type="character" w:customStyle="1" w:styleId="23">
    <w:name w:val="页眉 Char"/>
    <w:link w:val="11"/>
    <w:semiHidden/>
    <w:qFormat/>
    <w:locked/>
    <w:uiPriority w:val="99"/>
    <w:rPr>
      <w:sz w:val="18"/>
    </w:rPr>
  </w:style>
  <w:style w:type="character" w:customStyle="1" w:styleId="24">
    <w:name w:val="Footer Char"/>
    <w:basedOn w:val="16"/>
    <w:semiHidden/>
    <w:qFormat/>
    <w:uiPriority w:val="99"/>
    <w:rPr>
      <w:rFonts w:ascii="Times New Roman" w:hAnsi="Times New Roman"/>
      <w:sz w:val="18"/>
      <w:szCs w:val="18"/>
    </w:rPr>
  </w:style>
  <w:style w:type="character" w:customStyle="1" w:styleId="25">
    <w:name w:val="页脚 Char"/>
    <w:link w:val="10"/>
    <w:qFormat/>
    <w:locked/>
    <w:uiPriority w:val="99"/>
    <w:rPr>
      <w:sz w:val="18"/>
    </w:rPr>
  </w:style>
  <w:style w:type="character" w:customStyle="1" w:styleId="26">
    <w:name w:val="Body Text Char"/>
    <w:basedOn w:val="16"/>
    <w:semiHidden/>
    <w:qFormat/>
    <w:uiPriority w:val="99"/>
    <w:rPr>
      <w:rFonts w:ascii="Times New Roman" w:hAnsi="Times New Roman"/>
      <w:szCs w:val="24"/>
    </w:rPr>
  </w:style>
  <w:style w:type="character" w:customStyle="1" w:styleId="27">
    <w:name w:val="正文文本 Char"/>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paragraph" w:customStyle="1" w:styleId="32">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图表目录1"/>
    <w:basedOn w:val="34"/>
    <w:next w:val="1"/>
    <w:qFormat/>
    <w:uiPriority w:val="99"/>
    <w:pPr>
      <w:ind w:left="200" w:leftChars="200" w:hanging="200" w:hangingChars="200"/>
    </w:pPr>
  </w:style>
  <w:style w:type="paragraph" w:customStyle="1" w:styleId="34">
    <w:name w:val="正文 New"/>
    <w:next w:val="33"/>
    <w:qFormat/>
    <w:uiPriority w:val="99"/>
    <w:pPr>
      <w:widowControl w:val="0"/>
      <w:jc w:val="both"/>
    </w:pPr>
    <w:rPr>
      <w:rFonts w:ascii="Times New Roman" w:hAnsi="Times New Roman" w:eastAsia="仿宋_GB2312" w:cs="Times New Roman"/>
      <w:kern w:val="2"/>
      <w:sz w:val="32"/>
      <w:szCs w:val="24"/>
      <w:lang w:val="en-US" w:eastAsia="zh-CN" w:bidi="ar-SA"/>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6">
    <w:name w:val="NormalCharacter"/>
    <w:qFormat/>
    <w:uiPriority w:val="0"/>
  </w:style>
  <w:style w:type="character" w:customStyle="1" w:styleId="37">
    <w:name w:val="font21"/>
    <w:basedOn w:val="16"/>
    <w:qFormat/>
    <w:uiPriority w:val="0"/>
    <w:rPr>
      <w:rFonts w:hint="eastAsia" w:ascii="宋体" w:hAnsi="宋体" w:eastAsia="宋体" w:cs="宋体"/>
      <w:color w:val="000000"/>
      <w:sz w:val="22"/>
      <w:szCs w:val="22"/>
      <w:u w:val="none"/>
    </w:rPr>
  </w:style>
  <w:style w:type="character" w:customStyle="1" w:styleId="38">
    <w:name w:val="font11"/>
    <w:basedOn w:val="16"/>
    <w:qFormat/>
    <w:uiPriority w:val="0"/>
    <w:rPr>
      <w:rFonts w:hint="eastAsia" w:ascii="宋体" w:hAnsi="宋体" w:eastAsia="宋体" w:cs="宋体"/>
      <w:color w:val="000000"/>
      <w:sz w:val="22"/>
      <w:szCs w:val="22"/>
      <w:u w:val="none"/>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 w:type="character" w:customStyle="1" w:styleId="41">
    <w:name w:val="16"/>
    <w:basedOn w:val="16"/>
    <w:qFormat/>
    <w:uiPriority w:val="0"/>
    <w:rPr>
      <w:rFonts w:ascii="Times New Roman"/>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29579;&#28487;2024&#24180;&#36164;&#26009;\&#25253;&#36865;&#36164;&#26009;\2023&#20915;&#31639;&#20844;&#24320;\&#22270;&#349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9579;&#28487;2024&#24180;&#36164;&#26009;\&#25253;&#36865;&#36164;&#26009;\2023&#20915;&#31639;&#20844;&#24320;\&#22270;&#34920;.xls"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29579;&#28487;2024&#24180;&#36164;&#26009;\&#25253;&#36865;&#36164;&#26009;\2023&#20915;&#31639;&#20844;&#24320;\&#22270;&#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33"/>
          <c:y val="0.06425"/>
          <c:w val="0.80925"/>
          <c:h val="0.79725"/>
        </c:manualLayout>
      </c:layout>
      <c:barChart>
        <c:barDir val="col"/>
        <c:grouping val="clustered"/>
        <c:varyColors val="false"/>
        <c:ser>
          <c:idx val="0"/>
          <c:order val="0"/>
          <c:spPr>
            <a:solidFill>
              <a:srgbClr val="99CCFF">
                <a:alpha val="100000"/>
              </a:srgbClr>
            </a:solidFill>
            <a:ln w="12700">
              <a:solidFill>
                <a:srgbClr val="000000">
                  <a:alpha val="100000"/>
                </a:srgbClr>
              </a:solidFill>
              <a:prstDash val="solid"/>
            </a:ln>
          </c:spPr>
          <c:invertIfNegative val="false"/>
          <c:dLbls>
            <c:delete val="true"/>
          </c:dLbls>
          <c:cat>
            <c:strRef>
              <c:f>[图表.xls]Sheet1!$A$93:$B$93</c:f>
              <c:strCache>
                <c:ptCount val="2"/>
                <c:pt idx="0">
                  <c:v>2022年</c:v>
                </c:pt>
                <c:pt idx="1">
                  <c:v>2023年</c:v>
                </c:pt>
              </c:strCache>
            </c:strRef>
          </c:cat>
          <c:val>
            <c:numRef>
              <c:f>[图表.xls]Sheet1!$A$94:$B$94</c:f>
              <c:numCache>
                <c:formatCode>General</c:formatCode>
                <c:ptCount val="2"/>
                <c:pt idx="0">
                  <c:v>3472.57</c:v>
                </c:pt>
                <c:pt idx="1">
                  <c:v>6519.15</c:v>
                </c:pt>
              </c:numCache>
            </c:numRef>
          </c:val>
        </c:ser>
        <c:dLbls>
          <c:showLegendKey val="false"/>
          <c:showVal val="false"/>
          <c:showCatName val="false"/>
          <c:showSerName val="false"/>
          <c:showPercent val="false"/>
          <c:showBubbleSize val="false"/>
        </c:dLbls>
        <c:gapWidth val="150"/>
        <c:overlap val="0"/>
        <c:axId val="893580606"/>
        <c:axId val="551005237"/>
      </c:barChart>
      <c:catAx>
        <c:axId val="893580606"/>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551005237"/>
        <c:crosses val="autoZero"/>
        <c:auto val="true"/>
        <c:lblAlgn val="ctr"/>
        <c:lblOffset val="100"/>
        <c:noMultiLvlLbl val="false"/>
      </c:catAx>
      <c:valAx>
        <c:axId val="551005237"/>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numFmt formatCode="General" sourceLinked="tru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893580606"/>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99CCFF">
                  <a:alpha val="100000"/>
                </a:srgbClr>
              </a:solidFill>
              <a:ln w="3175">
                <a:solidFill>
                  <a:srgbClr val="000000">
                    <a:alpha val="100000"/>
                  </a:srgbClr>
                </a:solidFill>
                <a:prstDash val="solid"/>
              </a:ln>
            </c:spPr>
          </c:dPt>
          <c:dPt>
            <c:idx val="1"/>
            <c:bubble3D val="false"/>
            <c:explosion val="0"/>
            <c:spPr>
              <a:solidFill>
                <a:srgbClr val="FF8080">
                  <a:alpha val="100000"/>
                </a:srgbClr>
              </a:solidFill>
              <a:ln w="3175">
                <a:solidFill>
                  <a:srgbClr val="000000">
                    <a:alpha val="100000"/>
                  </a:srgbClr>
                </a:solidFill>
                <a:prstDash val="solid"/>
              </a:ln>
            </c:spPr>
          </c:dPt>
          <c:dPt>
            <c:idx val="2"/>
            <c:bubble3D val="false"/>
            <c:spPr>
              <a:solidFill>
                <a:srgbClr val="FFFFCC"/>
              </a:solidFill>
              <a:ln w="12700">
                <a:solidFill>
                  <a:srgbClr val="000000"/>
                </a:solidFill>
                <a:prstDash val="solid"/>
              </a:ln>
              <a:effectLst/>
            </c:spPr>
          </c:dPt>
          <c:dLbls>
            <c:numFmt formatCode="0.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[图表.xls]Sheet1!$A$36:$C$36</c:f>
              <c:strCache>
                <c:ptCount val="3"/>
                <c:pt idx="0">
                  <c:v>一般公共预算财政拨款收入</c:v>
                </c:pt>
                <c:pt idx="1">
                  <c:v>政府性基金预算财政拨款收入</c:v>
                </c:pt>
                <c:pt idx="2">
                  <c:v>其他收入</c:v>
                </c:pt>
              </c:strCache>
            </c:strRef>
          </c:cat>
          <c:val>
            <c:numRef>
              <c:f>[图表.xls]Sheet1!$A$37:$C$37</c:f>
              <c:numCache>
                <c:formatCode>0.00%</c:formatCode>
                <c:ptCount val="3"/>
                <c:pt idx="0">
                  <c:v>0.7953</c:v>
                </c:pt>
                <c:pt idx="1">
                  <c:v>0.2046</c:v>
                </c:pt>
                <c:pt idx="2">
                  <c:v>1e-5</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113"/>
          <c:y val="0.9235"/>
          <c:w val="0.772"/>
          <c:h val="0.0625"/>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FF8080">
                  <a:alpha val="100000"/>
                </a:srgbClr>
              </a:solidFill>
              <a:ln w="3175">
                <a:solidFill>
                  <a:srgbClr val="000000">
                    <a:alpha val="100000"/>
                  </a:srgbClr>
                </a:solidFill>
                <a:prstDash val="solid"/>
              </a:ln>
            </c:spPr>
          </c:dPt>
          <c:dPt>
            <c:idx val="1"/>
            <c:bubble3D val="false"/>
            <c:explosion val="0"/>
            <c:spPr>
              <a:solidFill>
                <a:srgbClr val="99CCFF">
                  <a:alpha val="100000"/>
                </a:srgbClr>
              </a:solidFill>
              <a:ln w="3175">
                <a:solidFill>
                  <a:srgbClr val="000000">
                    <a:alpha val="100000"/>
                  </a:srgbClr>
                </a:solidFill>
                <a:prstDash val="solid"/>
              </a:ln>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[图表.xls]Sheet1!$A$55:$B$55</c:f>
              <c:strCache>
                <c:ptCount val="2"/>
                <c:pt idx="0">
                  <c:v>基本支出</c:v>
                </c:pt>
                <c:pt idx="1">
                  <c:v>项目支出</c:v>
                </c:pt>
              </c:strCache>
            </c:strRef>
          </c:cat>
          <c:val>
            <c:numRef>
              <c:f>[图表.xls]Sheet1!$A$56:$B$56</c:f>
              <c:numCache>
                <c:formatCode>0.00%</c:formatCode>
                <c:ptCount val="2"/>
                <c:pt idx="0">
                  <c:v>0.2653</c:v>
                </c:pt>
                <c:pt idx="1">
                  <c:v>0.7347</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36275"/>
          <c:y val="0.9195"/>
          <c:w val="0.272"/>
          <c:h val="0.066"/>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035"/>
          <c:y val="0.133"/>
          <c:w val="0.848"/>
          <c:h val="0.7225"/>
        </c:manualLayout>
      </c:layout>
      <c:barChart>
        <c:barDir val="col"/>
        <c:grouping val="clustered"/>
        <c:varyColors val="false"/>
        <c:ser>
          <c:idx val="0"/>
          <c:order val="0"/>
          <c:spPr>
            <a:solidFill>
              <a:srgbClr val="9999FF"/>
            </a:solidFill>
            <a:ln w="12700">
              <a:solidFill>
                <a:srgbClr val="000000"/>
              </a:solidFill>
            </a:ln>
          </c:spPr>
          <c:invertIfNegative val="false"/>
          <c:dPt>
            <c:idx val="0"/>
            <c:invertIfNegative val="false"/>
            <c:bubble3D val="false"/>
            <c:explosion val="0"/>
            <c:spPr>
              <a:solidFill>
                <a:srgbClr val="99CCFF">
                  <a:alpha val="100000"/>
                </a:srgbClr>
              </a:solidFill>
              <a:ln w="3175">
                <a:solidFill>
                  <a:srgbClr val="000000">
                    <a:alpha val="100000"/>
                  </a:srgbClr>
                </a:solidFill>
                <a:prstDash val="solid"/>
              </a:ln>
            </c:spPr>
          </c:dPt>
          <c:dPt>
            <c:idx val="1"/>
            <c:invertIfNegative val="false"/>
            <c:bubble3D val="false"/>
            <c:explosion val="0"/>
            <c:spPr>
              <a:solidFill>
                <a:srgbClr val="99CCFF">
                  <a:alpha val="100000"/>
                </a:srgbClr>
              </a:solidFill>
              <a:ln w="3175">
                <a:solidFill>
                  <a:srgbClr val="000000">
                    <a:alpha val="100000"/>
                  </a:srgbClr>
                </a:solidFill>
                <a:prstDash val="solid"/>
              </a:ln>
            </c:spPr>
          </c:dPt>
          <c:dLbls>
            <c:delete val="true"/>
          </c:dLbls>
          <c:cat>
            <c:strRef>
              <c:f>[图表.xls]Sheet1!$A$79:$B$79</c:f>
              <c:strCache>
                <c:ptCount val="2"/>
                <c:pt idx="0">
                  <c:v>2022年</c:v>
                </c:pt>
                <c:pt idx="1">
                  <c:v>2023年</c:v>
                </c:pt>
              </c:strCache>
            </c:strRef>
          </c:cat>
          <c:val>
            <c:numRef>
              <c:f>[图表.xls]Sheet1!$A$80:$B$80</c:f>
              <c:numCache>
                <c:formatCode>General</c:formatCode>
                <c:ptCount val="2"/>
                <c:pt idx="0">
                  <c:v>4018.15</c:v>
                </c:pt>
                <c:pt idx="1">
                  <c:v>6519.15</c:v>
                </c:pt>
              </c:numCache>
            </c:numRef>
          </c:val>
        </c:ser>
        <c:dLbls>
          <c:showLegendKey val="false"/>
          <c:showVal val="false"/>
          <c:showCatName val="false"/>
          <c:showSerName val="false"/>
          <c:showPercent val="false"/>
          <c:showBubbleSize val="false"/>
        </c:dLbls>
        <c:gapWidth val="150"/>
        <c:overlap val="0"/>
        <c:axId val="78688364"/>
        <c:axId val="219128626"/>
      </c:barChart>
      <c:catAx>
        <c:axId val="78688364"/>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219128626"/>
        <c:crosses val="autoZero"/>
        <c:auto val="true"/>
        <c:lblAlgn val="ctr"/>
        <c:lblOffset val="100"/>
        <c:noMultiLvlLbl val="false"/>
      </c:catAx>
      <c:valAx>
        <c:axId val="219128626"/>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numFmt formatCode="General" sourceLinked="tru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78688364"/>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33"/>
          <c:y val="0.06425"/>
          <c:w val="0.80925"/>
          <c:h val="0.79725"/>
        </c:manualLayout>
      </c:layout>
      <c:barChart>
        <c:barDir val="col"/>
        <c:grouping val="clustered"/>
        <c:varyColors val="false"/>
        <c:ser>
          <c:idx val="0"/>
          <c:order val="0"/>
          <c:spPr>
            <a:solidFill>
              <a:srgbClr val="99CCFF">
                <a:alpha val="100000"/>
              </a:srgbClr>
            </a:solidFill>
            <a:ln w="12700">
              <a:solidFill>
                <a:srgbClr val="000000">
                  <a:alpha val="100000"/>
                </a:srgbClr>
              </a:solidFill>
              <a:prstDash val="solid"/>
            </a:ln>
          </c:spPr>
          <c:invertIfNegative val="false"/>
          <c:dLbls>
            <c:delete val="true"/>
          </c:dLbls>
          <c:cat>
            <c:strRef>
              <c:f>[图表.xls]Sheet1!$A$93:$B$93</c:f>
              <c:strCache>
                <c:ptCount val="2"/>
                <c:pt idx="0">
                  <c:v>2022年</c:v>
                </c:pt>
                <c:pt idx="1">
                  <c:v>2023年</c:v>
                </c:pt>
              </c:strCache>
            </c:strRef>
          </c:cat>
          <c:val>
            <c:numRef>
              <c:f>[图表.xls]Sheet1!$A$94:$B$94</c:f>
              <c:numCache>
                <c:formatCode>General</c:formatCode>
                <c:ptCount val="2"/>
                <c:pt idx="0">
                  <c:v>3472.57</c:v>
                </c:pt>
                <c:pt idx="1">
                  <c:v>5108.23</c:v>
                </c:pt>
              </c:numCache>
            </c:numRef>
          </c:val>
        </c:ser>
        <c:dLbls>
          <c:showLegendKey val="false"/>
          <c:showVal val="false"/>
          <c:showCatName val="false"/>
          <c:showSerName val="false"/>
          <c:showPercent val="false"/>
          <c:showBubbleSize val="false"/>
        </c:dLbls>
        <c:gapWidth val="150"/>
        <c:overlap val="0"/>
        <c:axId val="893580606"/>
        <c:axId val="551005237"/>
      </c:barChart>
      <c:catAx>
        <c:axId val="893580606"/>
        <c:scaling>
          <c:orientation val="minMax"/>
        </c:scaling>
        <c:delete val="false"/>
        <c:axPos val="b"/>
        <c:title>
          <c:tx>
            <c:rich>
              <a:bodyPr rot="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年度</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551005237"/>
        <c:crosses val="autoZero"/>
        <c:auto val="true"/>
        <c:lblAlgn val="ctr"/>
        <c:lblOffset val="100"/>
        <c:noMultiLvlLbl val="false"/>
      </c:catAx>
      <c:valAx>
        <c:axId val="551005237"/>
        <c:scaling>
          <c:orientation val="minMax"/>
        </c:scaling>
        <c:delete val="false"/>
        <c:axPos val="l"/>
        <c:majorGridlines>
          <c:spPr>
            <a:ln w="3175" cap="flat" cmpd="sng" algn="ctr">
              <a:solidFill>
                <a:srgbClr val="000000">
                  <a:alpha val="100000"/>
                </a:srgbClr>
              </a:solidFill>
              <a:prstDash val="solid"/>
              <a:round/>
            </a:ln>
          </c:spPr>
        </c:majorGridlines>
        <c:title>
          <c:tx>
            <c:rich>
              <a:bodyPr rot="-5400000" spcFirstLastPara="0" vertOverflow="ellipsis" vert="horz" wrap="square" anchor="ctr" anchorCtr="true"/>
              <a:lstStyle/>
              <a:p>
                <a:pPr defTabSz="914400">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r>
                  <a:t>万元</a:t>
                </a:r>
                <a:endParaRPr sz="8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false"/>
        </c:title>
        <c:numFmt formatCode="General" sourceLinked="true"/>
        <c:majorTickMark val="in"/>
        <c:minorTickMark val="none"/>
        <c:tickLblPos val="nextTo"/>
        <c:spPr>
          <a:ln w="3175" cap="flat" cmpd="sng" algn="ctr">
            <a:solidFill>
              <a:srgbClr val="000000"/>
            </a:solidFill>
            <a:prstDash val="solid"/>
            <a:round/>
          </a:ln>
        </c:spPr>
        <c:txPr>
          <a:bodyPr rot="-6000000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crossAx val="893580606"/>
        <c:crosses val="autoZero"/>
        <c:crossBetween val="between"/>
      </c:valAx>
      <c:spPr>
        <a:solidFill>
          <a:srgbClr val="FFFFFF">
            <a:alpha val="100000"/>
          </a:srgbClr>
        </a:solidFill>
        <a:ln w="12700">
          <a:solidFill>
            <a:srgbClr val="808080">
              <a:alpha val="100000"/>
            </a:srgbClr>
          </a:solidFill>
          <a:prstDash val="solid"/>
        </a:ln>
      </c:spPr>
    </c:plotArea>
    <c:plotVisOnly val="true"/>
    <c:dispBlanksAs val="gap"/>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a:solidFill>
              <a:srgbClr val="9999FF"/>
            </a:solidFill>
            <a:ln w="12700">
              <a:solidFill>
                <a:srgbClr val="000000"/>
              </a:solidFill>
              <a:prstDash val="solid"/>
            </a:ln>
          </c:spPr>
          <c:explosion val="0"/>
          <c:dPt>
            <c:idx val="0"/>
            <c:bubble3D val="false"/>
            <c:spPr>
              <a:solidFill>
                <a:srgbClr val="9999FF"/>
              </a:solidFill>
              <a:ln w="12700">
                <a:solidFill>
                  <a:srgbClr val="000000"/>
                </a:solidFill>
                <a:prstDash val="solid"/>
              </a:ln>
              <a:effectLst/>
            </c:spPr>
          </c:dPt>
          <c:dPt>
            <c:idx val="1"/>
            <c:bubble3D val="false"/>
            <c:spPr>
              <a:solidFill>
                <a:srgbClr val="993366"/>
              </a:solidFill>
              <a:ln w="12700">
                <a:solidFill>
                  <a:srgbClr val="000000"/>
                </a:solidFill>
                <a:prstDash val="solid"/>
              </a:ln>
              <a:effectLst/>
            </c:spPr>
          </c:dPt>
          <c:dPt>
            <c:idx val="2"/>
            <c:bubble3D val="false"/>
            <c:spPr>
              <a:solidFill>
                <a:srgbClr val="FFFFCC"/>
              </a:solidFill>
              <a:ln w="12700">
                <a:solidFill>
                  <a:srgbClr val="000000"/>
                </a:solidFill>
                <a:prstDash val="solid"/>
              </a:ln>
              <a:effectLst/>
            </c:spPr>
          </c:dPt>
          <c:dPt>
            <c:idx val="3"/>
            <c:bubble3D val="false"/>
            <c:spPr>
              <a:solidFill>
                <a:srgbClr val="CCFFFF"/>
              </a:solidFill>
              <a:ln w="12700">
                <a:solidFill>
                  <a:srgbClr val="000000"/>
                </a:solidFill>
                <a:prstDash val="solid"/>
              </a:ln>
              <a:effectLst/>
            </c:spPr>
          </c:dPt>
          <c:dPt>
            <c:idx val="4"/>
            <c:bubble3D val="false"/>
            <c:spPr>
              <a:solidFill>
                <a:srgbClr val="660066"/>
              </a:solidFill>
              <a:ln w="12700">
                <a:solidFill>
                  <a:srgbClr val="000000"/>
                </a:solidFill>
                <a:prstDash val="solid"/>
              </a:ln>
              <a:effectLst/>
            </c:spPr>
          </c:dPt>
          <c:dPt>
            <c:idx val="5"/>
            <c:bubble3D val="false"/>
            <c:spPr>
              <a:solidFill>
                <a:srgbClr val="FF8080"/>
              </a:solidFill>
              <a:ln w="12700">
                <a:solidFill>
                  <a:srgbClr val="000000"/>
                </a:solidFill>
                <a:prstDash val="solid"/>
              </a:ln>
              <a:effectLst/>
            </c:spPr>
          </c:dPt>
          <c:dPt>
            <c:idx val="6"/>
            <c:bubble3D val="false"/>
            <c:spPr>
              <a:solidFill>
                <a:srgbClr val="0066CC"/>
              </a:solidFill>
              <a:ln w="12700">
                <a:solidFill>
                  <a:srgbClr val="000000"/>
                </a:solidFill>
                <a:prstDash val="solid"/>
              </a:ln>
              <a:effectLst/>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[图表.xls]Sheet1!$A$118:$G$118</c:f>
              <c:strCache>
                <c:ptCount val="7"/>
                <c:pt idx="0">
                  <c:v>社会保障和就业</c:v>
                </c:pt>
                <c:pt idx="1">
                  <c:v>卫生健康</c:v>
                </c:pt>
                <c:pt idx="2" c:formatCode="#,##0.00">
                  <c:v>农林水</c:v>
                </c:pt>
                <c:pt idx="4">
                  <c:v>住房保障</c:v>
                </c:pt>
              </c:strCache>
            </c:strRef>
          </c:cat>
          <c:val>
            <c:numRef>
              <c:f>[图表.xls]Sheet1!$A$119:$G$119</c:f>
              <c:numCache>
                <c:formatCode>0.00%</c:formatCode>
                <c:ptCount val="7"/>
                <c:pt idx="0">
                  <c:v>0.0402</c:v>
                </c:pt>
                <c:pt idx="1">
                  <c:v>0.0119</c:v>
                </c:pt>
                <c:pt idx="2" c:formatCode="#,##0.00">
                  <c:v>0.9239</c:v>
                </c:pt>
                <c:pt idx="4">
                  <c:v>0.024</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11925"/>
          <c:y val="0.81575"/>
          <c:w val="0.7595"/>
          <c:h val="0.17075"/>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96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title>
    <c:autoTitleDeleted val="false"/>
    <c:plotArea>
      <c:layout/>
      <c:pieChart>
        <c:varyColors val="true"/>
        <c:ser>
          <c:idx val="0"/>
          <c:order val="0"/>
          <c:spPr>
            <a:solidFill>
              <a:srgbClr val="9999FF"/>
            </a:solidFill>
            <a:ln w="12700">
              <a:solidFill>
                <a:srgbClr val="000000"/>
              </a:solidFill>
              <a:prstDash val="solid"/>
            </a:ln>
          </c:spPr>
          <c:explosion val="0"/>
          <c:dPt>
            <c:idx val="0"/>
            <c:bubble3D val="false"/>
            <c:explosion val="0"/>
            <c:spPr>
              <a:solidFill>
                <a:srgbClr val="FF8080">
                  <a:alpha val="100000"/>
                </a:srgbClr>
              </a:solidFill>
              <a:ln w="3175">
                <a:solidFill>
                  <a:srgbClr val="000000">
                    <a:alpha val="100000"/>
                  </a:srgbClr>
                </a:solidFill>
                <a:prstDash val="solid"/>
              </a:ln>
            </c:spPr>
          </c:dPt>
          <c:dPt>
            <c:idx val="1"/>
            <c:bubble3D val="false"/>
            <c:explosion val="0"/>
            <c:spPr>
              <a:solidFill>
                <a:srgbClr val="99CCFF">
                  <a:alpha val="100000"/>
                </a:srgbClr>
              </a:solidFill>
              <a:ln w="3175">
                <a:solidFill>
                  <a:srgbClr val="000000">
                    <a:alpha val="100000"/>
                  </a:srgbClr>
                </a:solidFill>
                <a:prstDash val="solid"/>
              </a:ln>
            </c:spPr>
          </c:dPt>
          <c:dLbls>
            <c:numFmt formatCode="0.00%" sourceLinked="false"/>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[图表.xls]Sheet1!$A$55:$B$55</c:f>
              <c:strCache>
                <c:ptCount val="2"/>
                <c:pt idx="0">
                  <c:v>公务用车购置及运行维护费</c:v>
                </c:pt>
                <c:pt idx="1">
                  <c:v>公务接待费</c:v>
                </c:pt>
              </c:strCache>
            </c:strRef>
          </c:cat>
          <c:val>
            <c:numRef>
              <c:f>[图表.xls]Sheet1!$A$56:$B$56</c:f>
              <c:numCache>
                <c:formatCode>0.00%</c:formatCode>
                <c:ptCount val="2"/>
                <c:pt idx="0">
                  <c:v>0.8639</c:v>
                </c:pt>
                <c:pt idx="1">
                  <c:v>0.1361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manualLayout>
          <c:xMode val="edge"/>
          <c:yMode val="edge"/>
          <c:x val="0.362689804772234"/>
          <c:y val="0.919404396123848"/>
          <c:w val="0.561388286334056"/>
          <c:h val="0.0590876861262113"/>
        </c:manualLayout>
      </c:layout>
      <c:overlay val="false"/>
      <c:spPr>
        <a:solidFill>
          <a:srgbClr val="FFFFFF"/>
        </a:solidFill>
        <a:ln>
          <a:solidFill>
            <a:srgbClr val="000000"/>
          </a:solidFill>
        </a:ln>
      </c:spPr>
      <c:txPr>
        <a:bodyPr rot="0" spcFirstLastPara="0" vertOverflow="ellipsis" vert="horz" wrap="square" anchor="ctr" anchorCtr="true"/>
        <a:lstStyle/>
        <a:p>
          <a:pPr>
            <a:defRPr lang="zh-CN" sz="800" b="0" i="0" u="none" strike="noStrike" kern="1200" baseline="0">
              <a:solidFill>
                <a:srgbClr val="000000"/>
              </a:solidFill>
              <a:latin typeface="宋体" panose="02010600030101010101" charset="-122"/>
              <a:ea typeface="宋体" panose="02010600030101010101" charset="-122"/>
              <a:cs typeface="宋体" panose="02010600030101010101" charset="-122"/>
            </a:defRPr>
          </a:pPr>
        </a:p>
      </c:txPr>
    </c:legend>
    <c:plotVisOnly val="true"/>
    <c:dispBlanksAs val="zero"/>
    <c:showDLblsOverMax val="false"/>
  </c:chart>
  <c:spPr>
    <a:solidFill>
      <a:srgbClr val="FFFFFF"/>
    </a:solidFill>
    <a:ln w="3175" cap="flat" cmpd="sng" algn="ctr">
      <a:solidFill>
        <a:srgbClr val="000000">
          <a:alpha val="100000"/>
        </a:srgbClr>
      </a:solidFill>
      <a:prstDash val="solid"/>
      <a:round/>
    </a:ln>
  </c:spPr>
  <c:txPr>
    <a:bodyPr rot="0" wrap="square" anchor="ctr" anchorCtr="true"/>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p>
  </c:txPr>
  <c:externalData r:id="rId1">
    <c:autoUpdate val="false"/>
  </c:externalData>
  <c:userShapes r:id="rId2"/>
</c:chartSpace>
</file>

<file path=word/drawings/drawing1.xml><?xml version="1.0" encoding="utf-8"?>
<c:userShapes xmlns:c="http://schemas.openxmlformats.org/drawingml/2006/chart">
  <cdr:relSizeAnchor xmlns:cdr="http://schemas.openxmlformats.org/drawingml/2006/chartDrawing">
    <cdr:from>
      <cdr:x>0.5</cdr:x>
      <cdr:y>0.4985</cdr:y>
    </cdr:from>
    <cdr:to>
      <cdr:x>0.51775</cdr:x>
      <cdr:y>0.55675</cdr:y>
    </cdr:to>
    <cdr:sp>
      <cdr:nvSpPr>
        <cdr:cNvPr id="2" name="矩形 1"/>
        <cdr:cNvSpPr/>
      </cdr:nvSpPr>
      <cdr:spPr xmlns:a="http://schemas.openxmlformats.org/drawingml/2006/main">
        <a:xfrm xmlns:a="http://schemas.openxmlformats.org/drawingml/2006/main">
          <a:off x="2195513" y="1339312"/>
          <a:ext cx="77941" cy="156499"/>
        </a:xfrm>
        <a:prstGeom xmlns:a="http://schemas.openxmlformats.org/drawingml/2006/main" prst="rect">
          <a:avLst/>
        </a:prstGeom>
        <a:noFill/>
        <a:ln w="1">
          <a:noFill/>
        </a:ln>
      </cdr:spPr>
      <cdr:txBody xmlns:a="http://schemas.openxmlformats.org/drawingml/2006/main">
        <a:bodyPr vertOverflow="clip" vert="horz" wrap="square" lIns="27432" tIns="18288" rIns="27432" bIns="18288" anchor="ctr" anchorCtr="false" upright="true">
          <a:normAutofit/>
        </a:bodyPr>
        <a:p>
          <a:pPr algn="ctr" rtl="0"/>
          <a:r>
            <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 </a:t>
          </a:r>
          <a:endPar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0.5</cdr:x>
      <cdr:y>0.4985</cdr:y>
    </cdr:from>
    <cdr:to>
      <cdr:x>0.51775</cdr:x>
      <cdr:y>0.55675</cdr:y>
    </cdr:to>
    <cdr:sp>
      <cdr:nvSpPr>
        <cdr:cNvPr id="2" name="矩形 1"/>
        <cdr:cNvSpPr/>
      </cdr:nvSpPr>
      <cdr:spPr xmlns:a="http://schemas.openxmlformats.org/drawingml/2006/main">
        <a:xfrm xmlns:a="http://schemas.openxmlformats.org/drawingml/2006/main">
          <a:off x="2195513" y="1339312"/>
          <a:ext cx="77941" cy="156499"/>
        </a:xfrm>
        <a:prstGeom xmlns:a="http://schemas.openxmlformats.org/drawingml/2006/main" prst="rect">
          <a:avLst/>
        </a:prstGeom>
        <a:noFill/>
        <a:ln w="1">
          <a:noFill/>
        </a:ln>
      </cdr:spPr>
      <cdr:txBody xmlns:a="http://schemas.openxmlformats.org/drawingml/2006/main">
        <a:bodyPr vertOverflow="clip" vert="horz" wrap="square" lIns="27432" tIns="18288" rIns="27432" bIns="18288" anchor="ctr" anchorCtr="false" upright="true">
          <a:normAutofit/>
        </a:bodyPr>
        <a:p>
          <a:pPr algn="ctr" rtl="0"/>
          <a:r>
            <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 </a:t>
          </a:r>
          <a:endParaRPr lang="zh-CN" altLang="en-US" sz="80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77</Pages>
  <Words>28530</Words>
  <Characters>29988</Characters>
  <Lines>61</Lines>
  <Paragraphs>17</Paragraphs>
  <TotalTime>1</TotalTime>
  <ScaleCrop>false</ScaleCrop>
  <LinksUpToDate>false</LinksUpToDate>
  <CharactersWithSpaces>30187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2020-08-07T09:49:00Z</dcterms:created>
  <dc:creator>曹颖</dc:creator>
  <cp:lastModifiedBy> </cp:lastModifiedBy>
  <cp:lastPrinted>2023-10-07T10:05:00Z</cp:lastPrinted>
  <dcterms:modified xsi:type="dcterms:W3CDTF">2024-09-29T16:10:56Z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71EE4C5B63CC42F888BCD11980679D2B</vt:lpwstr>
  </property>
</Properties>
</file>