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szCs w:val="21"/>
        </w:rPr>
      </w:pPr>
      <w:bookmarkStart w:id="0" w:name="_Toc15306267"/>
    </w:p>
    <w:p>
      <w:pPr>
        <w:pStyle w:val="2"/>
        <w:spacing w:before="93"/>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rPr>
          <w:rFonts w:ascii="方正小标宋简体" w:hAnsi="方正小标宋简体" w:eastAsia="方正小标宋简体" w:cs="方正小标宋简体"/>
          <w:sz w:val="72"/>
          <w:szCs w:val="72"/>
        </w:rPr>
      </w:pPr>
      <w:bookmarkStart w:id="1" w:name="_Toc15377425"/>
      <w:bookmarkStart w:id="2" w:name="_Toc15378441"/>
      <w:bookmarkStart w:id="3" w:name="_Toc15396475"/>
      <w:bookmarkStart w:id="4" w:name="_Toc15377193"/>
      <w:bookmarkStart w:id="5" w:name="_Toc15396597"/>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p>
    <w:bookmarkEnd w:id="0"/>
    <w:p>
      <w:pPr>
        <w:adjustRightInd w:val="0"/>
        <w:snapToGrid w:val="0"/>
        <w:spacing w:line="360" w:lineRule="auto"/>
        <w:jc w:val="center"/>
        <w:rPr>
          <w:rFonts w:ascii="方正小标宋简体" w:hAnsi="方正小标宋简体" w:eastAsia="方正小标宋简体" w:cs="方正小标宋简体"/>
          <w:sz w:val="72"/>
          <w:szCs w:val="72"/>
        </w:rPr>
      </w:pPr>
      <w:bookmarkStart w:id="6" w:name="_Toc15904"/>
      <w:bookmarkStart w:id="7" w:name="_Toc15396476"/>
      <w:bookmarkStart w:id="8" w:name="_Toc15396598"/>
      <w:bookmarkStart w:id="9" w:name="_Toc15306268"/>
      <w:bookmarkStart w:id="10" w:name="_Toc15378442"/>
      <w:bookmarkStart w:id="11" w:name="_Toc15377426"/>
      <w:bookmarkStart w:id="12" w:name="_Toc15377194"/>
      <w:r>
        <w:rPr>
          <w:rFonts w:hint="eastAsia" w:ascii="方正小标宋简体" w:hAnsi="方正小标宋简体" w:eastAsia="方正小标宋简体" w:cs="方正小标宋简体"/>
          <w:sz w:val="72"/>
          <w:szCs w:val="72"/>
        </w:rPr>
        <w:t>广元市人民检察院</w:t>
      </w:r>
      <w:bookmarkEnd w:id="6"/>
    </w:p>
    <w:p>
      <w:pPr>
        <w:adjustRightInd w:val="0"/>
        <w:snapToGrid w:val="0"/>
        <w:spacing w:line="360" w:lineRule="auto"/>
        <w:jc w:val="center"/>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部门决算</w:t>
      </w:r>
      <w:bookmarkEnd w:id="7"/>
      <w:bookmarkEnd w:id="8"/>
      <w:bookmarkEnd w:id="9"/>
      <w:bookmarkEnd w:id="10"/>
      <w:bookmarkEnd w:id="11"/>
      <w:bookmarkEnd w:id="12"/>
    </w:p>
    <w:p>
      <w:pPr>
        <w:widowControl/>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1"/>
        <w:rPr>
          <w:sz w:val="32"/>
          <w:szCs w:val="32"/>
        </w:rPr>
      </w:pPr>
      <w:r>
        <w:rPr>
          <w:rFonts w:hint="eastAsia"/>
          <w:sz w:val="32"/>
          <w:szCs w:val="32"/>
        </w:rPr>
        <w:t>公开时间：2023年</w:t>
      </w:r>
      <w:r>
        <w:rPr>
          <w:sz w:val="32"/>
          <w:szCs w:val="32"/>
        </w:rPr>
        <w:t>10</w:t>
      </w:r>
      <w:r>
        <w:rPr>
          <w:rFonts w:hint="eastAsia"/>
          <w:sz w:val="32"/>
          <w:szCs w:val="32"/>
        </w:rPr>
        <w:t>月</w:t>
      </w:r>
      <w:r>
        <w:rPr>
          <w:sz w:val="32"/>
          <w:szCs w:val="32"/>
        </w:rPr>
        <w:t>2</w:t>
      </w:r>
      <w:r>
        <w:rPr>
          <w:rFonts w:hint="eastAsia"/>
          <w:sz w:val="32"/>
          <w:szCs w:val="32"/>
        </w:rPr>
        <w:t>日</w:t>
      </w:r>
    </w:p>
    <w:sdt>
      <w:sdtPr>
        <w:rPr>
          <w:rFonts w:ascii="宋体" w:hAnsi="宋体"/>
        </w:rPr>
        <w:id w:val="147475682"/>
        <w:docPartObj>
          <w:docPartGallery w:val="Table of Contents"/>
          <w:docPartUnique/>
        </w:docPartObj>
      </w:sdtPr>
      <w:sdtEndPr>
        <w:rPr>
          <w:rFonts w:ascii="Times New Roman" w:hAnsi="Times New Roman"/>
        </w:rPr>
      </w:sdtEndPr>
      <w:sdtContent>
        <w:p>
          <w:pPr>
            <w:jc w:val="center"/>
          </w:pPr>
        </w:p>
        <w:p>
          <w:pPr>
            <w:pStyle w:val="11"/>
            <w:tabs>
              <w:tab w:val="right" w:leader="dot" w:pos="8306"/>
              <w:tab w:val="clear" w:pos="8296"/>
            </w:tabs>
          </w:pPr>
          <w:r>
            <w:fldChar w:fldCharType="begin"/>
          </w:r>
          <w:r>
            <w:instrText xml:space="preserve">TOC \o "1-3" \h \u </w:instrText>
          </w:r>
          <w:r>
            <w:fldChar w:fldCharType="separate"/>
          </w:r>
          <w:r>
            <w:fldChar w:fldCharType="begin"/>
          </w:r>
          <w:r>
            <w:instrText xml:space="preserve"> HYPERLINK \l "_Toc22824" </w:instrText>
          </w:r>
          <w:r>
            <w:fldChar w:fldCharType="separate"/>
          </w:r>
          <w:r>
            <w:rPr>
              <w:rFonts w:hint="eastAsia" w:ascii="黑体" w:hAnsi="黑体" w:eastAsia="黑体"/>
            </w:rPr>
            <w:t>第一部分 部门概况</w:t>
          </w:r>
          <w:r>
            <w:tab/>
          </w:r>
          <w:r>
            <w:fldChar w:fldCharType="begin"/>
          </w:r>
          <w:r>
            <w:instrText xml:space="preserve"> PAGEREF _Toc22824 \h </w:instrText>
          </w:r>
          <w:r>
            <w:fldChar w:fldCharType="separate"/>
          </w:r>
          <w:r>
            <w:t>1</w:t>
          </w:r>
          <w:r>
            <w:fldChar w:fldCharType="end"/>
          </w:r>
          <w:r>
            <w:fldChar w:fldCharType="end"/>
          </w:r>
        </w:p>
        <w:p>
          <w:pPr>
            <w:pStyle w:val="12"/>
            <w:tabs>
              <w:tab w:val="right" w:leader="dot" w:pos="8306"/>
              <w:tab w:val="clear" w:pos="8296"/>
            </w:tabs>
          </w:pPr>
          <w:r>
            <w:fldChar w:fldCharType="begin"/>
          </w:r>
          <w:r>
            <w:instrText xml:space="preserve"> HYPERLINK \l "_Toc9525" </w:instrText>
          </w:r>
          <w:r>
            <w:fldChar w:fldCharType="separate"/>
          </w:r>
          <w:r>
            <w:rPr>
              <w:rFonts w:hint="eastAsia" w:ascii="黑体" w:hAnsi="黑体" w:eastAsia="黑体"/>
            </w:rPr>
            <w:t>一、部门职责</w:t>
          </w:r>
          <w:r>
            <w:tab/>
          </w:r>
          <w:r>
            <w:fldChar w:fldCharType="begin"/>
          </w:r>
          <w:r>
            <w:instrText xml:space="preserve"> PAGEREF _Toc9525 \h </w:instrText>
          </w:r>
          <w:r>
            <w:fldChar w:fldCharType="separate"/>
          </w:r>
          <w:r>
            <w:t>1</w:t>
          </w:r>
          <w:r>
            <w:fldChar w:fldCharType="end"/>
          </w:r>
          <w:r>
            <w:fldChar w:fldCharType="end"/>
          </w:r>
        </w:p>
        <w:p>
          <w:pPr>
            <w:pStyle w:val="12"/>
            <w:tabs>
              <w:tab w:val="right" w:leader="dot" w:pos="8306"/>
              <w:tab w:val="clear" w:pos="8296"/>
            </w:tabs>
          </w:pPr>
          <w:r>
            <w:fldChar w:fldCharType="begin"/>
          </w:r>
          <w:r>
            <w:instrText xml:space="preserve"> HYPERLINK \l "_Toc21745" </w:instrText>
          </w:r>
          <w:r>
            <w:fldChar w:fldCharType="separate"/>
          </w:r>
          <w:r>
            <w:rPr>
              <w:rFonts w:hint="eastAsia" w:ascii="仿宋_GB2312" w:hAnsi="Calibri" w:eastAsia="仿宋_GB2312" w:cs="仿宋"/>
              <w:kern w:val="0"/>
            </w:rPr>
            <w:t>二、机构设置</w:t>
          </w:r>
          <w:r>
            <w:tab/>
          </w:r>
          <w:r>
            <w:fldChar w:fldCharType="begin"/>
          </w:r>
          <w:r>
            <w:instrText xml:space="preserve"> PAGEREF _Toc21745 \h </w:instrText>
          </w:r>
          <w:r>
            <w:fldChar w:fldCharType="separate"/>
          </w:r>
          <w:r>
            <w:t>1</w:t>
          </w:r>
          <w:r>
            <w:fldChar w:fldCharType="end"/>
          </w:r>
          <w:r>
            <w:fldChar w:fldCharType="end"/>
          </w:r>
        </w:p>
        <w:p>
          <w:pPr>
            <w:pStyle w:val="11"/>
            <w:tabs>
              <w:tab w:val="right" w:leader="dot" w:pos="8306"/>
              <w:tab w:val="clear" w:pos="8296"/>
            </w:tabs>
          </w:pPr>
          <w:r>
            <w:fldChar w:fldCharType="begin"/>
          </w:r>
          <w:r>
            <w:instrText xml:space="preserve"> HYPERLINK \l "_Toc22022" </w:instrText>
          </w:r>
          <w:r>
            <w:fldChar w:fldCharType="separate"/>
          </w:r>
          <w:r>
            <w:rPr>
              <w:rFonts w:hint="eastAsia" w:ascii="黑体" w:hAnsi="黑体" w:eastAsia="黑体"/>
            </w:rPr>
            <w:t>第二部分 2023年度部门</w:t>
          </w:r>
          <w:r>
            <w:rPr>
              <w:rFonts w:hint="eastAsia" w:ascii="黑体" w:hAnsi="黑体" w:eastAsia="黑体"/>
              <w:bCs/>
            </w:rPr>
            <w:t>决算情况说明</w:t>
          </w:r>
          <w:r>
            <w:tab/>
          </w:r>
          <w:r>
            <w:fldChar w:fldCharType="begin"/>
          </w:r>
          <w:r>
            <w:instrText xml:space="preserve"> PAGEREF _Toc22022 \h </w:instrText>
          </w:r>
          <w:r>
            <w:fldChar w:fldCharType="separate"/>
          </w:r>
          <w:r>
            <w:t>2</w:t>
          </w:r>
          <w:r>
            <w:fldChar w:fldCharType="end"/>
          </w:r>
          <w:r>
            <w:fldChar w:fldCharType="end"/>
          </w:r>
        </w:p>
        <w:p>
          <w:pPr>
            <w:pStyle w:val="12"/>
            <w:tabs>
              <w:tab w:val="right" w:leader="dot" w:pos="8306"/>
              <w:tab w:val="clear" w:pos="8296"/>
            </w:tabs>
          </w:pPr>
          <w:r>
            <w:fldChar w:fldCharType="begin"/>
          </w:r>
          <w:r>
            <w:instrText xml:space="preserve"> HYPERLINK \l "_Toc32283" </w:instrText>
          </w:r>
          <w:r>
            <w:fldChar w:fldCharType="separate"/>
          </w:r>
          <w:r>
            <w:rPr>
              <w:rFonts w:ascii="黑体" w:hAnsi="黑体" w:eastAsia="黑体"/>
            </w:rPr>
            <w:t>一、</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_Toc32283 \h </w:instrText>
          </w:r>
          <w:r>
            <w:fldChar w:fldCharType="separate"/>
          </w:r>
          <w:r>
            <w:t>2</w:t>
          </w:r>
          <w:r>
            <w:fldChar w:fldCharType="end"/>
          </w:r>
          <w:r>
            <w:fldChar w:fldCharType="end"/>
          </w:r>
        </w:p>
        <w:p>
          <w:pPr>
            <w:pStyle w:val="12"/>
            <w:tabs>
              <w:tab w:val="right" w:leader="dot" w:pos="8306"/>
              <w:tab w:val="clear" w:pos="8296"/>
            </w:tabs>
          </w:pPr>
          <w:r>
            <w:fldChar w:fldCharType="begin"/>
          </w:r>
          <w:r>
            <w:instrText xml:space="preserve"> HYPERLINK \l "_Toc12113" </w:instrText>
          </w:r>
          <w:r>
            <w:fldChar w:fldCharType="separate"/>
          </w:r>
          <w:r>
            <w:rPr>
              <w:rFonts w:ascii="黑体" w:hAnsi="黑体" w:eastAsia="黑体"/>
            </w:rPr>
            <w:t>二、</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_Toc12113 \h </w:instrText>
          </w:r>
          <w:r>
            <w:fldChar w:fldCharType="separate"/>
          </w:r>
          <w:r>
            <w:t>2</w:t>
          </w:r>
          <w:r>
            <w:fldChar w:fldCharType="end"/>
          </w:r>
          <w:r>
            <w:fldChar w:fldCharType="end"/>
          </w:r>
        </w:p>
        <w:p>
          <w:pPr>
            <w:pStyle w:val="12"/>
            <w:tabs>
              <w:tab w:val="right" w:leader="dot" w:pos="8306"/>
              <w:tab w:val="clear" w:pos="8296"/>
            </w:tabs>
          </w:pPr>
          <w:r>
            <w:fldChar w:fldCharType="begin"/>
          </w:r>
          <w:r>
            <w:instrText xml:space="preserve"> HYPERLINK \l "_Toc23812" </w:instrText>
          </w:r>
          <w:r>
            <w:fldChar w:fldCharType="separate"/>
          </w:r>
          <w:r>
            <w:rPr>
              <w:rFonts w:ascii="黑体" w:hAnsi="黑体" w:eastAsia="黑体"/>
            </w:rPr>
            <w:t>三、</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_Toc23812 \h </w:instrText>
          </w:r>
          <w:r>
            <w:fldChar w:fldCharType="separate"/>
          </w:r>
          <w:r>
            <w:t>3</w:t>
          </w:r>
          <w:r>
            <w:fldChar w:fldCharType="end"/>
          </w:r>
          <w:r>
            <w:fldChar w:fldCharType="end"/>
          </w:r>
        </w:p>
        <w:p>
          <w:pPr>
            <w:pStyle w:val="12"/>
            <w:tabs>
              <w:tab w:val="right" w:leader="dot" w:pos="8306"/>
              <w:tab w:val="clear" w:pos="8296"/>
            </w:tabs>
          </w:pPr>
          <w:r>
            <w:fldChar w:fldCharType="begin"/>
          </w:r>
          <w:r>
            <w:instrText xml:space="preserve"> HYPERLINK \l "_Toc5852"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_Toc5852 \h </w:instrText>
          </w:r>
          <w:r>
            <w:fldChar w:fldCharType="separate"/>
          </w:r>
          <w:r>
            <w:t>3</w:t>
          </w:r>
          <w:r>
            <w:fldChar w:fldCharType="end"/>
          </w:r>
          <w:r>
            <w:fldChar w:fldCharType="end"/>
          </w:r>
        </w:p>
        <w:p>
          <w:pPr>
            <w:pStyle w:val="12"/>
            <w:tabs>
              <w:tab w:val="right" w:leader="dot" w:pos="8306"/>
              <w:tab w:val="clear" w:pos="8296"/>
            </w:tabs>
          </w:pPr>
          <w:r>
            <w:fldChar w:fldCharType="begin"/>
          </w:r>
          <w:r>
            <w:instrText xml:space="preserve"> HYPERLINK \l "_Toc19377"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_Toc19377 \h </w:instrText>
          </w:r>
          <w:r>
            <w:fldChar w:fldCharType="separate"/>
          </w:r>
          <w:r>
            <w:t>4</w:t>
          </w:r>
          <w:r>
            <w:fldChar w:fldCharType="end"/>
          </w:r>
          <w:r>
            <w:fldChar w:fldCharType="end"/>
          </w:r>
        </w:p>
        <w:p>
          <w:pPr>
            <w:pStyle w:val="12"/>
            <w:tabs>
              <w:tab w:val="right" w:leader="dot" w:pos="8306"/>
              <w:tab w:val="clear" w:pos="8296"/>
            </w:tabs>
          </w:pPr>
          <w:r>
            <w:fldChar w:fldCharType="begin"/>
          </w:r>
          <w:r>
            <w:instrText xml:space="preserve"> HYPERLINK \l "_Toc17546"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_Toc17546 \h </w:instrText>
          </w:r>
          <w:r>
            <w:fldChar w:fldCharType="separate"/>
          </w:r>
          <w:r>
            <w:t>7</w:t>
          </w:r>
          <w:r>
            <w:fldChar w:fldCharType="end"/>
          </w:r>
          <w:r>
            <w:fldChar w:fldCharType="end"/>
          </w:r>
        </w:p>
        <w:p>
          <w:pPr>
            <w:pStyle w:val="12"/>
            <w:tabs>
              <w:tab w:val="right" w:leader="dot" w:pos="8306"/>
              <w:tab w:val="clear" w:pos="8296"/>
            </w:tabs>
          </w:pPr>
          <w:r>
            <w:fldChar w:fldCharType="begin"/>
          </w:r>
          <w:r>
            <w:instrText xml:space="preserve"> HYPERLINK \l "_Toc6306"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_Toc6306 \h </w:instrText>
          </w:r>
          <w:r>
            <w:fldChar w:fldCharType="separate"/>
          </w:r>
          <w:r>
            <w:t>7</w:t>
          </w:r>
          <w:r>
            <w:fldChar w:fldCharType="end"/>
          </w:r>
          <w:r>
            <w:fldChar w:fldCharType="end"/>
          </w:r>
        </w:p>
        <w:p>
          <w:pPr>
            <w:pStyle w:val="12"/>
            <w:tabs>
              <w:tab w:val="right" w:leader="dot" w:pos="8306"/>
              <w:tab w:val="clear" w:pos="8296"/>
            </w:tabs>
          </w:pPr>
          <w:r>
            <w:fldChar w:fldCharType="begin"/>
          </w:r>
          <w:r>
            <w:instrText xml:space="preserve"> HYPERLINK \l "_Toc4705"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_Toc4705 \h </w:instrText>
          </w:r>
          <w:r>
            <w:fldChar w:fldCharType="separate"/>
          </w:r>
          <w:r>
            <w:t>9</w:t>
          </w:r>
          <w:r>
            <w:fldChar w:fldCharType="end"/>
          </w:r>
          <w:r>
            <w:fldChar w:fldCharType="end"/>
          </w:r>
        </w:p>
        <w:p>
          <w:pPr>
            <w:pStyle w:val="12"/>
            <w:tabs>
              <w:tab w:val="right" w:leader="dot" w:pos="8306"/>
              <w:tab w:val="clear" w:pos="8296"/>
            </w:tabs>
          </w:pPr>
          <w:r>
            <w:fldChar w:fldCharType="begin"/>
          </w:r>
          <w:r>
            <w:instrText xml:space="preserve"> HYPERLINK \l "_Toc27973" </w:instrText>
          </w:r>
          <w:r>
            <w:fldChar w:fldCharType="separate"/>
          </w:r>
          <w:r>
            <w:rPr>
              <w:rFonts w:hint="eastAsia" w:ascii="黑体" w:hAnsi="黑体" w:eastAsia="黑体"/>
            </w:rPr>
            <w:t>九、国有资本经营预算支出决算情况说明</w:t>
          </w:r>
          <w:r>
            <w:tab/>
          </w:r>
          <w:r>
            <w:fldChar w:fldCharType="begin"/>
          </w:r>
          <w:r>
            <w:instrText xml:space="preserve"> PAGEREF _Toc27973 \h </w:instrText>
          </w:r>
          <w:r>
            <w:fldChar w:fldCharType="separate"/>
          </w:r>
          <w:r>
            <w:t>9</w:t>
          </w:r>
          <w:r>
            <w:fldChar w:fldCharType="end"/>
          </w:r>
          <w:r>
            <w:fldChar w:fldCharType="end"/>
          </w:r>
        </w:p>
        <w:p>
          <w:pPr>
            <w:pStyle w:val="12"/>
            <w:tabs>
              <w:tab w:val="right" w:leader="dot" w:pos="8306"/>
              <w:tab w:val="clear" w:pos="8296"/>
            </w:tabs>
          </w:pPr>
          <w:r>
            <w:fldChar w:fldCharType="begin"/>
          </w:r>
          <w:r>
            <w:instrText xml:space="preserve"> HYPERLINK \l "_Toc17827" </w:instrText>
          </w:r>
          <w:r>
            <w:fldChar w:fldCharType="separate"/>
          </w:r>
          <w:r>
            <w:rPr>
              <w:rFonts w:hint="eastAsia" w:ascii="黑体" w:hAnsi="黑体" w:eastAsia="黑体"/>
            </w:rPr>
            <w:t>十、其他重要事项的情况说明</w:t>
          </w:r>
          <w:r>
            <w:tab/>
          </w:r>
          <w:r>
            <w:fldChar w:fldCharType="begin"/>
          </w:r>
          <w:r>
            <w:instrText xml:space="preserve"> PAGEREF _Toc17827 \h </w:instrText>
          </w:r>
          <w:r>
            <w:fldChar w:fldCharType="separate"/>
          </w:r>
          <w:r>
            <w:t>9</w:t>
          </w:r>
          <w:r>
            <w:fldChar w:fldCharType="end"/>
          </w:r>
          <w:r>
            <w:fldChar w:fldCharType="end"/>
          </w:r>
        </w:p>
        <w:p>
          <w:pPr>
            <w:pStyle w:val="11"/>
            <w:tabs>
              <w:tab w:val="right" w:leader="dot" w:pos="8306"/>
              <w:tab w:val="clear" w:pos="8296"/>
            </w:tabs>
          </w:pPr>
          <w:r>
            <w:fldChar w:fldCharType="begin"/>
          </w:r>
          <w:r>
            <w:instrText xml:space="preserve"> HYPERLINK \l "_Toc32025" </w:instrText>
          </w:r>
          <w:r>
            <w:fldChar w:fldCharType="separate"/>
          </w:r>
          <w:r>
            <w:rPr>
              <w:rFonts w:hint="eastAsia" w:ascii="黑体" w:hAnsi="黑体" w:eastAsia="黑体" w:cs="黑体"/>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_Toc32025 \h </w:instrText>
          </w:r>
          <w:r>
            <w:fldChar w:fldCharType="separate"/>
          </w:r>
          <w:r>
            <w:t>11</w:t>
          </w:r>
          <w:r>
            <w:fldChar w:fldCharType="end"/>
          </w:r>
          <w:r>
            <w:fldChar w:fldCharType="end"/>
          </w:r>
        </w:p>
        <w:p>
          <w:pPr>
            <w:pStyle w:val="11"/>
            <w:tabs>
              <w:tab w:val="right" w:leader="dot" w:pos="8306"/>
              <w:tab w:val="clear" w:pos="8296"/>
            </w:tabs>
          </w:pPr>
          <w:r>
            <w:fldChar w:fldCharType="begin"/>
          </w:r>
          <w:r>
            <w:instrText xml:space="preserve"> HYPERLINK \l "_Toc25083" </w:instrText>
          </w:r>
          <w:r>
            <w:fldChar w:fldCharType="separate"/>
          </w:r>
          <w:r>
            <w:rPr>
              <w:rFonts w:hint="eastAsia" w:ascii="黑体" w:hAnsi="黑体" w:eastAsia="黑体"/>
              <w:szCs w:val="44"/>
            </w:rPr>
            <w:t>第</w:t>
          </w:r>
          <w:r>
            <w:rPr>
              <w:rFonts w:hint="eastAsia" w:ascii="黑体" w:hAnsi="黑体" w:eastAsia="黑体"/>
            </w:rPr>
            <w:t>四部分 附件</w:t>
          </w:r>
          <w:r>
            <w:tab/>
          </w:r>
          <w:r>
            <w:fldChar w:fldCharType="begin"/>
          </w:r>
          <w:r>
            <w:instrText xml:space="preserve"> PAGEREF _Toc25083 \h </w:instrText>
          </w:r>
          <w:r>
            <w:fldChar w:fldCharType="separate"/>
          </w:r>
          <w:r>
            <w:t>14</w:t>
          </w:r>
          <w:r>
            <w:fldChar w:fldCharType="end"/>
          </w:r>
          <w:r>
            <w:fldChar w:fldCharType="end"/>
          </w:r>
        </w:p>
        <w:p>
          <w:pPr>
            <w:pStyle w:val="11"/>
            <w:tabs>
              <w:tab w:val="right" w:leader="dot" w:pos="8306"/>
              <w:tab w:val="clear" w:pos="8296"/>
            </w:tabs>
          </w:pPr>
          <w:r>
            <w:fldChar w:fldCharType="begin"/>
          </w:r>
          <w:r>
            <w:instrText xml:space="preserve"> HYPERLINK \l "_Toc27318" </w:instrText>
          </w:r>
          <w: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_Toc27318 \h </w:instrText>
          </w:r>
          <w:r>
            <w:fldChar w:fldCharType="separate"/>
          </w:r>
          <w:r>
            <w:t>77</w:t>
          </w:r>
          <w:r>
            <w:fldChar w:fldCharType="end"/>
          </w:r>
          <w:r>
            <w:fldChar w:fldCharType="end"/>
          </w:r>
        </w:p>
        <w:p>
          <w:pPr>
            <w:pStyle w:val="12"/>
            <w:tabs>
              <w:tab w:val="right" w:leader="dot" w:pos="8306"/>
              <w:tab w:val="clear" w:pos="8296"/>
            </w:tabs>
          </w:pPr>
          <w:r>
            <w:fldChar w:fldCharType="begin"/>
          </w:r>
          <w:r>
            <w:instrText xml:space="preserve"> HYPERLINK \l "_Toc24269" </w:instrText>
          </w:r>
          <w:r>
            <w:fldChar w:fldCharType="separate"/>
          </w:r>
          <w:r>
            <w:rPr>
              <w:rFonts w:hint="eastAsia" w:ascii="仿宋" w:hAnsi="仿宋" w:eastAsia="仿宋"/>
            </w:rPr>
            <w:t>一、收入支出决算总表</w:t>
          </w:r>
          <w:r>
            <w:tab/>
          </w:r>
          <w:r>
            <w:fldChar w:fldCharType="begin"/>
          </w:r>
          <w:r>
            <w:instrText xml:space="preserve"> PAGEREF _Toc24269 \h </w:instrText>
          </w:r>
          <w:r>
            <w:fldChar w:fldCharType="separate"/>
          </w:r>
          <w:r>
            <w:t>77</w:t>
          </w:r>
          <w:r>
            <w:fldChar w:fldCharType="end"/>
          </w:r>
          <w:r>
            <w:fldChar w:fldCharType="end"/>
          </w:r>
        </w:p>
        <w:p>
          <w:pPr>
            <w:pStyle w:val="12"/>
            <w:tabs>
              <w:tab w:val="right" w:leader="dot" w:pos="8306"/>
              <w:tab w:val="clear" w:pos="8296"/>
            </w:tabs>
          </w:pPr>
          <w:r>
            <w:fldChar w:fldCharType="begin"/>
          </w:r>
          <w:r>
            <w:instrText xml:space="preserve"> HYPERLINK \l "_Toc31325" </w:instrText>
          </w:r>
          <w:r>
            <w:fldChar w:fldCharType="separate"/>
          </w:r>
          <w:r>
            <w:rPr>
              <w:rFonts w:hint="eastAsia" w:ascii="仿宋" w:hAnsi="仿宋" w:eastAsia="仿宋"/>
            </w:rPr>
            <w:t>二、收入决算表</w:t>
          </w:r>
          <w:r>
            <w:tab/>
          </w:r>
          <w:r>
            <w:fldChar w:fldCharType="begin"/>
          </w:r>
          <w:r>
            <w:instrText xml:space="preserve"> PAGEREF _Toc31325 \h </w:instrText>
          </w:r>
          <w:r>
            <w:fldChar w:fldCharType="separate"/>
          </w:r>
          <w:r>
            <w:t>77</w:t>
          </w:r>
          <w:r>
            <w:fldChar w:fldCharType="end"/>
          </w:r>
          <w:r>
            <w:fldChar w:fldCharType="end"/>
          </w:r>
        </w:p>
        <w:p>
          <w:pPr>
            <w:pStyle w:val="12"/>
            <w:tabs>
              <w:tab w:val="right" w:leader="dot" w:pos="8306"/>
              <w:tab w:val="clear" w:pos="8296"/>
            </w:tabs>
          </w:pPr>
          <w:r>
            <w:fldChar w:fldCharType="begin"/>
          </w:r>
          <w:r>
            <w:instrText xml:space="preserve"> HYPERLINK \l "_Toc6174" </w:instrText>
          </w:r>
          <w:r>
            <w:fldChar w:fldCharType="separate"/>
          </w:r>
          <w:r>
            <w:rPr>
              <w:rFonts w:hint="eastAsia" w:ascii="仿宋" w:hAnsi="仿宋" w:eastAsia="仿宋"/>
            </w:rPr>
            <w:t>三、支出决算表</w:t>
          </w:r>
          <w:r>
            <w:tab/>
          </w:r>
          <w:r>
            <w:fldChar w:fldCharType="begin"/>
          </w:r>
          <w:r>
            <w:instrText xml:space="preserve"> PAGEREF _Toc6174 \h </w:instrText>
          </w:r>
          <w:r>
            <w:fldChar w:fldCharType="separate"/>
          </w:r>
          <w:r>
            <w:t>77</w:t>
          </w:r>
          <w:r>
            <w:fldChar w:fldCharType="end"/>
          </w:r>
          <w:r>
            <w:fldChar w:fldCharType="end"/>
          </w:r>
        </w:p>
        <w:p>
          <w:pPr>
            <w:pStyle w:val="12"/>
            <w:tabs>
              <w:tab w:val="right" w:leader="dot" w:pos="8306"/>
              <w:tab w:val="clear" w:pos="8296"/>
            </w:tabs>
          </w:pPr>
          <w:r>
            <w:fldChar w:fldCharType="begin"/>
          </w:r>
          <w:r>
            <w:instrText xml:space="preserve"> HYPERLINK \l "_Toc9659" </w:instrText>
          </w:r>
          <w:r>
            <w:fldChar w:fldCharType="separate"/>
          </w:r>
          <w:r>
            <w:rPr>
              <w:rFonts w:hint="eastAsia" w:ascii="仿宋" w:hAnsi="仿宋" w:eastAsia="仿宋"/>
            </w:rPr>
            <w:t>四、财政拨款收入支出决算总表</w:t>
          </w:r>
          <w:r>
            <w:tab/>
          </w:r>
          <w:r>
            <w:fldChar w:fldCharType="begin"/>
          </w:r>
          <w:r>
            <w:instrText xml:space="preserve"> PAGEREF _Toc9659 \h </w:instrText>
          </w:r>
          <w:r>
            <w:fldChar w:fldCharType="separate"/>
          </w:r>
          <w:r>
            <w:t>77</w:t>
          </w:r>
          <w:r>
            <w:fldChar w:fldCharType="end"/>
          </w:r>
          <w:r>
            <w:fldChar w:fldCharType="end"/>
          </w:r>
        </w:p>
        <w:p>
          <w:pPr>
            <w:pStyle w:val="12"/>
            <w:tabs>
              <w:tab w:val="right" w:leader="dot" w:pos="8306"/>
              <w:tab w:val="clear" w:pos="8296"/>
            </w:tabs>
          </w:pPr>
          <w:r>
            <w:fldChar w:fldCharType="begin"/>
          </w:r>
          <w:r>
            <w:instrText xml:space="preserve"> HYPERLINK \l "_Toc24502" </w:instrText>
          </w:r>
          <w:r>
            <w:fldChar w:fldCharType="separate"/>
          </w:r>
          <w:r>
            <w:rPr>
              <w:rFonts w:hint="eastAsia" w:ascii="仿宋" w:hAnsi="仿宋" w:eastAsia="仿宋"/>
            </w:rPr>
            <w:t>五、财政拨款支出决算明细表</w:t>
          </w:r>
          <w:r>
            <w:tab/>
          </w:r>
          <w:r>
            <w:fldChar w:fldCharType="begin"/>
          </w:r>
          <w:r>
            <w:instrText xml:space="preserve"> PAGEREF _Toc24502 \h </w:instrText>
          </w:r>
          <w:r>
            <w:fldChar w:fldCharType="separate"/>
          </w:r>
          <w:r>
            <w:t>77</w:t>
          </w:r>
          <w:r>
            <w:fldChar w:fldCharType="end"/>
          </w:r>
          <w:r>
            <w:fldChar w:fldCharType="end"/>
          </w:r>
        </w:p>
        <w:p>
          <w:pPr>
            <w:pStyle w:val="12"/>
            <w:tabs>
              <w:tab w:val="right" w:leader="dot" w:pos="8306"/>
              <w:tab w:val="clear" w:pos="8296"/>
            </w:tabs>
          </w:pPr>
          <w:r>
            <w:fldChar w:fldCharType="begin"/>
          </w:r>
          <w:r>
            <w:instrText xml:space="preserve"> HYPERLINK \l "_Toc766" </w:instrText>
          </w:r>
          <w:r>
            <w:fldChar w:fldCharType="separate"/>
          </w:r>
          <w:r>
            <w:rPr>
              <w:rFonts w:hint="eastAsia" w:ascii="仿宋" w:hAnsi="仿宋" w:eastAsia="仿宋"/>
            </w:rPr>
            <w:t>六、一般公共预算财政拨款支出决算表</w:t>
          </w:r>
          <w:r>
            <w:tab/>
          </w:r>
          <w:r>
            <w:fldChar w:fldCharType="begin"/>
          </w:r>
          <w:r>
            <w:instrText xml:space="preserve"> PAGEREF _Toc766 \h </w:instrText>
          </w:r>
          <w:r>
            <w:fldChar w:fldCharType="separate"/>
          </w:r>
          <w:r>
            <w:t>77</w:t>
          </w:r>
          <w:r>
            <w:fldChar w:fldCharType="end"/>
          </w:r>
          <w:r>
            <w:fldChar w:fldCharType="end"/>
          </w:r>
        </w:p>
        <w:p>
          <w:pPr>
            <w:pStyle w:val="12"/>
            <w:tabs>
              <w:tab w:val="right" w:leader="dot" w:pos="8306"/>
              <w:tab w:val="clear" w:pos="8296"/>
            </w:tabs>
          </w:pPr>
          <w:r>
            <w:fldChar w:fldCharType="begin"/>
          </w:r>
          <w:r>
            <w:instrText xml:space="preserve"> HYPERLINK \l "_Toc30829" </w:instrText>
          </w:r>
          <w:r>
            <w:fldChar w:fldCharType="separate"/>
          </w:r>
          <w:r>
            <w:rPr>
              <w:rFonts w:hint="eastAsia" w:ascii="仿宋" w:hAnsi="仿宋" w:eastAsia="仿宋"/>
            </w:rPr>
            <w:t>七、一般公共预算财政拨款支出决算明细表</w:t>
          </w:r>
          <w:r>
            <w:tab/>
          </w:r>
          <w:r>
            <w:fldChar w:fldCharType="begin"/>
          </w:r>
          <w:r>
            <w:instrText xml:space="preserve"> PAGEREF _Toc30829 \h </w:instrText>
          </w:r>
          <w:r>
            <w:fldChar w:fldCharType="separate"/>
          </w:r>
          <w:r>
            <w:t>77</w:t>
          </w:r>
          <w:r>
            <w:fldChar w:fldCharType="end"/>
          </w:r>
          <w:r>
            <w:fldChar w:fldCharType="end"/>
          </w:r>
        </w:p>
        <w:p>
          <w:pPr>
            <w:pStyle w:val="12"/>
            <w:tabs>
              <w:tab w:val="right" w:leader="dot" w:pos="8306"/>
              <w:tab w:val="clear" w:pos="8296"/>
            </w:tabs>
          </w:pPr>
          <w:r>
            <w:fldChar w:fldCharType="begin"/>
          </w:r>
          <w:r>
            <w:instrText xml:space="preserve"> HYPERLINK \l "_Toc16759" </w:instrText>
          </w:r>
          <w:r>
            <w:fldChar w:fldCharType="separate"/>
          </w:r>
          <w:r>
            <w:rPr>
              <w:rFonts w:hint="eastAsia" w:ascii="仿宋" w:hAnsi="仿宋" w:eastAsia="仿宋"/>
            </w:rPr>
            <w:t>八、一般公共预算财政拨款基本支出决算表</w:t>
          </w:r>
          <w:r>
            <w:tab/>
          </w:r>
          <w:r>
            <w:fldChar w:fldCharType="begin"/>
          </w:r>
          <w:r>
            <w:instrText xml:space="preserve"> PAGEREF _Toc16759 \h </w:instrText>
          </w:r>
          <w:r>
            <w:fldChar w:fldCharType="separate"/>
          </w:r>
          <w:r>
            <w:t>77</w:t>
          </w:r>
          <w:r>
            <w:fldChar w:fldCharType="end"/>
          </w:r>
          <w:r>
            <w:fldChar w:fldCharType="end"/>
          </w:r>
        </w:p>
        <w:p>
          <w:pPr>
            <w:pStyle w:val="12"/>
            <w:tabs>
              <w:tab w:val="right" w:leader="dot" w:pos="8306"/>
              <w:tab w:val="clear" w:pos="8296"/>
            </w:tabs>
          </w:pPr>
          <w:r>
            <w:fldChar w:fldCharType="begin"/>
          </w:r>
          <w:r>
            <w:instrText xml:space="preserve"> HYPERLINK \l "_Toc21698" </w:instrText>
          </w:r>
          <w:r>
            <w:fldChar w:fldCharType="separate"/>
          </w:r>
          <w:r>
            <w:rPr>
              <w:rFonts w:hint="eastAsia" w:ascii="仿宋" w:hAnsi="仿宋" w:eastAsia="仿宋"/>
            </w:rPr>
            <w:t>九、一般公共预算财政拨款项目支出决算表</w:t>
          </w:r>
          <w:r>
            <w:tab/>
          </w:r>
          <w:r>
            <w:fldChar w:fldCharType="begin"/>
          </w:r>
          <w:r>
            <w:instrText xml:space="preserve"> PAGEREF _Toc21698 \h </w:instrText>
          </w:r>
          <w:r>
            <w:fldChar w:fldCharType="separate"/>
          </w:r>
          <w:r>
            <w:t>77</w:t>
          </w:r>
          <w:r>
            <w:fldChar w:fldCharType="end"/>
          </w:r>
          <w:r>
            <w:fldChar w:fldCharType="end"/>
          </w:r>
        </w:p>
        <w:p>
          <w:pPr>
            <w:pStyle w:val="12"/>
            <w:tabs>
              <w:tab w:val="right" w:leader="dot" w:pos="8306"/>
              <w:tab w:val="clear" w:pos="8296"/>
            </w:tabs>
          </w:pPr>
          <w:r>
            <w:fldChar w:fldCharType="begin"/>
          </w:r>
          <w:r>
            <w:instrText xml:space="preserve"> HYPERLINK \l "_Toc20568" </w:instrText>
          </w:r>
          <w:r>
            <w:fldChar w:fldCharType="separate"/>
          </w:r>
          <w:r>
            <w:rPr>
              <w:rFonts w:hint="eastAsia" w:ascii="仿宋" w:hAnsi="仿宋" w:eastAsia="仿宋"/>
            </w:rPr>
            <w:t>十、政府性基金预算财政拨款收入支出决算表</w:t>
          </w:r>
          <w:r>
            <w:tab/>
          </w:r>
          <w:r>
            <w:fldChar w:fldCharType="begin"/>
          </w:r>
          <w:r>
            <w:instrText xml:space="preserve"> PAGEREF _Toc20568 \h </w:instrText>
          </w:r>
          <w:r>
            <w:fldChar w:fldCharType="separate"/>
          </w:r>
          <w:r>
            <w:t>77</w:t>
          </w:r>
          <w:r>
            <w:fldChar w:fldCharType="end"/>
          </w:r>
          <w:r>
            <w:fldChar w:fldCharType="end"/>
          </w:r>
        </w:p>
        <w:p>
          <w:pPr>
            <w:pStyle w:val="12"/>
            <w:tabs>
              <w:tab w:val="right" w:leader="dot" w:pos="8306"/>
              <w:tab w:val="clear" w:pos="8296"/>
            </w:tabs>
          </w:pPr>
          <w:r>
            <w:fldChar w:fldCharType="begin"/>
          </w:r>
          <w:r>
            <w:instrText xml:space="preserve"> HYPERLINK \l "_Toc31523" </w:instrText>
          </w:r>
          <w:r>
            <w:fldChar w:fldCharType="separate"/>
          </w:r>
          <w:r>
            <w:rPr>
              <w:rFonts w:hint="eastAsia" w:ascii="仿宋" w:hAnsi="仿宋" w:eastAsia="仿宋"/>
            </w:rPr>
            <w:t>十一、国有资本经营预算财政拨款收入支出决算表</w:t>
          </w:r>
          <w:r>
            <w:tab/>
          </w:r>
          <w:r>
            <w:fldChar w:fldCharType="begin"/>
          </w:r>
          <w:r>
            <w:instrText xml:space="preserve"> PAGEREF _Toc31523 \h </w:instrText>
          </w:r>
          <w:r>
            <w:fldChar w:fldCharType="separate"/>
          </w:r>
          <w:r>
            <w:t>77</w:t>
          </w:r>
          <w:r>
            <w:fldChar w:fldCharType="end"/>
          </w:r>
          <w:r>
            <w:fldChar w:fldCharType="end"/>
          </w:r>
        </w:p>
        <w:p>
          <w:pPr>
            <w:pStyle w:val="12"/>
            <w:tabs>
              <w:tab w:val="right" w:leader="dot" w:pos="8306"/>
              <w:tab w:val="clear" w:pos="8296"/>
            </w:tabs>
          </w:pPr>
          <w:r>
            <w:fldChar w:fldCharType="begin"/>
          </w:r>
          <w:r>
            <w:instrText xml:space="preserve"> HYPERLINK \l "_Toc10318" </w:instrText>
          </w:r>
          <w:r>
            <w:fldChar w:fldCharType="separate"/>
          </w:r>
          <w:r>
            <w:rPr>
              <w:rFonts w:hint="eastAsia" w:ascii="仿宋" w:hAnsi="仿宋" w:eastAsia="仿宋"/>
            </w:rPr>
            <w:t>十二、国有资本经营预算财政拨款支出决算表</w:t>
          </w:r>
          <w:r>
            <w:tab/>
          </w:r>
          <w:r>
            <w:fldChar w:fldCharType="begin"/>
          </w:r>
          <w:r>
            <w:instrText xml:space="preserve"> PAGEREF _Toc10318 \h </w:instrText>
          </w:r>
          <w:r>
            <w:fldChar w:fldCharType="separate"/>
          </w:r>
          <w:r>
            <w:t>77</w:t>
          </w:r>
          <w:r>
            <w:fldChar w:fldCharType="end"/>
          </w:r>
          <w:r>
            <w:fldChar w:fldCharType="end"/>
          </w:r>
        </w:p>
        <w:p>
          <w:pPr>
            <w:pStyle w:val="12"/>
            <w:tabs>
              <w:tab w:val="right" w:leader="dot" w:pos="8306"/>
              <w:tab w:val="clear" w:pos="8296"/>
            </w:tabs>
          </w:pPr>
          <w:r>
            <w:fldChar w:fldCharType="begin"/>
          </w:r>
          <w:r>
            <w:instrText xml:space="preserve"> HYPERLINK \l "_Toc17816" </w:instrText>
          </w:r>
          <w:r>
            <w:fldChar w:fldCharType="separate"/>
          </w:r>
          <w:r>
            <w:rPr>
              <w:rFonts w:hint="eastAsia" w:ascii="仿宋" w:hAnsi="仿宋" w:eastAsia="仿宋"/>
            </w:rPr>
            <w:t>十三、财政拨款“三公”经费支出决算表</w:t>
          </w:r>
          <w:r>
            <w:tab/>
          </w:r>
          <w:r>
            <w:fldChar w:fldCharType="begin"/>
          </w:r>
          <w:r>
            <w:instrText xml:space="preserve"> PAGEREF _Toc17816 \h </w:instrText>
          </w:r>
          <w:r>
            <w:fldChar w:fldCharType="separate"/>
          </w:r>
          <w:r>
            <w:t>77</w:t>
          </w:r>
          <w:r>
            <w:fldChar w:fldCharType="end"/>
          </w:r>
          <w:r>
            <w:fldChar w:fldCharType="end"/>
          </w:r>
        </w:p>
        <w:p>
          <w:r>
            <w:fldChar w:fldCharType="end"/>
          </w:r>
        </w:p>
      </w:sdtContent>
    </w:sdt>
    <w:p>
      <w:pPr>
        <w:pStyle w:val="20"/>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
    <w:p>
      <w:pPr>
        <w:pStyle w:val="3"/>
        <w:jc w:val="center"/>
        <w:rPr>
          <w:rStyle w:val="21"/>
          <w:rFonts w:ascii="黑体" w:hAnsi="黑体" w:eastAsia="黑体"/>
          <w:b/>
          <w:bCs w:val="0"/>
        </w:rPr>
      </w:pPr>
      <w:bookmarkStart w:id="13" w:name="_Toc15377196"/>
      <w:bookmarkStart w:id="14" w:name="_Toc15396599"/>
      <w:bookmarkStart w:id="15" w:name="_Toc22824"/>
      <w:r>
        <w:rPr>
          <w:rFonts w:hint="eastAsia" w:ascii="黑体" w:hAnsi="黑体" w:eastAsia="黑体"/>
          <w:b w:val="0"/>
        </w:rPr>
        <w:t>第一部分 部门</w:t>
      </w:r>
      <w:r>
        <w:rPr>
          <w:rStyle w:val="21"/>
          <w:rFonts w:hint="eastAsia" w:ascii="黑体" w:hAnsi="黑体" w:eastAsia="黑体"/>
          <w:b w:val="0"/>
          <w:bCs w:val="0"/>
        </w:rPr>
        <w:t>概况</w:t>
      </w:r>
      <w:bookmarkEnd w:id="13"/>
      <w:bookmarkEnd w:id="14"/>
      <w:bookmarkEnd w:id="15"/>
    </w:p>
    <w:p>
      <w:pPr>
        <w:pStyle w:val="4"/>
        <w:numPr>
          <w:ilvl w:val="0"/>
          <w:numId w:val="1"/>
        </w:numPr>
        <w:rPr>
          <w:rStyle w:val="22"/>
          <w:rFonts w:ascii="黑体" w:hAnsi="黑体" w:eastAsia="黑体"/>
          <w:b w:val="0"/>
          <w:bCs w:val="0"/>
        </w:rPr>
      </w:pPr>
      <w:bookmarkStart w:id="16" w:name="_Toc9525"/>
      <w:bookmarkStart w:id="17" w:name="_Toc15377197"/>
      <w:bookmarkStart w:id="18" w:name="_Toc15396600"/>
      <w:r>
        <w:rPr>
          <w:rStyle w:val="22"/>
          <w:rFonts w:hint="eastAsia" w:ascii="黑体" w:hAnsi="黑体" w:eastAsia="黑体"/>
          <w:b w:val="0"/>
          <w:bCs w:val="0"/>
        </w:rPr>
        <w:t>部门职责</w:t>
      </w:r>
      <w:bookmarkEnd w:id="16"/>
    </w:p>
    <w:p>
      <w:pPr>
        <w:pStyle w:val="13"/>
        <w:spacing w:line="580" w:lineRule="exact"/>
        <w:ind w:left="640" w:firstLine="640" w:firstLineChars="200"/>
        <w:jc w:val="both"/>
        <w:rPr>
          <w:rFonts w:ascii="仿宋_GB2312" w:hAnsi="Calibri" w:eastAsia="仿宋_GB2312" w:cs="仿宋"/>
          <w:sz w:val="32"/>
          <w:szCs w:val="32"/>
        </w:rPr>
      </w:pPr>
      <w:r>
        <w:rPr>
          <w:rFonts w:hint="eastAsia" w:ascii="仿宋_GB2312" w:hAnsi="Calibri" w:eastAsia="仿宋_GB2312" w:cs="仿宋"/>
          <w:sz w:val="32"/>
          <w:szCs w:val="32"/>
        </w:rPr>
        <w:t>广元市人民检察院是国家的法律监督机关，领导全市检察工作，对市人民代表大会及其常务委员会负责并报告工作。其主要职责是：依法行使检察权，按照最高人民检察院和省人民检察院确定的工作方针，部署全市检察工作任务；领导全市人民检察院的侦查工作以及对刑事犯罪案件的审查批捕（决定）逮捕、提起公诉等工作；依法对刑事诉讼、民事审判和行政诉讼实行法律监督，依法向人民法院提起抗诉；受理单位和个人的举报、控告、申诉以及犯罪嫌疑人的自首；研究国家机关工作人员职务犯罪预防和全市检察工作中的具体法律应用问题；规划和指导全市检察机关的检察技术、信息化和计划财务装备工作；负责全市检察机关的队伍建设、思想政治等工作；负责其他应当由市人民检察院承办的事项。</w:t>
      </w:r>
    </w:p>
    <w:p>
      <w:pPr>
        <w:pStyle w:val="4"/>
        <w:rPr>
          <w:rFonts w:ascii="仿宋_GB2312" w:hAnsi="Calibri" w:eastAsia="仿宋_GB2312" w:cs="仿宋"/>
          <w:b w:val="0"/>
          <w:bCs w:val="0"/>
          <w:kern w:val="0"/>
        </w:rPr>
      </w:pPr>
      <w:bookmarkStart w:id="19" w:name="_Toc21745"/>
      <w:r>
        <w:rPr>
          <w:rFonts w:hint="eastAsia" w:ascii="仿宋_GB2312" w:hAnsi="Calibri" w:eastAsia="仿宋_GB2312" w:cs="仿宋"/>
          <w:b w:val="0"/>
          <w:bCs w:val="0"/>
          <w:kern w:val="0"/>
        </w:rPr>
        <w:t>二、机构设置</w:t>
      </w:r>
      <w:bookmarkEnd w:id="19"/>
    </w:p>
    <w:p>
      <w:pPr>
        <w:pStyle w:val="13"/>
        <w:spacing w:beforeLines="50" w:afterLines="50" w:line="580" w:lineRule="exact"/>
        <w:ind w:firstLine="640" w:firstLineChars="200"/>
        <w:jc w:val="both"/>
        <w:rPr>
          <w:rFonts w:ascii="仿宋_GB2312" w:hAnsi="Calibri" w:eastAsia="仿宋_GB2312" w:cs="仿宋"/>
          <w:sz w:val="32"/>
          <w:szCs w:val="32"/>
        </w:rPr>
      </w:pPr>
      <w:r>
        <w:rPr>
          <w:rFonts w:hint="eastAsia" w:ascii="仿宋_GB2312" w:hAnsi="Calibri" w:eastAsia="仿宋_GB2312" w:cs="仿宋"/>
          <w:sz w:val="32"/>
          <w:szCs w:val="32"/>
        </w:rPr>
        <w:t>广元市人民检察院下属二级单位</w:t>
      </w:r>
      <w:r>
        <w:rPr>
          <w:rFonts w:hint="eastAsia" w:ascii="仿宋_GB2312" w:hAnsi="Calibri" w:eastAsia="仿宋_GB2312" w:cs="仿宋"/>
          <w:sz w:val="32"/>
          <w:szCs w:val="32"/>
          <w:lang w:val="en-US" w:eastAsia="zh-CN"/>
        </w:rPr>
        <w:t>2</w:t>
      </w:r>
      <w:r>
        <w:rPr>
          <w:rFonts w:hint="eastAsia" w:ascii="仿宋_GB2312" w:hAnsi="Calibri" w:eastAsia="仿宋_GB2312" w:cs="仿宋"/>
          <w:sz w:val="32"/>
          <w:szCs w:val="32"/>
        </w:rPr>
        <w:t>个，其中：行政单位1个，其他事业单位1个，分别是四川省广元市人民检察院机关，广元市人民检察院检察官培训中心（未独立核算）。</w:t>
      </w:r>
    </w:p>
    <w:bookmarkEnd w:id="17"/>
    <w:bookmarkEnd w:id="18"/>
    <w:p>
      <w:pPr>
        <w:widowControl/>
        <w:jc w:val="left"/>
        <w:rPr>
          <w:rFonts w:ascii="仿宋" w:hAnsi="仿宋" w:eastAsia="仿宋"/>
          <w:kern w:val="0"/>
          <w:sz w:val="32"/>
          <w:szCs w:val="32"/>
        </w:rPr>
      </w:pPr>
      <w:r>
        <w:rPr>
          <w:rFonts w:ascii="仿宋" w:hAnsi="仿宋" w:eastAsia="仿宋"/>
          <w:sz w:val="32"/>
          <w:szCs w:val="32"/>
        </w:rPr>
        <w:br w:type="page"/>
      </w:r>
    </w:p>
    <w:p>
      <w:pPr>
        <w:pStyle w:val="3"/>
        <w:ind w:right="440"/>
        <w:jc w:val="center"/>
        <w:rPr>
          <w:rStyle w:val="21"/>
          <w:rFonts w:ascii="黑体" w:hAnsi="黑体" w:eastAsia="黑体"/>
          <w:b w:val="0"/>
          <w:bCs/>
        </w:rPr>
      </w:pPr>
      <w:bookmarkStart w:id="20" w:name="_Toc22022"/>
      <w:bookmarkStart w:id="21" w:name="_Toc15396602"/>
      <w:bookmarkStart w:id="22" w:name="_Toc15377204"/>
      <w:r>
        <w:rPr>
          <w:rFonts w:hint="eastAsia" w:ascii="黑体" w:hAnsi="黑体" w:eastAsia="黑体"/>
          <w:b w:val="0"/>
        </w:rPr>
        <w:t>第二部分 2023年度部门</w:t>
      </w:r>
      <w:r>
        <w:rPr>
          <w:rStyle w:val="21"/>
          <w:rFonts w:hint="eastAsia" w:ascii="黑体" w:hAnsi="黑体" w:eastAsia="黑体"/>
          <w:b w:val="0"/>
          <w:bCs/>
        </w:rPr>
        <w:t>决算情况说明</w:t>
      </w:r>
      <w:bookmarkEnd w:id="20"/>
      <w:bookmarkEnd w:id="21"/>
      <w:bookmarkEnd w:id="22"/>
    </w:p>
    <w:p/>
    <w:p>
      <w:pPr>
        <w:pStyle w:val="32"/>
        <w:numPr>
          <w:ilvl w:val="0"/>
          <w:numId w:val="2"/>
        </w:numPr>
        <w:spacing w:line="600" w:lineRule="exact"/>
        <w:ind w:firstLineChars="0"/>
        <w:outlineLvl w:val="1"/>
        <w:rPr>
          <w:rStyle w:val="22"/>
          <w:rFonts w:ascii="黑体" w:hAnsi="黑体" w:eastAsia="黑体"/>
          <w:b w:val="0"/>
        </w:rPr>
      </w:pPr>
      <w:bookmarkStart w:id="23" w:name="_Toc15377205"/>
      <w:bookmarkStart w:id="24" w:name="_Toc32283"/>
      <w:bookmarkStart w:id="25" w:name="_Toc15396603"/>
      <w:r>
        <w:rPr>
          <w:rFonts w:hint="eastAsia" w:ascii="黑体" w:hAnsi="黑体" w:eastAsia="黑体"/>
          <w:sz w:val="32"/>
          <w:szCs w:val="32"/>
        </w:rPr>
        <w:t>收</w:t>
      </w:r>
      <w:r>
        <w:rPr>
          <w:rStyle w:val="22"/>
          <w:rFonts w:hint="eastAsia" w:ascii="黑体" w:hAnsi="黑体" w:eastAsia="黑体"/>
          <w:b w:val="0"/>
        </w:rPr>
        <w:t>入支出决算总体情况说明</w:t>
      </w:r>
      <w:bookmarkEnd w:id="23"/>
      <w:bookmarkEnd w:id="24"/>
      <w:bookmarkEnd w:id="25"/>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2023年度收、支总计均为3742.15万元。与2022年度相比，收、支总计各减少</w:t>
      </w:r>
      <w:r>
        <w:rPr>
          <w:rFonts w:ascii="仿宋_GB2312" w:hAnsi="Calibri" w:eastAsia="仿宋_GB2312" w:cs="仿宋"/>
          <w:kern w:val="0"/>
          <w:sz w:val="32"/>
          <w:szCs w:val="32"/>
        </w:rPr>
        <w:t>343.52</w:t>
      </w:r>
      <w:r>
        <w:rPr>
          <w:rFonts w:hint="eastAsia" w:ascii="仿宋_GB2312" w:hAnsi="Calibri" w:eastAsia="仿宋_GB2312" w:cs="仿宋"/>
          <w:kern w:val="0"/>
          <w:sz w:val="32"/>
          <w:szCs w:val="32"/>
        </w:rPr>
        <w:t>万元，下降</w:t>
      </w:r>
      <w:r>
        <w:rPr>
          <w:rFonts w:ascii="仿宋_GB2312" w:hAnsi="Calibri" w:eastAsia="仿宋_GB2312" w:cs="仿宋"/>
          <w:kern w:val="0"/>
          <w:sz w:val="32"/>
          <w:szCs w:val="32"/>
        </w:rPr>
        <w:t>8.4%</w:t>
      </w:r>
      <w:r>
        <w:rPr>
          <w:rFonts w:hint="eastAsia" w:ascii="仿宋_GB2312" w:hAnsi="Calibri" w:eastAsia="仿宋_GB2312" w:cs="仿宋"/>
          <w:kern w:val="0"/>
          <w:sz w:val="32"/>
          <w:szCs w:val="32"/>
        </w:rPr>
        <w:t>。主要变动原因是2</w:t>
      </w:r>
      <w:r>
        <w:rPr>
          <w:rFonts w:ascii="仿宋_GB2312" w:hAnsi="Calibri" w:eastAsia="仿宋_GB2312" w:cs="仿宋"/>
          <w:kern w:val="0"/>
          <w:sz w:val="32"/>
          <w:szCs w:val="32"/>
        </w:rPr>
        <w:t>023</w:t>
      </w:r>
      <w:r>
        <w:rPr>
          <w:rFonts w:hint="eastAsia" w:ascii="仿宋_GB2312" w:hAnsi="Calibri" w:eastAsia="仿宋_GB2312" w:cs="仿宋"/>
          <w:kern w:val="0"/>
          <w:sz w:val="32"/>
          <w:szCs w:val="32"/>
        </w:rPr>
        <w:t>年度项目支出减少。</w:t>
      </w:r>
    </w:p>
    <w:p>
      <w:pPr>
        <w:pStyle w:val="20"/>
      </w:pPr>
      <w:r>
        <w:drawing>
          <wp:inline distT="0" distB="0" distL="0" distR="0">
            <wp:extent cx="4826000" cy="2743200"/>
            <wp:effectExtent l="0" t="0" r="1270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rPr>
          <w:rFonts w:ascii="仿宋_GB2312" w:eastAsia="仿宋_GB2312"/>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pStyle w:val="32"/>
        <w:numPr>
          <w:ilvl w:val="0"/>
          <w:numId w:val="2"/>
        </w:numPr>
        <w:spacing w:line="600" w:lineRule="exact"/>
        <w:ind w:firstLineChars="0"/>
        <w:outlineLvl w:val="1"/>
        <w:rPr>
          <w:rStyle w:val="22"/>
          <w:rFonts w:ascii="黑体" w:hAnsi="黑体" w:eastAsia="黑体"/>
          <w:b w:val="0"/>
        </w:rPr>
      </w:pPr>
      <w:bookmarkStart w:id="26" w:name="_Toc15396604"/>
      <w:bookmarkStart w:id="27" w:name="_Toc15377206"/>
      <w:bookmarkStart w:id="28" w:name="_Toc12113"/>
      <w:r>
        <w:rPr>
          <w:rFonts w:hint="eastAsia" w:ascii="黑体" w:hAnsi="黑体" w:eastAsia="黑体"/>
          <w:sz w:val="32"/>
          <w:szCs w:val="32"/>
        </w:rPr>
        <w:t>收</w:t>
      </w:r>
      <w:r>
        <w:rPr>
          <w:rStyle w:val="22"/>
          <w:rFonts w:hint="eastAsia" w:ascii="黑体" w:hAnsi="黑体" w:eastAsia="黑体"/>
          <w:b w:val="0"/>
        </w:rPr>
        <w:t>入决算情况说明</w:t>
      </w:r>
      <w:bookmarkEnd w:id="26"/>
      <w:bookmarkEnd w:id="27"/>
      <w:bookmarkEnd w:id="28"/>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2023年度本年收入合计</w:t>
      </w:r>
      <w:r>
        <w:rPr>
          <w:rFonts w:ascii="仿宋_GB2312" w:hAnsi="Calibri" w:eastAsia="仿宋_GB2312" w:cs="仿宋"/>
          <w:kern w:val="0"/>
          <w:sz w:val="32"/>
          <w:szCs w:val="32"/>
        </w:rPr>
        <w:t>3731.87</w:t>
      </w:r>
      <w:r>
        <w:rPr>
          <w:rFonts w:hint="eastAsia" w:ascii="仿宋_GB2312" w:hAnsi="Calibri" w:eastAsia="仿宋_GB2312" w:cs="仿宋"/>
          <w:kern w:val="0"/>
          <w:sz w:val="32"/>
          <w:szCs w:val="32"/>
        </w:rPr>
        <w:t>万元，其中：一般公共预算财政拨款收入</w:t>
      </w:r>
      <w:r>
        <w:rPr>
          <w:rFonts w:ascii="仿宋_GB2312" w:hAnsi="Calibri" w:eastAsia="仿宋_GB2312" w:cs="仿宋"/>
          <w:kern w:val="0"/>
          <w:sz w:val="32"/>
          <w:szCs w:val="32"/>
        </w:rPr>
        <w:t>3731.63</w:t>
      </w:r>
      <w:r>
        <w:rPr>
          <w:rFonts w:hint="eastAsia" w:ascii="仿宋_GB2312" w:hAnsi="Calibri" w:eastAsia="仿宋_GB2312" w:cs="仿宋"/>
          <w:kern w:val="0"/>
          <w:sz w:val="32"/>
          <w:szCs w:val="32"/>
        </w:rPr>
        <w:t>万元，占</w:t>
      </w:r>
      <w:r>
        <w:rPr>
          <w:rFonts w:ascii="仿宋_GB2312" w:hAnsi="Calibri" w:eastAsia="仿宋_GB2312" w:cs="仿宋"/>
          <w:kern w:val="0"/>
          <w:sz w:val="32"/>
          <w:szCs w:val="32"/>
        </w:rPr>
        <w:t>100%</w:t>
      </w:r>
      <w:r>
        <w:rPr>
          <w:rFonts w:hint="eastAsia" w:ascii="仿宋_GB2312" w:hAnsi="Calibri" w:eastAsia="仿宋_GB2312" w:cs="仿宋"/>
          <w:kern w:val="0"/>
          <w:sz w:val="32"/>
          <w:szCs w:val="32"/>
        </w:rPr>
        <w:t>；其他收入</w:t>
      </w:r>
      <w:r>
        <w:rPr>
          <w:rFonts w:ascii="仿宋_GB2312" w:hAnsi="Calibri" w:eastAsia="仿宋_GB2312" w:cs="仿宋"/>
          <w:kern w:val="0"/>
          <w:sz w:val="32"/>
          <w:szCs w:val="32"/>
        </w:rPr>
        <w:t>0.24</w:t>
      </w:r>
      <w:r>
        <w:rPr>
          <w:rFonts w:hint="eastAsia" w:ascii="仿宋_GB2312" w:hAnsi="Calibri" w:eastAsia="仿宋_GB2312" w:cs="仿宋"/>
          <w:kern w:val="0"/>
          <w:sz w:val="32"/>
          <w:szCs w:val="32"/>
        </w:rPr>
        <w:t>万元，占</w:t>
      </w:r>
      <w:r>
        <w:rPr>
          <w:rFonts w:ascii="仿宋_GB2312" w:hAnsi="Calibri" w:eastAsia="仿宋_GB2312" w:cs="仿宋"/>
          <w:kern w:val="0"/>
          <w:sz w:val="32"/>
          <w:szCs w:val="32"/>
        </w:rPr>
        <w:t>0%</w:t>
      </w:r>
      <w:r>
        <w:rPr>
          <w:rFonts w:hint="eastAsia" w:ascii="仿宋_GB2312" w:hAnsi="Calibri" w:eastAsia="仿宋_GB2312" w:cs="仿宋"/>
          <w:kern w:val="0"/>
          <w:sz w:val="32"/>
          <w:szCs w:val="32"/>
        </w:rPr>
        <w:t>。</w:t>
      </w:r>
    </w:p>
    <w:p>
      <w:pPr>
        <w:pStyle w:val="20"/>
      </w:pPr>
      <w:r>
        <w:drawing>
          <wp:inline distT="0" distB="0" distL="0" distR="0">
            <wp:extent cx="4826000" cy="2628900"/>
            <wp:effectExtent l="0" t="0" r="1270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ascii="仿宋_GB2312" w:eastAsia="仿宋_GB2312"/>
          <w:sz w:val="32"/>
          <w:szCs w:val="32"/>
        </w:rPr>
      </w:pPr>
      <w:r>
        <w:rPr>
          <w:rFonts w:hint="eastAsia" w:ascii="仿宋" w:hAnsi="仿宋" w:eastAsia="仿宋"/>
          <w:sz w:val="32"/>
          <w:szCs w:val="32"/>
        </w:rPr>
        <w:t>（图2：收入决算结构图）</w:t>
      </w:r>
    </w:p>
    <w:p>
      <w:pPr>
        <w:pStyle w:val="32"/>
        <w:numPr>
          <w:ilvl w:val="0"/>
          <w:numId w:val="2"/>
        </w:numPr>
        <w:spacing w:line="600" w:lineRule="exact"/>
        <w:ind w:firstLineChars="0"/>
        <w:outlineLvl w:val="1"/>
        <w:rPr>
          <w:rStyle w:val="22"/>
          <w:rFonts w:ascii="黑体" w:hAnsi="黑体" w:eastAsia="黑体"/>
          <w:b w:val="0"/>
        </w:rPr>
      </w:pPr>
      <w:bookmarkStart w:id="29" w:name="_Toc15396605"/>
      <w:bookmarkStart w:id="30" w:name="_Toc23812"/>
      <w:bookmarkStart w:id="31" w:name="_Toc15377207"/>
      <w:r>
        <w:rPr>
          <w:rFonts w:hint="eastAsia" w:ascii="黑体" w:hAnsi="黑体" w:eastAsia="黑体"/>
          <w:sz w:val="32"/>
          <w:szCs w:val="32"/>
        </w:rPr>
        <w:t>支</w:t>
      </w:r>
      <w:r>
        <w:rPr>
          <w:rStyle w:val="22"/>
          <w:rFonts w:hint="eastAsia" w:ascii="黑体" w:hAnsi="黑体" w:eastAsia="黑体"/>
          <w:b w:val="0"/>
        </w:rPr>
        <w:t>出决算情况说明</w:t>
      </w:r>
      <w:bookmarkEnd w:id="29"/>
      <w:bookmarkEnd w:id="30"/>
      <w:bookmarkEnd w:id="31"/>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2023年度本年支出合计</w:t>
      </w:r>
      <w:r>
        <w:rPr>
          <w:rFonts w:ascii="仿宋_GB2312" w:hAnsi="Calibri" w:eastAsia="仿宋_GB2312" w:cs="仿宋"/>
          <w:kern w:val="0"/>
          <w:sz w:val="32"/>
          <w:szCs w:val="32"/>
        </w:rPr>
        <w:t>3731.63</w:t>
      </w:r>
      <w:r>
        <w:rPr>
          <w:rFonts w:hint="eastAsia" w:ascii="仿宋_GB2312" w:hAnsi="Calibri" w:eastAsia="仿宋_GB2312" w:cs="仿宋"/>
          <w:kern w:val="0"/>
          <w:sz w:val="32"/>
          <w:szCs w:val="32"/>
        </w:rPr>
        <w:t>万元，其中：基本支出</w:t>
      </w:r>
      <w:r>
        <w:rPr>
          <w:rFonts w:ascii="仿宋_GB2312" w:hAnsi="Calibri" w:eastAsia="仿宋_GB2312" w:cs="仿宋"/>
          <w:kern w:val="0"/>
          <w:sz w:val="32"/>
          <w:szCs w:val="32"/>
        </w:rPr>
        <w:t>3118.81</w:t>
      </w:r>
      <w:r>
        <w:rPr>
          <w:rFonts w:hint="eastAsia" w:ascii="仿宋_GB2312" w:hAnsi="Calibri" w:eastAsia="仿宋_GB2312" w:cs="仿宋"/>
          <w:kern w:val="0"/>
          <w:sz w:val="32"/>
          <w:szCs w:val="32"/>
        </w:rPr>
        <w:t>万元，占</w:t>
      </w:r>
      <w:r>
        <w:rPr>
          <w:rFonts w:ascii="仿宋_GB2312" w:hAnsi="Calibri" w:eastAsia="仿宋_GB2312" w:cs="仿宋"/>
          <w:kern w:val="0"/>
          <w:sz w:val="32"/>
          <w:szCs w:val="32"/>
        </w:rPr>
        <w:t>83.6%</w:t>
      </w:r>
      <w:r>
        <w:rPr>
          <w:rFonts w:hint="eastAsia" w:ascii="仿宋_GB2312" w:hAnsi="Calibri" w:eastAsia="仿宋_GB2312" w:cs="仿宋"/>
          <w:kern w:val="0"/>
          <w:sz w:val="32"/>
          <w:szCs w:val="32"/>
        </w:rPr>
        <w:t>；项目支出</w:t>
      </w:r>
      <w:r>
        <w:rPr>
          <w:rFonts w:ascii="仿宋_GB2312" w:hAnsi="Calibri" w:eastAsia="仿宋_GB2312" w:cs="仿宋"/>
          <w:kern w:val="0"/>
          <w:sz w:val="32"/>
          <w:szCs w:val="32"/>
        </w:rPr>
        <w:t>612.82</w:t>
      </w:r>
      <w:r>
        <w:rPr>
          <w:rFonts w:hint="eastAsia" w:ascii="仿宋_GB2312" w:hAnsi="Calibri" w:eastAsia="仿宋_GB2312" w:cs="仿宋"/>
          <w:kern w:val="0"/>
          <w:sz w:val="32"/>
          <w:szCs w:val="32"/>
        </w:rPr>
        <w:t>万元，占</w:t>
      </w:r>
      <w:r>
        <w:rPr>
          <w:rFonts w:ascii="仿宋_GB2312" w:hAnsi="Calibri" w:eastAsia="仿宋_GB2312" w:cs="仿宋"/>
          <w:kern w:val="0"/>
          <w:sz w:val="32"/>
          <w:szCs w:val="32"/>
        </w:rPr>
        <w:t>16.4%</w:t>
      </w:r>
      <w:r>
        <w:rPr>
          <w:rFonts w:hint="eastAsia" w:ascii="仿宋_GB2312" w:hAnsi="Calibri" w:eastAsia="仿宋_GB2312" w:cs="仿宋"/>
          <w:kern w:val="0"/>
          <w:sz w:val="32"/>
          <w:szCs w:val="32"/>
        </w:rPr>
        <w:t>。</w:t>
      </w:r>
    </w:p>
    <w:p>
      <w:pPr>
        <w:pStyle w:val="20"/>
      </w:pPr>
      <w:r>
        <w:drawing>
          <wp:inline distT="0" distB="0" distL="0" distR="0">
            <wp:extent cx="4731385" cy="2743200"/>
            <wp:effectExtent l="0" t="0" r="12065"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w:t>
      </w:r>
    </w:p>
    <w:p>
      <w:pPr>
        <w:spacing w:line="600" w:lineRule="exact"/>
        <w:ind w:firstLine="640" w:firstLineChars="200"/>
        <w:outlineLvl w:val="1"/>
        <w:rPr>
          <w:rStyle w:val="22"/>
          <w:rFonts w:ascii="黑体" w:hAnsi="黑体" w:eastAsia="黑体"/>
          <w:b w:val="0"/>
        </w:rPr>
      </w:pPr>
      <w:bookmarkStart w:id="32" w:name="_Toc5852"/>
      <w:bookmarkStart w:id="33" w:name="_Toc15377208"/>
      <w:bookmarkStart w:id="34" w:name="_Toc15396606"/>
      <w:r>
        <w:rPr>
          <w:rFonts w:hint="eastAsia" w:ascii="黑体" w:hAnsi="黑体" w:eastAsia="黑体"/>
          <w:sz w:val="32"/>
          <w:szCs w:val="32"/>
        </w:rPr>
        <w:t>四、财</w:t>
      </w:r>
      <w:r>
        <w:rPr>
          <w:rStyle w:val="22"/>
          <w:rFonts w:hint="eastAsia" w:ascii="黑体" w:hAnsi="黑体" w:eastAsia="黑体"/>
          <w:b w:val="0"/>
        </w:rPr>
        <w:t>政拨款收入支出决算总体情况说明</w:t>
      </w:r>
      <w:bookmarkEnd w:id="32"/>
      <w:bookmarkEnd w:id="33"/>
      <w:bookmarkEnd w:id="34"/>
    </w:p>
    <w:p>
      <w:pPr>
        <w:spacing w:line="600" w:lineRule="exact"/>
        <w:ind w:firstLine="640"/>
        <w:rPr>
          <w:rFonts w:ascii="仿宋_GB2312" w:hAnsi="Calibri" w:eastAsia="仿宋_GB2312" w:cs="仿宋"/>
          <w:kern w:val="0"/>
          <w:sz w:val="32"/>
          <w:szCs w:val="32"/>
        </w:rPr>
      </w:pPr>
      <w:r>
        <w:rPr>
          <w:rFonts w:hint="eastAsia" w:ascii="仿宋_GB2312" w:hAnsi="Calibri" w:eastAsia="仿宋_GB2312" w:cs="仿宋"/>
          <w:kern w:val="0"/>
          <w:sz w:val="32"/>
          <w:szCs w:val="32"/>
        </w:rPr>
        <w:t>2023年度财政拨款收、支总计均为</w:t>
      </w:r>
      <w:r>
        <w:rPr>
          <w:rFonts w:ascii="仿宋_GB2312" w:hAnsi="Calibri" w:eastAsia="仿宋_GB2312" w:cs="仿宋"/>
          <w:kern w:val="0"/>
          <w:sz w:val="32"/>
          <w:szCs w:val="32"/>
        </w:rPr>
        <w:t>3731.63</w:t>
      </w:r>
      <w:r>
        <w:rPr>
          <w:rFonts w:hint="eastAsia" w:ascii="仿宋_GB2312" w:hAnsi="Calibri" w:eastAsia="仿宋_GB2312" w:cs="仿宋"/>
          <w:kern w:val="0"/>
          <w:sz w:val="32"/>
          <w:szCs w:val="32"/>
        </w:rPr>
        <w:t>万元。与2022年度相比，财政拨款收、支总计各减少</w:t>
      </w:r>
      <w:r>
        <w:rPr>
          <w:rFonts w:ascii="仿宋_GB2312" w:hAnsi="Calibri" w:eastAsia="仿宋_GB2312" w:cs="仿宋"/>
          <w:kern w:val="0"/>
          <w:sz w:val="32"/>
          <w:szCs w:val="32"/>
        </w:rPr>
        <w:t>343.75</w:t>
      </w:r>
      <w:r>
        <w:rPr>
          <w:rFonts w:hint="eastAsia" w:ascii="仿宋_GB2312" w:hAnsi="Calibri" w:eastAsia="仿宋_GB2312" w:cs="仿宋"/>
          <w:kern w:val="0"/>
          <w:sz w:val="32"/>
          <w:szCs w:val="32"/>
        </w:rPr>
        <w:t>万元，下降</w:t>
      </w:r>
      <w:r>
        <w:rPr>
          <w:rFonts w:ascii="仿宋_GB2312" w:hAnsi="Calibri" w:eastAsia="仿宋_GB2312" w:cs="仿宋"/>
          <w:kern w:val="0"/>
          <w:sz w:val="32"/>
          <w:szCs w:val="32"/>
        </w:rPr>
        <w:t>8.4%</w:t>
      </w:r>
      <w:r>
        <w:rPr>
          <w:rFonts w:hint="eastAsia" w:ascii="仿宋_GB2312" w:hAnsi="Calibri" w:eastAsia="仿宋_GB2312" w:cs="仿宋"/>
          <w:kern w:val="0"/>
          <w:sz w:val="32"/>
          <w:szCs w:val="32"/>
        </w:rPr>
        <w:t>。主要变动原因是2</w:t>
      </w:r>
      <w:r>
        <w:rPr>
          <w:rFonts w:ascii="仿宋_GB2312" w:hAnsi="Calibri" w:eastAsia="仿宋_GB2312" w:cs="仿宋"/>
          <w:kern w:val="0"/>
          <w:sz w:val="32"/>
          <w:szCs w:val="32"/>
        </w:rPr>
        <w:t>023</w:t>
      </w:r>
      <w:r>
        <w:rPr>
          <w:rFonts w:hint="eastAsia" w:ascii="仿宋_GB2312" w:hAnsi="Calibri" w:eastAsia="仿宋_GB2312" w:cs="仿宋"/>
          <w:kern w:val="0"/>
          <w:sz w:val="32"/>
          <w:szCs w:val="32"/>
        </w:rPr>
        <w:t>年度项目支出减少。</w:t>
      </w:r>
    </w:p>
    <w:p>
      <w:pPr>
        <w:pStyle w:val="20"/>
      </w:pPr>
      <w:r>
        <w:drawing>
          <wp:inline distT="0" distB="0" distL="0" distR="0">
            <wp:extent cx="4826000" cy="2743200"/>
            <wp:effectExtent l="0" t="0" r="1270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 w:hAnsi="仿宋" w:eastAsia="仿宋"/>
          <w:b/>
          <w:sz w:val="32"/>
          <w:szCs w:val="32"/>
        </w:rPr>
      </w:pPr>
      <w:r>
        <w:rPr>
          <w:rFonts w:hint="eastAsia" w:ascii="仿宋" w:hAnsi="仿宋" w:eastAsia="仿宋"/>
          <w:sz w:val="32"/>
          <w:szCs w:val="32"/>
        </w:rPr>
        <w:t>（图4：财政拨款收、支决算总计变动情况）</w:t>
      </w:r>
    </w:p>
    <w:p>
      <w:pPr>
        <w:spacing w:line="600" w:lineRule="exact"/>
        <w:ind w:firstLine="640" w:firstLineChars="200"/>
        <w:outlineLvl w:val="1"/>
        <w:rPr>
          <w:rStyle w:val="22"/>
          <w:rFonts w:ascii="黑体" w:hAnsi="黑体" w:eastAsia="黑体"/>
          <w:b w:val="0"/>
        </w:rPr>
      </w:pPr>
      <w:bookmarkStart w:id="35" w:name="_Toc15377209"/>
      <w:bookmarkStart w:id="36" w:name="_Toc19377"/>
      <w:bookmarkStart w:id="37" w:name="_Toc15396607"/>
      <w:r>
        <w:rPr>
          <w:rFonts w:hint="eastAsia" w:ascii="黑体" w:hAnsi="黑体" w:eastAsia="黑体"/>
          <w:sz w:val="32"/>
          <w:szCs w:val="32"/>
        </w:rPr>
        <w:t>五、</w:t>
      </w:r>
      <w:r>
        <w:rPr>
          <w:rFonts w:hint="eastAsia" w:ascii="黑体" w:hAnsi="黑体" w:eastAsia="黑体"/>
          <w:b/>
          <w:sz w:val="32"/>
          <w:szCs w:val="32"/>
        </w:rPr>
        <w:t>一</w:t>
      </w:r>
      <w:r>
        <w:rPr>
          <w:rStyle w:val="22"/>
          <w:rFonts w:hint="eastAsia" w:ascii="黑体" w:hAnsi="黑体" w:eastAsia="黑体"/>
          <w:b w:val="0"/>
        </w:rPr>
        <w:t>般公共预算财政拨款支出决算情况说明</w:t>
      </w:r>
      <w:bookmarkEnd w:id="35"/>
      <w:bookmarkEnd w:id="36"/>
      <w:bookmarkEnd w:id="37"/>
    </w:p>
    <w:p>
      <w:pPr>
        <w:spacing w:line="600" w:lineRule="exact"/>
        <w:ind w:firstLine="642" w:firstLineChars="200"/>
        <w:rPr>
          <w:rFonts w:ascii="仿宋" w:hAnsi="仿宋" w:eastAsia="仿宋"/>
          <w:b/>
          <w:sz w:val="32"/>
          <w:szCs w:val="32"/>
        </w:rPr>
      </w:pPr>
      <w:bookmarkStart w:id="38" w:name="_Toc15377210"/>
      <w:r>
        <w:rPr>
          <w:rFonts w:hint="eastAsia" w:ascii="仿宋" w:hAnsi="仿宋" w:eastAsia="仿宋"/>
          <w:b/>
          <w:sz w:val="32"/>
          <w:szCs w:val="32"/>
        </w:rPr>
        <w:t>（一）一般公共预算财政拨款支出决算总体情况</w:t>
      </w:r>
      <w:bookmarkEnd w:id="38"/>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2023年度一般公共预算财政拨款支出</w:t>
      </w:r>
      <w:r>
        <w:rPr>
          <w:rFonts w:ascii="仿宋_GB2312" w:hAnsi="Calibri" w:eastAsia="仿宋_GB2312" w:cs="仿宋"/>
          <w:kern w:val="0"/>
          <w:sz w:val="32"/>
          <w:szCs w:val="32"/>
        </w:rPr>
        <w:t>3731.63</w:t>
      </w:r>
      <w:r>
        <w:rPr>
          <w:rFonts w:hint="eastAsia" w:ascii="仿宋_GB2312" w:hAnsi="Calibri" w:eastAsia="仿宋_GB2312" w:cs="仿宋"/>
          <w:kern w:val="0"/>
          <w:sz w:val="32"/>
          <w:szCs w:val="32"/>
        </w:rPr>
        <w:t>万元，占本年支出合计的</w:t>
      </w:r>
      <w:r>
        <w:rPr>
          <w:rFonts w:ascii="仿宋_GB2312" w:hAnsi="Calibri" w:eastAsia="仿宋_GB2312" w:cs="仿宋"/>
          <w:kern w:val="0"/>
          <w:sz w:val="32"/>
          <w:szCs w:val="32"/>
        </w:rPr>
        <w:t>100%</w:t>
      </w:r>
      <w:r>
        <w:rPr>
          <w:rFonts w:hint="eastAsia" w:ascii="仿宋_GB2312" w:hAnsi="Calibri" w:eastAsia="仿宋_GB2312" w:cs="仿宋"/>
          <w:kern w:val="0"/>
          <w:sz w:val="32"/>
          <w:szCs w:val="32"/>
        </w:rPr>
        <w:t>。与2022年度相比，一般公共预算财政拨款支出减少</w:t>
      </w:r>
      <w:r>
        <w:rPr>
          <w:rFonts w:ascii="仿宋_GB2312" w:hAnsi="Calibri" w:eastAsia="仿宋_GB2312" w:cs="仿宋"/>
          <w:kern w:val="0"/>
          <w:sz w:val="32"/>
          <w:szCs w:val="32"/>
        </w:rPr>
        <w:t>343.75</w:t>
      </w:r>
      <w:r>
        <w:rPr>
          <w:rFonts w:hint="eastAsia" w:ascii="仿宋_GB2312" w:hAnsi="Calibri" w:eastAsia="仿宋_GB2312" w:cs="仿宋"/>
          <w:kern w:val="0"/>
          <w:sz w:val="32"/>
          <w:szCs w:val="32"/>
        </w:rPr>
        <w:t>万元，下降</w:t>
      </w:r>
      <w:r>
        <w:rPr>
          <w:rFonts w:ascii="仿宋_GB2312" w:hAnsi="Calibri" w:eastAsia="仿宋_GB2312" w:cs="仿宋"/>
          <w:kern w:val="0"/>
          <w:sz w:val="32"/>
          <w:szCs w:val="32"/>
        </w:rPr>
        <w:t>8.4%</w:t>
      </w:r>
      <w:r>
        <w:rPr>
          <w:rFonts w:hint="eastAsia" w:ascii="仿宋_GB2312" w:hAnsi="Calibri" w:eastAsia="仿宋_GB2312" w:cs="仿宋"/>
          <w:kern w:val="0"/>
          <w:sz w:val="32"/>
          <w:szCs w:val="32"/>
        </w:rPr>
        <w:t>。主要变动原因是2</w:t>
      </w:r>
      <w:r>
        <w:rPr>
          <w:rFonts w:ascii="仿宋_GB2312" w:hAnsi="Calibri" w:eastAsia="仿宋_GB2312" w:cs="仿宋"/>
          <w:kern w:val="0"/>
          <w:sz w:val="32"/>
          <w:szCs w:val="32"/>
        </w:rPr>
        <w:t>023</w:t>
      </w:r>
      <w:r>
        <w:rPr>
          <w:rFonts w:hint="eastAsia" w:ascii="仿宋_GB2312" w:hAnsi="Calibri" w:eastAsia="仿宋_GB2312" w:cs="仿宋"/>
          <w:kern w:val="0"/>
          <w:sz w:val="32"/>
          <w:szCs w:val="32"/>
        </w:rPr>
        <w:t>年度项目支出减少。</w:t>
      </w:r>
    </w:p>
    <w:p>
      <w:pPr>
        <w:pStyle w:val="20"/>
      </w:pPr>
      <w:r>
        <w:drawing>
          <wp:inline distT="0" distB="0" distL="0" distR="0">
            <wp:extent cx="4826000" cy="2743200"/>
            <wp:effectExtent l="0" t="0" r="1270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（图5：一般公共预算财政拨款支出决算变动情况）</w:t>
      </w:r>
    </w:p>
    <w:p>
      <w:pPr>
        <w:spacing w:line="600" w:lineRule="exact"/>
        <w:ind w:firstLine="642" w:firstLineChars="200"/>
        <w:rPr>
          <w:rFonts w:ascii="仿宋" w:hAnsi="仿宋" w:eastAsia="仿宋"/>
          <w:b/>
          <w:sz w:val="32"/>
          <w:szCs w:val="32"/>
        </w:rPr>
      </w:pPr>
      <w:bookmarkStart w:id="39" w:name="_Toc15377211"/>
      <w:r>
        <w:rPr>
          <w:rFonts w:hint="eastAsia" w:ascii="仿宋" w:hAnsi="仿宋" w:eastAsia="仿宋"/>
          <w:b/>
          <w:sz w:val="32"/>
          <w:szCs w:val="32"/>
        </w:rPr>
        <w:t>（二）一般公共预算财政拨款支出决算结构情况</w:t>
      </w:r>
      <w:bookmarkEnd w:id="39"/>
    </w:p>
    <w:p>
      <w:pPr>
        <w:spacing w:line="600" w:lineRule="exact"/>
        <w:ind w:firstLine="640"/>
        <w:rPr>
          <w:rFonts w:ascii="仿宋" w:hAnsi="仿宋" w:eastAsia="仿宋"/>
          <w:b/>
          <w:sz w:val="32"/>
          <w:szCs w:val="32"/>
        </w:rPr>
      </w:pPr>
      <w:r>
        <w:rPr>
          <w:rFonts w:hint="eastAsia" w:ascii="仿宋_GB2312" w:hAnsi="Calibri" w:eastAsia="仿宋_GB2312" w:cs="仿宋"/>
          <w:kern w:val="0"/>
          <w:sz w:val="32"/>
          <w:szCs w:val="32"/>
        </w:rPr>
        <w:t>2023年度一般公共预算财政拨款支出</w:t>
      </w:r>
      <w:r>
        <w:rPr>
          <w:rFonts w:ascii="仿宋_GB2312" w:hAnsi="Calibri" w:eastAsia="仿宋_GB2312" w:cs="仿宋"/>
          <w:kern w:val="0"/>
          <w:sz w:val="32"/>
          <w:szCs w:val="32"/>
        </w:rPr>
        <w:t>3731.63</w:t>
      </w:r>
      <w:r>
        <w:rPr>
          <w:rFonts w:hint="eastAsia" w:ascii="仿宋_GB2312" w:hAnsi="Calibri" w:eastAsia="仿宋_GB2312" w:cs="仿宋"/>
          <w:kern w:val="0"/>
          <w:sz w:val="32"/>
          <w:szCs w:val="32"/>
        </w:rPr>
        <w:t>万元，主要用于以下方面</w:t>
      </w:r>
      <w:r>
        <w:rPr>
          <w:rFonts w:hint="eastAsia" w:ascii="仿宋_GB2312" w:hAnsi="Calibri" w:eastAsia="仿宋_GB2312" w:cs="仿宋"/>
          <w:kern w:val="0"/>
          <w:sz w:val="32"/>
          <w:szCs w:val="32"/>
          <w:lang w:eastAsia="zh-CN"/>
        </w:rPr>
        <w:t>：</w:t>
      </w:r>
      <w:r>
        <w:rPr>
          <w:rFonts w:hint="eastAsia" w:ascii="仿宋_GB2312" w:hAnsi="Calibri" w:eastAsia="仿宋_GB2312" w:cs="仿宋"/>
          <w:b/>
          <w:kern w:val="0"/>
          <w:sz w:val="32"/>
          <w:szCs w:val="32"/>
        </w:rPr>
        <w:t>公共安全支出</w:t>
      </w:r>
      <w:r>
        <w:rPr>
          <w:rFonts w:ascii="仿宋_GB2312" w:hAnsi="Calibri" w:eastAsia="仿宋_GB2312" w:cs="仿宋"/>
          <w:kern w:val="0"/>
          <w:sz w:val="32"/>
          <w:szCs w:val="32"/>
        </w:rPr>
        <w:t>3165.92</w:t>
      </w:r>
      <w:r>
        <w:rPr>
          <w:rFonts w:hint="eastAsia" w:ascii="仿宋_GB2312" w:hAnsi="Calibri" w:eastAsia="仿宋_GB2312" w:cs="仿宋"/>
          <w:kern w:val="0"/>
          <w:sz w:val="32"/>
          <w:szCs w:val="32"/>
        </w:rPr>
        <w:t>万元，占</w:t>
      </w:r>
      <w:r>
        <w:rPr>
          <w:rFonts w:ascii="仿宋_GB2312" w:hAnsi="Calibri" w:eastAsia="仿宋_GB2312" w:cs="仿宋"/>
          <w:kern w:val="0"/>
          <w:sz w:val="32"/>
          <w:szCs w:val="32"/>
        </w:rPr>
        <w:t>84.8%</w:t>
      </w:r>
      <w:r>
        <w:rPr>
          <w:rFonts w:hint="eastAsia" w:ascii="仿宋_GB2312" w:hAnsi="Calibri" w:eastAsia="仿宋_GB2312" w:cs="仿宋"/>
          <w:kern w:val="0"/>
          <w:sz w:val="32"/>
          <w:szCs w:val="32"/>
        </w:rPr>
        <w:t>；</w:t>
      </w:r>
      <w:r>
        <w:rPr>
          <w:rFonts w:hint="eastAsia" w:ascii="仿宋_GB2312" w:hAnsi="Calibri" w:eastAsia="仿宋_GB2312" w:cs="仿宋"/>
          <w:b/>
          <w:kern w:val="0"/>
          <w:sz w:val="32"/>
          <w:szCs w:val="32"/>
        </w:rPr>
        <w:t>社会保障和就业支出</w:t>
      </w:r>
      <w:r>
        <w:rPr>
          <w:rFonts w:ascii="仿宋_GB2312" w:hAnsi="Calibri" w:eastAsia="仿宋_GB2312" w:cs="仿宋"/>
          <w:kern w:val="0"/>
          <w:sz w:val="32"/>
          <w:szCs w:val="32"/>
        </w:rPr>
        <w:t>280.03</w:t>
      </w:r>
      <w:r>
        <w:rPr>
          <w:rFonts w:hint="eastAsia" w:ascii="仿宋_GB2312" w:hAnsi="Calibri" w:eastAsia="仿宋_GB2312" w:cs="仿宋"/>
          <w:kern w:val="0"/>
          <w:sz w:val="32"/>
          <w:szCs w:val="32"/>
        </w:rPr>
        <w:t>万元，占</w:t>
      </w:r>
      <w:r>
        <w:rPr>
          <w:rFonts w:ascii="仿宋_GB2312" w:hAnsi="Calibri" w:eastAsia="仿宋_GB2312" w:cs="仿宋"/>
          <w:kern w:val="0"/>
          <w:sz w:val="32"/>
          <w:szCs w:val="32"/>
        </w:rPr>
        <w:t>7.5%</w:t>
      </w:r>
      <w:r>
        <w:rPr>
          <w:rFonts w:hint="eastAsia" w:ascii="仿宋_GB2312" w:hAnsi="Calibri" w:eastAsia="仿宋_GB2312" w:cs="仿宋"/>
          <w:kern w:val="0"/>
          <w:sz w:val="32"/>
          <w:szCs w:val="32"/>
        </w:rPr>
        <w:t>；</w:t>
      </w:r>
      <w:r>
        <w:rPr>
          <w:rFonts w:hint="eastAsia" w:ascii="仿宋_GB2312" w:hAnsi="Calibri" w:eastAsia="仿宋_GB2312" w:cs="仿宋"/>
          <w:b/>
          <w:kern w:val="0"/>
          <w:sz w:val="32"/>
          <w:szCs w:val="32"/>
        </w:rPr>
        <w:t>卫生健康支出</w:t>
      </w:r>
      <w:r>
        <w:rPr>
          <w:rFonts w:ascii="仿宋_GB2312" w:hAnsi="Calibri" w:eastAsia="仿宋_GB2312" w:cs="仿宋"/>
          <w:kern w:val="0"/>
          <w:sz w:val="32"/>
          <w:szCs w:val="32"/>
        </w:rPr>
        <w:t>76.69</w:t>
      </w:r>
      <w:r>
        <w:rPr>
          <w:rFonts w:hint="eastAsia" w:ascii="仿宋_GB2312" w:hAnsi="Calibri" w:eastAsia="仿宋_GB2312" w:cs="仿宋"/>
          <w:kern w:val="0"/>
          <w:sz w:val="32"/>
          <w:szCs w:val="32"/>
        </w:rPr>
        <w:t>万元，占</w:t>
      </w:r>
      <w:r>
        <w:rPr>
          <w:rFonts w:ascii="仿宋_GB2312" w:hAnsi="Calibri" w:eastAsia="仿宋_GB2312" w:cs="仿宋"/>
          <w:kern w:val="0"/>
          <w:sz w:val="32"/>
          <w:szCs w:val="32"/>
        </w:rPr>
        <w:t>2.1%</w:t>
      </w:r>
      <w:r>
        <w:rPr>
          <w:rFonts w:hint="eastAsia" w:ascii="仿宋_GB2312" w:hAnsi="Calibri" w:eastAsia="仿宋_GB2312" w:cs="仿宋"/>
          <w:kern w:val="0"/>
          <w:sz w:val="32"/>
          <w:szCs w:val="32"/>
        </w:rPr>
        <w:t>；</w:t>
      </w:r>
      <w:r>
        <w:rPr>
          <w:rFonts w:hint="eastAsia" w:ascii="仿宋_GB2312" w:hAnsi="Calibri" w:eastAsia="仿宋_GB2312" w:cs="仿宋"/>
          <w:b/>
          <w:kern w:val="0"/>
          <w:sz w:val="32"/>
          <w:szCs w:val="32"/>
        </w:rPr>
        <w:t>住房保障支出</w:t>
      </w:r>
      <w:r>
        <w:rPr>
          <w:rFonts w:ascii="仿宋_GB2312" w:hAnsi="Calibri" w:eastAsia="仿宋_GB2312" w:cs="仿宋"/>
          <w:kern w:val="0"/>
          <w:sz w:val="32"/>
          <w:szCs w:val="32"/>
        </w:rPr>
        <w:t>208.99</w:t>
      </w:r>
      <w:r>
        <w:rPr>
          <w:rFonts w:hint="eastAsia" w:ascii="仿宋_GB2312" w:hAnsi="Calibri" w:eastAsia="仿宋_GB2312" w:cs="仿宋"/>
          <w:kern w:val="0"/>
          <w:sz w:val="32"/>
          <w:szCs w:val="32"/>
        </w:rPr>
        <w:t>万元，占</w:t>
      </w:r>
      <w:r>
        <w:rPr>
          <w:rFonts w:ascii="仿宋_GB2312" w:hAnsi="Calibri" w:eastAsia="仿宋_GB2312" w:cs="仿宋"/>
          <w:kern w:val="0"/>
          <w:sz w:val="32"/>
          <w:szCs w:val="32"/>
        </w:rPr>
        <w:t>5.6%</w:t>
      </w:r>
      <w:r>
        <w:rPr>
          <w:rFonts w:hint="eastAsia" w:ascii="仿宋_GB2312" w:hAnsi="Calibri" w:eastAsia="仿宋_GB2312" w:cs="仿宋"/>
          <w:kern w:val="0"/>
          <w:sz w:val="32"/>
          <w:szCs w:val="32"/>
        </w:rPr>
        <w:t>。</w:t>
      </w:r>
    </w:p>
    <w:p>
      <w:pPr>
        <w:pStyle w:val="20"/>
      </w:pPr>
      <w:r>
        <w:drawing>
          <wp:inline distT="0" distB="0" distL="0" distR="0">
            <wp:extent cx="4572000" cy="2543175"/>
            <wp:effectExtent l="0" t="0" r="0"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w:t>
      </w:r>
    </w:p>
    <w:p>
      <w:pPr>
        <w:spacing w:line="600" w:lineRule="exact"/>
        <w:ind w:firstLine="640" w:firstLineChars="200"/>
        <w:rPr>
          <w:rFonts w:ascii="仿宋" w:hAnsi="仿宋" w:eastAsia="仿宋"/>
          <w:sz w:val="32"/>
          <w:szCs w:val="32"/>
        </w:rPr>
      </w:pPr>
    </w:p>
    <w:p>
      <w:pPr>
        <w:spacing w:line="600" w:lineRule="exact"/>
        <w:ind w:firstLine="642" w:firstLineChars="200"/>
        <w:rPr>
          <w:rFonts w:ascii="仿宋" w:hAnsi="仿宋" w:eastAsia="仿宋"/>
          <w:b/>
          <w:sz w:val="32"/>
          <w:szCs w:val="32"/>
        </w:rPr>
      </w:pPr>
      <w:bookmarkStart w:id="40" w:name="_Toc15377212"/>
      <w:r>
        <w:rPr>
          <w:rFonts w:hint="eastAsia" w:ascii="仿宋" w:hAnsi="仿宋" w:eastAsia="仿宋"/>
          <w:b/>
          <w:sz w:val="32"/>
          <w:szCs w:val="32"/>
        </w:rPr>
        <w:t>（三）一般公共预算财政拨款支出决算具体情况</w:t>
      </w:r>
      <w:bookmarkEnd w:id="40"/>
    </w:p>
    <w:p>
      <w:pPr>
        <w:spacing w:line="600" w:lineRule="exact"/>
        <w:ind w:firstLine="642" w:firstLineChars="200"/>
        <w:rPr>
          <w:rFonts w:ascii="仿宋_GB2312" w:hAnsi="Calibri" w:eastAsia="仿宋_GB2312" w:cs="仿宋"/>
          <w:b/>
          <w:kern w:val="0"/>
          <w:sz w:val="32"/>
          <w:szCs w:val="32"/>
        </w:rPr>
      </w:pPr>
      <w:bookmarkStart w:id="41" w:name="_Toc15377444"/>
      <w:bookmarkStart w:id="42" w:name="_Toc15377213"/>
      <w:bookmarkStart w:id="43" w:name="_Toc15378460"/>
      <w:r>
        <w:rPr>
          <w:rFonts w:hint="eastAsia" w:ascii="仿宋_GB2312" w:hAnsi="Calibri" w:eastAsia="仿宋_GB2312" w:cs="仿宋"/>
          <w:b/>
          <w:kern w:val="0"/>
          <w:sz w:val="32"/>
          <w:szCs w:val="32"/>
        </w:rPr>
        <w:t>2023年度一般公共预算支出决算数为</w:t>
      </w:r>
      <w:r>
        <w:rPr>
          <w:rFonts w:ascii="仿宋_GB2312" w:hAnsi="Calibri" w:eastAsia="仿宋_GB2312" w:cs="仿宋"/>
          <w:b/>
          <w:kern w:val="0"/>
          <w:sz w:val="32"/>
          <w:szCs w:val="32"/>
        </w:rPr>
        <w:t>3731.63</w:t>
      </w:r>
      <w:r>
        <w:rPr>
          <w:rFonts w:hint="eastAsia" w:ascii="仿宋_GB2312" w:hAnsi="Calibri" w:eastAsia="仿宋_GB2312" w:cs="仿宋"/>
          <w:b/>
          <w:kern w:val="0"/>
          <w:sz w:val="32"/>
          <w:szCs w:val="32"/>
        </w:rPr>
        <w:t>，完成预算</w:t>
      </w:r>
      <w:r>
        <w:rPr>
          <w:rFonts w:ascii="仿宋_GB2312" w:hAnsi="Calibri" w:eastAsia="仿宋_GB2312" w:cs="仿宋"/>
          <w:b/>
          <w:kern w:val="0"/>
          <w:sz w:val="32"/>
          <w:szCs w:val="32"/>
        </w:rPr>
        <w:t>100%</w:t>
      </w:r>
      <w:r>
        <w:rPr>
          <w:rFonts w:hint="eastAsia" w:ascii="仿宋_GB2312" w:hAnsi="Calibri" w:eastAsia="仿宋_GB2312" w:cs="仿宋"/>
          <w:b/>
          <w:kern w:val="0"/>
          <w:sz w:val="32"/>
          <w:szCs w:val="32"/>
        </w:rPr>
        <w:t>。其中：</w:t>
      </w:r>
      <w:bookmarkEnd w:id="41"/>
      <w:bookmarkEnd w:id="42"/>
      <w:bookmarkEnd w:id="43"/>
    </w:p>
    <w:p>
      <w:pPr>
        <w:spacing w:line="580" w:lineRule="exact"/>
        <w:ind w:firstLine="640"/>
        <w:rPr>
          <w:rFonts w:ascii="仿宋" w:hAnsi="仿宋" w:eastAsia="仿宋" w:cstheme="minorEastAsia"/>
          <w:sz w:val="32"/>
          <w:szCs w:val="32"/>
        </w:rPr>
      </w:pPr>
      <w:r>
        <w:rPr>
          <w:rFonts w:hint="eastAsia" w:ascii="仿宋_GB2312" w:hAnsi="Calibri" w:eastAsia="仿宋_GB2312" w:cs="仿宋"/>
          <w:kern w:val="0"/>
        </w:rPr>
        <w:t>1.</w:t>
      </w:r>
      <w:r>
        <w:rPr>
          <w:rFonts w:hint="eastAsia" w:ascii="仿宋_GB2312" w:hAnsi="Calibri" w:eastAsia="仿宋_GB2312" w:cs="仿宋"/>
          <w:b/>
          <w:kern w:val="0"/>
          <w:sz w:val="32"/>
          <w:szCs w:val="32"/>
        </w:rPr>
        <w:t>公共安全支出（类）国家安全（款）机关服务（项）：</w:t>
      </w:r>
      <w:r>
        <w:rPr>
          <w:rFonts w:hint="eastAsia" w:ascii="仿宋" w:hAnsi="仿宋" w:eastAsia="仿宋" w:cstheme="minorEastAsia"/>
          <w:sz w:val="32"/>
          <w:szCs w:val="32"/>
        </w:rPr>
        <w:t>支出决算为</w:t>
      </w:r>
      <w:r>
        <w:rPr>
          <w:rFonts w:ascii="仿宋" w:hAnsi="仿宋" w:eastAsia="仿宋" w:cstheme="minorEastAsia"/>
          <w:sz w:val="32"/>
          <w:szCs w:val="32"/>
        </w:rPr>
        <w:t>36.71</w:t>
      </w:r>
      <w:r>
        <w:rPr>
          <w:rFonts w:hint="eastAsia" w:ascii="仿宋" w:hAnsi="仿宋" w:eastAsia="仿宋" w:cstheme="minorEastAsia"/>
          <w:sz w:val="32"/>
          <w:szCs w:val="32"/>
        </w:rPr>
        <w:t>万元，完成预算100%。</w:t>
      </w:r>
    </w:p>
    <w:p>
      <w:pPr>
        <w:spacing w:line="580" w:lineRule="exact"/>
        <w:ind w:firstLine="640"/>
        <w:rPr>
          <w:rFonts w:ascii="仿宋" w:hAnsi="仿宋" w:eastAsia="仿宋" w:cstheme="minorEastAsia"/>
          <w:sz w:val="32"/>
          <w:szCs w:val="32"/>
        </w:rPr>
      </w:pPr>
      <w:r>
        <w:rPr>
          <w:rFonts w:ascii="仿宋_GB2312" w:hAnsi="Calibri" w:eastAsia="仿宋_GB2312" w:cs="仿宋"/>
          <w:b/>
          <w:kern w:val="0"/>
          <w:sz w:val="32"/>
          <w:szCs w:val="32"/>
        </w:rPr>
        <w:t>2</w:t>
      </w:r>
      <w:r>
        <w:rPr>
          <w:rFonts w:hint="eastAsia" w:ascii="仿宋_GB2312" w:hAnsi="Calibri" w:eastAsia="仿宋_GB2312" w:cs="仿宋"/>
          <w:b/>
          <w:kern w:val="0"/>
          <w:sz w:val="32"/>
          <w:szCs w:val="32"/>
        </w:rPr>
        <w:t>.公共安全支出（类）检察（款）行政运行（项）：</w:t>
      </w:r>
      <w:r>
        <w:rPr>
          <w:rFonts w:hint="eastAsia" w:ascii="仿宋" w:hAnsi="仿宋" w:eastAsia="仿宋" w:cstheme="minorEastAsia"/>
          <w:sz w:val="32"/>
          <w:szCs w:val="32"/>
        </w:rPr>
        <w:t>支出决算为</w:t>
      </w:r>
      <w:r>
        <w:rPr>
          <w:rFonts w:ascii="仿宋" w:hAnsi="仿宋" w:eastAsia="仿宋" w:cstheme="minorEastAsia"/>
          <w:sz w:val="32"/>
          <w:szCs w:val="32"/>
        </w:rPr>
        <w:t>2482.75</w:t>
      </w:r>
      <w:r>
        <w:rPr>
          <w:rFonts w:hint="eastAsia" w:ascii="仿宋" w:hAnsi="仿宋" w:eastAsia="仿宋" w:cstheme="minorEastAsia"/>
          <w:sz w:val="32"/>
          <w:szCs w:val="32"/>
        </w:rPr>
        <w:t>万元，完成预算100%。</w:t>
      </w:r>
    </w:p>
    <w:p>
      <w:pPr>
        <w:autoSpaceDE w:val="0"/>
        <w:autoSpaceDN w:val="0"/>
        <w:adjustRightInd w:val="0"/>
        <w:spacing w:line="580" w:lineRule="exact"/>
        <w:ind w:firstLine="642" w:firstLineChars="200"/>
        <w:rPr>
          <w:rFonts w:ascii="仿宋" w:hAnsi="仿宋" w:eastAsia="仿宋" w:cstheme="minorEastAsia"/>
          <w:sz w:val="32"/>
          <w:szCs w:val="32"/>
        </w:rPr>
      </w:pPr>
      <w:r>
        <w:rPr>
          <w:rStyle w:val="18"/>
          <w:rFonts w:ascii="仿宋" w:hAnsi="仿宋" w:eastAsia="仿宋" w:cstheme="minorEastAsia"/>
          <w:bCs/>
          <w:sz w:val="32"/>
          <w:szCs w:val="32"/>
        </w:rPr>
        <w:t>3</w:t>
      </w:r>
      <w:r>
        <w:rPr>
          <w:rStyle w:val="18"/>
          <w:rFonts w:hint="eastAsia" w:ascii="仿宋" w:hAnsi="仿宋" w:eastAsia="仿宋" w:cstheme="minorEastAsia"/>
          <w:bCs/>
          <w:sz w:val="32"/>
          <w:szCs w:val="32"/>
        </w:rPr>
        <w:t>.</w:t>
      </w:r>
      <w:r>
        <w:rPr>
          <w:rFonts w:hint="eastAsia" w:ascii="仿宋" w:hAnsi="仿宋" w:eastAsia="仿宋" w:cstheme="minorEastAsia"/>
          <w:b/>
          <w:bCs/>
          <w:sz w:val="32"/>
          <w:szCs w:val="32"/>
        </w:rPr>
        <w:t>公共安全支出（类）检察（款）一般行政管理事务（项）：</w:t>
      </w:r>
      <w:r>
        <w:rPr>
          <w:rFonts w:hint="eastAsia" w:ascii="仿宋" w:hAnsi="仿宋" w:eastAsia="仿宋" w:cstheme="minorEastAsia"/>
          <w:sz w:val="32"/>
          <w:szCs w:val="32"/>
        </w:rPr>
        <w:t>支出决算为</w:t>
      </w:r>
      <w:r>
        <w:rPr>
          <w:rFonts w:ascii="仿宋" w:hAnsi="仿宋" w:eastAsia="仿宋" w:cstheme="minorEastAsia"/>
          <w:sz w:val="32"/>
          <w:szCs w:val="32"/>
        </w:rPr>
        <w:t>30.12</w:t>
      </w:r>
      <w:r>
        <w:rPr>
          <w:rFonts w:hint="eastAsia" w:ascii="仿宋" w:hAnsi="仿宋" w:eastAsia="仿宋" w:cstheme="minorEastAsia"/>
          <w:sz w:val="32"/>
          <w:szCs w:val="32"/>
        </w:rPr>
        <w:t>万元，完成预算100%。</w:t>
      </w:r>
    </w:p>
    <w:p>
      <w:pPr>
        <w:autoSpaceDE w:val="0"/>
        <w:autoSpaceDN w:val="0"/>
        <w:adjustRightInd w:val="0"/>
        <w:spacing w:line="580" w:lineRule="exact"/>
        <w:ind w:firstLine="642" w:firstLineChars="200"/>
        <w:rPr>
          <w:rFonts w:ascii="仿宋" w:hAnsi="仿宋" w:eastAsia="仿宋" w:cstheme="minorEastAsia"/>
          <w:sz w:val="32"/>
          <w:szCs w:val="32"/>
        </w:rPr>
      </w:pPr>
      <w:r>
        <w:rPr>
          <w:rStyle w:val="18"/>
          <w:rFonts w:hint="eastAsia" w:ascii="仿宋" w:hAnsi="仿宋" w:eastAsia="仿宋" w:cstheme="minorEastAsia"/>
          <w:bCs/>
          <w:sz w:val="32"/>
          <w:szCs w:val="32"/>
        </w:rPr>
        <w:t>4.</w:t>
      </w:r>
      <w:r>
        <w:rPr>
          <w:rFonts w:hint="eastAsia" w:ascii="仿宋" w:hAnsi="仿宋" w:eastAsia="仿宋" w:cstheme="minorEastAsia"/>
          <w:b/>
          <w:bCs/>
          <w:sz w:val="32"/>
          <w:szCs w:val="32"/>
        </w:rPr>
        <w:t>公共安全支出（类）检察（款）检察监督（项）</w:t>
      </w:r>
      <w:r>
        <w:rPr>
          <w:rFonts w:hint="eastAsia" w:ascii="仿宋" w:hAnsi="仿宋" w:eastAsia="仿宋" w:cstheme="minorEastAsia"/>
          <w:b/>
          <w:bCs/>
          <w:color w:val="000000" w:themeColor="text1"/>
          <w:sz w:val="32"/>
          <w:szCs w:val="32"/>
        </w:rPr>
        <w:t>：</w:t>
      </w:r>
      <w:r>
        <w:rPr>
          <w:rFonts w:hint="eastAsia" w:ascii="仿宋" w:hAnsi="仿宋" w:eastAsia="仿宋" w:cstheme="minorEastAsia"/>
          <w:sz w:val="32"/>
          <w:szCs w:val="32"/>
        </w:rPr>
        <w:t>支出决算为20</w:t>
      </w:r>
      <w:r>
        <w:rPr>
          <w:rFonts w:ascii="仿宋" w:hAnsi="仿宋" w:eastAsia="仿宋" w:cstheme="minorEastAsia"/>
          <w:sz w:val="32"/>
          <w:szCs w:val="32"/>
        </w:rPr>
        <w:t>3.47</w:t>
      </w:r>
      <w:r>
        <w:rPr>
          <w:rFonts w:hint="eastAsia" w:ascii="仿宋" w:hAnsi="仿宋" w:eastAsia="仿宋" w:cstheme="minorEastAsia"/>
          <w:sz w:val="32"/>
          <w:szCs w:val="32"/>
        </w:rPr>
        <w:t>万元，完成预算100%。</w:t>
      </w:r>
    </w:p>
    <w:p>
      <w:pPr>
        <w:autoSpaceDE w:val="0"/>
        <w:autoSpaceDN w:val="0"/>
        <w:adjustRightInd w:val="0"/>
        <w:spacing w:line="580" w:lineRule="exact"/>
        <w:ind w:firstLine="642" w:firstLineChars="200"/>
        <w:rPr>
          <w:rFonts w:ascii="仿宋" w:hAnsi="仿宋" w:eastAsia="仿宋" w:cstheme="minorEastAsia"/>
          <w:sz w:val="32"/>
          <w:szCs w:val="32"/>
        </w:rPr>
      </w:pPr>
      <w:r>
        <w:rPr>
          <w:rStyle w:val="18"/>
          <w:rFonts w:hint="eastAsia" w:ascii="仿宋" w:hAnsi="仿宋" w:eastAsia="仿宋" w:cstheme="minorEastAsia"/>
          <w:bCs/>
          <w:sz w:val="32"/>
          <w:szCs w:val="32"/>
        </w:rPr>
        <w:t>5.</w:t>
      </w:r>
      <w:r>
        <w:rPr>
          <w:rFonts w:hint="eastAsia" w:ascii="仿宋" w:hAnsi="仿宋" w:eastAsia="仿宋" w:cstheme="minorEastAsia"/>
          <w:b/>
          <w:bCs/>
          <w:sz w:val="32"/>
          <w:szCs w:val="32"/>
        </w:rPr>
        <w:t>公共安全支出（类）检察（款）事业运</w:t>
      </w:r>
      <w:r>
        <w:rPr>
          <w:rFonts w:hint="eastAsia" w:ascii="仿宋" w:hAnsi="仿宋" w:eastAsia="仿宋" w:cstheme="minorEastAsia"/>
          <w:b/>
          <w:bCs/>
          <w:color w:val="000000" w:themeColor="text1"/>
          <w:sz w:val="32"/>
          <w:szCs w:val="32"/>
        </w:rPr>
        <w:t>行（项）：</w:t>
      </w:r>
      <w:r>
        <w:rPr>
          <w:rFonts w:hint="eastAsia" w:ascii="仿宋" w:hAnsi="仿宋" w:eastAsia="仿宋" w:cstheme="minorEastAsia"/>
          <w:sz w:val="32"/>
          <w:szCs w:val="32"/>
        </w:rPr>
        <w:t>支出决算为</w:t>
      </w:r>
      <w:r>
        <w:rPr>
          <w:rFonts w:ascii="仿宋" w:hAnsi="仿宋" w:eastAsia="仿宋" w:cstheme="minorEastAsia"/>
          <w:sz w:val="32"/>
          <w:szCs w:val="32"/>
        </w:rPr>
        <w:t>70.35</w:t>
      </w:r>
      <w:r>
        <w:rPr>
          <w:rFonts w:hint="eastAsia" w:ascii="仿宋" w:hAnsi="仿宋" w:eastAsia="仿宋" w:cstheme="minorEastAsia"/>
          <w:sz w:val="32"/>
          <w:szCs w:val="32"/>
        </w:rPr>
        <w:t>万元，完成预算100%。</w:t>
      </w:r>
    </w:p>
    <w:p>
      <w:pPr>
        <w:autoSpaceDE w:val="0"/>
        <w:autoSpaceDN w:val="0"/>
        <w:adjustRightInd w:val="0"/>
        <w:spacing w:line="580" w:lineRule="exact"/>
        <w:ind w:firstLine="642" w:firstLineChars="200"/>
        <w:rPr>
          <w:rFonts w:ascii="仿宋" w:hAnsi="仿宋" w:eastAsia="仿宋" w:cstheme="minorEastAsia"/>
          <w:sz w:val="32"/>
          <w:szCs w:val="32"/>
        </w:rPr>
      </w:pPr>
      <w:r>
        <w:rPr>
          <w:rStyle w:val="18"/>
          <w:rFonts w:hint="eastAsia" w:ascii="仿宋" w:hAnsi="仿宋" w:eastAsia="仿宋" w:cstheme="minorEastAsia"/>
          <w:bCs/>
          <w:sz w:val="32"/>
          <w:szCs w:val="32"/>
        </w:rPr>
        <w:t>6.</w:t>
      </w:r>
      <w:r>
        <w:rPr>
          <w:rFonts w:hint="eastAsia" w:ascii="仿宋" w:hAnsi="仿宋" w:eastAsia="仿宋" w:cstheme="minorEastAsia"/>
          <w:b/>
          <w:bCs/>
          <w:color w:val="000000" w:themeColor="text1"/>
          <w:sz w:val="32"/>
          <w:szCs w:val="32"/>
        </w:rPr>
        <w:t>公共安全支出（类）检察（款）其他检察支出（项）：</w:t>
      </w:r>
      <w:r>
        <w:rPr>
          <w:rFonts w:hint="eastAsia" w:ascii="仿宋" w:hAnsi="仿宋" w:eastAsia="仿宋" w:cstheme="minorEastAsia"/>
          <w:sz w:val="32"/>
          <w:szCs w:val="32"/>
        </w:rPr>
        <w:t>支出决算为</w:t>
      </w:r>
      <w:r>
        <w:rPr>
          <w:rFonts w:ascii="仿宋" w:hAnsi="仿宋" w:eastAsia="仿宋" w:cstheme="minorEastAsia"/>
          <w:sz w:val="32"/>
          <w:szCs w:val="32"/>
        </w:rPr>
        <w:t>342.52</w:t>
      </w:r>
      <w:r>
        <w:rPr>
          <w:rFonts w:hint="eastAsia" w:ascii="仿宋" w:hAnsi="仿宋" w:eastAsia="仿宋" w:cstheme="minorEastAsia"/>
          <w:sz w:val="32"/>
          <w:szCs w:val="32"/>
        </w:rPr>
        <w:t>万元，完成预算98.22%，与预算基本持平。</w:t>
      </w:r>
    </w:p>
    <w:p>
      <w:pPr>
        <w:autoSpaceDE w:val="0"/>
        <w:autoSpaceDN w:val="0"/>
        <w:adjustRightInd w:val="0"/>
        <w:spacing w:line="580" w:lineRule="exact"/>
        <w:ind w:firstLine="642" w:firstLineChars="200"/>
        <w:rPr>
          <w:rFonts w:ascii="仿宋" w:hAnsi="仿宋" w:eastAsia="仿宋" w:cstheme="minorEastAsia"/>
          <w:sz w:val="32"/>
          <w:szCs w:val="32"/>
        </w:rPr>
      </w:pPr>
      <w:r>
        <w:rPr>
          <w:rFonts w:hint="eastAsia" w:ascii="仿宋" w:hAnsi="仿宋" w:eastAsia="仿宋" w:cstheme="minorEastAsia"/>
          <w:b/>
          <w:bCs/>
          <w:color w:val="000000" w:themeColor="text1"/>
          <w:sz w:val="32"/>
          <w:szCs w:val="32"/>
        </w:rPr>
        <w:t>7.社会保障和就业支出（类）行政事业单位养老支出（款）机关事业单位基本养老保险缴费支出（项）：</w:t>
      </w:r>
      <w:r>
        <w:rPr>
          <w:rFonts w:hint="eastAsia" w:ascii="仿宋" w:hAnsi="仿宋" w:eastAsia="仿宋" w:cstheme="minorEastAsia"/>
          <w:sz w:val="32"/>
          <w:szCs w:val="32"/>
        </w:rPr>
        <w:t>支出决算为</w:t>
      </w:r>
      <w:r>
        <w:rPr>
          <w:rFonts w:ascii="仿宋" w:hAnsi="仿宋" w:eastAsia="仿宋" w:cstheme="minorEastAsia"/>
          <w:sz w:val="32"/>
          <w:szCs w:val="32"/>
        </w:rPr>
        <w:t>234.93</w:t>
      </w:r>
      <w:r>
        <w:rPr>
          <w:rFonts w:hint="eastAsia" w:ascii="仿宋" w:hAnsi="仿宋" w:eastAsia="仿宋" w:cstheme="minorEastAsia"/>
          <w:sz w:val="32"/>
          <w:szCs w:val="32"/>
        </w:rPr>
        <w:t>万元，完成预算100%。</w:t>
      </w:r>
    </w:p>
    <w:p>
      <w:pPr>
        <w:autoSpaceDE w:val="0"/>
        <w:autoSpaceDN w:val="0"/>
        <w:adjustRightInd w:val="0"/>
        <w:spacing w:line="580" w:lineRule="exact"/>
        <w:ind w:firstLine="642" w:firstLineChars="200"/>
        <w:rPr>
          <w:rFonts w:ascii="仿宋" w:hAnsi="仿宋" w:eastAsia="仿宋" w:cstheme="minorEastAsia"/>
          <w:sz w:val="32"/>
          <w:szCs w:val="32"/>
        </w:rPr>
      </w:pPr>
      <w:r>
        <w:rPr>
          <w:rFonts w:hint="eastAsia" w:ascii="仿宋" w:hAnsi="仿宋" w:eastAsia="仿宋" w:cstheme="minorEastAsia"/>
          <w:b/>
          <w:bCs/>
          <w:color w:val="000000" w:themeColor="text1"/>
          <w:sz w:val="32"/>
          <w:szCs w:val="32"/>
        </w:rPr>
        <w:t>8.社会保障和就业支出（类）行政事业单位养老支出（款）机关事业单位职业年金缴费支出（项）：</w:t>
      </w:r>
      <w:r>
        <w:rPr>
          <w:rFonts w:hint="eastAsia" w:ascii="仿宋" w:hAnsi="仿宋" w:eastAsia="仿宋" w:cstheme="minorEastAsia"/>
          <w:sz w:val="32"/>
          <w:szCs w:val="32"/>
        </w:rPr>
        <w:t>支出决算为</w:t>
      </w:r>
      <w:r>
        <w:rPr>
          <w:rFonts w:ascii="仿宋" w:hAnsi="仿宋" w:eastAsia="仿宋" w:cstheme="minorEastAsia"/>
          <w:sz w:val="32"/>
          <w:szCs w:val="32"/>
        </w:rPr>
        <w:t>45.1</w:t>
      </w:r>
      <w:r>
        <w:rPr>
          <w:rFonts w:hint="eastAsia" w:ascii="仿宋" w:hAnsi="仿宋" w:eastAsia="仿宋" w:cstheme="minorEastAsia"/>
          <w:sz w:val="32"/>
          <w:szCs w:val="32"/>
        </w:rPr>
        <w:t>万元。完成预算100%。</w:t>
      </w:r>
    </w:p>
    <w:p>
      <w:pPr>
        <w:autoSpaceDE w:val="0"/>
        <w:autoSpaceDN w:val="0"/>
        <w:adjustRightInd w:val="0"/>
        <w:spacing w:line="580" w:lineRule="exact"/>
        <w:ind w:firstLine="642" w:firstLineChars="200"/>
        <w:rPr>
          <w:rFonts w:ascii="仿宋" w:hAnsi="仿宋" w:eastAsia="仿宋" w:cstheme="minorEastAsia"/>
          <w:sz w:val="32"/>
          <w:szCs w:val="32"/>
        </w:rPr>
      </w:pPr>
      <w:r>
        <w:rPr>
          <w:rFonts w:hint="eastAsia" w:ascii="仿宋" w:hAnsi="仿宋" w:eastAsia="仿宋" w:cstheme="minorEastAsia"/>
          <w:b/>
          <w:bCs/>
          <w:color w:val="000000" w:themeColor="text1"/>
          <w:sz w:val="32"/>
          <w:szCs w:val="32"/>
        </w:rPr>
        <w:t>9.卫生健康支出（类）行政事业单位医疗（款）行政单位医疗（项）：</w:t>
      </w:r>
      <w:r>
        <w:rPr>
          <w:rFonts w:hint="eastAsia" w:ascii="仿宋" w:hAnsi="仿宋" w:eastAsia="仿宋" w:cstheme="minorEastAsia"/>
          <w:sz w:val="32"/>
          <w:szCs w:val="32"/>
        </w:rPr>
        <w:t>支出决算为</w:t>
      </w:r>
      <w:r>
        <w:rPr>
          <w:rFonts w:ascii="仿宋" w:hAnsi="仿宋" w:eastAsia="仿宋" w:cstheme="minorEastAsia"/>
          <w:sz w:val="32"/>
          <w:szCs w:val="32"/>
        </w:rPr>
        <w:t>76.69</w:t>
      </w:r>
      <w:r>
        <w:rPr>
          <w:rFonts w:hint="eastAsia" w:ascii="仿宋" w:hAnsi="仿宋" w:eastAsia="仿宋" w:cstheme="minorEastAsia"/>
          <w:sz w:val="32"/>
          <w:szCs w:val="32"/>
        </w:rPr>
        <w:t>万元，完成预算100%。</w:t>
      </w:r>
    </w:p>
    <w:p>
      <w:pPr>
        <w:spacing w:line="580" w:lineRule="exact"/>
        <w:ind w:firstLine="642" w:firstLineChars="200"/>
        <w:rPr>
          <w:rFonts w:ascii="仿宋" w:hAnsi="仿宋" w:eastAsia="仿宋"/>
          <w:b/>
          <w:sz w:val="32"/>
          <w:szCs w:val="32"/>
        </w:rPr>
      </w:pPr>
      <w:r>
        <w:rPr>
          <w:rFonts w:hint="eastAsia" w:ascii="仿宋" w:hAnsi="仿宋" w:eastAsia="仿宋" w:cstheme="minorEastAsia"/>
          <w:b/>
          <w:bCs/>
          <w:color w:val="000000" w:themeColor="text1"/>
          <w:sz w:val="32"/>
          <w:szCs w:val="32"/>
        </w:rPr>
        <w:t>10.住房保障支出（类）住房改革支出（款）住房公积金（项）：</w:t>
      </w:r>
      <w:r>
        <w:rPr>
          <w:rFonts w:ascii="仿宋" w:hAnsi="仿宋" w:eastAsia="仿宋" w:cstheme="minorEastAsia"/>
          <w:sz w:val="32"/>
          <w:szCs w:val="32"/>
        </w:rPr>
        <w:t>208.99</w:t>
      </w:r>
      <w:r>
        <w:rPr>
          <w:rFonts w:hint="eastAsia" w:ascii="仿宋" w:hAnsi="仿宋" w:eastAsia="仿宋" w:cstheme="minorEastAsia"/>
          <w:sz w:val="32"/>
          <w:szCs w:val="32"/>
        </w:rPr>
        <w:t>万元，完成预算100%。</w:t>
      </w:r>
    </w:p>
    <w:p>
      <w:pPr>
        <w:tabs>
          <w:tab w:val="right" w:pos="8306"/>
        </w:tabs>
        <w:spacing w:line="600" w:lineRule="exact"/>
        <w:ind w:firstLine="640"/>
        <w:outlineLvl w:val="1"/>
        <w:rPr>
          <w:rStyle w:val="22"/>
        </w:rPr>
      </w:pPr>
      <w:bookmarkStart w:id="44" w:name="_Toc15377214"/>
      <w:bookmarkStart w:id="45" w:name="_Toc15396608"/>
      <w:bookmarkStart w:id="46" w:name="_Toc17546"/>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2"/>
          <w:rFonts w:hint="eastAsia" w:ascii="黑体" w:hAnsi="黑体" w:eastAsia="黑体"/>
          <w:b w:val="0"/>
        </w:rPr>
        <w:t>般公共预算财政拨款基本支出决算情况说明</w:t>
      </w:r>
      <w:bookmarkEnd w:id="44"/>
      <w:bookmarkEnd w:id="45"/>
      <w:bookmarkEnd w:id="46"/>
      <w:r>
        <w:rPr>
          <w:rStyle w:val="22"/>
          <w:rFonts w:ascii="黑体" w:hAnsi="黑体" w:eastAsia="黑体"/>
          <w:b w:val="0"/>
        </w:rPr>
        <w:tab/>
      </w:r>
    </w:p>
    <w:p>
      <w:pPr>
        <w:spacing w:line="600" w:lineRule="exact"/>
        <w:ind w:firstLine="640"/>
        <w:rPr>
          <w:rFonts w:ascii="仿宋_GB2312" w:hAnsi="Calibri" w:eastAsia="仿宋_GB2312" w:cs="仿宋"/>
          <w:kern w:val="0"/>
          <w:sz w:val="32"/>
          <w:szCs w:val="32"/>
        </w:rPr>
      </w:pPr>
      <w:r>
        <w:rPr>
          <w:rFonts w:hint="eastAsia" w:ascii="仿宋_GB2312" w:hAnsi="Calibri" w:eastAsia="仿宋_GB2312" w:cs="仿宋"/>
          <w:kern w:val="0"/>
          <w:sz w:val="32"/>
          <w:szCs w:val="32"/>
        </w:rPr>
        <w:t>2023年度一般公共预算财政拨款基本支出3118.81万元，其中：</w:t>
      </w:r>
    </w:p>
    <w:p>
      <w:pPr>
        <w:spacing w:line="600" w:lineRule="exact"/>
        <w:ind w:firstLine="640"/>
        <w:rPr>
          <w:rFonts w:ascii="仿宋_GB2312" w:hAnsi="Calibri" w:eastAsia="仿宋_GB2312" w:cs="仿宋"/>
          <w:kern w:val="0"/>
          <w:sz w:val="32"/>
          <w:szCs w:val="32"/>
        </w:rPr>
      </w:pPr>
      <w:r>
        <w:rPr>
          <w:rFonts w:hint="eastAsia" w:ascii="仿宋_GB2312" w:hAnsi="Calibri" w:eastAsia="仿宋_GB2312" w:cs="仿宋"/>
          <w:kern w:val="0"/>
          <w:sz w:val="32"/>
          <w:szCs w:val="32"/>
        </w:rPr>
        <w:t>人员经费2800.35万元，主要包括：基本工资、津贴补贴、奖金、伙食补助费、绩效工资、机关事业单位基本养老保险缴费、职业年金缴费、职工基本医疗保险缴费、住房公积金、其他工资福利支出、生活补助、其他对个人和家庭的补助支出。</w:t>
      </w:r>
      <w:r>
        <w:rPr>
          <w:rFonts w:hint="eastAsia" w:ascii="仿宋_GB2312" w:hAnsi="Calibri" w:eastAsia="仿宋_GB2312" w:cs="仿宋"/>
          <w:kern w:val="0"/>
          <w:sz w:val="32"/>
          <w:szCs w:val="32"/>
        </w:rPr>
        <w:br w:type="textWrapping"/>
      </w:r>
      <w:r>
        <w:rPr>
          <w:rFonts w:hint="eastAsia" w:ascii="仿宋_GB2312" w:hAnsi="Calibri" w:eastAsia="仿宋_GB2312" w:cs="仿宋"/>
          <w:kern w:val="0"/>
          <w:sz w:val="32"/>
          <w:szCs w:val="32"/>
        </w:rPr>
        <w:t>　　公用经费318.46万元，主要包括：办公费、印刷费、水费、电费、邮电费、差旅费、维修（护）费、租赁费、会议费、培训费、公务接待费、劳务费、工会经费、福利费、公务用车运行维护费、其他交通费</w:t>
      </w:r>
      <w:r>
        <w:rPr>
          <w:rFonts w:hint="eastAsia" w:ascii="仿宋_GB2312" w:hAnsi="Calibri" w:eastAsia="仿宋_GB2312" w:cs="仿宋"/>
          <w:kern w:val="0"/>
          <w:sz w:val="32"/>
          <w:szCs w:val="32"/>
          <w:lang w:val="en-US" w:eastAsia="zh-CN"/>
        </w:rPr>
        <w:t>用</w:t>
      </w:r>
      <w:r>
        <w:rPr>
          <w:rFonts w:hint="eastAsia" w:ascii="仿宋_GB2312" w:hAnsi="Calibri" w:eastAsia="仿宋_GB2312" w:cs="仿宋"/>
          <w:kern w:val="0"/>
          <w:sz w:val="32"/>
          <w:szCs w:val="32"/>
        </w:rPr>
        <w:t>、其他商品和服务支出。</w:t>
      </w:r>
    </w:p>
    <w:p>
      <w:pPr>
        <w:spacing w:line="600" w:lineRule="exact"/>
        <w:ind w:firstLine="640"/>
        <w:outlineLvl w:val="1"/>
        <w:rPr>
          <w:rStyle w:val="22"/>
          <w:rFonts w:ascii="黑体" w:hAnsi="黑体" w:eastAsia="黑体"/>
          <w:b w:val="0"/>
        </w:rPr>
      </w:pPr>
      <w:bookmarkStart w:id="47" w:name="_Toc6306"/>
      <w:bookmarkStart w:id="48" w:name="_Toc15377215"/>
      <w:bookmarkStart w:id="49" w:name="_Toc15396609"/>
      <w:r>
        <w:rPr>
          <w:rFonts w:hint="eastAsia" w:ascii="黑体" w:eastAsia="黑体"/>
          <w:sz w:val="32"/>
          <w:szCs w:val="32"/>
        </w:rPr>
        <w:t>七、</w:t>
      </w:r>
      <w:r>
        <w:rPr>
          <w:rStyle w:val="22"/>
          <w:rFonts w:hint="eastAsia" w:ascii="黑体" w:hAnsi="黑体" w:eastAsia="黑体"/>
          <w:b w:val="0"/>
        </w:rPr>
        <w:t>财政拨款</w:t>
      </w:r>
      <w:r>
        <w:rPr>
          <w:rStyle w:val="22"/>
          <w:rFonts w:hint="eastAsia" w:ascii="黑体" w:hAnsi="黑体" w:eastAsia="黑体"/>
        </w:rPr>
        <w:t>“</w:t>
      </w:r>
      <w:r>
        <w:rPr>
          <w:rStyle w:val="22"/>
          <w:rFonts w:hint="eastAsia" w:ascii="黑体" w:hAnsi="黑体" w:eastAsia="黑体"/>
          <w:b w:val="0"/>
        </w:rPr>
        <w:t>三公”经费支出决算情况说明</w:t>
      </w:r>
      <w:bookmarkEnd w:id="47"/>
      <w:bookmarkEnd w:id="48"/>
      <w:bookmarkEnd w:id="49"/>
    </w:p>
    <w:p>
      <w:pPr>
        <w:autoSpaceDE w:val="0"/>
        <w:autoSpaceDN w:val="0"/>
        <w:spacing w:line="600" w:lineRule="exact"/>
        <w:ind w:firstLine="640"/>
        <w:rPr>
          <w:rFonts w:ascii="仿宋" w:hAnsi="仿宋" w:eastAsia="仿宋"/>
          <w:b/>
          <w:sz w:val="32"/>
          <w:szCs w:val="32"/>
        </w:rPr>
      </w:pPr>
      <w:bookmarkStart w:id="50" w:name="_Toc15377216"/>
      <w:r>
        <w:rPr>
          <w:rFonts w:hint="eastAsia" w:ascii="仿宋" w:hAnsi="仿宋" w:eastAsia="仿宋"/>
          <w:b/>
          <w:sz w:val="32"/>
          <w:szCs w:val="32"/>
        </w:rPr>
        <w:t>（一）“三公”经费财政拨款支出决算总体情况说明</w:t>
      </w:r>
      <w:bookmarkEnd w:id="50"/>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2023年度“三公”经费财政拨款支出决算为72.61万元，完成预算99.9%，较上年度减少25.98万元，下降26.4%。决算数</w:t>
      </w:r>
      <w:r>
        <w:rPr>
          <w:rFonts w:hint="eastAsia" w:ascii="仿宋_GB2312" w:hAnsi="Calibri" w:eastAsia="仿宋_GB2312" w:cs="仿宋"/>
          <w:kern w:val="0"/>
          <w:sz w:val="32"/>
          <w:szCs w:val="32"/>
          <w:lang w:eastAsia="zh-CN"/>
        </w:rPr>
        <w:t>小于</w:t>
      </w:r>
      <w:r>
        <w:rPr>
          <w:rFonts w:hint="eastAsia" w:ascii="仿宋_GB2312" w:hAnsi="Calibri" w:eastAsia="仿宋_GB2312" w:cs="仿宋"/>
          <w:kern w:val="0"/>
          <w:sz w:val="32"/>
          <w:szCs w:val="32"/>
        </w:rPr>
        <w:t>预算数</w:t>
      </w:r>
      <w:r>
        <w:rPr>
          <w:rFonts w:hint="eastAsia" w:ascii="仿宋_GB2312" w:hAnsi="Calibri" w:eastAsia="仿宋_GB2312" w:cs="仿宋"/>
          <w:kern w:val="0"/>
          <w:sz w:val="32"/>
          <w:szCs w:val="32"/>
          <w:lang w:eastAsia="zh-CN"/>
        </w:rPr>
        <w:t>主要是厉行节约，压减三公经费</w:t>
      </w:r>
      <w:r>
        <w:rPr>
          <w:rFonts w:hint="eastAsia" w:ascii="仿宋_GB2312" w:hAnsi="Calibri" w:eastAsia="仿宋_GB2312" w:cs="仿宋"/>
          <w:kern w:val="0"/>
          <w:sz w:val="32"/>
          <w:szCs w:val="32"/>
        </w:rPr>
        <w:t>。</w:t>
      </w:r>
    </w:p>
    <w:p>
      <w:pPr>
        <w:autoSpaceDE w:val="0"/>
        <w:autoSpaceDN w:val="0"/>
        <w:spacing w:line="600" w:lineRule="exact"/>
        <w:ind w:firstLine="640"/>
        <w:rPr>
          <w:rFonts w:ascii="仿宋" w:hAnsi="仿宋" w:eastAsia="仿宋"/>
          <w:b/>
          <w:sz w:val="32"/>
          <w:szCs w:val="32"/>
        </w:rPr>
      </w:pPr>
      <w:bookmarkStart w:id="51" w:name="_Toc15377217"/>
      <w:r>
        <w:rPr>
          <w:rFonts w:hint="eastAsia" w:ascii="仿宋" w:hAnsi="仿宋" w:eastAsia="仿宋"/>
          <w:b/>
          <w:sz w:val="32"/>
          <w:szCs w:val="32"/>
        </w:rPr>
        <w:t>（二）“三公”经费财政拨款支出决算具体情况说明</w:t>
      </w:r>
      <w:bookmarkEnd w:id="51"/>
    </w:p>
    <w:p>
      <w:pPr>
        <w:spacing w:line="600" w:lineRule="exact"/>
        <w:ind w:firstLine="640"/>
        <w:rPr>
          <w:rFonts w:ascii="仿宋_GB2312" w:hAnsi="Calibri" w:eastAsia="仿宋_GB2312" w:cs="仿宋"/>
          <w:kern w:val="0"/>
          <w:sz w:val="32"/>
          <w:szCs w:val="32"/>
        </w:rPr>
      </w:pPr>
      <w:r>
        <w:rPr>
          <w:rFonts w:hint="eastAsia" w:ascii="仿宋_GB2312" w:hAnsi="Calibri" w:eastAsia="仿宋_GB2312" w:cs="仿宋"/>
          <w:kern w:val="0"/>
          <w:sz w:val="32"/>
          <w:szCs w:val="32"/>
        </w:rPr>
        <w:t>2023年度“三公”经费财政拨款支出决算中，因公出国（境）费支出决算0万元，占0%；公务用车购置及运行维护费支出决算70.07万元，占96.5%；公务接待费支出决算2.54万元，占3.5%。具体情况如下：</w:t>
      </w:r>
    </w:p>
    <w:p>
      <w:pPr>
        <w:pStyle w:val="20"/>
      </w:pPr>
      <w:r>
        <w:drawing>
          <wp:inline distT="0" distB="0" distL="0" distR="0">
            <wp:extent cx="4572000" cy="2743200"/>
            <wp:effectExtent l="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rPr>
          <w:rFonts w:ascii="仿宋_GB2312" w:hAnsi="Calibri" w:eastAsia="仿宋_GB2312" w:cs="仿宋"/>
          <w:kern w:val="0"/>
          <w:sz w:val="32"/>
          <w:szCs w:val="32"/>
        </w:rPr>
      </w:pPr>
      <w:r>
        <w:rPr>
          <w:rFonts w:hint="eastAsia" w:ascii="仿宋_GB2312" w:hAnsi="Calibri" w:eastAsia="仿宋_GB2312" w:cs="仿宋"/>
          <w:kern w:val="0"/>
          <w:sz w:val="32"/>
          <w:szCs w:val="32"/>
        </w:rPr>
        <w:t>（图7：“三公”经费财政拨款支出结构）</w:t>
      </w:r>
    </w:p>
    <w:p>
      <w:pPr>
        <w:spacing w:line="600" w:lineRule="exact"/>
        <w:ind w:firstLine="640"/>
        <w:rPr>
          <w:rFonts w:ascii="仿宋_GB2312" w:hAnsi="Calibri" w:eastAsia="仿宋_GB2312" w:cs="仿宋"/>
          <w:kern w:val="0"/>
          <w:sz w:val="32"/>
          <w:szCs w:val="32"/>
        </w:rPr>
      </w:pPr>
      <w:bookmarkStart w:id="52" w:name="_Toc15396610"/>
      <w:bookmarkStart w:id="53" w:name="_Toc15377218"/>
      <w:r>
        <w:rPr>
          <w:rFonts w:hint="eastAsia" w:ascii="仿宋_GB2312" w:hAnsi="Calibri" w:eastAsia="仿宋_GB2312" w:cs="仿宋"/>
          <w:b/>
          <w:bCs/>
          <w:kern w:val="0"/>
          <w:sz w:val="32"/>
          <w:szCs w:val="32"/>
        </w:rPr>
        <w:t>1.因公出国（境）经费支出</w:t>
      </w:r>
      <w:r>
        <w:rPr>
          <w:rFonts w:hint="eastAsia" w:ascii="仿宋_GB2312" w:hAnsi="Calibri" w:eastAsia="仿宋_GB2312" w:cs="仿宋"/>
          <w:kern w:val="0"/>
          <w:sz w:val="32"/>
          <w:szCs w:val="32"/>
        </w:rPr>
        <w:t>0万元，年初未安排预算</w:t>
      </w:r>
      <w:r>
        <w:rPr>
          <w:rFonts w:hint="eastAsia" w:ascii="仿宋_GB2312" w:hAnsi="Calibri" w:eastAsia="仿宋_GB2312" w:cs="仿宋"/>
          <w:kern w:val="0"/>
          <w:sz w:val="32"/>
          <w:szCs w:val="32"/>
          <w:lang w:eastAsia="zh-CN"/>
        </w:rPr>
        <w:t>，较</w:t>
      </w:r>
      <w:r>
        <w:rPr>
          <w:rFonts w:hint="eastAsia" w:ascii="仿宋_GB2312" w:hAnsi="Calibri" w:eastAsia="仿宋_GB2312" w:cs="仿宋"/>
          <w:kern w:val="0"/>
          <w:sz w:val="32"/>
          <w:szCs w:val="32"/>
          <w:lang w:val="en-US" w:eastAsia="zh-CN"/>
        </w:rPr>
        <w:t>2022年无变化</w:t>
      </w:r>
      <w:r>
        <w:rPr>
          <w:rFonts w:hint="eastAsia" w:ascii="仿宋_GB2312" w:hAnsi="Calibri" w:eastAsia="仿宋_GB2312" w:cs="仿宋"/>
          <w:kern w:val="0"/>
          <w:sz w:val="32"/>
          <w:szCs w:val="32"/>
        </w:rPr>
        <w:t>。</w:t>
      </w:r>
    </w:p>
    <w:p>
      <w:pPr>
        <w:spacing w:line="600" w:lineRule="exact"/>
        <w:ind w:firstLine="640"/>
        <w:rPr>
          <w:rFonts w:ascii="仿宋_GB2312" w:hAnsi="Calibri" w:eastAsia="仿宋_GB2312" w:cs="仿宋"/>
          <w:kern w:val="0"/>
          <w:sz w:val="32"/>
          <w:szCs w:val="32"/>
        </w:rPr>
      </w:pPr>
      <w:r>
        <w:rPr>
          <w:rFonts w:hint="eastAsia" w:ascii="仿宋_GB2312" w:hAnsi="Calibri" w:eastAsia="仿宋_GB2312" w:cs="仿宋"/>
          <w:b/>
          <w:bCs/>
          <w:kern w:val="0"/>
          <w:sz w:val="32"/>
          <w:szCs w:val="32"/>
        </w:rPr>
        <w:t>2.公务用车购置及运行维护费支出</w:t>
      </w:r>
      <w:r>
        <w:rPr>
          <w:rFonts w:hint="eastAsia" w:ascii="仿宋_GB2312" w:hAnsi="Calibri" w:eastAsia="仿宋_GB2312" w:cs="仿宋"/>
          <w:kern w:val="0"/>
          <w:sz w:val="32"/>
          <w:szCs w:val="32"/>
        </w:rPr>
        <w:t>70.07万元</w:t>
      </w:r>
      <w:r>
        <w:rPr>
          <w:rFonts w:hint="eastAsia" w:ascii="仿宋_GB2312" w:hAnsi="Calibri" w:eastAsia="仿宋_GB2312" w:cs="仿宋"/>
          <w:kern w:val="0"/>
          <w:sz w:val="32"/>
          <w:szCs w:val="32"/>
          <w:lang w:eastAsia="zh-CN"/>
        </w:rPr>
        <w:t>，</w:t>
      </w:r>
      <w:r>
        <w:rPr>
          <w:rFonts w:hint="eastAsia" w:ascii="仿宋_GB2312" w:hAnsi="Calibri" w:eastAsia="仿宋_GB2312" w:cs="仿宋"/>
          <w:kern w:val="0"/>
          <w:sz w:val="32"/>
          <w:szCs w:val="32"/>
        </w:rPr>
        <w:t>完成预算99.9%。公务用车购置及运行维护费支出决算比2022年度减少26.11万元，下降27.1%。主要原因是2022年有公务用车购置支出。</w:t>
      </w:r>
    </w:p>
    <w:p>
      <w:pPr>
        <w:spacing w:line="600" w:lineRule="exact"/>
        <w:ind w:firstLine="640"/>
        <w:rPr>
          <w:rFonts w:hint="eastAsia" w:ascii="仿宋_GB2312" w:hAnsi="Calibri" w:eastAsia="仿宋_GB2312" w:cs="仿宋"/>
          <w:kern w:val="0"/>
          <w:sz w:val="32"/>
          <w:szCs w:val="32"/>
        </w:rPr>
      </w:pPr>
      <w:r>
        <w:rPr>
          <w:rFonts w:hint="eastAsia" w:ascii="仿宋_GB2312" w:hAnsi="Calibri" w:eastAsia="仿宋_GB2312" w:cs="仿宋"/>
          <w:kern w:val="0"/>
          <w:sz w:val="32"/>
          <w:szCs w:val="32"/>
        </w:rPr>
        <w:t>其中：</w:t>
      </w:r>
      <w:r>
        <w:rPr>
          <w:rFonts w:hint="eastAsia" w:ascii="仿宋_GB2312" w:hAnsi="Calibri" w:eastAsia="仿宋_GB2312" w:cs="仿宋"/>
          <w:b/>
          <w:bCs/>
          <w:kern w:val="0"/>
          <w:sz w:val="32"/>
          <w:szCs w:val="32"/>
        </w:rPr>
        <w:t>公务用车购置支出</w:t>
      </w:r>
      <w:r>
        <w:rPr>
          <w:rFonts w:hint="eastAsia" w:ascii="仿宋_GB2312" w:hAnsi="Calibri" w:eastAsia="仿宋_GB2312" w:cs="仿宋"/>
          <w:kern w:val="0"/>
          <w:sz w:val="32"/>
          <w:szCs w:val="32"/>
        </w:rPr>
        <w:t>0万元。本年未购置公务用车。截至</w:t>
      </w:r>
      <w:r>
        <w:rPr>
          <w:rFonts w:hint="eastAsia" w:ascii="仿宋_GB2312" w:hAnsi="Calibri" w:eastAsia="仿宋_GB2312" w:cs="仿宋"/>
          <w:kern w:val="0"/>
          <w:sz w:val="32"/>
          <w:szCs w:val="32"/>
          <w:lang w:eastAsia="zh-CN"/>
        </w:rPr>
        <w:t>2023</w:t>
      </w:r>
      <w:r>
        <w:rPr>
          <w:rFonts w:hint="eastAsia" w:ascii="仿宋_GB2312" w:hAnsi="Calibri" w:eastAsia="仿宋_GB2312" w:cs="仿宋"/>
          <w:kern w:val="0"/>
          <w:sz w:val="32"/>
          <w:szCs w:val="32"/>
        </w:rPr>
        <w:t>年12月</w:t>
      </w:r>
      <w:r>
        <w:rPr>
          <w:rFonts w:hint="eastAsia" w:ascii="仿宋_GB2312" w:hAnsi="Calibri" w:eastAsia="仿宋_GB2312" w:cs="仿宋"/>
          <w:kern w:val="0"/>
          <w:sz w:val="32"/>
          <w:szCs w:val="32"/>
          <w:lang w:val="en-US" w:eastAsia="zh-CN"/>
        </w:rPr>
        <w:t>31日</w:t>
      </w:r>
      <w:r>
        <w:rPr>
          <w:rFonts w:hint="eastAsia" w:ascii="仿宋_GB2312" w:hAnsi="Calibri" w:eastAsia="仿宋_GB2312" w:cs="仿宋"/>
          <w:kern w:val="0"/>
          <w:sz w:val="32"/>
          <w:szCs w:val="32"/>
        </w:rPr>
        <w:t>，单位共有公务用车</w:t>
      </w:r>
      <w:r>
        <w:rPr>
          <w:rFonts w:hint="eastAsia" w:ascii="仿宋_GB2312" w:hAnsi="Calibri" w:eastAsia="仿宋_GB2312" w:cs="仿宋"/>
          <w:kern w:val="0"/>
          <w:sz w:val="32"/>
          <w:szCs w:val="32"/>
          <w:lang w:val="en-US" w:eastAsia="zh-CN"/>
        </w:rPr>
        <w:t>15</w:t>
      </w:r>
      <w:r>
        <w:rPr>
          <w:rFonts w:hint="eastAsia" w:ascii="仿宋_GB2312" w:hAnsi="Calibri" w:eastAsia="仿宋_GB2312" w:cs="仿宋"/>
          <w:kern w:val="0"/>
          <w:sz w:val="32"/>
          <w:szCs w:val="32"/>
        </w:rPr>
        <w:t>辆，其中：轿车</w:t>
      </w:r>
      <w:r>
        <w:rPr>
          <w:rFonts w:hint="eastAsia" w:ascii="仿宋_GB2312" w:hAnsi="Calibri" w:eastAsia="仿宋_GB2312" w:cs="仿宋"/>
          <w:kern w:val="0"/>
          <w:sz w:val="32"/>
          <w:szCs w:val="32"/>
          <w:lang w:val="en-US" w:eastAsia="zh-CN"/>
        </w:rPr>
        <w:t>9</w:t>
      </w:r>
      <w:r>
        <w:rPr>
          <w:rFonts w:hint="eastAsia" w:ascii="仿宋_GB2312" w:hAnsi="Calibri" w:eastAsia="仿宋_GB2312" w:cs="仿宋"/>
          <w:kern w:val="0"/>
          <w:sz w:val="32"/>
          <w:szCs w:val="32"/>
        </w:rPr>
        <w:t>辆、越野车</w:t>
      </w:r>
      <w:r>
        <w:rPr>
          <w:rFonts w:hint="eastAsia" w:ascii="仿宋_GB2312" w:hAnsi="Calibri" w:eastAsia="仿宋_GB2312" w:cs="仿宋"/>
          <w:kern w:val="0"/>
          <w:sz w:val="32"/>
          <w:szCs w:val="32"/>
          <w:lang w:val="en-US" w:eastAsia="zh-CN"/>
        </w:rPr>
        <w:t>4</w:t>
      </w:r>
      <w:r>
        <w:rPr>
          <w:rFonts w:hint="eastAsia" w:ascii="仿宋_GB2312" w:hAnsi="Calibri" w:eastAsia="仿宋_GB2312" w:cs="仿宋"/>
          <w:kern w:val="0"/>
          <w:sz w:val="32"/>
          <w:szCs w:val="32"/>
        </w:rPr>
        <w:t>辆、载客汽车</w:t>
      </w:r>
      <w:r>
        <w:rPr>
          <w:rFonts w:hint="eastAsia" w:ascii="仿宋_GB2312" w:hAnsi="Calibri" w:eastAsia="仿宋_GB2312" w:cs="仿宋"/>
          <w:kern w:val="0"/>
          <w:sz w:val="32"/>
          <w:szCs w:val="32"/>
          <w:lang w:val="en-US" w:eastAsia="zh-CN"/>
        </w:rPr>
        <w:t>2</w:t>
      </w:r>
      <w:r>
        <w:rPr>
          <w:rFonts w:hint="eastAsia" w:ascii="仿宋_GB2312" w:hAnsi="Calibri" w:eastAsia="仿宋_GB2312" w:cs="仿宋"/>
          <w:kern w:val="0"/>
          <w:sz w:val="32"/>
          <w:szCs w:val="32"/>
        </w:rPr>
        <w:t>辆。</w:t>
      </w:r>
      <w:bookmarkStart w:id="98" w:name="_GoBack"/>
      <w:bookmarkEnd w:id="98"/>
    </w:p>
    <w:p>
      <w:pPr>
        <w:spacing w:line="600" w:lineRule="exact"/>
        <w:ind w:firstLine="640"/>
        <w:rPr>
          <w:rFonts w:ascii="仿宋_GB2312" w:hAnsi="Calibri" w:eastAsia="仿宋_GB2312" w:cs="仿宋"/>
          <w:kern w:val="0"/>
          <w:sz w:val="32"/>
          <w:szCs w:val="32"/>
        </w:rPr>
      </w:pPr>
      <w:r>
        <w:rPr>
          <w:rFonts w:hint="eastAsia" w:ascii="仿宋_GB2312" w:hAnsi="Calibri" w:eastAsia="仿宋_GB2312" w:cs="仿宋"/>
          <w:b/>
          <w:bCs/>
          <w:kern w:val="0"/>
          <w:sz w:val="32"/>
          <w:szCs w:val="32"/>
        </w:rPr>
        <w:t>公务用车运行维护费支出</w:t>
      </w:r>
      <w:r>
        <w:rPr>
          <w:rFonts w:hint="eastAsia" w:ascii="仿宋_GB2312" w:hAnsi="Calibri" w:eastAsia="仿宋_GB2312" w:cs="仿宋"/>
          <w:kern w:val="0"/>
          <w:sz w:val="32"/>
          <w:szCs w:val="32"/>
        </w:rPr>
        <w:t>70.07万元。主要用于公益诉讼案件等各类案件调查取证、开展扶贫等工作所需的公务用车燃料费、维修费、过路过桥费、保险费等支出。</w:t>
      </w:r>
    </w:p>
    <w:p>
      <w:pPr>
        <w:spacing w:line="600" w:lineRule="exact"/>
        <w:ind w:firstLine="640"/>
        <w:rPr>
          <w:rFonts w:ascii="仿宋_GB2312" w:hAnsi="Calibri" w:eastAsia="仿宋_GB2312" w:cs="仿宋"/>
          <w:kern w:val="0"/>
          <w:sz w:val="32"/>
          <w:szCs w:val="32"/>
        </w:rPr>
      </w:pPr>
      <w:r>
        <w:rPr>
          <w:rFonts w:hint="eastAsia" w:ascii="仿宋_GB2312" w:hAnsi="Calibri" w:eastAsia="仿宋_GB2312" w:cs="仿宋"/>
          <w:b/>
          <w:bCs/>
          <w:kern w:val="0"/>
          <w:sz w:val="32"/>
          <w:szCs w:val="32"/>
        </w:rPr>
        <w:t>3.公务接待费支出</w:t>
      </w:r>
      <w:r>
        <w:rPr>
          <w:rFonts w:hint="eastAsia" w:ascii="仿宋_GB2312" w:hAnsi="Calibri" w:eastAsia="仿宋_GB2312" w:cs="仿宋"/>
          <w:kern w:val="0"/>
          <w:sz w:val="32"/>
          <w:szCs w:val="32"/>
        </w:rPr>
        <w:t>2.54万元，完成预算100%。公务接待费支出决算比2022年度增加0.13万元，增长5.4%。主要原因是2023年接待工作开展比上年多。其中：</w:t>
      </w:r>
    </w:p>
    <w:p>
      <w:pPr>
        <w:spacing w:line="600" w:lineRule="exact"/>
        <w:ind w:firstLine="640"/>
        <w:rPr>
          <w:rFonts w:ascii="仿宋_GB2312" w:hAnsi="Calibri" w:eastAsia="仿宋_GB2312" w:cs="仿宋"/>
          <w:kern w:val="0"/>
          <w:sz w:val="32"/>
          <w:szCs w:val="32"/>
        </w:rPr>
      </w:pPr>
      <w:r>
        <w:rPr>
          <w:rFonts w:hint="eastAsia" w:ascii="仿宋_GB2312" w:hAnsi="Calibri" w:eastAsia="仿宋_GB2312" w:cs="仿宋"/>
          <w:b/>
          <w:bCs/>
          <w:kern w:val="0"/>
          <w:sz w:val="32"/>
          <w:szCs w:val="32"/>
        </w:rPr>
        <w:t>国内公务接待支出</w:t>
      </w:r>
      <w:r>
        <w:rPr>
          <w:rFonts w:hint="eastAsia" w:ascii="仿宋_GB2312" w:hAnsi="Calibri" w:eastAsia="仿宋_GB2312" w:cs="仿宋"/>
          <w:kern w:val="0"/>
          <w:sz w:val="32"/>
          <w:szCs w:val="32"/>
        </w:rPr>
        <w:t>2.54万元，主要用于执行公务、接待上级机关检查、指导工作和其他地、市、州院来我院考察调研所需的交通费、住宿费、用餐费等。国内公务接待30批次，230人次（不包括陪同人员），共计支出2.54万元，具体内容包括接待省院领导调研工作接待费0.54万元、多次接待省检察院考察费合计2万元。</w:t>
      </w:r>
    </w:p>
    <w:p>
      <w:pPr>
        <w:spacing w:line="600" w:lineRule="exact"/>
        <w:ind w:firstLine="642" w:firstLineChars="200"/>
        <w:rPr>
          <w:rFonts w:ascii="仿宋_GB2312" w:hAnsi="Calibri" w:eastAsia="仿宋_GB2312" w:cs="仿宋"/>
          <w:kern w:val="0"/>
          <w:sz w:val="32"/>
          <w:szCs w:val="32"/>
        </w:rPr>
      </w:pPr>
      <w:r>
        <w:rPr>
          <w:rFonts w:hint="eastAsia" w:ascii="仿宋" w:hAnsi="仿宋" w:eastAsia="仿宋"/>
          <w:b/>
          <w:sz w:val="32"/>
          <w:szCs w:val="32"/>
        </w:rPr>
        <w:t>外事接待支出</w:t>
      </w:r>
      <w:r>
        <w:rPr>
          <w:rFonts w:hint="eastAsia" w:ascii="仿宋_GB2312" w:hAnsi="Calibri" w:eastAsia="仿宋_GB2312" w:cs="仿宋"/>
          <w:kern w:val="0"/>
          <w:sz w:val="32"/>
          <w:szCs w:val="32"/>
        </w:rPr>
        <w:t>0万元，年初未安排预算。</w:t>
      </w:r>
    </w:p>
    <w:p>
      <w:pPr>
        <w:spacing w:line="600" w:lineRule="exact"/>
        <w:ind w:firstLine="640"/>
        <w:outlineLvl w:val="1"/>
        <w:rPr>
          <w:rStyle w:val="22"/>
          <w:rFonts w:ascii="黑体" w:hAnsi="黑体" w:eastAsia="黑体"/>
        </w:rPr>
      </w:pPr>
      <w:bookmarkStart w:id="54" w:name="_Toc4705"/>
      <w:r>
        <w:rPr>
          <w:rFonts w:hint="eastAsia" w:ascii="黑体" w:eastAsia="黑体"/>
          <w:sz w:val="32"/>
          <w:szCs w:val="32"/>
        </w:rPr>
        <w:t>八、</w:t>
      </w:r>
      <w:r>
        <w:rPr>
          <w:rStyle w:val="22"/>
          <w:rFonts w:hint="eastAsia" w:ascii="黑体" w:hAnsi="黑体" w:eastAsia="黑体"/>
          <w:b w:val="0"/>
        </w:rPr>
        <w:t>政府性基金预算支出决算情况说明</w:t>
      </w:r>
      <w:bookmarkEnd w:id="52"/>
      <w:bookmarkEnd w:id="53"/>
      <w:bookmarkEnd w:id="54"/>
    </w:p>
    <w:p>
      <w:pPr>
        <w:spacing w:line="600" w:lineRule="exact"/>
        <w:ind w:firstLine="640"/>
        <w:rPr>
          <w:rFonts w:ascii="仿宋_GB2312" w:hAnsi="Calibri" w:eastAsia="仿宋_GB2312" w:cs="仿宋"/>
          <w:kern w:val="0"/>
          <w:sz w:val="32"/>
          <w:szCs w:val="32"/>
        </w:rPr>
      </w:pPr>
      <w:r>
        <w:rPr>
          <w:rFonts w:hint="eastAsia" w:ascii="仿宋_GB2312" w:hAnsi="Calibri" w:eastAsia="仿宋_GB2312" w:cs="仿宋"/>
          <w:kern w:val="0"/>
          <w:sz w:val="32"/>
          <w:szCs w:val="32"/>
        </w:rPr>
        <w:t>2023年度政府性基金预算财政拨款支出0万元。</w:t>
      </w:r>
    </w:p>
    <w:p>
      <w:pPr>
        <w:numPr>
          <w:ilvl w:val="0"/>
          <w:numId w:val="3"/>
        </w:numPr>
        <w:spacing w:line="600" w:lineRule="exact"/>
        <w:ind w:firstLine="640"/>
        <w:outlineLvl w:val="1"/>
        <w:rPr>
          <w:rStyle w:val="22"/>
          <w:rFonts w:ascii="黑体" w:hAnsi="黑体" w:eastAsia="黑体"/>
          <w:b w:val="0"/>
        </w:rPr>
      </w:pPr>
      <w:bookmarkStart w:id="55" w:name="_Toc15377219"/>
      <w:bookmarkStart w:id="56" w:name="_Toc27973"/>
      <w:bookmarkStart w:id="57" w:name="_Toc15396611"/>
      <w:r>
        <w:rPr>
          <w:rStyle w:val="22"/>
          <w:rFonts w:hint="eastAsia" w:ascii="黑体" w:hAnsi="黑体" w:eastAsia="黑体"/>
          <w:b w:val="0"/>
        </w:rPr>
        <w:t>国有资本经营预算支出决算情况说明</w:t>
      </w:r>
      <w:bookmarkEnd w:id="55"/>
      <w:bookmarkEnd w:id="56"/>
      <w:bookmarkEnd w:id="57"/>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2023年度国有资本经营预算财政拨款支出0万元。</w:t>
      </w:r>
    </w:p>
    <w:p>
      <w:pPr>
        <w:numPr>
          <w:ilvl w:val="0"/>
          <w:numId w:val="3"/>
        </w:numPr>
        <w:spacing w:line="600" w:lineRule="exact"/>
        <w:ind w:firstLine="640"/>
        <w:outlineLvl w:val="1"/>
        <w:rPr>
          <w:rStyle w:val="22"/>
          <w:rFonts w:ascii="黑体" w:hAnsi="黑体" w:eastAsia="黑体"/>
          <w:b w:val="0"/>
        </w:rPr>
      </w:pPr>
      <w:bookmarkStart w:id="58" w:name="_Toc15396612"/>
      <w:bookmarkStart w:id="59" w:name="_Toc17827"/>
      <w:bookmarkStart w:id="60" w:name="_Toc15377221"/>
      <w:r>
        <w:rPr>
          <w:rStyle w:val="22"/>
          <w:rFonts w:hint="eastAsia" w:ascii="黑体" w:hAnsi="黑体" w:eastAsia="黑体"/>
          <w:b w:val="0"/>
        </w:rPr>
        <w:t>其他重要事项的情况说明</w:t>
      </w:r>
      <w:bookmarkEnd w:id="58"/>
      <w:bookmarkEnd w:id="59"/>
      <w:bookmarkEnd w:id="60"/>
    </w:p>
    <w:p>
      <w:pPr>
        <w:autoSpaceDE w:val="0"/>
        <w:autoSpaceDN w:val="0"/>
        <w:spacing w:line="600" w:lineRule="exact"/>
        <w:ind w:firstLine="642" w:firstLineChars="200"/>
        <w:rPr>
          <w:rFonts w:ascii="仿宋" w:hAnsi="仿宋" w:eastAsia="仿宋"/>
          <w:sz w:val="32"/>
          <w:szCs w:val="32"/>
        </w:rPr>
      </w:pPr>
      <w:bookmarkStart w:id="61" w:name="_Toc15377222"/>
      <w:r>
        <w:rPr>
          <w:rFonts w:hint="eastAsia" w:ascii="仿宋" w:hAnsi="仿宋" w:eastAsia="仿宋"/>
          <w:b/>
          <w:sz w:val="32"/>
          <w:szCs w:val="32"/>
        </w:rPr>
        <w:t>（一）机关运行经费支出情况</w:t>
      </w:r>
      <w:bookmarkEnd w:id="61"/>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2023年度，四川省广元市人民检察院机关运行经费支出318.46万元，比2022年度减少12.38万元，下降3.7%。主要原因是2023年我院人员减少。</w:t>
      </w:r>
    </w:p>
    <w:p>
      <w:pPr>
        <w:autoSpaceDE w:val="0"/>
        <w:autoSpaceDN w:val="0"/>
        <w:adjustRightInd w:val="0"/>
        <w:spacing w:line="600" w:lineRule="exact"/>
        <w:ind w:firstLine="642" w:firstLineChars="200"/>
        <w:jc w:val="left"/>
        <w:rPr>
          <w:rFonts w:ascii="仿宋" w:hAnsi="仿宋" w:eastAsia="仿宋"/>
          <w:b/>
          <w:sz w:val="32"/>
          <w:szCs w:val="32"/>
        </w:rPr>
      </w:pPr>
      <w:bookmarkStart w:id="62" w:name="_Toc15377223"/>
      <w:r>
        <w:rPr>
          <w:rFonts w:hint="eastAsia" w:ascii="仿宋" w:hAnsi="仿宋" w:eastAsia="仿宋"/>
          <w:b/>
          <w:sz w:val="32"/>
          <w:szCs w:val="32"/>
        </w:rPr>
        <w:t>（二）政府采购支出情况</w:t>
      </w:r>
      <w:bookmarkEnd w:id="62"/>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2023年度，四川省广元市人民检察院政府采购支出总额66.6万元，其中：政府采购工程支出66.6万元。主要用于物业管理服务费66.6万元。授予中小企业合同金额0万元，占政府采购支出总额的0%，其中：授予小微企业合同金额0万元，占政府采购支出总额的0%。</w:t>
      </w:r>
    </w:p>
    <w:p>
      <w:pPr>
        <w:autoSpaceDE w:val="0"/>
        <w:autoSpaceDN w:val="0"/>
        <w:adjustRightInd w:val="0"/>
        <w:spacing w:line="600" w:lineRule="exact"/>
        <w:ind w:firstLine="642" w:firstLineChars="200"/>
        <w:jc w:val="left"/>
        <w:rPr>
          <w:rFonts w:ascii="仿宋" w:hAnsi="仿宋" w:eastAsia="仿宋"/>
          <w:b/>
          <w:sz w:val="32"/>
          <w:szCs w:val="32"/>
        </w:rPr>
      </w:pPr>
      <w:bookmarkStart w:id="63" w:name="_Toc15377224"/>
      <w:r>
        <w:rPr>
          <w:rFonts w:hint="eastAsia" w:ascii="仿宋" w:hAnsi="仿宋" w:eastAsia="仿宋"/>
          <w:b/>
          <w:sz w:val="32"/>
          <w:szCs w:val="32"/>
        </w:rPr>
        <w:t>（三）国有资产占有使用情况</w:t>
      </w:r>
      <w:bookmarkEnd w:id="63"/>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截至2023年12月31日，四川省广元市人民检察院共有车辆15辆，其中：一般执法执勤用车10辆、特种专业技术用车5辆。单价100万元以上设备（不含车辆）0台（套）。</w:t>
      </w:r>
    </w:p>
    <w:p>
      <w:pPr>
        <w:autoSpaceDE w:val="0"/>
        <w:autoSpaceDN w:val="0"/>
        <w:adjustRightInd w:val="0"/>
        <w:spacing w:line="600" w:lineRule="exact"/>
        <w:ind w:firstLine="642" w:firstLineChars="200"/>
        <w:jc w:val="left"/>
        <w:rPr>
          <w:rFonts w:ascii="仿宋" w:hAnsi="仿宋" w:eastAsia="仿宋"/>
          <w:b/>
          <w:sz w:val="32"/>
          <w:szCs w:val="32"/>
        </w:rPr>
      </w:pPr>
      <w:r>
        <w:rPr>
          <w:rFonts w:hint="eastAsia" w:ascii="仿宋" w:hAnsi="仿宋" w:eastAsia="仿宋"/>
          <w:b/>
          <w:sz w:val="32"/>
          <w:szCs w:val="32"/>
        </w:rPr>
        <w:t>（四）预算绩效管理情况</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根据预算绩效管理要求，本单位在2023年度预算编制阶段，组织对工资性支出、离退休费支出、日常公用经费、国家司法救助、技侦大楼运行维护、其他公用经费（福利、工会、公车补贴、党建、退休活动）、工资性支出（事业）、退休“中人”一次性退休补贴、检察监督、乡村振兴工作经费、定额公用经费（事业）、规范后市级基础绩效奖及生活补助、单位年度考核奖、法警法定工作日之外加班补贴、聘用制书记员经费、聘用人员经费、年度考核奖、机关事业单位职业年金记实资金、2023年特定转移支付、被装购置、一平台三中心项目建设、检察专网涉密信息管理系统项目建设等22个项目开展了预算事前绩效评估，对22个项目编制了绩效目标，预算执行过程中，选取8个项目开展绩效监控。</w:t>
      </w:r>
    </w:p>
    <w:p>
      <w:pPr>
        <w:spacing w:line="600" w:lineRule="exact"/>
        <w:ind w:firstLine="640" w:firstLineChars="200"/>
        <w:rPr>
          <w:rFonts w:ascii="仿宋_GB2312" w:eastAsia="仿宋_GB2312"/>
          <w:sz w:val="32"/>
          <w:szCs w:val="32"/>
        </w:rPr>
      </w:pPr>
      <w:r>
        <w:rPr>
          <w:rFonts w:hint="eastAsia" w:ascii="仿宋_GB2312" w:hAnsi="Calibri" w:eastAsia="仿宋_GB2312" w:cs="仿宋"/>
          <w:kern w:val="0"/>
          <w:sz w:val="32"/>
          <w:szCs w:val="32"/>
        </w:rPr>
        <w:t>组织对2023年度一般公共预算资金等全面开展绩效自评，形成广元市人民检察院部门整体（含部门预算项目）绩效自评报告、2023年特定转移支付资金等专项预算项目绩效自评报告，其中，广元市人民检察院部门整体（含部门预算项目）绩效自评得分为96.1分，绩效自评综述：优；2023年特定转移支付专项预算项目绩效自评得分为97分，绩效自评综述：优。绩效自评报告详见附件。</w:t>
      </w:r>
      <w:r>
        <w:rPr>
          <w:rFonts w:hint="eastAsia" w:ascii="仿宋_GB2312" w:eastAsia="仿宋_GB2312"/>
          <w:sz w:val="32"/>
          <w:szCs w:val="32"/>
        </w:rPr>
        <w:br w:type="page"/>
      </w:r>
    </w:p>
    <w:p>
      <w:pPr>
        <w:numPr>
          <w:ilvl w:val="0"/>
          <w:numId w:val="4"/>
        </w:numPr>
        <w:spacing w:line="600" w:lineRule="exact"/>
        <w:ind w:firstLine="660" w:firstLineChars="150"/>
        <w:jc w:val="center"/>
        <w:outlineLvl w:val="0"/>
        <w:rPr>
          <w:rStyle w:val="21"/>
          <w:rFonts w:ascii="黑体" w:hAnsi="黑体" w:eastAsia="黑体"/>
          <w:b w:val="0"/>
        </w:rPr>
      </w:pPr>
      <w:bookmarkStart w:id="64" w:name="_Toc15396613"/>
      <w:bookmarkStart w:id="65" w:name="_Toc15377225"/>
      <w:bookmarkStart w:id="66" w:name="_Toc32025"/>
      <w:r>
        <w:rPr>
          <w:rFonts w:hint="eastAsia" w:ascii="黑体" w:hAnsi="黑体" w:eastAsia="黑体"/>
          <w:sz w:val="44"/>
          <w:szCs w:val="44"/>
        </w:rPr>
        <w:t>名</w:t>
      </w:r>
      <w:r>
        <w:rPr>
          <w:rStyle w:val="21"/>
          <w:rFonts w:hint="eastAsia" w:ascii="黑体" w:hAnsi="黑体" w:eastAsia="黑体"/>
          <w:b w:val="0"/>
        </w:rPr>
        <w:t>词解释</w:t>
      </w:r>
      <w:bookmarkEnd w:id="64"/>
      <w:bookmarkEnd w:id="65"/>
      <w:bookmarkEnd w:id="66"/>
    </w:p>
    <w:p>
      <w:pPr>
        <w:spacing w:line="600" w:lineRule="exact"/>
        <w:jc w:val="left"/>
        <w:rPr>
          <w:rFonts w:ascii="宋体"/>
          <w:b/>
          <w:sz w:val="44"/>
          <w:szCs w:val="44"/>
        </w:rPr>
      </w:pP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1.财政拨款收入：指单位从同级财政部门取得的财政预算资金。</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2.其他收入：指单位取得的除上述收入以外的各项收入。主要是市直机关返拨的党费等。</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3.年初结转和结余：指以前年度尚未完成、结转到本年按有关规定继续使用的资金。</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4.年末结转和结余：指单位按有关规定结转到下年或以后年度继续使用的资金。</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5.公共安全支出（类）国家安全（款）机关服务（项）：反映为行政单位（包括实行公务员管理的事业单位）提供各类后勤服务中心等附属事业单位的支出。</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6.公共安全支出（类）检察（款）行政运行（项）：反映检察机关单位基本支出。</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7.公共安全支出（类）检察（款）一般行政管理事务（项）：反映检察机关未单独设置项级科目的其他项目支出。</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8.公共安全支出（类）检察（款）检察监督（项）：反映检察机关依法开展法律监督工作的支出，包括</w:t>
      </w:r>
      <w:r>
        <w:rPr>
          <w:rFonts w:hint="eastAsia" w:ascii="仿宋_GB2312" w:hAnsi="Calibri" w:eastAsia="仿宋_GB2312" w:cs="仿宋"/>
          <w:kern w:val="0"/>
          <w:sz w:val="32"/>
          <w:szCs w:val="32"/>
          <w:lang w:eastAsia="zh-CN"/>
        </w:rPr>
        <w:t>侦查</w:t>
      </w:r>
      <w:r>
        <w:rPr>
          <w:rFonts w:hint="eastAsia" w:ascii="仿宋_GB2312" w:hAnsi="Calibri" w:eastAsia="仿宋_GB2312" w:cs="仿宋"/>
          <w:kern w:val="0"/>
          <w:sz w:val="32"/>
          <w:szCs w:val="32"/>
        </w:rPr>
        <w:t>监督、公诉、审判监督、执行监督、民事行政监督、公益诉讼、控告申诉等。</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9.公共安全支出（类）检察（款）事业运行（项）：指为保障机构正常运转、完成日常工作任务而发生的事业人员工资支出。</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10.公共安全支出（类）检察（款）其他检察支出（项）：反映除上述项目以外其他用于检察方面的支出。</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11.社会保障和就业支出（类）行政事业单位养老支出（款）机关事业单位基本养老保险缴费支出（项）：反映机关事业单位实施养老保险制度由单位实际缴纳的基本养老保险费支出。</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12.社会保障和就业支出（类）行政事业单位养老支出（款）机关事业单位职业年金缴费支出（项）：反映机关事业单位实施养老保险制度由单位实际缴纳的职业年金支出。</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13卫生健康支出（类）行政事业单位医疗（款）行政单位医疗（项）：反映财政部门集中安排的行政单位基本医疗保险缴费经费，未参加医疗保险的行政单位的公费医疗费，按国家规定享受离休人员、红军老战士待遇人员的医疗经费。</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14.住房保障支出（类）住房改革支出（款）住房公积金（项）：反映单位按人力资源和社会保障部、财政部规定的基本工资和津贴补贴以及规定比例为职工缴纳的住房公积金。</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15.基本支出：指为保障机构正常运转、完成日常工作任务而发生的人员支出和公用支出。</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16.项目支出：指在基本支出之外为完成特定行政任务和事业发展目标所发生的支出。</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17.“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支出。</w:t>
      </w:r>
    </w:p>
    <w:p>
      <w:pPr>
        <w:spacing w:line="600" w:lineRule="exact"/>
        <w:ind w:firstLine="640" w:firstLineChars="200"/>
        <w:rPr>
          <w:rFonts w:ascii="仿宋_GB2312" w:hAnsi="Calibri" w:eastAsia="仿宋_GB2312" w:cs="仿宋"/>
          <w:kern w:val="0"/>
          <w:sz w:val="32"/>
          <w:szCs w:val="32"/>
        </w:rPr>
      </w:pPr>
      <w:r>
        <w:rPr>
          <w:rFonts w:hint="eastAsia" w:ascii="仿宋_GB2312" w:hAnsi="Calibri" w:eastAsia="仿宋_GB2312" w:cs="仿宋"/>
          <w:kern w:val="0"/>
          <w:sz w:val="32"/>
          <w:szCs w:val="32"/>
        </w:rPr>
        <w:t>18.机关运行经费：为保障单位运行用于购买货物和服务的各项资金，包括办公及印刷费、邮电费、差旅费、会议费、福利费、日常维修费、专用材料及一般设备购置费、办公用房水电费、办公用房物业管理费、公务用车运行维护费以及其他费用。</w:t>
      </w:r>
    </w:p>
    <w:p>
      <w:pPr>
        <w:spacing w:line="600" w:lineRule="exact"/>
        <w:ind w:firstLine="640" w:firstLineChars="200"/>
        <w:rPr>
          <w:rFonts w:ascii="仿宋_GB2312" w:hAnsi="Calibri" w:eastAsia="仿宋_GB2312" w:cs="仿宋"/>
          <w:kern w:val="0"/>
          <w:sz w:val="32"/>
          <w:szCs w:val="32"/>
        </w:rPr>
      </w:pPr>
    </w:p>
    <w:p>
      <w:pPr>
        <w:pStyle w:val="31"/>
        <w:spacing w:line="560" w:lineRule="exact"/>
        <w:ind w:firstLine="640" w:firstLineChars="200"/>
        <w:rPr>
          <w:rFonts w:ascii="仿宋_GB2312" w:eastAsia="仿宋_GB2312"/>
          <w:color w:val="auto"/>
          <w:sz w:val="32"/>
          <w:szCs w:val="32"/>
        </w:rPr>
      </w:pPr>
    </w:p>
    <w:p>
      <w:pPr>
        <w:pStyle w:val="31"/>
        <w:spacing w:line="560" w:lineRule="exact"/>
        <w:ind w:firstLine="640" w:firstLineChars="200"/>
        <w:rPr>
          <w:rFonts w:ascii="仿宋_GB2312" w:eastAsia="仿宋_GB2312"/>
          <w:color w:val="auto"/>
          <w:sz w:val="32"/>
          <w:szCs w:val="32"/>
        </w:rPr>
      </w:pPr>
    </w:p>
    <w:p>
      <w:pPr>
        <w:pStyle w:val="31"/>
        <w:spacing w:line="560" w:lineRule="exact"/>
        <w:ind w:firstLine="640" w:firstLineChars="200"/>
        <w:rPr>
          <w:rFonts w:ascii="仿宋_GB2312" w:eastAsia="仿宋_GB2312"/>
          <w:color w:val="auto"/>
          <w:sz w:val="32"/>
          <w:szCs w:val="32"/>
        </w:rPr>
      </w:pPr>
    </w:p>
    <w:p>
      <w:pPr>
        <w:pStyle w:val="31"/>
        <w:spacing w:line="560" w:lineRule="exact"/>
        <w:ind w:firstLine="640" w:firstLineChars="200"/>
        <w:rPr>
          <w:rFonts w:ascii="仿宋_GB2312" w:eastAsia="仿宋_GB2312"/>
          <w:color w:val="auto"/>
          <w:sz w:val="32"/>
          <w:szCs w:val="32"/>
        </w:rPr>
      </w:pPr>
    </w:p>
    <w:p>
      <w:pPr>
        <w:pStyle w:val="31"/>
        <w:spacing w:line="560" w:lineRule="exact"/>
        <w:ind w:firstLine="640" w:firstLineChars="200"/>
        <w:rPr>
          <w:rFonts w:ascii="仿宋_GB2312" w:eastAsia="仿宋_GB2312"/>
          <w:color w:val="auto"/>
          <w:sz w:val="32"/>
          <w:szCs w:val="32"/>
        </w:rPr>
      </w:pPr>
    </w:p>
    <w:p>
      <w:pPr>
        <w:pStyle w:val="31"/>
        <w:spacing w:line="560" w:lineRule="exact"/>
        <w:ind w:firstLine="640" w:firstLineChars="200"/>
        <w:rPr>
          <w:rFonts w:ascii="仿宋_GB2312" w:eastAsia="仿宋_GB2312"/>
          <w:color w:val="auto"/>
          <w:sz w:val="32"/>
          <w:szCs w:val="32"/>
        </w:rPr>
      </w:pPr>
    </w:p>
    <w:p>
      <w:pPr>
        <w:pStyle w:val="31"/>
        <w:spacing w:line="560" w:lineRule="exact"/>
        <w:ind w:firstLine="640" w:firstLineChars="200"/>
        <w:rPr>
          <w:rFonts w:ascii="仿宋_GB2312" w:eastAsia="仿宋_GB2312"/>
          <w:color w:val="auto"/>
          <w:sz w:val="32"/>
          <w:szCs w:val="32"/>
        </w:rPr>
      </w:pPr>
    </w:p>
    <w:p>
      <w:pPr>
        <w:pStyle w:val="31"/>
        <w:spacing w:line="560" w:lineRule="exact"/>
        <w:ind w:firstLine="640" w:firstLineChars="200"/>
        <w:rPr>
          <w:rFonts w:ascii="仿宋_GB2312" w:eastAsia="仿宋_GB2312"/>
          <w:color w:val="auto"/>
          <w:sz w:val="32"/>
          <w:szCs w:val="32"/>
        </w:rPr>
      </w:pPr>
    </w:p>
    <w:p>
      <w:pPr>
        <w:pStyle w:val="31"/>
        <w:spacing w:line="560" w:lineRule="exact"/>
        <w:ind w:firstLine="640" w:firstLineChars="200"/>
        <w:rPr>
          <w:rFonts w:ascii="仿宋_GB2312" w:eastAsia="仿宋_GB2312"/>
          <w:color w:val="auto"/>
          <w:sz w:val="32"/>
          <w:szCs w:val="32"/>
        </w:rPr>
      </w:pPr>
    </w:p>
    <w:p>
      <w:pPr>
        <w:pStyle w:val="31"/>
        <w:spacing w:line="560" w:lineRule="exact"/>
        <w:ind w:firstLine="640" w:firstLineChars="200"/>
        <w:rPr>
          <w:rFonts w:ascii="仿宋_GB2312" w:eastAsia="仿宋_GB2312"/>
          <w:color w:val="auto"/>
          <w:sz w:val="32"/>
          <w:szCs w:val="32"/>
        </w:rPr>
      </w:pPr>
    </w:p>
    <w:p>
      <w:pPr>
        <w:pStyle w:val="31"/>
        <w:spacing w:line="560" w:lineRule="exact"/>
        <w:ind w:firstLine="640" w:firstLineChars="200"/>
        <w:rPr>
          <w:rFonts w:ascii="仿宋_GB2312" w:eastAsia="仿宋_GB2312"/>
          <w:color w:val="auto"/>
          <w:sz w:val="32"/>
          <w:szCs w:val="32"/>
        </w:rPr>
      </w:pPr>
    </w:p>
    <w:p>
      <w:pPr>
        <w:pStyle w:val="31"/>
        <w:spacing w:line="560" w:lineRule="exact"/>
        <w:ind w:firstLine="640" w:firstLineChars="200"/>
        <w:rPr>
          <w:rFonts w:ascii="仿宋_GB2312" w:eastAsia="仿宋_GB2312"/>
          <w:color w:val="auto"/>
          <w:sz w:val="32"/>
          <w:szCs w:val="32"/>
        </w:rPr>
      </w:pPr>
    </w:p>
    <w:p>
      <w:pPr>
        <w:pStyle w:val="31"/>
        <w:spacing w:line="560" w:lineRule="exact"/>
        <w:ind w:firstLine="640" w:firstLineChars="200"/>
        <w:rPr>
          <w:rFonts w:ascii="仿宋_GB2312" w:eastAsia="仿宋_GB2312"/>
          <w:color w:val="auto"/>
          <w:sz w:val="32"/>
          <w:szCs w:val="32"/>
        </w:rPr>
      </w:pPr>
    </w:p>
    <w:p>
      <w:pPr>
        <w:spacing w:line="600" w:lineRule="exact"/>
        <w:jc w:val="center"/>
        <w:outlineLvl w:val="0"/>
        <w:rPr>
          <w:rStyle w:val="21"/>
          <w:rFonts w:ascii="黑体" w:hAnsi="黑体" w:eastAsia="黑体"/>
          <w:b w:val="0"/>
        </w:rPr>
      </w:pPr>
      <w:bookmarkStart w:id="67" w:name="_Toc25083"/>
      <w:r>
        <w:rPr>
          <w:rFonts w:hint="eastAsia" w:ascii="黑体" w:hAnsi="黑体" w:eastAsia="黑体"/>
          <w:sz w:val="44"/>
          <w:szCs w:val="44"/>
        </w:rPr>
        <w:t>第</w:t>
      </w:r>
      <w:r>
        <w:rPr>
          <w:rStyle w:val="21"/>
          <w:rFonts w:hint="eastAsia" w:ascii="黑体" w:hAnsi="黑体" w:eastAsia="黑体"/>
          <w:b w:val="0"/>
        </w:rPr>
        <w:t>四部分 附件</w:t>
      </w:r>
      <w:bookmarkEnd w:id="67"/>
    </w:p>
    <w:p>
      <w:pPr>
        <w:spacing w:line="572" w:lineRule="exact"/>
        <w:ind w:firstLine="320" w:firstLineChars="100"/>
        <w:jc w:val="left"/>
      </w:pPr>
      <w:r>
        <w:rPr>
          <w:rFonts w:hint="eastAsia" w:ascii="黑体" w:hAnsi="黑体" w:eastAsia="黑体" w:cs="黑体"/>
          <w:sz w:val="32"/>
          <w:szCs w:val="32"/>
        </w:rPr>
        <w:t>附件1</w:t>
      </w:r>
    </w:p>
    <w:p>
      <w:pPr>
        <w:widowControl/>
        <w:spacing w:line="576" w:lineRule="exact"/>
        <w:contextualSpacing/>
        <w:jc w:val="center"/>
        <w:rPr>
          <w:rFonts w:ascii="仿宋" w:hAnsi="仿宋" w:eastAsia="仿宋" w:cs="仿宋"/>
          <w:bCs/>
          <w:sz w:val="44"/>
          <w:szCs w:val="44"/>
          <w:shd w:val="clear" w:color="auto" w:fill="FFFFFF"/>
        </w:rPr>
      </w:pPr>
      <w:r>
        <w:rPr>
          <w:rFonts w:hint="eastAsia" w:ascii="仿宋" w:hAnsi="仿宋" w:eastAsia="仿宋" w:cs="仿宋"/>
          <w:bCs/>
          <w:sz w:val="44"/>
          <w:szCs w:val="44"/>
          <w:shd w:val="clear" w:color="auto" w:fill="FFFFFF"/>
        </w:rPr>
        <w:t>四川省广元市人民检察院2023年度整体预算绩效评价报告</w:t>
      </w:r>
    </w:p>
    <w:p>
      <w:pPr>
        <w:widowControl/>
        <w:spacing w:line="576" w:lineRule="exact"/>
        <w:contextualSpacing/>
        <w:jc w:val="center"/>
        <w:rPr>
          <w:rFonts w:ascii="仿宋" w:hAnsi="仿宋" w:eastAsia="仿宋" w:cs="仿宋"/>
          <w:bCs/>
          <w:sz w:val="44"/>
          <w:szCs w:val="44"/>
          <w:shd w:val="clear" w:color="auto" w:fill="FFFFFF"/>
        </w:rPr>
      </w:pP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一、四川省广元市人民检察院基本情况</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（一）机构组成</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四川省广元市人民检察院内设办公室、第一检察部、第二检察部、第三检察部、第四检察部、第五检察部、第六检察部、第七检察部、法律政策研究室、案件管理办公室、检务督察部、检察技术信息部</w:t>
      </w:r>
      <w:r>
        <w:rPr>
          <w:rFonts w:hint="eastAsia" w:ascii="仿宋_GB2312" w:hAnsi="Calibri" w:eastAsia="仿宋_GB2312" w:cs="仿宋"/>
          <w:kern w:val="0"/>
          <w:sz w:val="32"/>
          <w:szCs w:val="32"/>
          <w:lang w:eastAsia="zh-CN"/>
        </w:rPr>
        <w:t>、</w:t>
      </w:r>
      <w:r>
        <w:rPr>
          <w:rFonts w:hint="eastAsia" w:ascii="仿宋_GB2312" w:hAnsi="Calibri" w:eastAsia="仿宋_GB2312" w:cs="仿宋"/>
          <w:kern w:val="0"/>
          <w:sz w:val="32"/>
          <w:szCs w:val="32"/>
        </w:rPr>
        <w:t>计财部、检察官培训中心、法警支队、干部处、宣教处、综合处和机关党办等19个职能部门，辖利州区、昭化区、朝天区、苍溪县、旺苍县、青川县、剑阁县7个县（区）检察院及荣山地区派出检察院。</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（二）机构职能</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广元市人民检察院的主要职能为：依法行使检察权，按照最高人民检察院和省人民检察院确定的工作方针，部署全市检察工作任务；领导全市人民检察院的侦查工作以及对刑事犯罪案件的审查批捕（决定）逮捕、提起公诉等工作；依法对刑事诉讼、民事审判和行政诉讼实行法律监督，依法向人民法院提起抗诉；受理单位和个人的举报、控告、申诉以及犯罪嫌疑人的自首；研究国家机关工作人员职务犯罪预防和全市检察工作中的具体法律应用问题；规划和指导全市检察机关的检察技术、信息化和计划财务装备工作；负责全市检察机关的队伍建设、思想政治等工作；负责其他应当由市人民检察院承办的事项。</w:t>
      </w:r>
    </w:p>
    <w:p>
      <w:pPr>
        <w:widowControl/>
        <w:adjustRightInd w:val="0"/>
        <w:snapToGrid w:val="0"/>
        <w:spacing w:line="576" w:lineRule="exact"/>
        <w:ind w:firstLine="640" w:firstLineChars="200"/>
        <w:contextualSpacing/>
        <w:jc w:val="left"/>
        <w:rPr>
          <w:rFonts w:hint="eastAsia" w:ascii="仿宋_GB2312" w:hAnsi="Calibri" w:eastAsia="仿宋_GB2312" w:cs="仿宋"/>
          <w:kern w:val="0"/>
          <w:sz w:val="32"/>
          <w:szCs w:val="32"/>
        </w:rPr>
      </w:pPr>
      <w:r>
        <w:rPr>
          <w:rFonts w:hint="eastAsia" w:ascii="仿宋_GB2312" w:hAnsi="Calibri" w:eastAsia="仿宋_GB2312" w:cs="仿宋"/>
          <w:kern w:val="0"/>
          <w:sz w:val="32"/>
          <w:szCs w:val="32"/>
        </w:rPr>
        <w:t>（三）人员概况</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截至2023年末，四川省广元市人民检察院现有编制 119 人，其中</w:t>
      </w:r>
      <w:r>
        <w:rPr>
          <w:rFonts w:hint="eastAsia" w:ascii="仿宋_GB2312" w:hAnsi="Calibri" w:eastAsia="仿宋_GB2312" w:cs="仿宋"/>
          <w:kern w:val="0"/>
          <w:sz w:val="32"/>
          <w:szCs w:val="32"/>
          <w:lang w:eastAsia="zh-CN"/>
        </w:rPr>
        <w:t>：</w:t>
      </w:r>
      <w:r>
        <w:rPr>
          <w:rFonts w:hint="eastAsia" w:ascii="仿宋_GB2312" w:hAnsi="Calibri" w:eastAsia="仿宋_GB2312" w:cs="仿宋"/>
          <w:kern w:val="0"/>
          <w:sz w:val="32"/>
          <w:szCs w:val="32"/>
        </w:rPr>
        <w:t>专编94人，事业编制25人年末在职在册实有人数107人，其中</w:t>
      </w:r>
      <w:r>
        <w:rPr>
          <w:rFonts w:hint="eastAsia" w:ascii="仿宋_GB2312" w:hAnsi="Calibri" w:eastAsia="仿宋_GB2312" w:cs="仿宋"/>
          <w:kern w:val="0"/>
          <w:sz w:val="32"/>
          <w:szCs w:val="32"/>
          <w:lang w:eastAsia="zh-CN"/>
        </w:rPr>
        <w:t>：</w:t>
      </w:r>
      <w:r>
        <w:rPr>
          <w:rFonts w:hint="eastAsia" w:ascii="仿宋_GB2312" w:hAnsi="Calibri" w:eastAsia="仿宋_GB2312" w:cs="仿宋"/>
          <w:kern w:val="0"/>
          <w:sz w:val="32"/>
          <w:szCs w:val="32"/>
        </w:rPr>
        <w:t>公务员85人，机关工人4 人，事业人员18 人。退休人员88人。</w:t>
      </w:r>
    </w:p>
    <w:p>
      <w:pPr>
        <w:widowControl/>
        <w:adjustRightInd w:val="0"/>
        <w:snapToGrid w:val="0"/>
        <w:spacing w:line="576" w:lineRule="exact"/>
        <w:ind w:firstLine="642" w:firstLineChars="200"/>
        <w:contextualSpacing/>
        <w:jc w:val="left"/>
        <w:rPr>
          <w:rFonts w:ascii="仿宋" w:hAnsi="仿宋" w:eastAsia="仿宋" w:cs="仿宋"/>
          <w:b/>
          <w:bCs/>
          <w:color w:val="000000"/>
          <w:kern w:val="0"/>
          <w:sz w:val="32"/>
          <w:szCs w:val="32"/>
          <w:shd w:val="clear" w:color="auto" w:fill="FFFFFF"/>
        </w:rPr>
      </w:pPr>
      <w:r>
        <w:rPr>
          <w:rFonts w:hint="eastAsia" w:ascii="仿宋" w:hAnsi="仿宋" w:eastAsia="仿宋" w:cs="仿宋"/>
          <w:b/>
          <w:bCs/>
          <w:color w:val="000000"/>
          <w:kern w:val="0"/>
          <w:sz w:val="32"/>
          <w:szCs w:val="32"/>
          <w:shd w:val="clear" w:color="auto" w:fill="FFFFFF"/>
        </w:rPr>
        <w:t>二、部门资金收支情况</w:t>
      </w:r>
    </w:p>
    <w:p>
      <w:pPr>
        <w:spacing w:line="576" w:lineRule="exact"/>
        <w:ind w:firstLine="640" w:firstLineChars="200"/>
        <w:rPr>
          <w:rFonts w:eastAsia="楷体_GB2312"/>
          <w:color w:val="000000"/>
          <w:kern w:val="0"/>
          <w:szCs w:val="32"/>
          <w:shd w:val="clear" w:color="auto" w:fill="FFFFFF"/>
          <w:lang w:val="zh-CN"/>
        </w:rPr>
      </w:pPr>
      <w:r>
        <w:rPr>
          <w:rFonts w:eastAsia="楷体_GB2312"/>
          <w:color w:val="000000"/>
          <w:kern w:val="0"/>
          <w:sz w:val="32"/>
          <w:szCs w:val="32"/>
          <w:shd w:val="clear" w:color="auto" w:fill="FFFFFF"/>
          <w:lang w:val="zh-CN"/>
        </w:rPr>
        <w:t>（一）</w:t>
      </w:r>
      <w:r>
        <w:rPr>
          <w:rFonts w:hint="eastAsia" w:eastAsia="楷体_GB2312"/>
          <w:color w:val="000000"/>
          <w:kern w:val="0"/>
          <w:sz w:val="32"/>
          <w:szCs w:val="32"/>
          <w:shd w:val="clear" w:color="auto" w:fill="FFFFFF"/>
          <w:lang w:val="zh-CN"/>
        </w:rPr>
        <w:t>收入情况</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1.年初预算收入情况</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四川省广元市人民检察院2023年部门财政资金预算收入总数4565.77万元，其中：人员经费预算2584.34万元，公用经费预算308.91万元，项目预算1672.51万元。</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2.决算报表收入情况</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四川省广元市人民检察院2023年部门财政资金决算报表收入总数3731.63万元，其中人员经费预算2800.35万元，公用经费预算318.46万元，项目预算612.82万元。</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（二）支出情况</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1.年初预算支出情况</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2023年部门财政资金预算支出总数4,340.77万元，其中人员经费支出2584.34万元，公用经费支出308.91万元，项目支出1,447.51万元。</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2.决算报表支出情况</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四川省广元市人民检察院2023年部门财政资金决算报表支出总数3731.63万元，其中人员经费预算2800.35万元，公用经费预算318.46万元，项目预算387.82万元。</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3.部门总体结转结余情况</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2023年四川省广元市人民检察院财政资金总体按照年初预算执行，按照规定结转特定转移项目资金225万元。</w:t>
      </w:r>
    </w:p>
    <w:p>
      <w:pPr>
        <w:widowControl/>
        <w:adjustRightInd w:val="0"/>
        <w:snapToGrid w:val="0"/>
        <w:spacing w:line="576" w:lineRule="exact"/>
        <w:ind w:firstLine="642" w:firstLineChars="200"/>
        <w:contextualSpacing/>
        <w:jc w:val="left"/>
        <w:rPr>
          <w:rFonts w:ascii="仿宋" w:hAnsi="仿宋" w:eastAsia="仿宋" w:cs="仿宋"/>
          <w:b/>
          <w:bCs/>
          <w:kern w:val="0"/>
          <w:sz w:val="32"/>
          <w:szCs w:val="32"/>
          <w:shd w:val="clear" w:color="auto" w:fill="FFFFFF"/>
        </w:rPr>
      </w:pPr>
      <w:r>
        <w:rPr>
          <w:rFonts w:hint="eastAsia" w:ascii="仿宋" w:hAnsi="仿宋" w:eastAsia="仿宋" w:cs="仿宋"/>
          <w:b/>
          <w:bCs/>
          <w:kern w:val="0"/>
          <w:sz w:val="32"/>
          <w:szCs w:val="32"/>
          <w:shd w:val="clear" w:color="auto" w:fill="FFFFFF"/>
        </w:rPr>
        <w:t>三、部门预算绩效分析</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（一）部门预算总体绩效分析</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1.履职效能</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从上述三级指标中，我单位挑选了以下5个主要指标对职能目标完成效果情况进行绩效分析：</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①安全等级达到国家安全标准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三级指标分析：本部门高度重视安全工作，严格按照国家安全标准进行管理，通过加强安全教育培训、完善安全制度、落实安全责任等措施，确保了部门安全等级达到国家安全标准。自评得分为3分。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② 错误批捕率</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三级指标分析：本部门在办理批捕案件过程中，严格依法审查，强化证据意识，提高办案质量。本年度错误批捕率为0，体现了部门在履职效能方面的优秀表现。自评得分为3分。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③对口帮扶村饮水安全质量有保障</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三级指标分析：本部门积极响应国家脱贫攻坚号召，对口帮扶贫困村。在饮水安全方面，部门投入资金，完善饮水设施，确保了帮扶村饮水安全质量。自评得分为3分。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④根据高检院部署持续落实好司法救助责任要求</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三级指标分析：本部门认真贯彻落实高检院关于司法救助工作的部署，积极开展司法救助工作，确保了救助政策的落地生根。在救助对象、救助范围、救助程序等方面，均严格按照要求执行。自评得分为3分。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⑤根据市委安排持续加强检察监督力度</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ascii="仿宋_GB2312" w:hAnsi="Calibri" w:eastAsia="仿宋_GB2312" w:cs="仿宋"/>
          <w:kern w:val="0"/>
          <w:sz w:val="32"/>
          <w:szCs w:val="32"/>
        </w:rPr>
        <w:t>三级指标分析：本部门按照市委的安排，不断加强检察监督力度，对各类违法犯罪行为保持高压态势，有效维护了社会公平正义</w:t>
      </w:r>
      <w:r>
        <w:rPr>
          <w:rFonts w:hint="eastAsia" w:ascii="仿宋_GB2312" w:hAnsi="Calibri" w:eastAsia="仿宋_GB2312" w:cs="仿宋"/>
          <w:kern w:val="0"/>
          <w:sz w:val="32"/>
          <w:szCs w:val="32"/>
        </w:rPr>
        <w:t>。自评得分为3分。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通过以上5个指标的绩效分析，在履职效能得分为15分。本单位在安全等级达到国家安全标准；错误批捕率；等方面取得了较好的成效，有助于实现职能目标。</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2.预算管理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在预算管理方面，我单位选取了以下5个主要指标进行绩效分析：</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①单位收入统筹：</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绩效分析：单位无自有收入，不涉及单位收入统筹，自评得分为0分。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②支出执行进度：</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绩效分析：监控支出执行进度，确保预算资金按照既定计划和进度合理使用，避免资金滞留或超支，自评得分为6分。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③预算年终结余：</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绩效分析：通过有效的预算执行和资金管理，确保预算年终结余在合理范围内，既不造成资金浪费，也不影响下一年度的预算执行，自评得分为1.2分。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④严控一般性支出：</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绩效分析：对“三公”经费支出进行严格控制（三公经费较上年减46851.12元）优先保障重点领域和关键项目的资金需求，提高资金使用效率，自评得分为6分。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⑤预算编制质量：</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绩效分析：本单位预算编制无偏离度，自评得分为7.4分。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通过以上5个指标的绩效分析，在预算管理得分为21.2分。单位在收入统筹、支出执行、预算结余控制和一般性支出控制等方面取得了良好的成效，有助于实现预算管理的目标。</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3.财务管理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在财务管理方面，我单位选取了以下3个主要指标进行绩效分析：</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①财务管理制度：</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绩效分析：通过建立健全的财务管理制度，确保财务活动的规范性和合规性，提高财务管理的效率和效果，自评得分为4分。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②财务岗位设置：</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绩效分析：优化财务岗位设置，确保岗位设置合理，岗位职责明确，有利于财务工作的顺利开展和财务管理目标的实现，自评得分为2分。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③资金使用规范：</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绩效分析：加强对资金使用的规范管理，确保资金按照预算和计划合理分配和使用，避免资金浪费和违规使用，此项自评得分为4分。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通过以上3个指标的绩效分析，在财务管理得分为10分。单位在制度建设、岗位设置、资金使用规范等方面取得了良好的成效，有助于实现财务管理的目标。</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4.资产管理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从资产管理的角度，我单位选取了以下3个主要指标进行绩效分析：</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①人均资产变化率：</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绩效分析：通过监控人均资产的变化率，评估资产配置的合理性和效益，确保资产增值与员工人数增长相匹配，此项自评得分为3分。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②资产利用率：</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绩效分析：提高资产利用率，确保资产得到充分利用，减少闲置和浪费，提升资产的整体效益，此项自评得分为3分。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③ 资产盘活率：</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绩效分析：通过资产盘活，激活闲置资产，提高资产的流动性，实现资产价值的最大化，此项自评得分为3分。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通过以上3个指标的绩效分析，在资产管理得分为9分。单位在人均资产变化率、资产利用率、资产盘活率等方面取得了良好的成效，有助于实现资产管理的优化和效益最大化。</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5.采购管理</w:t>
      </w:r>
      <w:r>
        <w:rPr>
          <w:rFonts w:hint="eastAsia" w:ascii="仿宋_GB2312" w:hAnsi="Calibri" w:eastAsia="仿宋_GB2312" w:cs="仿宋"/>
          <w:kern w:val="0"/>
          <w:sz w:val="32"/>
          <w:szCs w:val="32"/>
        </w:rPr>
        <w:tab/>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从采购管理的角度，我单位选取了以下2个主要指标进行绩效分析：</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① 支持中小企业发展：</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绩效分析：通过采购政策的制定和实施，促进中小企业的发展，增加中小企业的市场份额，提升中小企业在供应链中的地位，此项自评得分为3分。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②采购执行率：</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绩效分析：监控采购计划的执行情况，确保采购活动的按时完成，减少采购延迟和成本超支，提高采购效率，此项自评得分为3分。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通过以上2个指标的绩效分析，在采购管理得分为6分。单位可以看出在采购管理方面，单位在支持中小企业发展、采购执行率、老干部参与度和满意度、离休干部人数等方面取得了良好的成效，有助于实现采购管理的目标。</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通过对履职效能、采购管理、财务管理、资产管理、预算管理五个方面综合分析评价，部门预算</w:t>
      </w:r>
      <w:r>
        <w:rPr>
          <w:rFonts w:ascii="仿宋_GB2312" w:hAnsi="Calibri" w:eastAsia="仿宋_GB2312" w:cs="仿宋"/>
          <w:kern w:val="0"/>
          <w:sz w:val="32"/>
          <w:szCs w:val="32"/>
        </w:rPr>
        <w:t>总体绩效</w:t>
      </w:r>
      <w:r>
        <w:rPr>
          <w:rFonts w:hint="eastAsia" w:ascii="仿宋_GB2312" w:hAnsi="Calibri" w:eastAsia="仿宋_GB2312" w:cs="仿宋"/>
          <w:kern w:val="0"/>
          <w:sz w:val="32"/>
          <w:szCs w:val="32"/>
        </w:rPr>
        <w:t>得分为61.2分。充分体现了部门在预算编制、执行和管理过程中的高效与严谨。在此基础上，部门将继续深化预算管理改革，优化资源配置，力争在下一年度实现绩效得分的新突破。同时，部门将紧紧围绕国家发展战略，加大项目监控力度，确保预算资金发挥最大效益，为推动社会经济发展贡献力量。</w:t>
      </w:r>
    </w:p>
    <w:p>
      <w:pPr>
        <w:spacing w:line="576" w:lineRule="exact"/>
        <w:ind w:firstLine="420"/>
        <w:rPr>
          <w:rFonts w:ascii="仿宋" w:hAnsi="仿宋" w:eastAsia="仿宋" w:cs="仿宋"/>
          <w:sz w:val="32"/>
          <w:szCs w:val="32"/>
        </w:rPr>
      </w:pPr>
      <w:r>
        <w:rPr>
          <w:rFonts w:hint="eastAsia" w:ascii="仿宋" w:hAnsi="仿宋" w:eastAsia="仿宋" w:cs="仿宋"/>
          <w:b/>
          <w:bCs/>
          <w:color w:val="000000"/>
          <w:kern w:val="0"/>
          <w:sz w:val="32"/>
          <w:szCs w:val="32"/>
          <w:shd w:val="clear" w:color="auto" w:fill="FFFFFF"/>
          <w:lang w:val="zh-CN"/>
        </w:rPr>
        <w:t>（二）部门预算项目绩效分析</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项目总数82个，涉及预算总金额4565.77万元，1—12月预算执行总体进度为95.07%，其中：预算结余率大于10%的项目共计1个。</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ascii="仿宋_GB2312" w:hAnsi="Calibri" w:eastAsia="仿宋_GB2312" w:cs="仿宋"/>
          <w:kern w:val="0"/>
          <w:sz w:val="32"/>
          <w:szCs w:val="32"/>
        </w:rPr>
        <w:t>在本年度部门预算项目绩效分析中，我</w:t>
      </w:r>
      <w:r>
        <w:rPr>
          <w:rFonts w:hint="eastAsia" w:ascii="仿宋_GB2312" w:hAnsi="Calibri" w:eastAsia="仿宋_GB2312" w:cs="仿宋"/>
          <w:kern w:val="0"/>
          <w:sz w:val="32"/>
          <w:szCs w:val="32"/>
        </w:rPr>
        <w:t>单位</w:t>
      </w:r>
      <w:r>
        <w:rPr>
          <w:rFonts w:ascii="仿宋_GB2312" w:hAnsi="Calibri" w:eastAsia="仿宋_GB2312" w:cs="仿宋"/>
          <w:kern w:val="0"/>
          <w:sz w:val="32"/>
          <w:szCs w:val="32"/>
        </w:rPr>
        <w:t>根据部门整体绩效评价评分表，对项目绩效涉及的二、三级指标进行了逐项分析并评分。以下为分析结果：</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1. 项目决策</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（1）数量指标：司法警察人数；司法救助人数；办公大楼面积。</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绩效分析：在项目决策过程中，部门严格按照决策程序进行，目标设置合理，项目顺利入库。司法警察人数满足工作需求，司法救助人数覆盖广泛，办公大楼面积符合业务发展需要。</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评分：6分。决策程序规范，目标设置合理，项目入库顺利。</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（2）质量指标：安全等级达到国家安全标准；错误批捕率；对口帮扶村饮水安全质量有保障；</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绩效分析：项目决策质量较高，各项指标均达到预期目标。</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评分：6分。项目决策质量得到保障。</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通过对此项中数量指标、质量指标和自评，项目决策自评得分为12分。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2. 项目执行</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（1）数量指标：案件数量、帮扶贫困户。</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绩效分析：项目执行过程中，资金执行同向，项目调整及时，执行结果良好。案件数量达到预期，帮扶贫困户数量符合计划。</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评分：6分。项目执行过程中，数量指标完成情况良好。</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（2）质量指标：安全等级达到国家安全标准、错误批捕率</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绩效分析：项目执行质量较高，安全等级达到国家安全标准，错误批捕率控制在较低水平。</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评分：6分。项目执行质量得到有效保障。</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通过对此项中数量指标、质量指标，项目执行自评得分为12分。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3. 目标实现</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（1）满意度指标：对口帮扶村饮水安全质量有保障</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绩效分析：目标实现过程中，对口帮扶村饮水安全质量得到保障，群众满意度较高。</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评分：4分。满意度指标完成情况较好。</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（2）可持续影响指标：根据市委安排持续加强检察监督力度</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绩效分析：目标实现后，检察监督力度持续加强，对社会稳定和法治建设产生积极影响。</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评分：4分。可持续影响指标表现良好。</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（3）社会效益指标：根据高检院部署持续落实好司法救助责任要求；根据市委安排持续加强检察监督力度；执法司法公信力显著提高，人民满意度；帮扶对象脱贫增收。</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绩效分析：项目实现的社会效益显著，为维护社会公平正义、保障人民群众合法权益发挥了积极作用。</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评分：3分。社会效益指标表现优秀。</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通过对此项中满意度指标、可持续影响指标和社会效益指标自评，项目执行自评得分为11分。</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本部门在项目绩效方面的总体表现良好，</w:t>
      </w:r>
      <w:r>
        <w:rPr>
          <w:rFonts w:ascii="仿宋_GB2312" w:hAnsi="Calibri" w:eastAsia="仿宋_GB2312" w:cs="仿宋"/>
          <w:kern w:val="0"/>
          <w:sz w:val="32"/>
          <w:szCs w:val="32"/>
        </w:rPr>
        <w:t>项目绩效评分为</w:t>
      </w:r>
      <w:r>
        <w:rPr>
          <w:rFonts w:hint="eastAsia" w:ascii="仿宋_GB2312" w:hAnsi="Calibri" w:eastAsia="仿宋_GB2312" w:cs="仿宋"/>
          <w:kern w:val="0"/>
          <w:sz w:val="32"/>
          <w:szCs w:val="32"/>
        </w:rPr>
        <w:t>33.2</w:t>
      </w:r>
      <w:r>
        <w:rPr>
          <w:rFonts w:ascii="仿宋_GB2312" w:hAnsi="Calibri" w:eastAsia="仿宋_GB2312" w:cs="仿宋"/>
          <w:kern w:val="0"/>
          <w:sz w:val="32"/>
          <w:szCs w:val="32"/>
        </w:rPr>
        <w:t>分</w:t>
      </w:r>
      <w:r>
        <w:rPr>
          <w:rFonts w:hint="eastAsia" w:ascii="仿宋_GB2312" w:hAnsi="Calibri" w:eastAsia="仿宋_GB2312" w:cs="仿宋"/>
          <w:kern w:val="0"/>
          <w:sz w:val="32"/>
          <w:szCs w:val="32"/>
        </w:rPr>
        <w:t>。在今后的工作中，部门将继续优化项目决策、执行和目标实现过程，以提高项目绩效，确保预算资金的合理使用和部门职能的有效发挥。同时，针对存在的问题，部门将采取措施进行整改，进一步提升项目绩效。</w:t>
      </w:r>
    </w:p>
    <w:p>
      <w:pPr>
        <w:widowControl/>
        <w:numPr>
          <w:ilvl w:val="0"/>
          <w:numId w:val="5"/>
        </w:numPr>
        <w:adjustRightInd w:val="0"/>
        <w:snapToGrid w:val="0"/>
        <w:spacing w:line="576" w:lineRule="exact"/>
        <w:ind w:firstLine="642" w:firstLineChars="200"/>
        <w:contextualSpacing/>
        <w:jc w:val="left"/>
        <w:rPr>
          <w:rFonts w:ascii="仿宋" w:hAnsi="仿宋" w:eastAsia="仿宋" w:cs="仿宋"/>
          <w:b/>
          <w:bCs/>
          <w:color w:val="000000"/>
          <w:kern w:val="0"/>
          <w:szCs w:val="32"/>
          <w:shd w:val="clear" w:color="auto" w:fill="FFFFFF"/>
          <w:lang w:val="zh-CN"/>
        </w:rPr>
      </w:pPr>
      <w:r>
        <w:rPr>
          <w:rFonts w:hint="eastAsia" w:ascii="仿宋" w:hAnsi="仿宋" w:eastAsia="仿宋" w:cs="仿宋"/>
          <w:b/>
          <w:bCs/>
          <w:color w:val="000000"/>
          <w:kern w:val="0"/>
          <w:sz w:val="32"/>
          <w:szCs w:val="32"/>
          <w:shd w:val="clear" w:color="auto" w:fill="FFFFFF"/>
          <w:lang w:val="zh-CN"/>
        </w:rPr>
        <w:t>重点领域绩效分析。</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四川省广元市人民检察院2023年度不涉及国有资本、行政事业性国有资产、债券资金、政府采购和政府购买服务等重点领域的情况。</w:t>
      </w:r>
    </w:p>
    <w:p>
      <w:pPr>
        <w:numPr>
          <w:ilvl w:val="0"/>
          <w:numId w:val="5"/>
        </w:numPr>
        <w:snapToGrid w:val="0"/>
        <w:spacing w:line="576" w:lineRule="exact"/>
        <w:ind w:firstLine="642" w:firstLineChars="200"/>
        <w:rPr>
          <w:rFonts w:ascii="仿宋" w:hAnsi="仿宋" w:eastAsia="仿宋" w:cs="仿宋"/>
          <w:b/>
          <w:bCs/>
          <w:szCs w:val="32"/>
          <w:lang w:val="zh-CN"/>
        </w:rPr>
      </w:pPr>
      <w:r>
        <w:rPr>
          <w:rFonts w:hint="eastAsia" w:ascii="仿宋" w:hAnsi="仿宋" w:eastAsia="仿宋" w:cs="仿宋"/>
          <w:b/>
          <w:bCs/>
          <w:sz w:val="32"/>
          <w:szCs w:val="32"/>
          <w:lang w:val="zh-CN"/>
        </w:rPr>
        <w:t>绩效结果应用情况。</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绩效自评纳入考核体系，建立对单位预算与绩效挂钩机制；2023年我单位开展了绩效自评，针对绩效管理过程中（包括绩效目标核查、绩效监控核查和重点绩效评价）提出的问题进行整改；按要求及时向财政部门反馈结果应用。我单位将进一步提高管理水平，提高资金绩效。</w:t>
      </w:r>
    </w:p>
    <w:p>
      <w:pPr>
        <w:widowControl/>
        <w:adjustRightInd w:val="0"/>
        <w:snapToGrid w:val="0"/>
        <w:spacing w:line="576" w:lineRule="exact"/>
        <w:ind w:firstLine="642" w:firstLineChars="200"/>
        <w:contextualSpacing/>
        <w:jc w:val="left"/>
        <w:rPr>
          <w:rFonts w:ascii="仿宋" w:hAnsi="仿宋" w:eastAsia="仿宋" w:cs="仿宋"/>
          <w:b/>
          <w:bCs/>
          <w:color w:val="000000"/>
          <w:kern w:val="0"/>
          <w:szCs w:val="32"/>
          <w:shd w:val="clear" w:color="auto" w:fill="FFFFFF"/>
        </w:rPr>
      </w:pPr>
      <w:r>
        <w:rPr>
          <w:rFonts w:hint="eastAsia" w:ascii="仿宋" w:hAnsi="仿宋" w:eastAsia="仿宋" w:cs="仿宋"/>
          <w:b/>
          <w:bCs/>
          <w:color w:val="000000"/>
          <w:kern w:val="0"/>
          <w:sz w:val="32"/>
          <w:szCs w:val="32"/>
          <w:shd w:val="clear" w:color="auto" w:fill="FFFFFF"/>
        </w:rPr>
        <w:t>四、评价结论及建议</w:t>
      </w:r>
    </w:p>
    <w:p>
      <w:pPr>
        <w:widowControl/>
        <w:adjustRightInd w:val="0"/>
        <w:snapToGrid w:val="0"/>
        <w:spacing w:line="576" w:lineRule="exact"/>
        <w:ind w:firstLine="642" w:firstLineChars="200"/>
        <w:contextualSpacing/>
        <w:jc w:val="left"/>
        <w:rPr>
          <w:rFonts w:ascii="仿宋" w:hAnsi="仿宋" w:eastAsia="仿宋" w:cs="仿宋"/>
          <w:b/>
          <w:bCs/>
          <w:color w:val="000000"/>
          <w:kern w:val="0"/>
          <w:szCs w:val="32"/>
          <w:shd w:val="clear" w:color="auto" w:fill="FFFFFF"/>
          <w:lang w:val="zh-CN"/>
        </w:rPr>
      </w:pPr>
      <w:r>
        <w:rPr>
          <w:rFonts w:hint="eastAsia" w:ascii="仿宋" w:hAnsi="仿宋" w:eastAsia="仿宋" w:cs="仿宋"/>
          <w:b/>
          <w:bCs/>
          <w:color w:val="000000"/>
          <w:kern w:val="0"/>
          <w:sz w:val="32"/>
          <w:szCs w:val="32"/>
          <w:shd w:val="clear" w:color="auto" w:fill="FFFFFF"/>
          <w:lang w:val="zh-CN"/>
        </w:rPr>
        <w:t>（一）评价结论。</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经我院认真自查，在2023年的部门整体支出绩效管理中，我院能严格执行财政预决算管理。依据设定的市级部门整体支出绩效评价指标体系进行评分，整体支出绩效评分为96.1分。</w:t>
      </w:r>
    </w:p>
    <w:p>
      <w:pPr>
        <w:pStyle w:val="35"/>
        <w:numPr>
          <w:ilvl w:val="0"/>
          <w:numId w:val="6"/>
        </w:numPr>
        <w:ind w:firstLine="642" w:firstLineChars="200"/>
        <w:rPr>
          <w:rFonts w:ascii="仿宋" w:hAnsi="仿宋" w:eastAsia="仿宋" w:cs="仿宋"/>
          <w:b/>
          <w:bCs/>
          <w:color w:val="000000"/>
          <w:kern w:val="0"/>
          <w:szCs w:val="32"/>
          <w:shd w:val="clear" w:color="auto" w:fill="FFFFFF"/>
          <w:lang w:val="zh-CN"/>
        </w:rPr>
      </w:pPr>
      <w:r>
        <w:rPr>
          <w:rFonts w:hint="eastAsia" w:ascii="仿宋" w:hAnsi="仿宋" w:eastAsia="仿宋" w:cs="仿宋"/>
          <w:b/>
          <w:bCs/>
          <w:color w:val="000000"/>
          <w:kern w:val="0"/>
          <w:szCs w:val="32"/>
          <w:shd w:val="clear" w:color="auto" w:fill="FFFFFF"/>
          <w:lang w:val="zh-CN"/>
        </w:rPr>
        <w:t>存在问题。</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部门预算绩效管理中存在的问题一是单位内部控制制度的设置不完善、执行情况欠规范。二是资产管理系统中资产信息化更新不及时。</w:t>
      </w:r>
    </w:p>
    <w:p>
      <w:pPr>
        <w:numPr>
          <w:ilvl w:val="0"/>
          <w:numId w:val="6"/>
        </w:numPr>
        <w:spacing w:line="576" w:lineRule="exact"/>
        <w:ind w:firstLine="642" w:firstLineChars="200"/>
        <w:rPr>
          <w:rFonts w:ascii="仿宋" w:hAnsi="仿宋" w:eastAsia="仿宋" w:cs="仿宋"/>
          <w:b/>
          <w:bCs/>
          <w:color w:val="000000"/>
          <w:kern w:val="0"/>
          <w:szCs w:val="32"/>
          <w:shd w:val="clear" w:color="auto" w:fill="FFFFFF"/>
          <w:lang w:val="zh-CN"/>
        </w:rPr>
      </w:pPr>
      <w:r>
        <w:rPr>
          <w:rFonts w:hint="eastAsia" w:ascii="仿宋" w:hAnsi="仿宋" w:eastAsia="仿宋" w:cs="仿宋"/>
          <w:b/>
          <w:bCs/>
          <w:color w:val="000000"/>
          <w:kern w:val="0"/>
          <w:sz w:val="32"/>
          <w:szCs w:val="32"/>
          <w:shd w:val="clear" w:color="auto" w:fill="FFFFFF"/>
          <w:lang w:val="zh-CN"/>
        </w:rPr>
        <w:t>改进建议。</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一是加强资金管理，合理有效提高资金使用效率；二是完善绩效评价工作制度。逐步建立和完善财政支出绩效评价相关制度，树立绩效管理理念，不断提高各部室的绩效意识，发挥各部室在预算绩效管理中的作用；三是针对存在的问题加强单位内控管理和资产管理工作。</w:t>
      </w: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p>
    <w:p>
      <w:pPr>
        <w:widowControl/>
        <w:adjustRightInd w:val="0"/>
        <w:snapToGrid w:val="0"/>
        <w:spacing w:line="576" w:lineRule="exact"/>
        <w:ind w:firstLine="640" w:firstLineChars="2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附表：部门整体支出绩效目标完成情况自评表附表</w:t>
      </w:r>
    </w:p>
    <w:tbl>
      <w:tblPr>
        <w:tblStyle w:val="15"/>
        <w:tblW w:w="10560" w:type="dxa"/>
        <w:jc w:val="center"/>
        <w:tblLayout w:type="fixed"/>
        <w:tblCellMar>
          <w:top w:w="15" w:type="dxa"/>
          <w:left w:w="15" w:type="dxa"/>
          <w:bottom w:w="15" w:type="dxa"/>
          <w:right w:w="15" w:type="dxa"/>
        </w:tblCellMar>
      </w:tblPr>
      <w:tblGrid>
        <w:gridCol w:w="1309"/>
        <w:gridCol w:w="1347"/>
        <w:gridCol w:w="1273"/>
        <w:gridCol w:w="1100"/>
        <w:gridCol w:w="1144"/>
        <w:gridCol w:w="1290"/>
        <w:gridCol w:w="1058"/>
        <w:gridCol w:w="926"/>
        <w:gridCol w:w="1113"/>
      </w:tblGrid>
      <w:tr>
        <w:tblPrEx>
          <w:tblCellMar>
            <w:top w:w="15" w:type="dxa"/>
            <w:left w:w="15" w:type="dxa"/>
            <w:bottom w:w="15" w:type="dxa"/>
            <w:right w:w="15" w:type="dxa"/>
          </w:tblCellMar>
        </w:tblPrEx>
        <w:trPr>
          <w:trHeight w:val="762" w:hRule="exact"/>
          <w:jc w:val="center"/>
        </w:trPr>
        <w:tc>
          <w:tcPr>
            <w:tcW w:w="10560" w:type="dxa"/>
            <w:gridSpan w:val="9"/>
            <w:shd w:val="clear" w:color="auto" w:fill="auto"/>
            <w:vAlign w:val="center"/>
          </w:tcPr>
          <w:p>
            <w:pPr>
              <w:widowControl/>
              <w:adjustRightInd w:val="0"/>
              <w:snapToGrid w:val="0"/>
              <w:spacing w:line="576" w:lineRule="exact"/>
              <w:ind w:firstLine="2880" w:firstLineChars="900"/>
              <w:contextualSpacing/>
              <w:jc w:val="left"/>
              <w:rPr>
                <w:rFonts w:ascii="仿宋_GB2312" w:hAnsi="Calibri" w:eastAsia="仿宋_GB2312" w:cs="仿宋"/>
                <w:kern w:val="0"/>
                <w:sz w:val="32"/>
                <w:szCs w:val="32"/>
              </w:rPr>
            </w:pPr>
            <w:r>
              <w:rPr>
                <w:rFonts w:hint="eastAsia" w:ascii="仿宋_GB2312" w:hAnsi="Calibri" w:eastAsia="仿宋_GB2312" w:cs="仿宋"/>
                <w:kern w:val="0"/>
                <w:sz w:val="32"/>
                <w:szCs w:val="32"/>
              </w:rPr>
              <w:t>部门整体支出绩效目标完成情况自评表</w:t>
            </w:r>
          </w:p>
        </w:tc>
      </w:tr>
      <w:tr>
        <w:tblPrEx>
          <w:tblCellMar>
            <w:top w:w="15" w:type="dxa"/>
            <w:left w:w="15" w:type="dxa"/>
            <w:bottom w:w="15" w:type="dxa"/>
            <w:right w:w="15" w:type="dxa"/>
          </w:tblCellMar>
        </w:tblPrEx>
        <w:trPr>
          <w:trHeight w:val="23" w:hRule="atLeast"/>
          <w:jc w:val="center"/>
        </w:trPr>
        <w:tc>
          <w:tcPr>
            <w:tcW w:w="10560" w:type="dxa"/>
            <w:gridSpan w:val="9"/>
            <w:shd w:val="clear" w:color="auto" w:fill="auto"/>
            <w:vAlign w:val="center"/>
          </w:tcPr>
          <w:p>
            <w:pPr>
              <w:widowControl/>
              <w:spacing w:line="30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rPr>
              <w:t>（2023年度）</w:t>
            </w:r>
          </w:p>
        </w:tc>
      </w:tr>
      <w:tr>
        <w:tblPrEx>
          <w:tblCellMar>
            <w:top w:w="15" w:type="dxa"/>
            <w:left w:w="15" w:type="dxa"/>
            <w:bottom w:w="15" w:type="dxa"/>
            <w:right w:w="15" w:type="dxa"/>
          </w:tblCellMar>
        </w:tblPrEx>
        <w:trPr>
          <w:trHeight w:val="23" w:hRule="atLeast"/>
          <w:jc w:val="center"/>
        </w:trPr>
        <w:tc>
          <w:tcPr>
            <w:tcW w:w="10560" w:type="dxa"/>
            <w:gridSpan w:val="9"/>
            <w:tcBorders>
              <w:bottom w:val="single" w:color="000000" w:sz="4" w:space="0"/>
            </w:tcBorders>
            <w:shd w:val="clear" w:color="auto" w:fill="auto"/>
            <w:vAlign w:val="center"/>
          </w:tcPr>
          <w:p>
            <w:pPr>
              <w:widowControl/>
              <w:spacing w:line="300" w:lineRule="exact"/>
              <w:jc w:val="right"/>
              <w:textAlignment w:val="center"/>
              <w:rPr>
                <w:rFonts w:ascii="仿宋" w:hAnsi="仿宋" w:eastAsia="仿宋" w:cs="仿宋"/>
                <w:color w:val="000000"/>
                <w:szCs w:val="21"/>
              </w:rPr>
            </w:pPr>
            <w:r>
              <w:rPr>
                <w:rFonts w:hint="eastAsia" w:ascii="仿宋" w:hAnsi="仿宋" w:eastAsia="仿宋" w:cs="仿宋"/>
                <w:color w:val="000000"/>
                <w:kern w:val="0"/>
                <w:szCs w:val="21"/>
              </w:rPr>
              <w:t>单位：万元</w:t>
            </w:r>
          </w:p>
        </w:tc>
      </w:tr>
      <w:tr>
        <w:tblPrEx>
          <w:tblCellMar>
            <w:top w:w="15" w:type="dxa"/>
            <w:left w:w="15" w:type="dxa"/>
            <w:bottom w:w="15" w:type="dxa"/>
            <w:right w:w="15" w:type="dxa"/>
          </w:tblCellMar>
        </w:tblPrEx>
        <w:trPr>
          <w:trHeight w:val="23" w:hRule="atLeast"/>
          <w:jc w:val="center"/>
        </w:trPr>
        <w:tc>
          <w:tcPr>
            <w:tcW w:w="3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部门名称</w:t>
            </w:r>
          </w:p>
        </w:tc>
        <w:tc>
          <w:tcPr>
            <w:tcW w:w="66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 w:val="18"/>
                <w:szCs w:val="18"/>
              </w:rPr>
            </w:pPr>
            <w:r>
              <w:rPr>
                <w:rFonts w:hint="eastAsia" w:ascii="仿宋" w:hAnsi="仿宋" w:eastAsia="仿宋" w:cs="仿宋"/>
                <w:szCs w:val="18"/>
                <w:lang w:val="zh-CN"/>
              </w:rPr>
              <w:t>四川省广元市人民检察院</w:t>
            </w:r>
          </w:p>
        </w:tc>
      </w:tr>
      <w:tr>
        <w:tblPrEx>
          <w:tblCellMar>
            <w:top w:w="15" w:type="dxa"/>
            <w:left w:w="15" w:type="dxa"/>
            <w:bottom w:w="15" w:type="dxa"/>
            <w:right w:w="15" w:type="dxa"/>
          </w:tblCellMar>
        </w:tblPrEx>
        <w:trPr>
          <w:trHeight w:val="23" w:hRule="atLeast"/>
          <w:jc w:val="center"/>
        </w:trPr>
        <w:tc>
          <w:tcPr>
            <w:tcW w:w="13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年度部门整体支出预算</w:t>
            </w: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资金总额</w:t>
            </w:r>
          </w:p>
        </w:tc>
        <w:tc>
          <w:tcPr>
            <w:tcW w:w="22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财政拨款</w:t>
            </w:r>
          </w:p>
        </w:tc>
        <w:tc>
          <w:tcPr>
            <w:tcW w:w="43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其他资金</w:t>
            </w:r>
          </w:p>
        </w:tc>
      </w:tr>
      <w:tr>
        <w:tblPrEx>
          <w:tblCellMar>
            <w:top w:w="15" w:type="dxa"/>
            <w:left w:w="15" w:type="dxa"/>
            <w:bottom w:w="15" w:type="dxa"/>
            <w:right w:w="15" w:type="dxa"/>
          </w:tblCellMar>
        </w:tblPrEx>
        <w:trPr>
          <w:trHeight w:val="2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szCs w:val="21"/>
              </w:rPr>
              <w:t>4565.77</w:t>
            </w:r>
          </w:p>
        </w:tc>
        <w:tc>
          <w:tcPr>
            <w:tcW w:w="22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szCs w:val="21"/>
              </w:rPr>
              <w:t>4565.77</w:t>
            </w:r>
          </w:p>
        </w:tc>
        <w:tc>
          <w:tcPr>
            <w:tcW w:w="43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szCs w:val="21"/>
              </w:rPr>
              <w:t>0</w:t>
            </w:r>
          </w:p>
        </w:tc>
      </w:tr>
      <w:tr>
        <w:tblPrEx>
          <w:tblCellMar>
            <w:top w:w="15" w:type="dxa"/>
            <w:left w:w="15" w:type="dxa"/>
            <w:bottom w:w="15" w:type="dxa"/>
            <w:right w:w="15" w:type="dxa"/>
          </w:tblCellMar>
        </w:tblPrEx>
        <w:trPr>
          <w:trHeight w:val="23" w:hRule="atLeast"/>
          <w:jc w:val="center"/>
        </w:trPr>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年度总体</w:t>
            </w:r>
          </w:p>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目标</w:t>
            </w:r>
          </w:p>
        </w:tc>
        <w:tc>
          <w:tcPr>
            <w:tcW w:w="925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仿宋" w:hAnsi="仿宋" w:eastAsia="仿宋" w:cs="仿宋"/>
                <w:color w:val="000000"/>
                <w:szCs w:val="21"/>
              </w:rPr>
            </w:pPr>
            <w:r>
              <w:rPr>
                <w:rFonts w:hint="eastAsia" w:ascii="仿宋" w:hAnsi="仿宋" w:eastAsia="仿宋" w:cs="仿宋"/>
                <w:color w:val="000000"/>
                <w:szCs w:val="21"/>
                <w:lang w:val="zh-CN"/>
              </w:rPr>
              <w:t>1. 加班管理：记录并核实加班真实性，确保7名司法警察每月710元加班费，总计6万元，按季度发放补贴。2. 司法救助：依据地区工资标准确定救助金，不超过36个月工资总额，特殊情况需严格审核，不超过法定赔偿。3. 大楼运维：保障技侦大楼正常运转，年预算包括安保物业66万元，空调维护5万元，消防检测2万元，电梯维护3万元，电力维护4万元，大楼维修20万元，绿植租摆3万元。4. 检察职权：依法处理重大案件，实施逮捕、公诉和法律监督，处理报案、控告等，指导检察技术工作。5. 办案费用：涵盖侦缉调查、技术检验、特情费等，支持检察工作。6. 文书档案：负责文书的校对、印制，档案的整理、装订，执行派车计划，遵守用车制度。7. 书记员费用：聘用24名书记员，每人每年5万元，总计120万元，负责案件记录和文书工作。8. 乡村振兴：派遣3人参与青川县乡村振兴工作，包括经济作物和养殖业发展。</w:t>
            </w:r>
          </w:p>
        </w:tc>
      </w:tr>
      <w:tr>
        <w:tblPrEx>
          <w:tblCellMar>
            <w:top w:w="15" w:type="dxa"/>
            <w:left w:w="15" w:type="dxa"/>
            <w:bottom w:w="15" w:type="dxa"/>
            <w:right w:w="15" w:type="dxa"/>
          </w:tblCellMar>
        </w:tblPrEx>
        <w:trPr>
          <w:trHeight w:val="23" w:hRule="atLeast"/>
          <w:jc w:val="center"/>
        </w:trPr>
        <w:tc>
          <w:tcPr>
            <w:tcW w:w="1309" w:type="dxa"/>
            <w:vMerge w:val="restart"/>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年度主要</w:t>
            </w:r>
          </w:p>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任务</w:t>
            </w: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任务名称</w:t>
            </w:r>
          </w:p>
        </w:tc>
        <w:tc>
          <w:tcPr>
            <w:tcW w:w="66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主要内容</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 w:val="22"/>
                <w:szCs w:val="22"/>
              </w:rPr>
              <w:t>1、</w:t>
            </w:r>
            <w:r>
              <w:rPr>
                <w:rFonts w:hint="eastAsia" w:ascii="仿宋" w:hAnsi="仿宋" w:eastAsia="仿宋" w:cs="仿宋"/>
                <w:kern w:val="0"/>
                <w:szCs w:val="21"/>
              </w:rPr>
              <w:t>2023年特定转移支付</w:t>
            </w:r>
          </w:p>
        </w:tc>
        <w:tc>
          <w:tcPr>
            <w:tcW w:w="66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kern w:val="0"/>
                <w:sz w:val="22"/>
                <w:szCs w:val="22"/>
              </w:rPr>
            </w:pPr>
            <w:r>
              <w:rPr>
                <w:rFonts w:hint="eastAsia" w:ascii="仿宋" w:hAnsi="仿宋" w:eastAsia="仿宋" w:cs="仿宋"/>
                <w:color w:val="000000"/>
                <w:kern w:val="0"/>
                <w:sz w:val="22"/>
                <w:szCs w:val="22"/>
              </w:rPr>
              <w:t>一是对刑罚执行过程进行全程监督，确保各项刑罚措施得到准确、有效的实施；二是加强对监管场所的秩序维护，通过监督和管理，保障监管场所的安全稳定。实施过程中，我们将采取以下措施：一是建立健全监督机制，明确监督责任；二是定期对监管场所进行巡查，及时发现并解决问题；三是加强与相关部门的沟通协作，形成监管合力，确保项目目标的顺利实现。</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center"/>
              <w:rPr>
                <w:rFonts w:ascii="仿宋" w:hAnsi="仿宋" w:eastAsia="仿宋" w:cs="仿宋"/>
                <w:color w:val="000000"/>
                <w:kern w:val="0"/>
                <w:sz w:val="22"/>
                <w:szCs w:val="22"/>
              </w:rPr>
            </w:pPr>
            <w:r>
              <w:rPr>
                <w:rFonts w:hint="eastAsia" w:ascii="仿宋" w:hAnsi="仿宋" w:eastAsia="仿宋" w:cs="仿宋"/>
                <w:color w:val="000000"/>
                <w:kern w:val="0"/>
                <w:sz w:val="22"/>
                <w:szCs w:val="22"/>
              </w:rPr>
              <w:t>2、</w:t>
            </w:r>
            <w:r>
              <w:rPr>
                <w:rFonts w:hint="eastAsia" w:ascii="仿宋" w:hAnsi="仿宋" w:eastAsia="仿宋" w:cs="仿宋"/>
                <w:kern w:val="0"/>
                <w:szCs w:val="21"/>
              </w:rPr>
              <w:t>检察监督</w:t>
            </w:r>
          </w:p>
        </w:tc>
        <w:tc>
          <w:tcPr>
            <w:tcW w:w="66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kern w:val="0"/>
                <w:sz w:val="22"/>
                <w:szCs w:val="22"/>
              </w:rPr>
            </w:pPr>
            <w:r>
              <w:rPr>
                <w:rFonts w:hint="eastAsia" w:ascii="仿宋" w:hAnsi="仿宋" w:eastAsia="仿宋" w:cs="仿宋"/>
                <w:color w:val="000000"/>
                <w:kern w:val="0"/>
                <w:sz w:val="22"/>
                <w:szCs w:val="22"/>
              </w:rPr>
              <w:t>本项目实施内容涉及对重大案件依法行使检察权，包括叛国、分裂国家安全等，并依据高、省检院方针部署全市检察任务。过程中，将对重大刑事犯罪案件进行审查、批准逮捕、提起公诉，并监督刑事诉讼、民事审判和行政诉讼。同时，项目将处理报案、控告、申诉、举报，接收自首，并指导检察技术工作，包括物证检验、鉴定等。实施中将合理分配办案费用，确保项目高效运行。</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textAlignment w:val="center"/>
              <w:rPr>
                <w:rFonts w:ascii="仿宋" w:hAnsi="仿宋" w:eastAsia="仿宋" w:cs="仿宋"/>
                <w:color w:val="000000"/>
                <w:kern w:val="0"/>
                <w:sz w:val="22"/>
                <w:szCs w:val="22"/>
              </w:rPr>
            </w:pPr>
            <w:r>
              <w:rPr>
                <w:rFonts w:hint="eastAsia" w:ascii="仿宋" w:hAnsi="仿宋" w:eastAsia="仿宋" w:cs="仿宋"/>
                <w:color w:val="000000"/>
                <w:kern w:val="0"/>
                <w:sz w:val="22"/>
                <w:szCs w:val="22"/>
              </w:rPr>
              <w:t>3、</w:t>
            </w:r>
            <w:r>
              <w:rPr>
                <w:rFonts w:hint="eastAsia" w:ascii="仿宋" w:hAnsi="仿宋" w:eastAsia="仿宋" w:cs="仿宋"/>
                <w:kern w:val="0"/>
                <w:szCs w:val="21"/>
              </w:rPr>
              <w:t>聘用制书记员经费</w:t>
            </w:r>
          </w:p>
        </w:tc>
        <w:tc>
          <w:tcPr>
            <w:tcW w:w="66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kern w:val="0"/>
                <w:sz w:val="22"/>
                <w:szCs w:val="22"/>
              </w:rPr>
            </w:pPr>
            <w:r>
              <w:rPr>
                <w:rFonts w:hint="eastAsia" w:ascii="仿宋" w:hAnsi="仿宋" w:eastAsia="仿宋" w:cs="仿宋"/>
                <w:color w:val="000000"/>
                <w:kern w:val="0"/>
                <w:sz w:val="22"/>
                <w:szCs w:val="22"/>
              </w:rPr>
              <w:t>本项目将聘用24名书记员，每人年薪为5万元，总计预算为120万元。这些书记员将负责案件审理和检察过程中的记录工作，包括但不限于庭前准备、开庭时的各项准备工作。此外，他们还将承担校对、印制及送达法律文书的任务，以及整理、装订和归档案卷材料，确保司法文书的准确性和案件档案的完整性。</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center"/>
              <w:rPr>
                <w:rFonts w:ascii="仿宋" w:hAnsi="仿宋" w:eastAsia="仿宋" w:cs="仿宋"/>
                <w:color w:val="000000"/>
                <w:kern w:val="0"/>
                <w:sz w:val="22"/>
                <w:szCs w:val="22"/>
              </w:rPr>
            </w:pPr>
            <w:r>
              <w:rPr>
                <w:rFonts w:hint="eastAsia" w:ascii="仿宋" w:hAnsi="仿宋" w:eastAsia="仿宋" w:cs="仿宋"/>
                <w:color w:val="000000"/>
                <w:kern w:val="0"/>
                <w:sz w:val="22"/>
                <w:szCs w:val="22"/>
              </w:rPr>
              <w:t>4、乡村振兴工作经费</w:t>
            </w:r>
          </w:p>
        </w:tc>
        <w:tc>
          <w:tcPr>
            <w:tcW w:w="66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kern w:val="0"/>
                <w:sz w:val="22"/>
                <w:szCs w:val="22"/>
              </w:rPr>
            </w:pPr>
            <w:r>
              <w:rPr>
                <w:rFonts w:hint="eastAsia" w:ascii="仿宋" w:hAnsi="仿宋" w:eastAsia="仿宋" w:cs="仿宋"/>
                <w:color w:val="000000"/>
                <w:kern w:val="0"/>
                <w:sz w:val="22"/>
                <w:szCs w:val="22"/>
              </w:rPr>
              <w:t>根据市委、市政府的安排，结合我院实际情况，选派三名同志前往青川县观音店乡两河村开展乡村振兴工作。实施过程包括推动经济作物种植和养殖业发展，确保脱贫成果持续巩固，政策支持不断档。项目团队将每月至少两次深入农户，提供面对面的帮扶，以促进当地经济社会的全面发展。</w:t>
            </w:r>
          </w:p>
        </w:tc>
      </w:tr>
      <w:tr>
        <w:tblPrEx>
          <w:tblCellMar>
            <w:top w:w="15" w:type="dxa"/>
            <w:left w:w="15" w:type="dxa"/>
            <w:bottom w:w="15" w:type="dxa"/>
            <w:right w:w="15" w:type="dxa"/>
          </w:tblCellMar>
        </w:tblPrEx>
        <w:trPr>
          <w:trHeight w:val="23" w:hRule="atLeast"/>
          <w:jc w:val="center"/>
        </w:trPr>
        <w:tc>
          <w:tcPr>
            <w:tcW w:w="1309" w:type="dxa"/>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center"/>
              <w:rPr>
                <w:rFonts w:ascii="仿宋" w:hAnsi="仿宋" w:eastAsia="仿宋" w:cs="仿宋"/>
                <w:color w:val="000000"/>
                <w:kern w:val="0"/>
                <w:sz w:val="22"/>
                <w:szCs w:val="22"/>
              </w:rPr>
            </w:pPr>
            <w:r>
              <w:rPr>
                <w:rFonts w:hint="eastAsia" w:ascii="仿宋" w:hAnsi="仿宋" w:eastAsia="仿宋" w:cs="仿宋"/>
                <w:color w:val="000000"/>
                <w:kern w:val="0"/>
                <w:sz w:val="22"/>
                <w:szCs w:val="22"/>
              </w:rPr>
              <w:t>5、法警法定工作日之外加班补贴</w:t>
            </w:r>
          </w:p>
        </w:tc>
        <w:tc>
          <w:tcPr>
            <w:tcW w:w="66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kern w:val="0"/>
                <w:sz w:val="22"/>
                <w:szCs w:val="22"/>
              </w:rPr>
            </w:pPr>
            <w:r>
              <w:rPr>
                <w:rFonts w:hint="eastAsia" w:ascii="仿宋" w:hAnsi="仿宋" w:eastAsia="仿宋" w:cs="仿宋"/>
                <w:color w:val="000000"/>
                <w:kern w:val="0"/>
                <w:sz w:val="22"/>
                <w:szCs w:val="22"/>
              </w:rPr>
              <w:t>建立健全加班记录制度，确保每位司法警察的加班时间得到准确记录，以保障加班支出的真实性和合理性。项目团队由7名司法警察组成，每人每月将根据实际加班情况获得710元的加班补贴，总计年度补贴金额为6万元。其次，项目将严格按照国家和单位的相关标准，按季度对加班补贴进行核算和发放，确保补贴的及时性和准确性。</w:t>
            </w:r>
          </w:p>
        </w:tc>
      </w:tr>
      <w:tr>
        <w:tblPrEx>
          <w:tblCellMar>
            <w:top w:w="15" w:type="dxa"/>
            <w:left w:w="15" w:type="dxa"/>
            <w:bottom w:w="15" w:type="dxa"/>
            <w:right w:w="15" w:type="dxa"/>
          </w:tblCellMar>
        </w:tblPrEx>
        <w:trPr>
          <w:trHeight w:val="23" w:hRule="atLeast"/>
          <w:jc w:val="center"/>
        </w:trPr>
        <w:tc>
          <w:tcPr>
            <w:tcW w:w="1309" w:type="dxa"/>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center"/>
              <w:rPr>
                <w:rFonts w:ascii="仿宋" w:hAnsi="仿宋" w:eastAsia="仿宋" w:cs="仿宋"/>
                <w:color w:val="000000"/>
                <w:kern w:val="0"/>
                <w:sz w:val="22"/>
                <w:szCs w:val="22"/>
              </w:rPr>
            </w:pPr>
            <w:r>
              <w:rPr>
                <w:rFonts w:hint="eastAsia" w:ascii="仿宋" w:hAnsi="仿宋" w:eastAsia="仿宋" w:cs="仿宋"/>
                <w:color w:val="000000"/>
                <w:kern w:val="0"/>
                <w:sz w:val="22"/>
                <w:szCs w:val="22"/>
              </w:rPr>
              <w:t>6、国家司法救助</w:t>
            </w:r>
          </w:p>
        </w:tc>
        <w:tc>
          <w:tcPr>
            <w:tcW w:w="66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kern w:val="0"/>
                <w:sz w:val="22"/>
                <w:szCs w:val="22"/>
              </w:rPr>
            </w:pPr>
            <w:r>
              <w:rPr>
                <w:rFonts w:hint="eastAsia" w:ascii="仿宋" w:hAnsi="仿宋" w:eastAsia="仿宋" w:cs="仿宋"/>
                <w:color w:val="000000"/>
                <w:kern w:val="0"/>
                <w:sz w:val="22"/>
                <w:szCs w:val="22"/>
              </w:rPr>
              <w:t>全国检察机关开展“深入推进国家司法救助工作”专项活动，具体实施过程如下：首先，根据《关于在全国检察机关开展“深入推进国家司法救助工作”专项活动的通知》，救助金的确定将以办理案件的人民检察院所在省、自治区、直辖市上一年度职工月平均工资为基准，通常不超过三十六个月的工资总额。在遇到损失特别重大、生活特别困难的情况，需要适当提高救助限额时，将进行严格审核和控制。此类情况需依照相关规定进行报批，且救助总额不得超过人民法院依法应判决的赔偿数额。</w:t>
            </w:r>
          </w:p>
        </w:tc>
      </w:tr>
      <w:tr>
        <w:tblPrEx>
          <w:tblCellMar>
            <w:top w:w="15" w:type="dxa"/>
            <w:left w:w="15" w:type="dxa"/>
            <w:bottom w:w="15" w:type="dxa"/>
            <w:right w:w="15" w:type="dxa"/>
          </w:tblCellMar>
        </w:tblPrEx>
        <w:trPr>
          <w:trHeight w:val="23" w:hRule="atLeast"/>
          <w:jc w:val="center"/>
        </w:trPr>
        <w:tc>
          <w:tcPr>
            <w:tcW w:w="1309" w:type="dxa"/>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center"/>
              <w:rPr>
                <w:rFonts w:ascii="仿宋" w:hAnsi="仿宋" w:eastAsia="仿宋" w:cs="仿宋"/>
                <w:color w:val="000000"/>
                <w:kern w:val="0"/>
                <w:sz w:val="22"/>
                <w:szCs w:val="22"/>
              </w:rPr>
            </w:pPr>
            <w:r>
              <w:rPr>
                <w:rFonts w:hint="eastAsia" w:ascii="仿宋" w:hAnsi="仿宋" w:eastAsia="仿宋" w:cs="仿宋"/>
                <w:color w:val="000000"/>
                <w:kern w:val="0"/>
                <w:sz w:val="22"/>
                <w:szCs w:val="22"/>
              </w:rPr>
              <w:t>7、技侦大楼运行维护</w:t>
            </w:r>
          </w:p>
        </w:tc>
        <w:tc>
          <w:tcPr>
            <w:tcW w:w="66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kern w:val="0"/>
                <w:sz w:val="22"/>
                <w:szCs w:val="22"/>
              </w:rPr>
            </w:pPr>
            <w:r>
              <w:rPr>
                <w:rFonts w:hint="eastAsia" w:ascii="仿宋" w:hAnsi="仿宋" w:eastAsia="仿宋" w:cs="仿宋"/>
                <w:color w:val="000000"/>
                <w:kern w:val="0"/>
                <w:sz w:val="22"/>
                <w:szCs w:val="22"/>
              </w:rPr>
              <w:t>确保大楼的安保和物业管理，年预算为66万元；其次，对大楼的空调系统进行定期维护，年预算为5万元；接着，进行消防系统的年度检测，预算为2万元；此外，包括电梯的年度维护，预算为3万元；电力系统的维护预算为4万元；同时，对大楼进行常规维修维护，年预算为20万元；最后，对大楼内的绿植进行租摆和维护，年预算为3万元。以上各项费用将专项用于保障技侦大楼的正常运转和设施良好状态。</w:t>
            </w:r>
          </w:p>
        </w:tc>
      </w:tr>
      <w:tr>
        <w:tblPrEx>
          <w:tblCellMar>
            <w:top w:w="15" w:type="dxa"/>
            <w:left w:w="15" w:type="dxa"/>
            <w:bottom w:w="15" w:type="dxa"/>
            <w:right w:w="15" w:type="dxa"/>
          </w:tblCellMar>
        </w:tblPrEx>
        <w:trPr>
          <w:trHeight w:val="23" w:hRule="atLeast"/>
          <w:jc w:val="center"/>
        </w:trPr>
        <w:tc>
          <w:tcPr>
            <w:tcW w:w="1309" w:type="dxa"/>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center"/>
              <w:rPr>
                <w:rFonts w:ascii="仿宋" w:hAnsi="仿宋" w:eastAsia="仿宋" w:cs="仿宋"/>
                <w:color w:val="000000"/>
                <w:kern w:val="0"/>
                <w:sz w:val="22"/>
                <w:szCs w:val="22"/>
              </w:rPr>
            </w:pPr>
            <w:r>
              <w:rPr>
                <w:rFonts w:hint="eastAsia" w:ascii="仿宋" w:hAnsi="仿宋" w:eastAsia="仿宋" w:cs="仿宋"/>
                <w:color w:val="000000"/>
                <w:kern w:val="0"/>
                <w:sz w:val="22"/>
                <w:szCs w:val="22"/>
              </w:rPr>
              <w:t>8、聘用人员经费</w:t>
            </w:r>
          </w:p>
        </w:tc>
        <w:tc>
          <w:tcPr>
            <w:tcW w:w="66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kern w:val="0"/>
                <w:sz w:val="22"/>
                <w:szCs w:val="22"/>
              </w:rPr>
            </w:pPr>
            <w:r>
              <w:rPr>
                <w:rFonts w:hint="eastAsia" w:ascii="仿宋" w:hAnsi="仿宋" w:eastAsia="仿宋" w:cs="仿宋"/>
                <w:color w:val="000000"/>
                <w:kern w:val="0"/>
                <w:sz w:val="22"/>
                <w:szCs w:val="22"/>
              </w:rPr>
              <w:t>本项目实施内容主要包括文书管理和车辆调度两个部分。在文书管理方面，将执行以下过程：细致校对各类文书文件，确保无误；负责文印工作，保证文件清晰；整理、装订案卷材料，使之规范有序；并将整理好的档案材料进行归档，以便于检索和保存。在车辆调度方面，实施过程如下：遵循派车计划，完成各项出车任务；严格遵守公务用车制度，确保用车合规；在行车过程中，坚持文明驾驶，采取必要措施，保障行车安全。</w:t>
            </w:r>
          </w:p>
        </w:tc>
      </w:tr>
      <w:tr>
        <w:tblPrEx>
          <w:tblCellMar>
            <w:top w:w="15" w:type="dxa"/>
            <w:left w:w="15" w:type="dxa"/>
            <w:bottom w:w="15" w:type="dxa"/>
            <w:right w:w="15" w:type="dxa"/>
          </w:tblCellMar>
        </w:tblPrEx>
        <w:trPr>
          <w:trHeight w:val="23" w:hRule="atLeast"/>
          <w:jc w:val="center"/>
        </w:trPr>
        <w:tc>
          <w:tcPr>
            <w:tcW w:w="1309" w:type="dxa"/>
            <w:vMerge w:val="restart"/>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年度绩效</w:t>
            </w:r>
          </w:p>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指标</w:t>
            </w: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一级指标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二级指标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三级指标</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绩效指标</w:t>
            </w:r>
          </w:p>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性质</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绩效指标值</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绩效度量单位</w:t>
            </w:r>
          </w:p>
        </w:tc>
        <w:tc>
          <w:tcPr>
            <w:tcW w:w="926" w:type="dxa"/>
            <w:tcBorders>
              <w:top w:val="single" w:color="000000" w:sz="4" w:space="0"/>
              <w:left w:val="single" w:color="000000" w:sz="4" w:space="0"/>
              <w:bottom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权重</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实际完成</w:t>
            </w:r>
          </w:p>
          <w:p>
            <w:pPr>
              <w:widowControl/>
              <w:spacing w:line="300" w:lineRule="exact"/>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指标值</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产出指标</w:t>
            </w:r>
          </w:p>
        </w:tc>
        <w:tc>
          <w:tcPr>
            <w:tcW w:w="1273" w:type="dxa"/>
            <w:vMerge w:val="restart"/>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数量指标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司法警察人数</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7</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人</w:t>
            </w:r>
          </w:p>
        </w:tc>
        <w:tc>
          <w:tcPr>
            <w:tcW w:w="926" w:type="dxa"/>
            <w:vMerge w:val="restart"/>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c>
          <w:tcPr>
            <w:tcW w:w="1113" w:type="dxa"/>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Cs w:val="21"/>
              </w:rPr>
            </w:pPr>
            <w:r>
              <w:rPr>
                <w:rFonts w:ascii="宋体" w:hAnsi="宋体" w:cs="宋体"/>
                <w:color w:val="000000"/>
                <w:kern w:val="0"/>
                <w:sz w:val="18"/>
                <w:szCs w:val="18"/>
              </w:rPr>
              <w:t>司法警察人数为7人</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273"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司法救助人数</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13</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人数</w:t>
            </w:r>
          </w:p>
        </w:tc>
        <w:tc>
          <w:tcPr>
            <w:tcW w:w="926"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司法救助人数为13人</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273"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办公大楼面积</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9600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平方米</w:t>
            </w:r>
          </w:p>
        </w:tc>
        <w:tc>
          <w:tcPr>
            <w:tcW w:w="926"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办公大楼面积达到9600平米</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273"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案件数量</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987</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件</w:t>
            </w:r>
          </w:p>
        </w:tc>
        <w:tc>
          <w:tcPr>
            <w:tcW w:w="926"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案件数量为987件</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273"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18"/>
                <w:szCs w:val="18"/>
              </w:rPr>
            </w:pPr>
            <w:r>
              <w:rPr>
                <w:rFonts w:ascii="宋体" w:hAnsi="宋体" w:cs="宋体"/>
                <w:color w:val="000000"/>
                <w:kern w:val="0"/>
                <w:sz w:val="18"/>
                <w:szCs w:val="18"/>
              </w:rPr>
              <w:t>帮扶贫困户</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18"/>
                <w:szCs w:val="18"/>
              </w:rPr>
            </w:pPr>
            <w:r>
              <w:rPr>
                <w:rFonts w:ascii="宋体" w:hAnsi="宋体" w:cs="宋体"/>
                <w:color w:val="000000"/>
                <w:kern w:val="0"/>
                <w:sz w:val="18"/>
                <w:szCs w:val="18"/>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18"/>
                <w:szCs w:val="18"/>
              </w:rPr>
            </w:pPr>
            <w:r>
              <w:rPr>
                <w:rFonts w:ascii="宋体" w:hAnsi="宋体" w:cs="宋体"/>
                <w:color w:val="000000"/>
                <w:kern w:val="0"/>
                <w:sz w:val="18"/>
                <w:szCs w:val="18"/>
              </w:rPr>
              <w:t>151</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18"/>
                <w:szCs w:val="18"/>
              </w:rPr>
            </w:pPr>
            <w:r>
              <w:rPr>
                <w:rFonts w:ascii="宋体" w:hAnsi="宋体" w:cs="宋体"/>
                <w:color w:val="000000"/>
                <w:kern w:val="0"/>
                <w:sz w:val="18"/>
                <w:szCs w:val="18"/>
              </w:rPr>
              <w:t>人</w:t>
            </w:r>
          </w:p>
        </w:tc>
        <w:tc>
          <w:tcPr>
            <w:tcW w:w="926"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帮扶贫困户151人</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273" w:type="dxa"/>
            <w:vMerge w:val="restart"/>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质量指标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安全等级达到国家安全标准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定性</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高</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年</w:t>
            </w:r>
          </w:p>
        </w:tc>
        <w:tc>
          <w:tcPr>
            <w:tcW w:w="926" w:type="dxa"/>
            <w:vMerge w:val="restart"/>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r>
              <w:rPr>
                <w:rFonts w:hint="eastAsia" w:ascii="仿宋" w:hAnsi="仿宋" w:eastAsia="仿宋" w:cs="仿宋"/>
                <w:color w:val="000000"/>
                <w:szCs w:val="21"/>
              </w:rPr>
              <w:t>20％</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安全等级达到国家安全标准达到高</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273"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Cs w:val="21"/>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错误批捕率</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10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w:t>
            </w:r>
          </w:p>
        </w:tc>
        <w:tc>
          <w:tcPr>
            <w:tcW w:w="926"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错误批捕率为5%</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273"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Cs w:val="21"/>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对口帮扶村饮水安全质量有保障</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定性</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优</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人/户</w:t>
            </w:r>
          </w:p>
        </w:tc>
        <w:tc>
          <w:tcPr>
            <w:tcW w:w="926"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对口帮扶村饮水安全质量有保障效果为优</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时效指标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完成编印时间</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1</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年</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r>
              <w:rPr>
                <w:rFonts w:hint="eastAsia" w:ascii="仿宋" w:hAnsi="仿宋" w:eastAsia="仿宋" w:cs="仿宋"/>
                <w:color w:val="000000"/>
                <w:szCs w:val="21"/>
              </w:rPr>
              <w:t>10％</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r>
              <w:rPr>
                <w:rFonts w:hint="eastAsia" w:ascii="仿宋" w:hAnsi="仿宋" w:eastAsia="仿宋" w:cs="仿宋"/>
                <w:color w:val="000000"/>
                <w:szCs w:val="21"/>
              </w:rPr>
              <w:t>在2023年年底完成</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347" w:type="dxa"/>
            <w:vMerge w:val="restart"/>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效益指标</w:t>
            </w:r>
          </w:p>
        </w:tc>
        <w:tc>
          <w:tcPr>
            <w:tcW w:w="1273" w:type="dxa"/>
            <w:vMerge w:val="restart"/>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社会效益</w:t>
            </w:r>
          </w:p>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根据高检院部署持续落实好司法救助责任要求</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定性</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优</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Cs w:val="21"/>
              </w:rPr>
            </w:pPr>
          </w:p>
        </w:tc>
        <w:tc>
          <w:tcPr>
            <w:tcW w:w="926" w:type="dxa"/>
            <w:vMerge w:val="restart"/>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r>
              <w:rPr>
                <w:rFonts w:hint="eastAsia" w:ascii="仿宋" w:hAnsi="仿宋" w:eastAsia="仿宋" w:cs="仿宋"/>
                <w:color w:val="000000"/>
                <w:szCs w:val="21"/>
              </w:rPr>
              <w:t>30％</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落实好司法救助责任要求，效果为优</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347"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273"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根据市委安排持续加强检察监督力度</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定性</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优</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Cs w:val="21"/>
              </w:rPr>
            </w:pPr>
          </w:p>
        </w:tc>
        <w:tc>
          <w:tcPr>
            <w:tcW w:w="926"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根据市委安排持续加强检察监督力度效果为优</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347"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273"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执法司法公信力显著提高，人民满意度</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18"/>
                <w:szCs w:val="18"/>
              </w:rPr>
            </w:pPr>
            <w:r>
              <w:rPr>
                <w:rFonts w:ascii="宋体" w:hAnsi="宋体" w:cs="宋体"/>
                <w:color w:val="000000"/>
                <w:kern w:val="0"/>
                <w:sz w:val="18"/>
                <w:szCs w:val="18"/>
              </w:rPr>
              <w:t>90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w:t>
            </w:r>
          </w:p>
        </w:tc>
        <w:tc>
          <w:tcPr>
            <w:tcW w:w="926"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执法司法公信力显著提高，人民满意度达94%</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347"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273"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18"/>
                <w:szCs w:val="18"/>
              </w:rPr>
            </w:pPr>
            <w:r>
              <w:rPr>
                <w:rFonts w:ascii="宋体" w:hAnsi="宋体" w:cs="宋体"/>
                <w:color w:val="000000"/>
                <w:kern w:val="0"/>
                <w:sz w:val="18"/>
                <w:szCs w:val="18"/>
              </w:rPr>
              <w:t>帮扶对象脱贫增收</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18"/>
                <w:szCs w:val="18"/>
              </w:rPr>
            </w:pPr>
            <w:r>
              <w:rPr>
                <w:rFonts w:ascii="宋体" w:hAnsi="宋体" w:cs="宋体"/>
                <w:color w:val="000000"/>
                <w:kern w:val="0"/>
                <w:sz w:val="18"/>
                <w:szCs w:val="18"/>
              </w:rPr>
              <w:t>定性</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18"/>
                <w:szCs w:val="18"/>
              </w:rPr>
            </w:pPr>
            <w:r>
              <w:rPr>
                <w:rFonts w:ascii="宋体" w:hAnsi="宋体" w:cs="宋体"/>
                <w:color w:val="000000"/>
                <w:kern w:val="0"/>
                <w:sz w:val="18"/>
                <w:szCs w:val="18"/>
              </w:rPr>
              <w:t>高</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18"/>
                <w:szCs w:val="18"/>
              </w:rPr>
            </w:pPr>
            <w:r>
              <w:rPr>
                <w:rFonts w:ascii="宋体" w:hAnsi="宋体" w:cs="宋体"/>
                <w:color w:val="000000"/>
                <w:kern w:val="0"/>
                <w:sz w:val="18"/>
                <w:szCs w:val="18"/>
              </w:rPr>
              <w:t>人/户</w:t>
            </w:r>
          </w:p>
        </w:tc>
        <w:tc>
          <w:tcPr>
            <w:tcW w:w="926"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帮扶对象脱贫增收程度达到高</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成本指标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经济成本指标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工作经费</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1672.51</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万元</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r>
              <w:rPr>
                <w:rFonts w:hint="eastAsia" w:ascii="仿宋" w:hAnsi="仿宋" w:eastAsia="仿宋" w:cs="仿宋"/>
                <w:color w:val="000000"/>
                <w:szCs w:val="21"/>
              </w:rPr>
              <w:t>10％</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rPr>
                <w:rFonts w:ascii="仿宋" w:hAnsi="仿宋" w:eastAsia="仿宋" w:cs="仿宋"/>
                <w:color w:val="000000"/>
                <w:szCs w:val="21"/>
              </w:rPr>
            </w:pPr>
            <w:r>
              <w:rPr>
                <w:rFonts w:hint="eastAsia" w:ascii="仿宋" w:hAnsi="仿宋" w:eastAsia="仿宋" w:cs="仿宋"/>
                <w:color w:val="000000"/>
                <w:szCs w:val="21"/>
              </w:rPr>
              <w:t>成本控制在预期内</w:t>
            </w:r>
          </w:p>
        </w:tc>
      </w:tr>
      <w:tr>
        <w:tblPrEx>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满意度指标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满意度指标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满意认可度</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95</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rPr>
            </w:pPr>
            <w:r>
              <w:rPr>
                <w:rFonts w:ascii="宋体" w:hAnsi="宋体" w:cs="宋体"/>
                <w:color w:val="000000"/>
                <w:kern w:val="0"/>
                <w:sz w:val="18"/>
                <w:szCs w:val="18"/>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r>
              <w:rPr>
                <w:rFonts w:hint="eastAsia" w:ascii="仿宋" w:hAnsi="仿宋" w:eastAsia="仿宋" w:cs="仿宋"/>
                <w:color w:val="000000"/>
                <w:szCs w:val="21"/>
              </w:rPr>
              <w:t>10％</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rPr>
                <w:rFonts w:ascii="仿宋" w:hAnsi="仿宋" w:eastAsia="仿宋" w:cs="仿宋"/>
                <w:color w:val="000000"/>
                <w:szCs w:val="21"/>
              </w:rPr>
            </w:pPr>
            <w:r>
              <w:rPr>
                <w:rFonts w:hint="eastAsia" w:ascii="仿宋" w:hAnsi="仿宋" w:eastAsia="仿宋" w:cs="仿宋"/>
                <w:color w:val="000000"/>
                <w:szCs w:val="21"/>
              </w:rPr>
              <w:t>满意认可度为95%</w:t>
            </w:r>
          </w:p>
        </w:tc>
      </w:tr>
    </w:tbl>
    <w:p>
      <w:pPr>
        <w:pStyle w:val="31"/>
        <w:spacing w:line="560" w:lineRule="exact"/>
        <w:ind w:firstLine="640" w:firstLineChars="200"/>
        <w:rPr>
          <w:rFonts w:ascii="仿宋_GB2312" w:eastAsia="仿宋_GB2312"/>
          <w:color w:val="auto"/>
          <w:sz w:val="32"/>
          <w:szCs w:val="32"/>
        </w:rPr>
      </w:pPr>
    </w:p>
    <w:p>
      <w:pPr>
        <w:pStyle w:val="31"/>
        <w:spacing w:line="560" w:lineRule="exact"/>
        <w:ind w:firstLine="640" w:firstLineChars="200"/>
        <w:rPr>
          <w:rFonts w:ascii="仿宋_GB2312" w:eastAsia="仿宋_GB2312"/>
          <w:color w:val="auto"/>
          <w:sz w:val="32"/>
          <w:szCs w:val="32"/>
        </w:rPr>
      </w:pPr>
    </w:p>
    <w:p>
      <w:pPr>
        <w:pStyle w:val="31"/>
        <w:spacing w:line="560" w:lineRule="exact"/>
        <w:ind w:firstLine="640" w:firstLineChars="200"/>
        <w:rPr>
          <w:rFonts w:ascii="仿宋_GB2312" w:eastAsia="仿宋_GB2312"/>
          <w:color w:val="auto"/>
          <w:sz w:val="32"/>
          <w:szCs w:val="32"/>
        </w:rPr>
      </w:pPr>
    </w:p>
    <w:p>
      <w:pPr>
        <w:pStyle w:val="31"/>
        <w:spacing w:line="560" w:lineRule="exact"/>
        <w:rPr>
          <w:rFonts w:ascii="仿宋_GB2312" w:eastAsia="仿宋_GB2312"/>
          <w:color w:val="auto"/>
          <w:sz w:val="32"/>
          <w:szCs w:val="32"/>
        </w:rPr>
        <w:sectPr>
          <w:footerReference r:id="rId6" w:type="first"/>
          <w:footerReference r:id="rId5" w:type="default"/>
          <w:pgSz w:w="11906" w:h="16838"/>
          <w:pgMar w:top="1440" w:right="1800" w:bottom="1440" w:left="1800" w:header="851" w:footer="992" w:gutter="0"/>
          <w:pgNumType w:start="1"/>
          <w:cols w:space="425" w:num="1"/>
          <w:titlePg/>
          <w:docGrid w:type="lines" w:linePitch="312" w:charSpace="0"/>
        </w:sectPr>
      </w:pPr>
    </w:p>
    <w:p>
      <w:pPr>
        <w:spacing w:line="600" w:lineRule="exact"/>
        <w:jc w:val="center"/>
        <w:rPr>
          <w:rFonts w:ascii="黑体" w:hAnsi="黑体" w:eastAsia="黑体"/>
          <w:color w:val="FF0000"/>
          <w:sz w:val="44"/>
          <w:szCs w:val="44"/>
        </w:rPr>
      </w:pPr>
      <w:bookmarkStart w:id="68" w:name="_Toc15396618"/>
      <w:bookmarkStart w:id="69" w:name="_Toc15377226"/>
      <w:r>
        <w:rPr>
          <w:rFonts w:hint="eastAsia"/>
          <w:sz w:val="32"/>
          <w:szCs w:val="32"/>
        </w:rPr>
        <w:t>部门预算项目支出绩效自评表（2023年度）</w:t>
      </w:r>
    </w:p>
    <w:tbl>
      <w:tblPr>
        <w:tblStyle w:val="15"/>
        <w:tblW w:w="12758" w:type="dxa"/>
        <w:tblInd w:w="108" w:type="dxa"/>
        <w:tblLayout w:type="fixed"/>
        <w:tblCellMar>
          <w:top w:w="0" w:type="dxa"/>
          <w:left w:w="108" w:type="dxa"/>
          <w:bottom w:w="0" w:type="dxa"/>
          <w:right w:w="108" w:type="dxa"/>
        </w:tblCellMar>
      </w:tblPr>
      <w:tblGrid>
        <w:gridCol w:w="993"/>
        <w:gridCol w:w="1134"/>
        <w:gridCol w:w="1417"/>
        <w:gridCol w:w="1418"/>
        <w:gridCol w:w="708"/>
        <w:gridCol w:w="851"/>
        <w:gridCol w:w="709"/>
        <w:gridCol w:w="1701"/>
        <w:gridCol w:w="1253"/>
        <w:gridCol w:w="666"/>
        <w:gridCol w:w="1908"/>
      </w:tblGrid>
      <w:tr>
        <w:tblPrEx>
          <w:tblCellMar>
            <w:top w:w="0" w:type="dxa"/>
            <w:left w:w="108" w:type="dxa"/>
            <w:bottom w:w="0" w:type="dxa"/>
            <w:right w:w="108" w:type="dxa"/>
          </w:tblCellMar>
        </w:tblPrEx>
        <w:trPr>
          <w:trHeight w:val="631"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51000021R000000019951-工资性支出</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按照相关政策，及时核算相关支出，经财政部门审核后，予以发放。</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2,049.65</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2,075.82</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1,959.73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94.41%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9.44</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2,049.65</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2,075.82</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1,959.73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94.41%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99.44</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自评分99.44分，评价结果为优秀，通过该项目的实施，保障了职工的合法权益。</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51000021R000000019956-离退休费支出</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按照相关政策，及时核算相关支出，经财政部门审核后，予以发放。</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209.16</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209.16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209.16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209.16</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209.16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209.16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自评分100分，评价结果为优秀，通过该项目的实施，保障了离退休职工的合法权益。</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51000021Y000000011490-日常公用经费</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提高预算编制质量，严格执行预算，保障单位日常运转。</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按照相关政策，及时核算相关支出，经财政部门审核后，予以报账。</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138.00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138.00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138.00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138.00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138.00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138.00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7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90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自评分100分，评价结果为优秀，通过该项目的实施，保障了单位的正常运转。</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51080021T000000053572-国家司法救助</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12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《关于在全国检察机关开展“深入推进国家司法救助工作”专项活动的通知》　救助金以办理案件的人民检察院所在省、自治区、直辖市上一年度职工月平均工资为基准确定，一般不超过三十六个月的工资总额。损失特别重大、生活特别困难，需要适当突破救助限额的，应当严格审核控制，依照相关规定报批，总额不得超过人民法院依法应当判决的赔偿数额。</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《关于在全国检察机关开展“深入推进国家司法救助工作”专项活动的通知》　救助金以办理案件的人民检察院所在省、自治区、直辖市上一年度职工月平均工资为基准确定，一般不超过三十六个月的工资总额。损失特别重大、生活特别困难，需要适当突破救助限额的，应当严格审核控制，依照相关规定报批，总额不得超过人民法院依法应当判决的赔偿数额。</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《关于在全国检察机关开展“深入推进国家司法救助工作”专项活动的通知》　救助金以办理案件的人民检察院所在省、自治区、直辖市上一年度职工月平均工资为基准确定，一般不超过三十六个月的工资总额。损失特别重大、生活特别困难，需要适当突破救助限额的，应当严格审核控制，依照相关规定报批，总额不得超过人民法院依法应当判决的赔偿数额。</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司法救助人数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13</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提高人权司法保障率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根据高检院部署持续落实好司法救助责任要求</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救助人员满意度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司法救助经费</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840"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自评分100分，评价结果为优秀，通过该项目的实施，保障了司法救助活动的正常开展。</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51080021T000000053580-技侦大楼运行维护</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08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确保技侦大楼各项运转正常。1.安保物业费66万元/年； 2.空调维护5万元/年 ；3.消防检测2万元/年； 4.电梯维护3万元/年 ； 5.电力维护4万元/年； 6.大楼维修维护20万元/年； 7.绿植租摆维护3万元/年。</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办公大楼面积达到9600平米；安全等级达到国家安全标准达到高；降低技侦大楼维修率，保障正常运转效果为优；根据市委安排持续加强检察监督力度效果为优；群众满意度为92%；技侦大楼维护费用为66.6万元。</w:t>
            </w:r>
          </w:p>
        </w:tc>
      </w:tr>
      <w:tr>
        <w:tblPrEx>
          <w:tblCellMar>
            <w:top w:w="0" w:type="dxa"/>
            <w:left w:w="108" w:type="dxa"/>
            <w:bottom w:w="0" w:type="dxa"/>
            <w:right w:w="108" w:type="dxa"/>
          </w:tblCellMar>
        </w:tblPrEx>
        <w:trPr>
          <w:trHeight w:val="10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实施内容旨在保障技侦大楼的顺畅运行，具体实施过程如下：首先，确保大楼的安保和物业管理，年预算为66万元；其次，对大楼的空调系统进行定期维护，年预算为5万元；接着，进行消防系统的年度检测，预算为2万元；此外，包括电梯的年度维护，预算为3万元；电力系统的维护预算为4万元；同时，对大楼进行常规维修维护，年预算为20万元；最后，对大楼内的绿植进行租摆和维护，年预算为3万元。以上各项费用将专项用于保障技侦大楼的正常运转和设施良好状态。</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66.60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66.60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34.21</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51.37%</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此为政府采购项目，未执行原因是政府采购程序未完成，不能及时支付。</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66.60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66.60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34.21</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51.37%</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办公大楼面积</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平方米</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安全等级达到国家安全标准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降低技侦大楼维修率，保障正常运转</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根据市委安排持续加强检察监督力度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群众满意度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92</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技侦大楼维护费用</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66.6</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34.21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此为政府采购项目，未执行原因是政府采购程序未完成，不能及时支付。</w:t>
            </w:r>
          </w:p>
        </w:tc>
      </w:tr>
      <w:tr>
        <w:tblPrEx>
          <w:tblCellMar>
            <w:top w:w="0" w:type="dxa"/>
            <w:left w:w="108" w:type="dxa"/>
            <w:bottom w:w="0" w:type="dxa"/>
            <w:right w:w="108" w:type="dxa"/>
          </w:tblCellMar>
        </w:tblPrEx>
        <w:trPr>
          <w:trHeight w:val="49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96</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经认真自查，该项目按照市级非专项预算项目支出绩效评价体系得分96分。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加强预算执行进度管理，2.注重资金支出的“效果”，提高部门绩效目标的科学性，3.加强融合绩效理念，4.增强内部控制制度的执行力度，提升项目管理水平，5.以绩效目标为导向，建立全过程预算绩效管理机制。</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51080021Y000000176770-其他公用经费（福利、工会、公车补贴、党建、退休活动）</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提高预算编制质量，严格执行预算，保障单位日常运转。</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按照相关政策，及时核算相关支出，经财政部门审核后，予以报账。</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146.91</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146.91</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146.91</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146.91</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146.91</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146.91</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7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90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经认真自查，该项目按照市级非专项预算项目支出绩效评价体系得分100分。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51080022R000000267546-工资性支出（事业）</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按照相关政策，及时核算相关支出，经财政部门审核后，予以发放。</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110.15</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110.15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110.15</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110.15</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110.15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110.15</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经认真自查，该项目按照市级非专项预算项目支出绩效评价体系得分100分。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51080022R000006844873-退休“中人”一次性退休补贴</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按照相关政策，及时核算相关支出，经财政部门审核后，予以发放。</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14.72</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14.72</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14.72</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14.72</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经认真自查，该项目按照市级非专项预算项目支出绩效评价体系得分100分。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51080022T000004937515-检察监督</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80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对叛国案、分裂国家安全以及严重破坏国家政策、法律、法令、政令统一实施的重大案件，依法行使检察权。根据高、省检院确定的工作方针，部署全市检察工作任务。对全市重大刑事犯罪案件依法审查批准逮捕、决定逮捕、提起公诉；依法对刑事诉讼、民事审判和行政诉讼实行法律监督。受理单位和个人的报案、控告、申诉和举报，接受犯罪嫌疑人的自首，规划和指导全市检察机关的检察技术工作和物证检验、鉴定、审查复核工作。上述工作开展所需的办案费含侦缉调查费、协助办案费、技术检验、鉴定和翻译费、特情费、其他办案费。</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案件数量为987件；错误批捕率为5%；监督案件审结时间为2023年12月；执法司法公信力显著提高，人民满意度达94%；按照高检院部署持续落实好“四大检察”“十大业务”各项指标效果为优；群众满意度达97%；检察监督项目经费使用236.37万元.</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本项目实施内容涉及对重大案件依法行使检察权，包括叛国、分裂国家安全等，并依据高、省检院方针部署全市检察任务。过程中，将对重大刑事犯罪案件进行审查、批准逮捕、提起公诉，并监督刑事诉讼、民事审判和行政诉讼。同时，项目将处理报案、控告、申诉、举报，接收自首，并指导检察技术工作，包括物证检验、鉴定等。实施中将合理分配办案费用，确保项目高效运行。</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236.37</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236.37</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236.37</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236.37</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236.37</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236.37</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案件数量</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987</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件</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987</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错误批捕率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5</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监督案件审结时间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执法司法公信力显著提高，人民满意度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94</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7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按照高检院部署持续落实好“四大检察”“十大业务”各项指标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群众满意度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97</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检察监督</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236.37</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231.58</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98</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930"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经认真自查，该项目按照市级非专项预算项目支出绩效评价体系得分98分。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加强预算执行进度管理，2.注重资金支出的“效果”，提高部门绩效目标的科学性，3.加强融合绩效理念，4.增强内部控制制度的执行力度，提升项目管理水平，5.以绩效目标为导向，建立全过程预算绩效管理机制。</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51080022T000004937846-乡村振兴工作经费</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39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党的十九大提出实施乡村振兴战略，是以习近平同志为核心的党中央着眼党和国家事业全局对“三农”工作作出的重大决策部署，市委、市政府安排，结合我院实际安排三名同志到青川县观音店乡两河村进行乡村振兴工作，包括经济作物和发展养殖业，脱贫不脱政策，每月至少两次到户帮扶。</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 xml:space="preserve"> 帮扶贫困户151人；对口帮扶村饮水安全质量有保障效果为优；完成时间为2023年12月底；帮扶对象脱贫增收程度达到高；帮扶村生态林保护达到国家标准为优；帮扶对象满意度达95%；乡村振兴工作经费执行5.46万元。</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本项目旨在实施乡村振兴战略，响应党的十九大提出的重大决策部署。项目实施内容如下：根据市委、市政府的安排，结合我院实际情况，选派三名同志前往青川县观音店乡两河村开展乡村振兴工作。实施过程包括推动经济作物种植和养殖业发展，确保脱贫成果持续巩固，政策支持不断档。项目团队将每月至少两次深入农户，提供面对面的帮扶，以促进当地经济社会的全面发展。</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帮扶贫困户</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对口帮扶村饮水安全质量有保障</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人/户</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帮扶对象脱贫增收</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人/户</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生态效益指标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帮扶村生态林保护达到国家标准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帮扶对象满意度指标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帮扶对象满意度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95</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乡村振兴工作经费</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5.46</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经认真自查，该项目按照市级非专项预算项目支出绩效评价体系得分96分。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加强预算执行进度管理，2.注重资金支出的“效果”，提高部门绩效目标的科学性，3.加强融合绩效理念，4.增强内部控制制度的执行力度，提升项目管理水平，5.以绩效目标为导向，建立全过程预算绩效管理机制。</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51080022Y000000267568-定额公用经费（事业）</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提高预算编制质量，严格执行预算，保障单位日常运转。</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按照相关政策，及时核算相关支出，经财政部门审核后，予以报账。</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7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90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经认真自查，该项目按照市级非专项预算项目支出绩效评价体系得分100分。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51080023R000007612345-规范后市级基础绩效奖及生活补助</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按照相关政策，及时核算相关支出，经财政部门审核后，予以发放。</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96.16</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96.16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96.16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96.16</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96.16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96.16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经认真自查，该项目按照市级非专项预算项目支出绩效评价体系得分100分。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51080023R000009698970-单位年度考核奖</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按照相关政策，及时核算相关支出，经财政部门审核后，予以发放。</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78.34</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78.34</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78.34</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78.34</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经认真自查，该项目按照市级非专项预算项目支出绩效评价体系得分100分。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51080023T000008414163-法警法定工作日之外加班补贴</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做好加班记录，保证加班支出的真实性、合理性，司法警察7人，每人每月710元，计6万元；2、按标准、按季度发放加班补贴</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司法警察人数为7人；月标准达到710元/月；完成时间2023年年底；确保检察监督类案件公正办理质量为优；干警满意度达96%；司法警察加班费支出成本控制在6万元.</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实施内容涉及加班记录管理及加班补贴的发放，具体过程如下：首先，建立健全加班记录制度，确保每位司法警察的加班时间得到准确记录，以保障加班支出的真实性和合理性。项目团队由7名司法警察组成，每人每月将根据实际加班情况获得710元的加班补贴，总计年度补贴金额为6万元。其次，项目将严格按照国家和单位的相关标准，按季度对加班补贴进行核算和发放，确保补贴的及时性和准确性。</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司法警察人数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月标准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710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元/月</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710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确保检察监督类案件公正办理</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干警满意</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司法警察加班费支出</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经认真自查，该项目按照市级非专项预算项目支出绩效评价体系得分98分。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加强预算执行进度管理，2.注重资金支出的“效果”，提高部门绩效目标的科学性，3.加强融合绩效理念，4.增强内部控制制度的执行力度，提升项目管理水平，5.以绩效目标为导向，建立全过程预算绩效管理机制。</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51080023T000008414218-聘用制书记员经费</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广编发【2019】99号，聘用制书记员24人按每年每人5万元计算，计120万元。承担案件审理、检察中的记录、庭前准备以及开庭时的准备工作，校对、印制、送达法律文书，整理、装订、归档案卷</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聘用制书记员人数为24人；工资发放及时率达100%；完成时间为2023年12月；保障检察官办案效果为优；书记员的满意率为96%；书记员工作经费为120万元。</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本项目将聘用24名书记员，每人年薪为5万元，总计预算为120万元。这些书记员将负责案件审理和检察过程中的记录工作，包括但不限于庭前准备、开庭时的各项准备工作。此外，他们还将承担校对、印制及送达法律文书的任务，以及整理、装订和归档案卷材料，确保司法文书的准确性和案件档案的完整性。</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聘用制书记员人数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工资发放及时率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保障检察官办案</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书记员的满意率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96</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书记员工作经费</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97</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经认真自查，该项目按照市级非专项预算项目支出绩效评价体系得分97分。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加强预算执行进度管理，2.注重资金支出的“效果”，提高部门绩效目标的科学性，3.加强融合绩效理念，4.增强内部控制制度的执行力度，提升项目管理水平，5.以绩效目标为导向，建立全过程预算绩效管理机制。</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51080023T000008461278-聘用人员经费</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97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校对、印制文书文件，整理、装订、归档案卷材料等；执行派车计划，完成出车任务，认真执行公务用车制度，文明行车，确保行车安全。</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聘用人员经费标准为46.2万元；聘用人员人数为14人；工资发放及时率达100%；完成时间为2023年12月；保障检察官办案效果为优；聘用人员的满意率达100%；聘用人员经费支出46.2万元。</w:t>
            </w:r>
          </w:p>
        </w:tc>
      </w:tr>
      <w:tr>
        <w:tblPrEx>
          <w:tblCellMar>
            <w:top w:w="0" w:type="dxa"/>
            <w:left w:w="108" w:type="dxa"/>
            <w:bottom w:w="0" w:type="dxa"/>
            <w:right w:w="108" w:type="dxa"/>
          </w:tblCellMar>
        </w:tblPrEx>
        <w:trPr>
          <w:trHeight w:val="10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本项目实施内容主要包括文书管理和车辆调度两个部分。在文书管理方面，将执行以下过程：细致校对各类文书文件，确保无误；负责文印工作，保证文件清晰；整理、装订案卷材料，使之规范有序；并将整理好的档案材料进行归档，以便于检索和保存。在车辆调度方面，实施过程如下：遵循派车计划，完成各项出车任务；严格遵守公务用车制度，确保用车合规；在行车过程中，坚持文明驾驶，采取必要措施，保障行车安全。</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聘用人员经费</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聘用人员人数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工资发放及时率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保障检察官办案</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聘用人员的满意率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聘用人员经费支出</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46.2</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99</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经认真自查，该项目按照市级非专项预算项目支出绩效评价体系得分99分。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加强预算执行进度管理，2.注重资金支出的“效果”，提高部门绩效目标的科学性，3.加强融合绩效理念，4.增强内部控制制度的执行力度，提升项目管理水平，5.以绩效目标为导向，建立全过程预算绩效管理机制。</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51080023T000008949296-年度考核奖</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严格执行相关政策，保障工资及时、足额发放或社保及时、足额缴纳，预算编制科学合理，减少结余资金。</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按照相关政策，及时核算相关支出，经财政部门审核后，予以发放。</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75.60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75.60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75.60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75.60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75.60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75.60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自评分100分，评价结果为优秀，通过该项目的实施，保障了职工的合法权益。</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51080023T000009130888-机关事业单位职业年金记实资金</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严格执行相关政策，保障工资及时、足额发放或社保及时、足额缴纳。</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按照相关政策，及时核算相关支出，经财政部门审核后，予以缴纳。</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14.64</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8.86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8.86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无</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14.64</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8.86</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8.86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经认真自查，该项目按照市级非专项预算项目支出绩效评价体系得分100分。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51080023T000009452039-2023年特定转移支付</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112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该刑罚执行监督系统适用于监狱、看守所、社区矫正机构、公安机关、人民法院等刑罚执行和监管场所，旨在通过信息化手段，对刑罚执行活动进行全面监督，确保刑罚执行的规范性和公正性，维护监管场所秩序稳定，保障刑罚执行和监管工作的顺利进行。</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严格执行相关政策，及时高效开展活动。</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按照相关政策，及时核算相关支出，经财政部门审核后，予以支付。</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270.97</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632.00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407.00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64.40%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1.预算执行率=预算执行数/调整后预算数，预算执行率未达到90%的需说明原因（100字以内）;2.年中发生预算调整的（追加或调减）</w:t>
            </w:r>
            <w:r>
              <w:rPr>
                <w:rFonts w:hint="eastAsia" w:ascii="Courier New" w:hAnsi="Courier New" w:eastAsia="等线" w:cs="Courier New"/>
                <w:i/>
                <w:iCs/>
                <w:color w:val="000000"/>
                <w:kern w:val="0"/>
                <w:sz w:val="18"/>
                <w:szCs w:val="18"/>
                <w:lang w:eastAsia="zh-CN"/>
              </w:rPr>
              <w:t>，</w:t>
            </w:r>
            <w:r>
              <w:rPr>
                <w:rFonts w:ascii="Courier New" w:hAnsi="Courier New" w:eastAsia="等线" w:cs="Courier New"/>
                <w:i/>
                <w:iCs/>
                <w:color w:val="000000"/>
                <w:kern w:val="0"/>
                <w:sz w:val="18"/>
                <w:szCs w:val="18"/>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632.00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407.00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64.40%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采购数量</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套</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验收合格率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对提升数据共享服务方面的影响程度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7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信息化系统上线运行后的网络带宽利用率、设备利用率以及应用系统实现率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社会公众或服务对象对项目实施效果的满意程度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97</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840"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本项目总预算632万元，2023年预算执行407万元，按照项目预期执行，并且本项目在专项预算执行中取得了显著成效，评价总分为97分。项目实施情况良好，但还有改进的空间：应加快实施进度，积极解决在执行过程中的各种困难，项目实施效促进了区域经济发展。预算资金得到了合理分配和使用，确保了项目的高效运转，实现了预期目标，为今后类似项目的实施提供了宝贵经验。</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一是绩效评价指标设置还有待进一步完善；二是对项目部门负责人在绩效评价方面还需加强业务培训，以利于更好的推进此项工作。</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针对2023年特定转移支付项目评价中发现的问题，建议在预算安排上优化分配，加强监控，以防止资金浪费；在政策层面，完善扶持政策，扩大受益群体；在管理方面，规范流程，更新培训内容，并建立完善的监督评价机制，以提升项目实施效率和效果。</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51080023T000009704549-被装购置</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90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为市院干警统一着装提供经费支撑，进一步提高检察机关监督水平，满足出庭等规范着装要求，提升社会形象。提高监督的严肃性和权威性，促进队伍的正规化、专业化、标准化建设，打造一支政治坚定、素质优良、纪律严明、行为规范、廉洁高效的检察队伍，增强检察机关公信力和凝聚力。</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为市院干警统一着装提供经费支撑，进一步提高检察机关监督水平，满足出庭等规范着装要求，提升社会形象。提高监督的严肃性和权威性，促进队伍的正规化、专业化、标准化建设，打造一支政治坚定、素质优良、纪律严明、行为规范、廉洁高效的检察队伍，增强检察机关公信力和凝聚力。</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为市院干警统一着装提供经费支撑，进一步提高检察机关监督水平，满足出庭等规范着装要求，提升社会形象。提高监督的严肃性和权威性，促进队伍的正规化、专业化、标准化建设，打造一支政治坚定、素质优良、纪律严明、行为规范、廉洁高效的检察队伍，增强检察机关公信力和凝聚力。</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35.95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30.12</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83.79%</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8.4</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聘用制书记员的服装暂未支付。</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35.95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30.12</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83.79%</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着装人数</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134</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134</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服装质量合格率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检察机关形象</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司法公信力</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干警满意度</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98</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着装成本</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35.95</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30.12</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49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18"/>
                <w:szCs w:val="18"/>
              </w:rPr>
            </w:pPr>
            <w:r>
              <w:rPr>
                <w:rFonts w:hint="eastAsia" w:ascii="宋体" w:hAnsi="宋体" w:cs="宋体"/>
                <w:color w:val="000000"/>
                <w:kern w:val="0"/>
                <w:sz w:val="18"/>
                <w:szCs w:val="18"/>
              </w:rPr>
              <w:t>98.4</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聘用制书记员的服装暂未支付。</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经认真自查，该项目按照市级非专项预算项目支出绩效评价体系得分98.4分。</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51080024T000010916673-一平台三中心项目建设</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在两级检察机关搭建起智慧管理平台、检察大数据中心、指挥中心、安全监管运维中心，形成横向到边、纵向到底一体协同的智慧检察应用格局。</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2023年12月29日下达的指标，此项目未自评。</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2023年12月29日下达的指标，此项目未自评。</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265.85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i/>
                <w:iCs/>
                <w:color w:val="000000"/>
                <w:kern w:val="0"/>
                <w:sz w:val="18"/>
                <w:szCs w:val="18"/>
              </w:rPr>
            </w:pPr>
            <w:r>
              <w:rPr>
                <w:rFonts w:ascii="Courier New" w:hAnsi="Courier New" w:eastAsia="等线" w:cs="Courier New"/>
                <w:i/>
                <w:iCs/>
                <w:color w:val="000000"/>
                <w:kern w:val="0"/>
                <w:sz w:val="18"/>
                <w:szCs w:val="18"/>
              </w:rPr>
              <w:t>2023年12月29日下达的指标，此项目未自评。</w:t>
            </w: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265.85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时效指标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项目完成时效</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24</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月</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质量指标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设备验收合格率</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97</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召开部门联席会议次数</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4</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次/年</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产出指标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数量指标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设备购置数量</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500</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个（套）</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社会效益指标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检察办案效率明细提升</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级</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效益指标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可持续发展指标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智慧检察应用格局的形成</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定性</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优</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级</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5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满意度指标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服务对象满意度指标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干警满意度</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95</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成本指标</w:t>
            </w:r>
          </w:p>
        </w:tc>
        <w:tc>
          <w:tcPr>
            <w:tcW w:w="14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经济成本指标</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等线" w:hAnsi="等线" w:eastAsia="等线" w:cs="宋体"/>
                <w:color w:val="000000"/>
                <w:kern w:val="0"/>
                <w:sz w:val="18"/>
                <w:szCs w:val="18"/>
              </w:rPr>
            </w:pPr>
            <w:r>
              <w:rPr>
                <w:rFonts w:hint="eastAsia" w:ascii="等线" w:hAnsi="等线" w:eastAsia="等线" w:cs="宋体"/>
                <w:color w:val="000000"/>
                <w:kern w:val="0"/>
                <w:sz w:val="18"/>
                <w:szCs w:val="18"/>
              </w:rPr>
              <w:t>全年成本控制数</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265.85</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万元</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p>
        </w:tc>
        <w:tc>
          <w:tcPr>
            <w:tcW w:w="125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等线" w:hAnsi="等线" w:eastAsia="等线" w:cs="宋体"/>
                <w:color w:val="000000"/>
                <w:kern w:val="0"/>
                <w:sz w:val="18"/>
                <w:szCs w:val="18"/>
              </w:rPr>
            </w:pPr>
            <w:r>
              <w:rPr>
                <w:rFonts w:hint="eastAsia" w:ascii="等线" w:hAnsi="等线" w:eastAsia="等线" w:cs="宋体"/>
                <w:color w:val="000000"/>
                <w:kern w:val="0"/>
                <w:sz w:val="18"/>
                <w:szCs w:val="18"/>
              </w:rPr>
              <w:t>20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2023年12月29日下达的指标，此项目未自评。</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904" w:hRule="atLeast"/>
        </w:trPr>
        <w:tc>
          <w:tcPr>
            <w:tcW w:w="1275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trHeight w:val="285"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51080024T000010917217-检察专网涉密信息管理系统项目建设</w:t>
            </w:r>
          </w:p>
        </w:tc>
      </w:tr>
      <w:tr>
        <w:tblPrEx>
          <w:tblCellMar>
            <w:top w:w="0" w:type="dxa"/>
            <w:left w:w="108" w:type="dxa"/>
            <w:bottom w:w="0" w:type="dxa"/>
            <w:right w:w="108" w:type="dxa"/>
          </w:tblCellMar>
        </w:tblPrEx>
        <w:trPr>
          <w:trHeight w:val="514" w:hRule="atLeast"/>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四川省广元市人民检察院部门</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实施单位 （盖章）</w:t>
            </w:r>
          </w:p>
        </w:tc>
        <w:tc>
          <w:tcPr>
            <w:tcW w:w="382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四川省广元市人民检察院</w:t>
            </w:r>
          </w:p>
        </w:tc>
      </w:tr>
      <w:tr>
        <w:tblPrEx>
          <w:tblCellMar>
            <w:top w:w="0" w:type="dxa"/>
            <w:left w:w="108" w:type="dxa"/>
            <w:bottom w:w="0" w:type="dxa"/>
            <w:right w:w="108" w:type="dxa"/>
          </w:tblCellMar>
        </w:tblPrEx>
        <w:trPr>
          <w:trHeight w:val="285"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年度目标完成情况</w:t>
            </w:r>
          </w:p>
        </w:tc>
      </w:tr>
      <w:tr>
        <w:tblPrEx>
          <w:tblCellMar>
            <w:top w:w="0" w:type="dxa"/>
            <w:left w:w="108" w:type="dxa"/>
            <w:bottom w:w="0" w:type="dxa"/>
            <w:right w:w="108" w:type="dxa"/>
          </w:tblCellMar>
        </w:tblPrEx>
        <w:trPr>
          <w:trHeight w:val="7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10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在我市检察机关涉密专网配备电子文档安全管理系统、文档发文信息隐写溯源系统、智能公文交换箱，从而有效保护设计国家秘密和检务工作秘密信息安全，更好管控电子文档流转，实现涉密文档追踪溯源和机要文件数据资源整合利用和公文管理交换。</w:t>
            </w:r>
          </w:p>
        </w:tc>
        <w:tc>
          <w:tcPr>
            <w:tcW w:w="55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2023年12月29日下达的指标，此项目未自评。</w:t>
            </w:r>
          </w:p>
        </w:tc>
      </w:tr>
      <w:tr>
        <w:tblPrEx>
          <w:tblCellMar>
            <w:top w:w="0" w:type="dxa"/>
            <w:left w:w="108" w:type="dxa"/>
            <w:bottom w:w="0" w:type="dxa"/>
            <w:right w:w="108" w:type="dxa"/>
          </w:tblCellMar>
        </w:tblPrEx>
        <w:trPr>
          <w:trHeight w:val="69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10631"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2023年12月29日下达的指标，此项目未自评。</w:t>
            </w:r>
          </w:p>
        </w:tc>
      </w:tr>
      <w:tr>
        <w:tblPrEx>
          <w:tblCellMar>
            <w:top w:w="0" w:type="dxa"/>
            <w:left w:w="108" w:type="dxa"/>
            <w:bottom w:w="0" w:type="dxa"/>
            <w:right w:w="108" w:type="dxa"/>
          </w:tblCellMar>
        </w:tblPrEx>
        <w:trPr>
          <w:trHeight w:val="3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trHeight w:val="34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185.65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9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185.65</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0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6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9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ourier New" w:hAnsi="Courier New" w:eastAsia="等线" w:cs="Courier New"/>
                <w:i/>
                <w:iCs/>
                <w:color w:val="000000"/>
                <w:kern w:val="0"/>
                <w:sz w:val="18"/>
                <w:szCs w:val="18"/>
              </w:rPr>
            </w:pPr>
          </w:p>
        </w:tc>
      </w:tr>
      <w:tr>
        <w:tblPrEx>
          <w:tblCellMar>
            <w:top w:w="0" w:type="dxa"/>
            <w:left w:w="108" w:type="dxa"/>
            <w:bottom w:w="0" w:type="dxa"/>
            <w:right w:w="108" w:type="dxa"/>
          </w:tblCellMar>
        </w:tblPrEx>
        <w:trPr>
          <w:trHeight w:val="454"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338"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trHeight w:val="285" w:hRule="atLeast"/>
        </w:trPr>
        <w:tc>
          <w:tcPr>
            <w:tcW w:w="8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9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0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2023年12月29日下达的指标，此项目未自评。</w:t>
            </w:r>
          </w:p>
        </w:tc>
      </w:tr>
      <w:tr>
        <w:tblPrEx>
          <w:tblCellMar>
            <w:top w:w="0" w:type="dxa"/>
            <w:left w:w="108" w:type="dxa"/>
            <w:bottom w:w="0" w:type="dxa"/>
            <w:right w:w="108" w:type="dxa"/>
          </w:tblCellMar>
        </w:tblPrEx>
        <w:trPr>
          <w:trHeight w:val="57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6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1176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项目负责人：黄小珉</w:t>
            </w: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r>
              <w:rPr>
                <w:rFonts w:ascii="Courier New" w:hAnsi="Courier New" w:eastAsia="等线" w:cs="Courier New"/>
                <w:color w:val="000000"/>
                <w:kern w:val="0"/>
                <w:sz w:val="18"/>
                <w:szCs w:val="18"/>
              </w:rPr>
              <w:t>财务负责人：李翠华</w:t>
            </w:r>
          </w:p>
        </w:tc>
      </w:tr>
      <w:tr>
        <w:tblPrEx>
          <w:tblCellMar>
            <w:top w:w="0" w:type="dxa"/>
            <w:left w:w="108" w:type="dxa"/>
            <w:bottom w:w="0" w:type="dxa"/>
            <w:right w:w="108" w:type="dxa"/>
          </w:tblCellMar>
        </w:tblPrEx>
        <w:trPr>
          <w:trHeight w:val="285" w:hRule="atLeast"/>
        </w:trPr>
        <w:tc>
          <w:tcPr>
            <w:tcW w:w="567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20"/>
            </w:pPr>
          </w:p>
        </w:tc>
        <w:tc>
          <w:tcPr>
            <w:tcW w:w="708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ourier New" w:hAnsi="Courier New" w:eastAsia="等线" w:cs="Courier New"/>
                <w:color w:val="000000"/>
                <w:kern w:val="0"/>
                <w:sz w:val="18"/>
                <w:szCs w:val="18"/>
              </w:rPr>
            </w:pPr>
          </w:p>
        </w:tc>
      </w:tr>
    </w:tbl>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sectPr>
          <w:pgSz w:w="16838" w:h="11906" w:orient="landscape"/>
          <w:pgMar w:top="1797" w:right="1440" w:bottom="1797" w:left="1440" w:header="851" w:footer="992" w:gutter="0"/>
          <w:cols w:space="425" w:num="1"/>
          <w:titlePg/>
          <w:docGrid w:type="linesAndChars" w:linePitch="312" w:charSpace="0"/>
        </w:sectPr>
      </w:pPr>
    </w:p>
    <w:p>
      <w:pPr>
        <w:pStyle w:val="2"/>
        <w:spacing w:before="72"/>
        <w:rPr>
          <w:rFonts w:ascii="黑体" w:hAnsi="黑体" w:eastAsia="黑体" w:cs="黑体"/>
          <w:sz w:val="32"/>
          <w:szCs w:val="32"/>
        </w:rPr>
      </w:pPr>
      <w:r>
        <w:rPr>
          <w:rFonts w:hint="eastAsia" w:ascii="黑体" w:hAnsi="黑体" w:eastAsia="黑体" w:cs="黑体"/>
          <w:sz w:val="32"/>
          <w:szCs w:val="32"/>
          <w:shd w:val="clear" w:color="auto" w:fill="FFFFFF"/>
          <w:lang w:val="zh-CN"/>
        </w:rPr>
        <w:t>附件</w:t>
      </w:r>
      <w:r>
        <w:rPr>
          <w:rFonts w:hint="eastAsia" w:ascii="黑体" w:hAnsi="黑体" w:eastAsia="黑体" w:cs="黑体"/>
          <w:sz w:val="32"/>
          <w:szCs w:val="32"/>
          <w:shd w:val="clear" w:color="auto" w:fill="FFFFFF"/>
        </w:rPr>
        <w:t>2</w:t>
      </w:r>
    </w:p>
    <w:p>
      <w:pPr>
        <w:pStyle w:val="36"/>
        <w:spacing w:line="578" w:lineRule="exact"/>
        <w:jc w:val="center"/>
        <w:rPr>
          <w:rFonts w:asciiTheme="minorEastAsia" w:hAnsiTheme="minorEastAsia" w:eastAsiaTheme="minorEastAsia" w:cstheme="minorEastAsia"/>
          <w:color w:val="auto"/>
          <w:kern w:val="2"/>
          <w:sz w:val="44"/>
          <w:szCs w:val="44"/>
          <w:lang w:val="en-US"/>
        </w:rPr>
      </w:pPr>
      <w:r>
        <w:rPr>
          <w:rFonts w:hint="eastAsia" w:asciiTheme="minorEastAsia" w:hAnsiTheme="minorEastAsia" w:eastAsiaTheme="minorEastAsia" w:cstheme="minorEastAsia"/>
          <w:color w:val="auto"/>
          <w:kern w:val="2"/>
          <w:sz w:val="44"/>
          <w:szCs w:val="44"/>
          <w:lang w:val="en-US"/>
        </w:rPr>
        <w:t>2023年特定转移支付专项预算项目绩效评价报告</w:t>
      </w:r>
    </w:p>
    <w:p>
      <w:pPr>
        <w:adjustRightInd w:val="0"/>
        <w:snapToGrid w:val="0"/>
        <w:spacing w:line="578" w:lineRule="exact"/>
        <w:ind w:firstLine="420"/>
        <w:rPr>
          <w:rFonts w:hint="eastAsia" w:ascii="仿宋_GB2312" w:hAnsi="??" w:eastAsia="仿宋_GB2312"/>
          <w:kern w:val="0"/>
          <w:sz w:val="32"/>
          <w:szCs w:val="32"/>
          <w:lang w:val="zh-CN"/>
        </w:rPr>
      </w:pPr>
      <w:r>
        <w:rPr>
          <w:rFonts w:hint="eastAsia" w:asciiTheme="minorEastAsia" w:hAnsiTheme="minorEastAsia" w:eastAsiaTheme="minorEastAsia" w:cstheme="minorEastAsia"/>
          <w:b/>
          <w:bCs/>
        </w:rPr>
        <w:t>一</w:t>
      </w:r>
      <w:r>
        <w:rPr>
          <w:rFonts w:hint="eastAsia" w:ascii="仿宋_GB2312" w:hAnsi="??" w:eastAsia="仿宋_GB2312"/>
          <w:kern w:val="0"/>
          <w:sz w:val="32"/>
          <w:szCs w:val="32"/>
          <w:lang w:val="zh-CN"/>
        </w:rPr>
        <w:t>、项目概况</w:t>
      </w:r>
    </w:p>
    <w:p>
      <w:pPr>
        <w:widowControl/>
        <w:adjustRightInd w:val="0"/>
        <w:snapToGrid w:val="0"/>
        <w:spacing w:line="578" w:lineRule="exact"/>
        <w:ind w:firstLine="320" w:firstLineChars="100"/>
        <w:contextualSpacing/>
        <w:jc w:val="left"/>
        <w:rPr>
          <w:rFonts w:hint="eastAsia" w:ascii="仿宋_GB2312" w:hAnsi="??" w:eastAsia="仿宋_GB2312"/>
          <w:kern w:val="0"/>
          <w:sz w:val="32"/>
          <w:szCs w:val="32"/>
          <w:lang w:val="zh-CN"/>
        </w:rPr>
      </w:pPr>
      <w:r>
        <w:rPr>
          <w:rFonts w:hint="eastAsia" w:ascii="仿宋_GB2312" w:hAnsi="??" w:eastAsia="仿宋_GB2312"/>
          <w:kern w:val="0"/>
          <w:sz w:val="32"/>
          <w:szCs w:val="32"/>
          <w:lang w:val="zh-CN"/>
        </w:rPr>
        <w:t>（一）设立背景及基本情况。</w:t>
      </w:r>
    </w:p>
    <w:p>
      <w:pPr>
        <w:pStyle w:val="20"/>
        <w:ind w:firstLine="640" w:firstLineChars="200"/>
        <w:outlineLvl w:val="9"/>
        <w:rPr>
          <w:rFonts w:hint="eastAsia" w:ascii="仿宋_GB2312" w:hAnsi="??" w:eastAsia="仿宋_GB2312"/>
          <w:b w:val="0"/>
          <w:kern w:val="0"/>
          <w:sz w:val="32"/>
          <w:szCs w:val="32"/>
          <w:lang w:val="zh-CN"/>
        </w:rPr>
      </w:pPr>
      <w:r>
        <w:rPr>
          <w:rFonts w:hint="eastAsia" w:ascii="仿宋_GB2312" w:hAnsi="??" w:eastAsia="仿宋_GB2312"/>
          <w:b w:val="0"/>
          <w:kern w:val="0"/>
          <w:sz w:val="32"/>
          <w:szCs w:val="32"/>
          <w:lang w:val="zh-CN"/>
        </w:rPr>
        <w:t>1.项目设立原因及背景</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2023年，针对刑罚执行监督领域存在的不足和社会对监管场所秩序稳定的关切，我单位特别设立了转移支付项目，旨在全面提升刑罚执行监督效能，确保监管场所的安全与秩序。这一项目的设立背景在于响应国家法治建设的战略需求，维护社会稳定，推动法治进程，同时弥补现有工作的短板，以保障人权和维护社会公平正义。</w:t>
      </w:r>
    </w:p>
    <w:p>
      <w:pPr>
        <w:ind w:firstLine="420"/>
        <w:rPr>
          <w:rFonts w:hint="eastAsia" w:ascii="仿宋_GB2312" w:hAnsi="??" w:eastAsia="仿宋_GB2312"/>
          <w:kern w:val="0"/>
          <w:sz w:val="32"/>
          <w:szCs w:val="32"/>
          <w:lang w:val="zh-CN"/>
        </w:rPr>
      </w:pPr>
      <w:r>
        <w:rPr>
          <w:rFonts w:hint="eastAsia" w:ascii="仿宋_GB2312" w:hAnsi="??" w:eastAsia="仿宋_GB2312"/>
          <w:kern w:val="0"/>
          <w:sz w:val="32"/>
          <w:szCs w:val="32"/>
          <w:lang w:val="zh-CN"/>
        </w:rPr>
        <w:t>2.项目立项、资金申报的依据</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项目立项、资金申报的依据主要是本单位职能职责及年度工作计划。</w:t>
      </w:r>
    </w:p>
    <w:p>
      <w:pPr>
        <w:adjustRightInd w:val="0"/>
        <w:snapToGrid w:val="0"/>
        <w:spacing w:line="560" w:lineRule="exact"/>
        <w:ind w:firstLine="420"/>
        <w:rPr>
          <w:rFonts w:hint="eastAsia" w:ascii="仿宋_GB2312" w:hAnsi="??" w:eastAsia="仿宋_GB2312"/>
          <w:kern w:val="0"/>
          <w:sz w:val="32"/>
          <w:szCs w:val="32"/>
          <w:lang w:val="zh-CN"/>
        </w:rPr>
      </w:pPr>
      <w:r>
        <w:rPr>
          <w:rFonts w:hint="eastAsia" w:ascii="仿宋_GB2312" w:hAnsi="??" w:eastAsia="仿宋_GB2312"/>
          <w:kern w:val="0"/>
          <w:sz w:val="32"/>
          <w:szCs w:val="32"/>
          <w:lang w:val="zh-CN"/>
        </w:rPr>
        <w:t>3.项目主要内容</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本项目旨在全面执行刑罚执行监督任务，具体内容包括：一是对刑罚执行过程进行全程监督，确保各项刑罚措施得到准确、有效的实施；二是加强对监管场所的秩序维护，通过监督和管理，保障监管场所的安全稳定。实施过程中，我们将采取以下措施：一是建立健全监督机制，明确监督责任；二是定期对监管场所进行巡查，及时发现并解决问题；三是加强与相关部门的沟通协作，形成监管合力，确保项目目标的顺利实现。</w:t>
      </w:r>
    </w:p>
    <w:p>
      <w:pPr>
        <w:adjustRightInd w:val="0"/>
        <w:snapToGrid w:val="0"/>
        <w:spacing w:line="360" w:lineRule="auto"/>
        <w:ind w:firstLine="420"/>
        <w:rPr>
          <w:rFonts w:hint="eastAsia" w:ascii="仿宋_GB2312" w:hAnsi="??" w:eastAsia="仿宋_GB2312"/>
          <w:kern w:val="0"/>
          <w:sz w:val="32"/>
          <w:szCs w:val="32"/>
          <w:lang w:val="zh-CN"/>
        </w:rPr>
      </w:pPr>
      <w:r>
        <w:rPr>
          <w:rFonts w:hint="eastAsia" w:ascii="仿宋_GB2312" w:hAnsi="??" w:eastAsia="仿宋_GB2312"/>
          <w:kern w:val="0"/>
          <w:sz w:val="32"/>
          <w:szCs w:val="32"/>
          <w:lang w:val="zh-CN"/>
        </w:rPr>
        <w:t>4.主管部门职能</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广元市人民检察院主要负责对监狱、看守所、社区矫正机构等场所进行法律监督，确保刑罚执行的公平公正，保障服刑人员合法权益，维护监管场所安全稳定。同时，该院还注重加强队伍建设，提升干警的政治素质和业务能力，并积极探索数字检察新模式，推动刑事执行检察工作高质量发展。</w:t>
      </w:r>
    </w:p>
    <w:p>
      <w:pPr>
        <w:adjustRightInd w:val="0"/>
        <w:snapToGrid w:val="0"/>
        <w:spacing w:line="578" w:lineRule="exact"/>
        <w:rPr>
          <w:rFonts w:hint="eastAsia" w:ascii="仿宋_GB2312" w:hAnsi="??" w:eastAsia="仿宋_GB2312"/>
          <w:kern w:val="0"/>
          <w:sz w:val="32"/>
          <w:szCs w:val="32"/>
          <w:lang w:val="zh-CN"/>
        </w:rPr>
      </w:pPr>
      <w:r>
        <w:rPr>
          <w:rFonts w:hint="eastAsia" w:ascii="仿宋_GB2312" w:hAnsi="??" w:eastAsia="仿宋_GB2312"/>
          <w:kern w:val="0"/>
          <w:sz w:val="32"/>
          <w:szCs w:val="32"/>
          <w:lang w:val="zh-CN"/>
        </w:rPr>
        <w:t>（二）实施目的及支持方向。</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1.项目实施目的</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为深入贯彻落实《中共中央关于加强新时代检察机关法律监督工作的意见》，进一步加强刑事执行检察工作，提升法律监督实效，确保监管场所秩序稳定，特设立2023年特定转移支付项目。该项目旨在通过资金支持，推动刑罚执行监督工作全面深入开展，提升监管场所管理水平，维护司法公正，保障服刑人员合法权益，促进社会和谐稳定。</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2.项目支持方向</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主要包括加强驻巡检察工作：</w:t>
      </w:r>
      <w:r>
        <w:rPr>
          <w:rFonts w:ascii="仿宋_GB2312" w:hAnsi="??" w:eastAsia="仿宋_GB2312"/>
          <w:kern w:val="0"/>
          <w:sz w:val="32"/>
          <w:szCs w:val="32"/>
          <w:lang w:val="zh-CN"/>
        </w:rPr>
        <w:t xml:space="preserve"> 支持派驻检察室规范化建设，提升派驻检察人员业务能力，加强巡回检察工作力度，实现对监管场所的全覆盖监督</w:t>
      </w:r>
      <w:r>
        <w:rPr>
          <w:rFonts w:hint="eastAsia" w:ascii="仿宋_GB2312" w:hAnsi="??" w:eastAsia="仿宋_GB2312"/>
          <w:kern w:val="0"/>
          <w:sz w:val="32"/>
          <w:szCs w:val="32"/>
          <w:lang w:val="zh-CN"/>
        </w:rPr>
        <w:t>；</w:t>
      </w:r>
      <w:r>
        <w:rPr>
          <w:rFonts w:ascii="仿宋_GB2312" w:hAnsi="??" w:eastAsia="仿宋_GB2312"/>
          <w:kern w:val="0"/>
          <w:sz w:val="32"/>
          <w:szCs w:val="32"/>
          <w:lang w:val="zh-CN"/>
        </w:rPr>
        <w:t>提升刑罚执行监督能力</w:t>
      </w:r>
      <w:r>
        <w:rPr>
          <w:rFonts w:hint="eastAsia" w:ascii="仿宋_GB2312" w:hAnsi="??" w:eastAsia="仿宋_GB2312"/>
          <w:kern w:val="0"/>
          <w:sz w:val="32"/>
          <w:szCs w:val="32"/>
          <w:lang w:val="zh-CN"/>
        </w:rPr>
        <w:t>：</w:t>
      </w:r>
      <w:r>
        <w:rPr>
          <w:rFonts w:ascii="仿宋_GB2312" w:hAnsi="??" w:eastAsia="仿宋_GB2312"/>
          <w:kern w:val="0"/>
          <w:sz w:val="32"/>
          <w:szCs w:val="32"/>
          <w:lang w:val="zh-CN"/>
        </w:rPr>
        <w:t xml:space="preserve"> 支持开展减刑、假释、暂予监外执行等刑罚执行活动的同步监督，推动刑罚执行监督工作实质化、规范化</w:t>
      </w:r>
      <w:r>
        <w:rPr>
          <w:rFonts w:hint="eastAsia" w:ascii="仿宋_GB2312" w:hAnsi="??" w:eastAsia="仿宋_GB2312"/>
          <w:kern w:val="0"/>
          <w:sz w:val="32"/>
          <w:szCs w:val="32"/>
          <w:lang w:val="zh-CN"/>
        </w:rPr>
        <w:t>；</w:t>
      </w:r>
      <w:r>
        <w:rPr>
          <w:rFonts w:ascii="仿宋_GB2312" w:hAnsi="??" w:eastAsia="仿宋_GB2312"/>
          <w:kern w:val="0"/>
          <w:sz w:val="32"/>
          <w:szCs w:val="32"/>
          <w:lang w:val="zh-CN"/>
        </w:rPr>
        <w:t>维护监管场所安全稳定</w:t>
      </w:r>
      <w:r>
        <w:rPr>
          <w:rFonts w:hint="eastAsia" w:ascii="仿宋_GB2312" w:hAnsi="??" w:eastAsia="仿宋_GB2312"/>
          <w:kern w:val="0"/>
          <w:sz w:val="32"/>
          <w:szCs w:val="32"/>
          <w:lang w:val="zh-CN"/>
        </w:rPr>
        <w:t>：</w:t>
      </w:r>
      <w:r>
        <w:rPr>
          <w:rFonts w:ascii="仿宋_GB2312" w:hAnsi="??" w:eastAsia="仿宋_GB2312"/>
          <w:kern w:val="0"/>
          <w:sz w:val="32"/>
          <w:szCs w:val="32"/>
          <w:lang w:val="zh-CN"/>
        </w:rPr>
        <w:t xml:space="preserve"> 支持开展安全隐患排查整治，加强安全防范措施，提升监管场所安全管理水平</w:t>
      </w:r>
      <w:r>
        <w:rPr>
          <w:rFonts w:hint="eastAsia" w:ascii="仿宋_GB2312" w:hAnsi="??" w:eastAsia="仿宋_GB2312"/>
          <w:kern w:val="0"/>
          <w:sz w:val="32"/>
          <w:szCs w:val="32"/>
          <w:lang w:val="zh-CN"/>
        </w:rPr>
        <w:t>；</w:t>
      </w:r>
      <w:r>
        <w:rPr>
          <w:rFonts w:ascii="仿宋_GB2312" w:hAnsi="??" w:eastAsia="仿宋_GB2312"/>
          <w:kern w:val="0"/>
          <w:sz w:val="32"/>
          <w:szCs w:val="32"/>
          <w:lang w:val="zh-CN"/>
        </w:rPr>
        <w:t>保障服刑人员合法权益</w:t>
      </w:r>
      <w:r>
        <w:rPr>
          <w:rFonts w:hint="eastAsia" w:ascii="仿宋_GB2312" w:hAnsi="??" w:eastAsia="仿宋_GB2312"/>
          <w:kern w:val="0"/>
          <w:sz w:val="32"/>
          <w:szCs w:val="32"/>
          <w:lang w:val="zh-CN"/>
        </w:rPr>
        <w:t>：</w:t>
      </w:r>
      <w:r>
        <w:rPr>
          <w:rFonts w:ascii="仿宋_GB2312" w:hAnsi="??" w:eastAsia="仿宋_GB2312"/>
          <w:kern w:val="0"/>
          <w:sz w:val="32"/>
          <w:szCs w:val="32"/>
          <w:lang w:val="zh-CN"/>
        </w:rPr>
        <w:t xml:space="preserve"> 支持开展服刑人员控告、举报、申诉工作，维护服刑人员合法权益，化解矛盾纠纷</w:t>
      </w:r>
      <w:r>
        <w:rPr>
          <w:rFonts w:hint="eastAsia" w:ascii="仿宋_GB2312" w:hAnsi="??" w:eastAsia="仿宋_GB2312"/>
          <w:kern w:val="0"/>
          <w:sz w:val="32"/>
          <w:szCs w:val="32"/>
          <w:lang w:val="zh-CN"/>
        </w:rPr>
        <w:t>；</w:t>
      </w:r>
      <w:r>
        <w:rPr>
          <w:rFonts w:ascii="仿宋_GB2312" w:hAnsi="??" w:eastAsia="仿宋_GB2312"/>
          <w:kern w:val="0"/>
          <w:sz w:val="32"/>
          <w:szCs w:val="32"/>
          <w:lang w:val="zh-CN"/>
        </w:rPr>
        <w:t>推进智慧监管建设</w:t>
      </w:r>
      <w:r>
        <w:rPr>
          <w:rFonts w:hint="eastAsia" w:ascii="仿宋_GB2312" w:hAnsi="??" w:eastAsia="仿宋_GB2312"/>
          <w:kern w:val="0"/>
          <w:sz w:val="32"/>
          <w:szCs w:val="32"/>
          <w:lang w:val="zh-CN"/>
        </w:rPr>
        <w:t>：</w:t>
      </w:r>
      <w:r>
        <w:rPr>
          <w:rFonts w:ascii="仿宋_GB2312" w:hAnsi="??" w:eastAsia="仿宋_GB2312"/>
          <w:kern w:val="0"/>
          <w:sz w:val="32"/>
          <w:szCs w:val="32"/>
          <w:lang w:val="zh-CN"/>
        </w:rPr>
        <w:t xml:space="preserve"> 支持应用科技手段提升监管场所管理水平，推动智慧监管建设，提高监管效能</w:t>
      </w:r>
      <w:r>
        <w:rPr>
          <w:rFonts w:hint="eastAsia" w:ascii="仿宋_GB2312" w:hAnsi="??" w:eastAsia="仿宋_GB2312"/>
          <w:kern w:val="0"/>
          <w:sz w:val="32"/>
          <w:szCs w:val="32"/>
          <w:lang w:val="zh-CN"/>
        </w:rPr>
        <w:t>；</w:t>
      </w:r>
      <w:r>
        <w:rPr>
          <w:rFonts w:ascii="仿宋_GB2312" w:hAnsi="??" w:eastAsia="仿宋_GB2312"/>
          <w:kern w:val="0"/>
          <w:sz w:val="32"/>
          <w:szCs w:val="32"/>
          <w:lang w:val="zh-CN"/>
        </w:rPr>
        <w:t>加强队伍建设</w:t>
      </w:r>
      <w:r>
        <w:rPr>
          <w:rFonts w:hint="eastAsia" w:ascii="仿宋_GB2312" w:hAnsi="??" w:eastAsia="仿宋_GB2312"/>
          <w:kern w:val="0"/>
          <w:sz w:val="32"/>
          <w:szCs w:val="32"/>
          <w:lang w:val="zh-CN"/>
        </w:rPr>
        <w:t>：</w:t>
      </w:r>
      <w:r>
        <w:rPr>
          <w:rFonts w:ascii="仿宋_GB2312" w:hAnsi="??" w:eastAsia="仿宋_GB2312"/>
          <w:kern w:val="0"/>
          <w:sz w:val="32"/>
          <w:szCs w:val="32"/>
          <w:lang w:val="zh-CN"/>
        </w:rPr>
        <w:t xml:space="preserve"> 支持开展刑事执行检察人员业务培训，提升干警的政治素质和业务能力，打造一支高素质的刑事执行检察队伍。</w:t>
      </w:r>
    </w:p>
    <w:p>
      <w:pPr>
        <w:widowControl/>
        <w:adjustRightInd w:val="0"/>
        <w:snapToGrid w:val="0"/>
        <w:spacing w:line="578" w:lineRule="exact"/>
        <w:ind w:firstLine="640" w:firstLineChars="200"/>
        <w:contextualSpacing/>
        <w:jc w:val="left"/>
        <w:rPr>
          <w:rFonts w:hint="eastAsia" w:ascii="仿宋_GB2312" w:hAnsi="??" w:eastAsia="仿宋_GB2312"/>
          <w:kern w:val="0"/>
          <w:sz w:val="32"/>
          <w:szCs w:val="32"/>
          <w:lang w:val="zh-CN"/>
        </w:rPr>
      </w:pPr>
      <w:r>
        <w:rPr>
          <w:rFonts w:hint="eastAsia" w:ascii="仿宋_GB2312" w:hAnsi="??" w:eastAsia="仿宋_GB2312"/>
          <w:kern w:val="0"/>
          <w:sz w:val="32"/>
          <w:szCs w:val="32"/>
          <w:lang w:val="zh-CN"/>
        </w:rPr>
        <w:t>（三）预算安排及分配管理</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本项目预算安排将遵循目标导向、公平公正、效益优先和合规性原则，重点考虑实施内容、参训人员需求、培训效果和成本控制等因素，确保资金主要用于车辆运行维护、</w:t>
      </w:r>
      <w:r>
        <w:rPr>
          <w:rFonts w:ascii="仿宋_GB2312" w:hAnsi="??" w:eastAsia="仿宋_GB2312"/>
          <w:kern w:val="0"/>
          <w:sz w:val="32"/>
          <w:szCs w:val="32"/>
          <w:lang w:val="zh-CN"/>
        </w:rPr>
        <w:t>信息化运行维护</w:t>
      </w:r>
      <w:r>
        <w:rPr>
          <w:rFonts w:hint="eastAsia" w:ascii="仿宋_GB2312" w:hAnsi="??" w:eastAsia="仿宋_GB2312"/>
          <w:kern w:val="0"/>
          <w:sz w:val="32"/>
          <w:szCs w:val="32"/>
          <w:lang w:val="zh-CN"/>
        </w:rPr>
        <w:t>和升级、</w:t>
      </w:r>
      <w:r>
        <w:rPr>
          <w:rFonts w:ascii="仿宋_GB2312" w:hAnsi="??" w:eastAsia="仿宋_GB2312"/>
          <w:kern w:val="0"/>
          <w:sz w:val="32"/>
          <w:szCs w:val="32"/>
          <w:lang w:val="zh-CN"/>
        </w:rPr>
        <w:t>法律监督模型应用系统</w:t>
      </w:r>
      <w:r>
        <w:rPr>
          <w:rFonts w:hint="eastAsia" w:ascii="仿宋_GB2312" w:hAnsi="??" w:eastAsia="仿宋_GB2312"/>
          <w:kern w:val="0"/>
          <w:sz w:val="32"/>
          <w:szCs w:val="32"/>
          <w:lang w:val="zh-CN"/>
        </w:rPr>
        <w:t>购置、法律监督专题片制作、公益诉讼快速检测设备购置、</w:t>
      </w:r>
      <w:r>
        <w:rPr>
          <w:rFonts w:ascii="仿宋_GB2312" w:hAnsi="??" w:eastAsia="仿宋_GB2312"/>
          <w:kern w:val="0"/>
          <w:sz w:val="32"/>
          <w:szCs w:val="32"/>
          <w:lang w:val="zh-CN"/>
        </w:rPr>
        <w:t>差旅费</w:t>
      </w:r>
      <w:r>
        <w:rPr>
          <w:rFonts w:hint="eastAsia" w:ascii="仿宋_GB2312" w:hAnsi="??" w:eastAsia="仿宋_GB2312"/>
          <w:kern w:val="0"/>
          <w:sz w:val="32"/>
          <w:szCs w:val="32"/>
          <w:lang w:val="zh-CN"/>
        </w:rPr>
        <w:t>，同时加强监督管理，保障资金专款专用，以提升项目实施效果和资金使用效率。</w:t>
      </w:r>
    </w:p>
    <w:p>
      <w:pPr>
        <w:adjustRightInd w:val="0"/>
        <w:snapToGri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（四）项目绩效目标设置</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1.绩效目标设置情况</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2023年特定转移支付项目年绩效目标设置有：刑罚执行监督率；公诉率；减假暂案件合格率；监督覆盖率；人民群众满意率等三级指标；</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2.项目自评工作开展情况</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2023年特定转移支付项目自评工作已顺利开展，通过全面梳理项目实施情况、效果及管理状况，我们确保了资金合规使用，并实现了显著的成果。同时，针对自评中发现的问题，我们制定了相应的改进措施，以期进一步提升项目管理水平，确保项目更好地服务于社会需求。</w:t>
      </w:r>
    </w:p>
    <w:p>
      <w:pPr>
        <w:adjustRightInd w:val="0"/>
        <w:snapToGri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二、评价实施</w:t>
      </w:r>
    </w:p>
    <w:p>
      <w:pPr>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（一）评价目的。</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一是全面评估项目实施的效果与效率，确保项目目标得到有效实现；二是识别项目执行过程中的优势与不足，为持续优化项目管理和提升服务质量提供依据；三是验证项目资金使用的合规性和效益性，保障财政资金的安全与高效；四是通过总结经验教训，为未来项目的规划与实施提供参考，从而更好地推动2023年特定转移支付项目，助力社会经济发展。</w:t>
      </w:r>
    </w:p>
    <w:p>
      <w:pPr>
        <w:adjustRightInd w:val="0"/>
        <w:snapToGri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（二）预设问题及评价重点</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在2023年特定转移支付项目的执行过程中，我们预设了一系列问题以待评价，包括：项目资金是否按照预算和规定用途合理分配和使用？项目实施过程中是否存在管理漏洞或效率低下的问题？以及项目是否达到了预期的社会和经济效益？</w:t>
      </w:r>
    </w:p>
    <w:p>
      <w:pPr>
        <w:ind w:firstLine="739" w:firstLineChars="231"/>
        <w:rPr>
          <w:rFonts w:hint="eastAsia" w:ascii="仿宋_GB2312" w:hAnsi="??" w:eastAsia="仿宋_GB2312"/>
          <w:kern w:val="0"/>
          <w:sz w:val="32"/>
          <w:szCs w:val="32"/>
          <w:lang w:val="zh-CN"/>
        </w:rPr>
      </w:pPr>
      <w:r>
        <w:rPr>
          <w:rFonts w:hint="eastAsia" w:ascii="仿宋_GB2312" w:hAnsi="??" w:eastAsia="仿宋_GB2312"/>
          <w:kern w:val="0"/>
          <w:sz w:val="32"/>
          <w:szCs w:val="32"/>
          <w:lang w:val="zh-CN"/>
        </w:rPr>
        <w:t>评价重点将集中在资金支出使用的全过程及其实施效果上。首先，针对资金支出，我们将重点关注合规性、效率性和经济性，确保资金的合理运用。其次，在实施效果方面，我单位将着重评价项目的目标达成度、效益性、影响力和持续性，以综合判断项目是否成功实现了既定目标，并对执行刑罚执行监督任务产生了积极影响。</w:t>
      </w:r>
    </w:p>
    <w:p>
      <w:pPr>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（三）评价方法。</w:t>
      </w:r>
    </w:p>
    <w:p>
      <w:pPr>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选取问卷调查法进行自评：</w:t>
      </w:r>
    </w:p>
    <w:p>
      <w:pPr>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问卷调查法是我们评价2023年特定转移支付项目的重要手段之一。我单位将设计一套科学、合理的问卷，针对项目受益群体、潜在受益者和相关利益相关者，收集他们对项目实施效果、满意度、存在问题及改进建议等方面的意见和反馈。问卷将涵盖项目的培训质量、创业支持、就业促进、服务满意度等多个维度。通过大规模发放和回收问卷，我们能够量化分析项目的实际影响，识别项目的优势与不足，从而为项目的持续改进和决策提供真实、有效的数据支持。</w:t>
      </w:r>
    </w:p>
    <w:p>
      <w:pPr>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选取深度访谈法进行自评：</w:t>
      </w:r>
    </w:p>
    <w:p>
      <w:pPr>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深度访谈法是我们评价2023年特定转移支付项目的重要手段之一。我单位将组织专业的访谈团队，针对项目受益群体、潜在受益者和相关利益相关者进行一对一的深入访谈，以收集他们对项目实施效果、满意度、存在问题及改进建议等方面的详细看法和深入见解。访谈内容将覆盖项目的培训质量、创业支持、就业促进、服务满意度等多个维度。通过系统的访谈记录和分析，我们能够深入了解项目的具体影响，挖掘项目的深层次问题和潜在优势，从而为项目的持续优化和决策提供丰富、有深度的定性数据支持。</w:t>
      </w:r>
    </w:p>
    <w:p>
      <w:pPr>
        <w:numPr>
          <w:ilvl w:val="0"/>
          <w:numId w:val="7"/>
        </w:numPr>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评价组织。</w:t>
      </w:r>
    </w:p>
    <w:p>
      <w:pPr>
        <w:spacing w:line="360" w:lineRule="auto"/>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2023年特定转移支付项目的评价组织架构如下所述，确保评价工作的专业性、全面性和准确性：</w:t>
      </w:r>
    </w:p>
    <w:p>
      <w:pPr>
        <w:spacing w:line="360" w:lineRule="auto"/>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1、评价组人员构成：</w:t>
      </w:r>
    </w:p>
    <w:p>
      <w:pPr>
        <w:spacing w:line="360" w:lineRule="auto"/>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 xml:space="preserve">   - 评价组组长：由具有丰富项目管理经验和高级职称的专家担任，主要负责评价活动的整体指挥和协调工作。</w:t>
      </w:r>
    </w:p>
    <w:p>
      <w:pPr>
        <w:spacing w:line="360" w:lineRule="auto"/>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 xml:space="preserve">   - 财务专家：承担项目资金使用的合规性、合理性和效益性的审核职责。</w:t>
      </w:r>
    </w:p>
    <w:p>
      <w:pPr>
        <w:spacing w:line="360" w:lineRule="auto"/>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 xml:space="preserve">   - 项目管理专家：负责对项目实施过程的管理效率、风险控制和进度控制进行评估。</w:t>
      </w:r>
    </w:p>
    <w:p>
      <w:pPr>
        <w:spacing w:line="360" w:lineRule="auto"/>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 xml:space="preserve">   - 社会学专家：专注于评价项目的社会影响力和受益群体的满意度。</w:t>
      </w:r>
    </w:p>
    <w:p>
      <w:pPr>
        <w:spacing w:line="360" w:lineRule="auto"/>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 xml:space="preserve">   - 统计分析人员：负责问卷数据的搜集、整理以及分析任务。</w:t>
      </w:r>
    </w:p>
    <w:p>
      <w:pPr>
        <w:spacing w:line="360" w:lineRule="auto"/>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2、职责分工：</w:t>
      </w:r>
    </w:p>
    <w:p>
      <w:pPr>
        <w:spacing w:line="360" w:lineRule="auto"/>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 xml:space="preserve">   - 评价组组长职责：主导制定评价方案，组织评价组成员执行评价任务，审核评价报告的质量，并对评价结果负总责。</w:t>
      </w:r>
    </w:p>
    <w:p>
      <w:pPr>
        <w:spacing w:line="360" w:lineRule="auto"/>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 xml:space="preserve">   - 财务专家职责：对项目财务报表进行审查，评估资金运用的效率和成效，并提出财务相关的评价意见与建议。</w:t>
      </w:r>
    </w:p>
    <w:p>
      <w:pPr>
        <w:spacing w:line="360" w:lineRule="auto"/>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 xml:space="preserve">   - 项目管理专家职责：审查项目的执行方案，评估项目管理流程，发现项目管理中的问题和潜在风险，并提出相应的改进措施。</w:t>
      </w:r>
    </w:p>
    <w:p>
      <w:pPr>
        <w:spacing w:line="360" w:lineRule="auto"/>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 xml:space="preserve">   - 社会学专家职责：通过组织座谈会、进行访谈等手段，搜集项目受益群体的反馈信息，评估项目的社会效益及其影响力。</w:t>
      </w:r>
    </w:p>
    <w:p>
      <w:pPr>
        <w:spacing w:line="360" w:lineRule="auto"/>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 xml:space="preserve">   - 统计分析人员职责：负责问卷的设计、数据搜集和数据分析工作，为评价报告提供坚实的数据支撑。</w:t>
      </w:r>
    </w:p>
    <w:p>
      <w:pPr>
        <w:spacing w:line="360" w:lineRule="auto"/>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通过这样的职责分工，评价组成员将共同努力，确保2023年特定转移支付项目评价工作的科学性、公正性和有效性。</w:t>
      </w:r>
    </w:p>
    <w:p>
      <w:pPr>
        <w:adjustRightInd w:val="0"/>
        <w:snapToGri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三、绩效分析</w:t>
      </w:r>
      <w:r>
        <w:rPr>
          <w:rFonts w:hint="eastAsia" w:ascii="仿宋_GB2312" w:hAnsi="??" w:eastAsia="仿宋_GB2312"/>
          <w:kern w:val="0"/>
          <w:sz w:val="32"/>
          <w:szCs w:val="32"/>
          <w:lang w:val="zh-CN"/>
        </w:rPr>
        <w:tab/>
      </w:r>
    </w:p>
    <w:p>
      <w:pPr>
        <w:adjustRightInd w:val="0"/>
        <w:snapToGri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数量指标</w:t>
      </w:r>
    </w:p>
    <w:p>
      <w:pPr>
        <w:tabs>
          <w:tab w:val="left" w:pos="7140"/>
        </w:tabs>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指标明细：1.采购数量；</w:t>
      </w:r>
    </w:p>
    <w:p>
      <w:pPr>
        <w:tabs>
          <w:tab w:val="left" w:pos="7140"/>
        </w:tabs>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数量指标分析：在2023年特定转移支付项目中，采购数量是一个关键的数量指标，它直接反映了项目资金的使用效率和项目执行的规模。通过对采购数量的分析，我们可以评估项目是否按照既定计划进行物资或服务的采购，以及是否满足了项目实施的需求。采购数量的合理性对于确保项目目标的实现至关重要。如果采购数量与预算和需求相匹配，说明项目资金得到了有效的利用；若存在较大偏差，则可能表明项目执行过程中存在计划不周、资源分配不当或管理效率低下等问题。因此，对采购数量进行细致的分析，有助于我们及时发现项目执行中的潜在问题，为调整预算、优化资源分配和提升项目管理水平提供依据。</w:t>
      </w:r>
    </w:p>
    <w:p>
      <w:pPr>
        <w:tabs>
          <w:tab w:val="left" w:pos="7140"/>
        </w:tabs>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数量指标打分：根据项目实施情况该项指标得分为10分。</w:t>
      </w:r>
    </w:p>
    <w:p>
      <w:pPr>
        <w:tabs>
          <w:tab w:val="left" w:pos="7140"/>
        </w:tabs>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质量指标</w:t>
      </w:r>
    </w:p>
    <w:p>
      <w:pPr>
        <w:tabs>
          <w:tab w:val="left" w:pos="7140"/>
        </w:tabs>
        <w:adjustRightIn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指标明细：1.验收合格率；</w:t>
      </w:r>
    </w:p>
    <w:p>
      <w:pPr>
        <w:tabs>
          <w:tab w:val="left" w:pos="7140"/>
        </w:tabs>
        <w:adjustRightIn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质量指标分析：验收合格率作为一项核心质量指标，该指标反映了项目所提供的产品或服务在经过验收环节后，达到既定质量标准的情况。通过对验收合格率的分析，能够洞察项目实施过程中的质量控制水平，判断项目是否能够满足既定的质量要求。因此，对验收合格率的细致分析对于提升项目质量管理、确保资金有效利用以及维护项目声誉至关重要。</w:t>
      </w:r>
    </w:p>
    <w:p>
      <w:pPr>
        <w:tabs>
          <w:tab w:val="left" w:pos="7140"/>
        </w:tabs>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质量指标打分：根据项目实施情况该项指标得分为10分。</w:t>
      </w:r>
    </w:p>
    <w:p>
      <w:pPr>
        <w:tabs>
          <w:tab w:val="left" w:pos="7140"/>
        </w:tabs>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时效指标</w:t>
      </w:r>
    </w:p>
    <w:p>
      <w:pPr>
        <w:tabs>
          <w:tab w:val="left" w:pos="7140"/>
        </w:tabs>
        <w:adjustRightIn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指标明细：1.完成时间；</w:t>
      </w:r>
    </w:p>
    <w:p>
      <w:pPr>
        <w:tabs>
          <w:tab w:val="left" w:pos="7140"/>
        </w:tabs>
        <w:adjustRightIn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时效指标分析：完成时间是评估项目时效性的关键指标，反映项目从启动到完成的效率。它衡量项目管理团队的时间规划和执行能力，对优化时间管理和提高执行效率至关重要。</w:t>
      </w:r>
    </w:p>
    <w:p>
      <w:pPr>
        <w:tabs>
          <w:tab w:val="left" w:pos="7140"/>
        </w:tabs>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时效指标打分：根据项目实施情况该项指标得分为30分。</w:t>
      </w:r>
    </w:p>
    <w:p>
      <w:pPr>
        <w:tabs>
          <w:tab w:val="left" w:pos="7140"/>
        </w:tabs>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社会效益指标</w:t>
      </w:r>
    </w:p>
    <w:p>
      <w:pPr>
        <w:tabs>
          <w:tab w:val="left" w:pos="7140"/>
        </w:tabs>
        <w:adjustRightIn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指标明细：1.对提升数据共享服务方面的影响程度；</w:t>
      </w:r>
    </w:p>
    <w:p>
      <w:pPr>
        <w:tabs>
          <w:tab w:val="left" w:pos="7140"/>
        </w:tabs>
        <w:adjustRightIn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社会效益指标分析：在2023年特定转移支付项目中，“对提升数据共享服务方面的影响程度”是一项重要的社会效益指标，它衡量了项目在推动数据资源共享、优化服务效率方面的成效。通过分析这一指标，可以评估项目对促进信息透明度、提高公共服务质量以及增强社会治理能力的实际贡献。有助于提升整个社会信息化水平；因此，分析这一社会效益指标，对于确保项目实现预期的社会价值、提升公共服务效能具有指导性作用。</w:t>
      </w:r>
    </w:p>
    <w:p>
      <w:pPr>
        <w:tabs>
          <w:tab w:val="left" w:pos="7140"/>
        </w:tabs>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社会效益指标打分：根据项目实施情况该项指标得分为9分。</w:t>
      </w:r>
    </w:p>
    <w:p>
      <w:pPr>
        <w:tabs>
          <w:tab w:val="left" w:pos="7140"/>
        </w:tabs>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服务对象满意度指标</w:t>
      </w:r>
    </w:p>
    <w:p>
      <w:pPr>
        <w:tabs>
          <w:tab w:val="left" w:pos="7140"/>
        </w:tabs>
        <w:adjustRightIn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指标明细：1.人民群众满意率；</w:t>
      </w:r>
    </w:p>
    <w:p>
      <w:pPr>
        <w:tabs>
          <w:tab w:val="left" w:pos="7140"/>
        </w:tabs>
        <w:adjustRightIn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服务对象满意度指标分析：人民群众满意率是衡量项目服务质量和效果的关键指标，反映民众对项目的认可度，对提升政府形象和公信力至关重要。</w:t>
      </w:r>
    </w:p>
    <w:p>
      <w:pPr>
        <w:tabs>
          <w:tab w:val="left" w:pos="7140"/>
        </w:tabs>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服务对象满意度指标打分：根据项目实施情况该项指标得分为9.5分。</w:t>
      </w:r>
    </w:p>
    <w:p>
      <w:pPr>
        <w:tabs>
          <w:tab w:val="left" w:pos="7140"/>
        </w:tabs>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可持续发展指标</w:t>
      </w:r>
    </w:p>
    <w:p>
      <w:pPr>
        <w:tabs>
          <w:tab w:val="left" w:pos="7140"/>
        </w:tabs>
        <w:adjustRightIn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指标明细：1.信息化系统上线运行后的网络带宽利用率、设备利用率以及应用系统实现率；</w:t>
      </w:r>
    </w:p>
    <w:p>
      <w:pPr>
        <w:tabs>
          <w:tab w:val="left" w:pos="7140"/>
        </w:tabs>
        <w:adjustRightIn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可持续发展指标分析：网络带宽利用率、设备利用率及应用系统实现率是评估项目信息化建设和可持续发展能力的关键指标，体现了资源利用效率和技术应用成效。</w:t>
      </w:r>
    </w:p>
    <w:p>
      <w:pPr>
        <w:tabs>
          <w:tab w:val="left" w:pos="7140"/>
        </w:tabs>
        <w:spacing w:line="578" w:lineRule="exact"/>
        <w:ind w:firstLine="640"/>
        <w:rPr>
          <w:rFonts w:hint="eastAsia" w:ascii="仿宋_GB2312" w:hAnsi="??" w:eastAsia="仿宋_GB2312"/>
          <w:kern w:val="0"/>
          <w:sz w:val="32"/>
          <w:szCs w:val="32"/>
          <w:lang w:val="zh-CN"/>
        </w:rPr>
      </w:pPr>
      <w:r>
        <w:rPr>
          <w:rFonts w:hint="eastAsia" w:ascii="仿宋_GB2312" w:hAnsi="??" w:eastAsia="仿宋_GB2312"/>
          <w:kern w:val="0"/>
          <w:sz w:val="32"/>
          <w:szCs w:val="32"/>
          <w:lang w:val="zh-CN"/>
        </w:rPr>
        <w:t>可持续发展指标打分：根据项目实施情况该项指标得分为19.5分。</w:t>
      </w:r>
    </w:p>
    <w:p>
      <w:pPr>
        <w:pStyle w:val="2"/>
        <w:spacing w:before="72" w:line="600" w:lineRule="exact"/>
        <w:ind w:firstLine="640" w:firstLineChars="200"/>
        <w:rPr>
          <w:rFonts w:hint="eastAsia" w:hAnsi="??"/>
          <w:sz w:val="32"/>
          <w:szCs w:val="32"/>
          <w:lang w:val="zh-CN"/>
        </w:rPr>
      </w:pPr>
      <w:r>
        <w:rPr>
          <w:rFonts w:hint="eastAsia" w:hAnsi="??"/>
          <w:sz w:val="32"/>
          <w:szCs w:val="32"/>
          <w:lang w:val="zh-CN"/>
        </w:rPr>
        <w:t>四、评价结论</w:t>
      </w:r>
    </w:p>
    <w:p>
      <w:pPr>
        <w:pStyle w:val="2"/>
        <w:spacing w:before="72" w:line="600" w:lineRule="exact"/>
        <w:ind w:firstLine="640" w:firstLineChars="200"/>
        <w:rPr>
          <w:rFonts w:hint="eastAsia" w:hAnsi="??"/>
          <w:sz w:val="32"/>
          <w:szCs w:val="32"/>
          <w:lang w:val="zh-CN"/>
        </w:rPr>
      </w:pPr>
      <w:r>
        <w:rPr>
          <w:rFonts w:hint="eastAsia" w:hAnsi="??"/>
          <w:sz w:val="32"/>
          <w:szCs w:val="32"/>
          <w:lang w:val="zh-CN"/>
        </w:rPr>
        <w:t>2023年特定转移支付项目绩效自评总体结论如下：本项目总预算632万元，2023年预算执行407万元，按照项目预期执行，并且本项目在专项预算执行中取得了显著成效，评价总分为97分。项目实施情况良好，但还有改进的空间：应加快实施进度，积极解决在执行过程中的各种困难，项目实施效促进了区域经济发展。预算资金得到了合理分配和使用，确保了项目的高效运转，实现了预期目标，为今后类似项目的实施提供了宝贵经验。</w:t>
      </w:r>
    </w:p>
    <w:p>
      <w:pPr>
        <w:pStyle w:val="2"/>
        <w:spacing w:before="72" w:line="600" w:lineRule="exact"/>
        <w:ind w:firstLine="640" w:firstLineChars="200"/>
        <w:rPr>
          <w:rFonts w:hint="eastAsia" w:hAnsi="??"/>
          <w:sz w:val="32"/>
          <w:szCs w:val="32"/>
          <w:lang w:val="zh-CN"/>
        </w:rPr>
      </w:pPr>
      <w:r>
        <w:rPr>
          <w:rFonts w:hint="eastAsia" w:hAnsi="??"/>
          <w:sz w:val="32"/>
          <w:szCs w:val="32"/>
          <w:lang w:val="zh-CN"/>
        </w:rPr>
        <w:t>五、存在主要问题</w:t>
      </w:r>
    </w:p>
    <w:p>
      <w:pPr>
        <w:adjustRightInd w:val="0"/>
        <w:snapToGrid w:val="0"/>
        <w:spacing w:line="576"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一是绩效评价指标设置还有待进一步完善；二是对项目部门负责人在绩效评价方面还需加强业务培训，以利于更好的推进此项工作。</w:t>
      </w:r>
    </w:p>
    <w:p>
      <w:pPr>
        <w:pStyle w:val="2"/>
        <w:spacing w:before="72" w:line="600" w:lineRule="exact"/>
        <w:ind w:firstLine="640" w:firstLineChars="200"/>
        <w:rPr>
          <w:rFonts w:hint="eastAsia" w:hAnsi="??"/>
          <w:sz w:val="32"/>
          <w:szCs w:val="32"/>
          <w:lang w:val="zh-CN"/>
        </w:rPr>
      </w:pPr>
      <w:r>
        <w:rPr>
          <w:rFonts w:hint="eastAsia" w:hAnsi="??"/>
          <w:sz w:val="32"/>
          <w:szCs w:val="32"/>
          <w:lang w:val="zh-CN"/>
        </w:rPr>
        <w:t>六、改进建议</w:t>
      </w:r>
    </w:p>
    <w:p>
      <w:pPr>
        <w:tabs>
          <w:tab w:val="left" w:pos="1911"/>
        </w:tabs>
        <w:jc w:val="left"/>
        <w:rPr>
          <w:rFonts w:hint="eastAsia" w:ascii="仿宋_GB2312" w:hAnsi="??" w:eastAsia="仿宋_GB2312"/>
          <w:kern w:val="0"/>
          <w:sz w:val="32"/>
          <w:szCs w:val="32"/>
          <w:lang w:val="zh-CN"/>
        </w:rPr>
      </w:pPr>
      <w:bookmarkStart w:id="70" w:name="_Hlk110546638"/>
      <w:r>
        <w:rPr>
          <w:rFonts w:hint="eastAsia" w:ascii="仿宋_GB2312" w:hAnsi="??" w:eastAsia="仿宋_GB2312"/>
          <w:kern w:val="0"/>
          <w:sz w:val="32"/>
          <w:szCs w:val="32"/>
          <w:lang w:val="zh-CN"/>
        </w:rPr>
        <w:t>针对2023年特定转移支付项目评价中发现的问题，建议在预算安排上优化分配，加强监控，以防止资金浪费；在政策层面，完善扶持政策，扩大受益群体；在管理方面，规范流程，更新培训内容，并建立完善的监督评价机制，以提升项目实施效率和效果。</w:t>
      </w:r>
    </w:p>
    <w:p>
      <w:pPr>
        <w:tabs>
          <w:tab w:val="left" w:pos="1911"/>
        </w:tabs>
        <w:jc w:val="left"/>
        <w:rPr>
          <w:rFonts w:hint="eastAsia" w:ascii="仿宋_GB2312" w:hAnsi="??" w:eastAsia="仿宋_GB2312"/>
          <w:kern w:val="0"/>
          <w:sz w:val="32"/>
          <w:szCs w:val="32"/>
          <w:lang w:val="zh-CN"/>
        </w:rPr>
      </w:pPr>
    </w:p>
    <w:bookmarkEnd w:id="70"/>
    <w:p>
      <w:pPr>
        <w:snapToGrid w:val="0"/>
        <w:spacing w:line="578" w:lineRule="exact"/>
        <w:ind w:firstLine="640" w:firstLineChars="200"/>
        <w:rPr>
          <w:rFonts w:hint="eastAsia" w:ascii="仿宋_GB2312" w:hAnsi="??" w:eastAsia="仿宋_GB2312"/>
          <w:kern w:val="0"/>
          <w:sz w:val="32"/>
          <w:szCs w:val="32"/>
          <w:lang w:val="zh-CN"/>
        </w:rPr>
      </w:pPr>
    </w:p>
    <w:p>
      <w:pPr>
        <w:snapToGrid w:val="0"/>
        <w:spacing w:line="578" w:lineRule="exact"/>
        <w:ind w:firstLine="640" w:firstLineChars="200"/>
        <w:rPr>
          <w:rFonts w:hint="eastAsia" w:ascii="仿宋_GB2312" w:hAnsi="??" w:eastAsia="仿宋_GB2312"/>
          <w:kern w:val="0"/>
          <w:sz w:val="32"/>
          <w:szCs w:val="32"/>
          <w:lang w:val="zh-CN"/>
        </w:rPr>
      </w:pPr>
      <w:r>
        <w:rPr>
          <w:rFonts w:hint="eastAsia" w:ascii="仿宋_GB2312" w:hAnsi="??" w:eastAsia="仿宋_GB2312"/>
          <w:kern w:val="0"/>
          <w:sz w:val="32"/>
          <w:szCs w:val="32"/>
          <w:lang w:val="zh-CN"/>
        </w:rPr>
        <w:t>附表：1.项目资金分配涉及所有点位自评得分情况表</w:t>
      </w:r>
    </w:p>
    <w:p>
      <w:pPr>
        <w:snapToGrid w:val="0"/>
        <w:spacing w:line="578" w:lineRule="exact"/>
        <w:ind w:firstLine="1600" w:firstLineChars="500"/>
        <w:rPr>
          <w:rFonts w:hint="eastAsia" w:ascii="仿宋_GB2312" w:hAnsi="??" w:eastAsia="仿宋_GB2312"/>
          <w:kern w:val="0"/>
          <w:sz w:val="32"/>
          <w:szCs w:val="32"/>
          <w:lang w:val="zh-CN"/>
        </w:rPr>
      </w:pPr>
      <w:r>
        <w:rPr>
          <w:rFonts w:hint="eastAsia" w:ascii="仿宋_GB2312" w:hAnsi="??" w:eastAsia="仿宋_GB2312"/>
          <w:kern w:val="0"/>
          <w:sz w:val="32"/>
          <w:szCs w:val="32"/>
          <w:lang w:val="zh-CN"/>
        </w:rPr>
        <w:t>2.专项预算项目绩效目标完成情况自评表</w:t>
      </w:r>
    </w:p>
    <w:p>
      <w:pPr>
        <w:snapToGrid w:val="0"/>
        <w:spacing w:line="578" w:lineRule="exact"/>
        <w:ind w:firstLine="420" w:firstLineChars="200"/>
        <w:rPr>
          <w:rFonts w:asciiTheme="minorEastAsia" w:hAnsiTheme="minorEastAsia" w:eastAsiaTheme="minorEastAsia" w:cstheme="minorEastAsia"/>
          <w:color w:val="000000"/>
          <w:kern w:val="0"/>
          <w:shd w:val="clear" w:color="auto" w:fill="FFFFFF"/>
          <w:lang w:val="zh-CN"/>
        </w:rPr>
      </w:pPr>
      <w:r>
        <w:rPr>
          <w:rFonts w:hint="eastAsia" w:asciiTheme="minorEastAsia" w:hAnsiTheme="minorEastAsia" w:eastAsiaTheme="minorEastAsia" w:cstheme="minorEastAsia"/>
          <w:color w:val="000000"/>
          <w:kern w:val="0"/>
          <w:szCs w:val="32"/>
          <w:shd w:val="clear" w:color="auto" w:fill="FFFFFF"/>
          <w:lang w:val="zh-CN"/>
        </w:rPr>
        <w:br w:type="page"/>
      </w:r>
    </w:p>
    <w:p>
      <w:pPr>
        <w:widowControl/>
        <w:adjustRightInd w:val="0"/>
        <w:snapToGrid w:val="0"/>
        <w:spacing w:line="578" w:lineRule="exact"/>
        <w:contextualSpacing/>
        <w:jc w:val="left"/>
        <w:rPr>
          <w:rFonts w:hint="eastAsia" w:ascii="仿宋_GB2312" w:hAnsi="??" w:eastAsia="仿宋_GB2312"/>
          <w:kern w:val="0"/>
          <w:sz w:val="32"/>
          <w:szCs w:val="32"/>
          <w:lang w:val="zh-CN"/>
        </w:rPr>
      </w:pPr>
      <w:r>
        <w:rPr>
          <w:rFonts w:hint="eastAsia" w:ascii="仿宋_GB2312" w:hAnsi="??" w:eastAsia="仿宋_GB2312"/>
          <w:kern w:val="0"/>
          <w:sz w:val="32"/>
          <w:szCs w:val="32"/>
          <w:lang w:val="zh-CN"/>
        </w:rPr>
        <w:t>附表1</w:t>
      </w:r>
    </w:p>
    <w:p>
      <w:pPr>
        <w:spacing w:line="578" w:lineRule="exact"/>
        <w:jc w:val="center"/>
        <w:rPr>
          <w:rFonts w:hint="eastAsia" w:ascii="仿宋_GB2312" w:hAnsi="??" w:eastAsia="仿宋_GB2312"/>
          <w:kern w:val="0"/>
          <w:sz w:val="32"/>
          <w:szCs w:val="32"/>
          <w:lang w:val="zh-CN"/>
        </w:rPr>
      </w:pPr>
      <w:r>
        <w:rPr>
          <w:rFonts w:hint="eastAsia" w:ascii="仿宋_GB2312" w:hAnsi="??" w:eastAsia="仿宋_GB2312"/>
          <w:kern w:val="0"/>
          <w:sz w:val="32"/>
          <w:szCs w:val="32"/>
          <w:lang w:val="zh-CN"/>
        </w:rPr>
        <w:t>项目资金分配涉及所有点位自评得分情况表</w:t>
      </w:r>
    </w:p>
    <w:tbl>
      <w:tblPr>
        <w:tblStyle w:val="16"/>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3843"/>
        <w:gridCol w:w="2861"/>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tcPr>
          <w:p>
            <w:pPr>
              <w:spacing w:line="300" w:lineRule="exact"/>
              <w:ind w:left="420"/>
              <w:jc w:val="center"/>
              <w:rPr>
                <w:rFonts w:hint="eastAsia" w:ascii="仿宋_GB2312" w:hAnsi="??" w:eastAsia="仿宋_GB2312"/>
                <w:kern w:val="0"/>
                <w:sz w:val="32"/>
                <w:szCs w:val="32"/>
                <w:lang w:val="zh-CN"/>
              </w:rPr>
            </w:pPr>
            <w:r>
              <w:rPr>
                <w:rFonts w:hint="eastAsia" w:ascii="仿宋_GB2312" w:hAnsi="??" w:eastAsia="仿宋_GB2312"/>
                <w:kern w:val="0"/>
                <w:sz w:val="32"/>
                <w:szCs w:val="32"/>
                <w:lang w:val="zh-CN"/>
              </w:rPr>
              <w:t>序号</w:t>
            </w:r>
          </w:p>
        </w:tc>
        <w:tc>
          <w:tcPr>
            <w:tcW w:w="3843" w:type="dxa"/>
          </w:tcPr>
          <w:p>
            <w:pPr>
              <w:spacing w:line="300" w:lineRule="exact"/>
              <w:ind w:left="420"/>
              <w:jc w:val="left"/>
              <w:rPr>
                <w:rFonts w:hint="eastAsia" w:ascii="仿宋_GB2312" w:hAnsi="??" w:eastAsia="仿宋_GB2312"/>
                <w:kern w:val="0"/>
                <w:sz w:val="32"/>
                <w:szCs w:val="32"/>
                <w:lang w:val="zh-CN"/>
              </w:rPr>
            </w:pPr>
            <w:r>
              <w:rPr>
                <w:rFonts w:hint="eastAsia" w:ascii="仿宋_GB2312" w:hAnsi="??" w:eastAsia="仿宋_GB2312"/>
                <w:kern w:val="0"/>
                <w:sz w:val="32"/>
                <w:szCs w:val="32"/>
                <w:lang w:val="zh-CN"/>
              </w:rPr>
              <w:t>项目资金末端分配点位</w:t>
            </w:r>
          </w:p>
        </w:tc>
        <w:tc>
          <w:tcPr>
            <w:tcW w:w="2861" w:type="dxa"/>
          </w:tcPr>
          <w:p>
            <w:pPr>
              <w:spacing w:line="300" w:lineRule="exact"/>
              <w:ind w:left="420"/>
              <w:jc w:val="center"/>
              <w:rPr>
                <w:rFonts w:hint="eastAsia" w:ascii="仿宋_GB2312" w:hAnsi="??" w:eastAsia="仿宋_GB2312"/>
                <w:kern w:val="0"/>
                <w:sz w:val="32"/>
                <w:szCs w:val="32"/>
                <w:lang w:val="zh-CN"/>
              </w:rPr>
            </w:pPr>
            <w:r>
              <w:rPr>
                <w:rFonts w:hint="eastAsia" w:ascii="仿宋_GB2312" w:hAnsi="??" w:eastAsia="仿宋_GB2312"/>
                <w:kern w:val="0"/>
                <w:sz w:val="32"/>
                <w:szCs w:val="32"/>
                <w:lang w:val="zh-CN"/>
              </w:rPr>
              <w:t>自评得分（百分制）</w:t>
            </w:r>
          </w:p>
        </w:tc>
        <w:tc>
          <w:tcPr>
            <w:tcW w:w="993" w:type="dxa"/>
          </w:tcPr>
          <w:p>
            <w:pPr>
              <w:spacing w:line="300" w:lineRule="exact"/>
              <w:ind w:left="420"/>
              <w:jc w:val="center"/>
              <w:rPr>
                <w:rFonts w:hint="eastAsia" w:ascii="仿宋_GB2312" w:hAnsi="??" w:eastAsia="仿宋_GB2312"/>
                <w:kern w:val="0"/>
                <w:sz w:val="32"/>
                <w:szCs w:val="32"/>
                <w:lang w:val="zh-CN"/>
              </w:rPr>
            </w:pPr>
            <w:r>
              <w:rPr>
                <w:rFonts w:hint="eastAsia" w:ascii="仿宋_GB2312" w:hAnsi="??" w:eastAsia="仿宋_GB2312"/>
                <w:kern w:val="0"/>
                <w:sz w:val="32"/>
                <w:szCs w:val="32"/>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tcPr>
          <w:p>
            <w:pPr>
              <w:spacing w:line="300" w:lineRule="exact"/>
              <w:ind w:left="420"/>
              <w:jc w:val="center"/>
              <w:rPr>
                <w:rFonts w:hint="eastAsia" w:ascii="仿宋_GB2312" w:hAnsi="??" w:eastAsia="仿宋_GB2312"/>
                <w:kern w:val="0"/>
                <w:sz w:val="32"/>
                <w:szCs w:val="32"/>
                <w:lang w:val="zh-CN"/>
              </w:rPr>
            </w:pPr>
            <w:r>
              <w:rPr>
                <w:rFonts w:hint="eastAsia" w:ascii="仿宋_GB2312" w:hAnsi="??" w:eastAsia="仿宋_GB2312"/>
                <w:kern w:val="0"/>
                <w:sz w:val="32"/>
                <w:szCs w:val="32"/>
                <w:lang w:val="zh-CN"/>
              </w:rPr>
              <w:t>1</w:t>
            </w:r>
          </w:p>
        </w:tc>
        <w:tc>
          <w:tcPr>
            <w:tcW w:w="3843" w:type="dxa"/>
          </w:tcPr>
          <w:p>
            <w:pPr>
              <w:spacing w:line="300" w:lineRule="exact"/>
              <w:ind w:left="420"/>
              <w:jc w:val="left"/>
              <w:rPr>
                <w:rFonts w:hint="eastAsia" w:ascii="仿宋_GB2312" w:hAnsi="??" w:eastAsia="仿宋_GB2312"/>
                <w:kern w:val="0"/>
                <w:sz w:val="32"/>
                <w:szCs w:val="32"/>
                <w:lang w:val="zh-CN"/>
              </w:rPr>
            </w:pPr>
            <w:r>
              <w:rPr>
                <w:rFonts w:hint="eastAsia" w:ascii="仿宋_GB2312" w:hAnsi="??" w:eastAsia="仿宋_GB2312"/>
                <w:kern w:val="0"/>
                <w:sz w:val="32"/>
                <w:szCs w:val="32"/>
                <w:lang w:val="zh-CN"/>
              </w:rPr>
              <w:t>车辆运行维护</w:t>
            </w:r>
          </w:p>
        </w:tc>
        <w:tc>
          <w:tcPr>
            <w:tcW w:w="2861" w:type="dxa"/>
          </w:tcPr>
          <w:p>
            <w:pPr>
              <w:spacing w:line="300" w:lineRule="exact"/>
              <w:ind w:left="420"/>
              <w:rPr>
                <w:rFonts w:hint="eastAsia" w:ascii="仿宋_GB2312" w:hAnsi="??" w:eastAsia="仿宋_GB2312"/>
                <w:kern w:val="0"/>
                <w:sz w:val="32"/>
                <w:szCs w:val="32"/>
                <w:lang w:val="zh-CN"/>
              </w:rPr>
            </w:pPr>
            <w:r>
              <w:rPr>
                <w:rFonts w:hint="eastAsia" w:ascii="仿宋_GB2312" w:hAnsi="??" w:eastAsia="仿宋_GB2312"/>
                <w:kern w:val="0"/>
                <w:sz w:val="32"/>
                <w:szCs w:val="32"/>
                <w:lang w:val="zh-CN"/>
              </w:rPr>
              <w:t>优</w:t>
            </w:r>
          </w:p>
        </w:tc>
        <w:tc>
          <w:tcPr>
            <w:tcW w:w="993" w:type="dxa"/>
          </w:tcPr>
          <w:p>
            <w:pPr>
              <w:spacing w:line="300" w:lineRule="exact"/>
              <w:ind w:left="420"/>
              <w:rPr>
                <w:rFonts w:hint="eastAsia" w:ascii="仿宋_GB2312" w:hAnsi="??" w:eastAsia="仿宋_GB2312"/>
                <w:kern w:val="0"/>
                <w:sz w:val="32"/>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exact"/>
          <w:jc w:val="center"/>
        </w:trPr>
        <w:tc>
          <w:tcPr>
            <w:tcW w:w="1123" w:type="dxa"/>
          </w:tcPr>
          <w:p>
            <w:pPr>
              <w:spacing w:line="300" w:lineRule="exact"/>
              <w:ind w:left="420"/>
              <w:jc w:val="center"/>
              <w:rPr>
                <w:rFonts w:hint="eastAsia" w:ascii="仿宋_GB2312" w:hAnsi="??" w:eastAsia="仿宋_GB2312"/>
                <w:kern w:val="0"/>
                <w:sz w:val="32"/>
                <w:szCs w:val="32"/>
                <w:lang w:val="zh-CN"/>
              </w:rPr>
            </w:pPr>
            <w:r>
              <w:rPr>
                <w:rFonts w:hint="eastAsia" w:ascii="仿宋_GB2312" w:hAnsi="??" w:eastAsia="仿宋_GB2312"/>
                <w:kern w:val="0"/>
                <w:sz w:val="32"/>
                <w:szCs w:val="32"/>
                <w:lang w:val="zh-CN"/>
              </w:rPr>
              <w:t>2</w:t>
            </w:r>
          </w:p>
        </w:tc>
        <w:tc>
          <w:tcPr>
            <w:tcW w:w="3843" w:type="dxa"/>
          </w:tcPr>
          <w:p>
            <w:pPr>
              <w:spacing w:line="300" w:lineRule="exact"/>
              <w:ind w:left="420"/>
              <w:jc w:val="left"/>
              <w:rPr>
                <w:rFonts w:hint="eastAsia" w:ascii="仿宋_GB2312" w:hAnsi="??" w:eastAsia="仿宋_GB2312"/>
                <w:kern w:val="0"/>
                <w:sz w:val="32"/>
                <w:szCs w:val="32"/>
                <w:lang w:val="zh-CN"/>
              </w:rPr>
            </w:pPr>
            <w:r>
              <w:rPr>
                <w:rFonts w:ascii="仿宋_GB2312" w:hAnsi="??" w:eastAsia="仿宋_GB2312"/>
                <w:kern w:val="0"/>
                <w:sz w:val="32"/>
                <w:szCs w:val="32"/>
                <w:lang w:val="zh-CN"/>
              </w:rPr>
              <w:t>差旅费</w:t>
            </w:r>
          </w:p>
        </w:tc>
        <w:tc>
          <w:tcPr>
            <w:tcW w:w="2861" w:type="dxa"/>
          </w:tcPr>
          <w:p>
            <w:pPr>
              <w:spacing w:line="300" w:lineRule="exact"/>
              <w:ind w:left="420"/>
              <w:rPr>
                <w:rFonts w:hint="eastAsia" w:ascii="仿宋_GB2312" w:hAnsi="??" w:eastAsia="仿宋_GB2312"/>
                <w:kern w:val="0"/>
                <w:sz w:val="32"/>
                <w:szCs w:val="32"/>
                <w:lang w:val="zh-CN"/>
              </w:rPr>
            </w:pPr>
            <w:r>
              <w:rPr>
                <w:rFonts w:hint="eastAsia" w:ascii="仿宋_GB2312" w:hAnsi="??" w:eastAsia="仿宋_GB2312"/>
                <w:kern w:val="0"/>
                <w:sz w:val="32"/>
                <w:szCs w:val="32"/>
                <w:lang w:val="zh-CN"/>
              </w:rPr>
              <w:t>优</w:t>
            </w:r>
          </w:p>
        </w:tc>
        <w:tc>
          <w:tcPr>
            <w:tcW w:w="993" w:type="dxa"/>
          </w:tcPr>
          <w:p>
            <w:pPr>
              <w:spacing w:line="300" w:lineRule="exact"/>
              <w:ind w:left="420"/>
              <w:rPr>
                <w:rFonts w:hint="eastAsia" w:ascii="仿宋_GB2312" w:hAnsi="??" w:eastAsia="仿宋_GB2312"/>
                <w:kern w:val="0"/>
                <w:sz w:val="32"/>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tcPr>
          <w:p>
            <w:pPr>
              <w:spacing w:line="300" w:lineRule="exact"/>
              <w:ind w:left="420"/>
              <w:jc w:val="center"/>
              <w:rPr>
                <w:rFonts w:hint="eastAsia" w:ascii="仿宋_GB2312" w:hAnsi="??" w:eastAsia="仿宋_GB2312"/>
                <w:kern w:val="0"/>
                <w:sz w:val="32"/>
                <w:szCs w:val="32"/>
                <w:lang w:val="zh-CN"/>
              </w:rPr>
            </w:pPr>
            <w:r>
              <w:rPr>
                <w:rFonts w:hint="eastAsia" w:ascii="仿宋_GB2312" w:hAnsi="??" w:eastAsia="仿宋_GB2312"/>
                <w:kern w:val="0"/>
                <w:sz w:val="32"/>
                <w:szCs w:val="32"/>
                <w:lang w:val="zh-CN"/>
              </w:rPr>
              <w:t>3</w:t>
            </w:r>
          </w:p>
        </w:tc>
        <w:tc>
          <w:tcPr>
            <w:tcW w:w="3843" w:type="dxa"/>
          </w:tcPr>
          <w:p>
            <w:pPr>
              <w:spacing w:line="300" w:lineRule="exact"/>
              <w:ind w:left="420"/>
              <w:jc w:val="left"/>
              <w:rPr>
                <w:rFonts w:hint="eastAsia" w:ascii="仿宋_GB2312" w:hAnsi="??" w:eastAsia="仿宋_GB2312"/>
                <w:kern w:val="0"/>
                <w:sz w:val="32"/>
                <w:szCs w:val="32"/>
                <w:lang w:val="zh-CN"/>
              </w:rPr>
            </w:pPr>
            <w:r>
              <w:rPr>
                <w:rFonts w:ascii="仿宋_GB2312" w:hAnsi="??" w:eastAsia="仿宋_GB2312"/>
                <w:kern w:val="0"/>
                <w:sz w:val="32"/>
                <w:szCs w:val="32"/>
                <w:lang w:val="zh-CN"/>
              </w:rPr>
              <w:t>信息化运行维护</w:t>
            </w:r>
            <w:r>
              <w:rPr>
                <w:rFonts w:hint="eastAsia" w:ascii="仿宋_GB2312" w:hAnsi="??" w:eastAsia="仿宋_GB2312"/>
                <w:kern w:val="0"/>
                <w:sz w:val="32"/>
                <w:szCs w:val="32"/>
                <w:lang w:val="zh-CN"/>
              </w:rPr>
              <w:t>、升级</w:t>
            </w:r>
          </w:p>
        </w:tc>
        <w:tc>
          <w:tcPr>
            <w:tcW w:w="2861" w:type="dxa"/>
          </w:tcPr>
          <w:p>
            <w:pPr>
              <w:spacing w:line="300" w:lineRule="exact"/>
              <w:ind w:left="420"/>
              <w:rPr>
                <w:rFonts w:hint="eastAsia" w:ascii="仿宋_GB2312" w:hAnsi="??" w:eastAsia="仿宋_GB2312"/>
                <w:kern w:val="0"/>
                <w:sz w:val="32"/>
                <w:szCs w:val="32"/>
                <w:lang w:val="zh-CN"/>
              </w:rPr>
            </w:pPr>
            <w:r>
              <w:rPr>
                <w:rFonts w:hint="eastAsia" w:ascii="仿宋_GB2312" w:hAnsi="??" w:eastAsia="仿宋_GB2312"/>
                <w:kern w:val="0"/>
                <w:sz w:val="32"/>
                <w:szCs w:val="32"/>
                <w:lang w:val="zh-CN"/>
              </w:rPr>
              <w:t>优</w:t>
            </w:r>
          </w:p>
        </w:tc>
        <w:tc>
          <w:tcPr>
            <w:tcW w:w="993" w:type="dxa"/>
          </w:tcPr>
          <w:p>
            <w:pPr>
              <w:spacing w:line="300" w:lineRule="exact"/>
              <w:ind w:left="420"/>
              <w:rPr>
                <w:rFonts w:hint="eastAsia" w:ascii="仿宋_GB2312" w:hAnsi="??" w:eastAsia="仿宋_GB2312"/>
                <w:kern w:val="0"/>
                <w:sz w:val="32"/>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tcPr>
          <w:p>
            <w:pPr>
              <w:spacing w:line="300" w:lineRule="exact"/>
              <w:ind w:left="420"/>
              <w:jc w:val="center"/>
              <w:rPr>
                <w:rFonts w:hint="eastAsia" w:ascii="仿宋_GB2312" w:hAnsi="??" w:eastAsia="仿宋_GB2312"/>
                <w:kern w:val="0"/>
                <w:sz w:val="32"/>
                <w:szCs w:val="32"/>
                <w:lang w:val="zh-CN"/>
              </w:rPr>
            </w:pPr>
            <w:r>
              <w:rPr>
                <w:rFonts w:hint="eastAsia" w:ascii="仿宋_GB2312" w:hAnsi="??" w:eastAsia="仿宋_GB2312"/>
                <w:kern w:val="0"/>
                <w:sz w:val="32"/>
                <w:szCs w:val="32"/>
                <w:lang w:val="zh-CN"/>
              </w:rPr>
              <w:t>4</w:t>
            </w:r>
          </w:p>
        </w:tc>
        <w:tc>
          <w:tcPr>
            <w:tcW w:w="3843" w:type="dxa"/>
          </w:tcPr>
          <w:p>
            <w:pPr>
              <w:spacing w:line="300" w:lineRule="exact"/>
              <w:ind w:left="420"/>
              <w:jc w:val="left"/>
              <w:rPr>
                <w:rFonts w:hint="eastAsia" w:ascii="仿宋_GB2312" w:hAnsi="??" w:eastAsia="仿宋_GB2312"/>
                <w:kern w:val="0"/>
                <w:sz w:val="32"/>
                <w:szCs w:val="32"/>
                <w:lang w:val="zh-CN"/>
              </w:rPr>
            </w:pPr>
            <w:r>
              <w:rPr>
                <w:rFonts w:ascii="仿宋_GB2312" w:hAnsi="??" w:eastAsia="仿宋_GB2312"/>
                <w:kern w:val="0"/>
                <w:sz w:val="32"/>
                <w:szCs w:val="32"/>
                <w:lang w:val="zh-CN"/>
              </w:rPr>
              <w:t>法律监督模型应用系统</w:t>
            </w:r>
            <w:r>
              <w:rPr>
                <w:rFonts w:hint="eastAsia" w:ascii="仿宋_GB2312" w:hAnsi="??" w:eastAsia="仿宋_GB2312"/>
                <w:kern w:val="0"/>
                <w:sz w:val="32"/>
                <w:szCs w:val="32"/>
                <w:lang w:val="zh-CN"/>
              </w:rPr>
              <w:t>购置</w:t>
            </w:r>
          </w:p>
        </w:tc>
        <w:tc>
          <w:tcPr>
            <w:tcW w:w="2861" w:type="dxa"/>
          </w:tcPr>
          <w:p>
            <w:pPr>
              <w:spacing w:line="300" w:lineRule="exact"/>
              <w:ind w:left="420"/>
              <w:rPr>
                <w:rFonts w:hint="eastAsia" w:ascii="仿宋_GB2312" w:hAnsi="??" w:eastAsia="仿宋_GB2312"/>
                <w:kern w:val="0"/>
                <w:sz w:val="32"/>
                <w:szCs w:val="32"/>
                <w:lang w:val="zh-CN"/>
              </w:rPr>
            </w:pPr>
            <w:r>
              <w:rPr>
                <w:rFonts w:hint="eastAsia" w:ascii="仿宋_GB2312" w:hAnsi="??" w:eastAsia="仿宋_GB2312"/>
                <w:kern w:val="0"/>
                <w:sz w:val="32"/>
                <w:szCs w:val="32"/>
                <w:lang w:val="zh-CN"/>
              </w:rPr>
              <w:t>优</w:t>
            </w:r>
          </w:p>
        </w:tc>
        <w:tc>
          <w:tcPr>
            <w:tcW w:w="993" w:type="dxa"/>
          </w:tcPr>
          <w:p>
            <w:pPr>
              <w:spacing w:line="300" w:lineRule="exact"/>
              <w:ind w:left="420"/>
              <w:rPr>
                <w:rFonts w:hint="eastAsia" w:ascii="仿宋_GB2312" w:hAnsi="??" w:eastAsia="仿宋_GB2312"/>
                <w:kern w:val="0"/>
                <w:sz w:val="32"/>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tcPr>
          <w:p>
            <w:pPr>
              <w:spacing w:line="300" w:lineRule="exact"/>
              <w:ind w:left="420"/>
              <w:jc w:val="center"/>
              <w:rPr>
                <w:rFonts w:hint="eastAsia" w:ascii="仿宋_GB2312" w:hAnsi="??" w:eastAsia="仿宋_GB2312"/>
                <w:kern w:val="0"/>
                <w:sz w:val="32"/>
                <w:szCs w:val="32"/>
                <w:lang w:val="zh-CN"/>
              </w:rPr>
            </w:pPr>
            <w:r>
              <w:rPr>
                <w:rFonts w:hint="eastAsia" w:ascii="仿宋_GB2312" w:hAnsi="??" w:eastAsia="仿宋_GB2312"/>
                <w:kern w:val="0"/>
                <w:sz w:val="32"/>
                <w:szCs w:val="32"/>
                <w:lang w:val="zh-CN"/>
              </w:rPr>
              <w:t>5</w:t>
            </w:r>
          </w:p>
        </w:tc>
        <w:tc>
          <w:tcPr>
            <w:tcW w:w="3843" w:type="dxa"/>
          </w:tcPr>
          <w:p>
            <w:pPr>
              <w:spacing w:line="300" w:lineRule="exact"/>
              <w:ind w:left="420"/>
              <w:jc w:val="left"/>
              <w:rPr>
                <w:rFonts w:hint="eastAsia" w:ascii="仿宋_GB2312" w:hAnsi="??" w:eastAsia="仿宋_GB2312"/>
                <w:kern w:val="0"/>
                <w:sz w:val="32"/>
                <w:szCs w:val="32"/>
                <w:lang w:val="zh-CN"/>
              </w:rPr>
            </w:pPr>
            <w:r>
              <w:rPr>
                <w:rFonts w:hint="eastAsia" w:ascii="仿宋_GB2312" w:hAnsi="??" w:eastAsia="仿宋_GB2312"/>
                <w:kern w:val="0"/>
                <w:sz w:val="32"/>
                <w:szCs w:val="32"/>
                <w:lang w:val="zh-CN"/>
              </w:rPr>
              <w:t>法律监督专题片制作</w:t>
            </w:r>
          </w:p>
        </w:tc>
        <w:tc>
          <w:tcPr>
            <w:tcW w:w="2861" w:type="dxa"/>
          </w:tcPr>
          <w:p>
            <w:pPr>
              <w:spacing w:line="300" w:lineRule="exact"/>
              <w:ind w:left="420"/>
              <w:rPr>
                <w:rFonts w:hint="eastAsia" w:ascii="仿宋_GB2312" w:hAnsi="??" w:eastAsia="仿宋_GB2312"/>
                <w:kern w:val="0"/>
                <w:sz w:val="32"/>
                <w:szCs w:val="32"/>
                <w:lang w:val="zh-CN"/>
              </w:rPr>
            </w:pPr>
            <w:r>
              <w:rPr>
                <w:rFonts w:hint="eastAsia" w:ascii="仿宋_GB2312" w:hAnsi="??" w:eastAsia="仿宋_GB2312"/>
                <w:kern w:val="0"/>
                <w:sz w:val="32"/>
                <w:szCs w:val="32"/>
                <w:lang w:val="zh-CN"/>
              </w:rPr>
              <w:t>优</w:t>
            </w:r>
          </w:p>
        </w:tc>
        <w:tc>
          <w:tcPr>
            <w:tcW w:w="993" w:type="dxa"/>
          </w:tcPr>
          <w:p>
            <w:pPr>
              <w:spacing w:line="300" w:lineRule="exact"/>
              <w:ind w:left="420"/>
              <w:rPr>
                <w:rFonts w:hint="eastAsia" w:ascii="仿宋_GB2312" w:hAnsi="??" w:eastAsia="仿宋_GB2312"/>
                <w:kern w:val="0"/>
                <w:sz w:val="32"/>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tcPr>
          <w:p>
            <w:pPr>
              <w:spacing w:line="300" w:lineRule="exact"/>
              <w:ind w:left="420"/>
              <w:jc w:val="center"/>
              <w:rPr>
                <w:rFonts w:hint="eastAsia" w:ascii="仿宋_GB2312" w:hAnsi="??" w:eastAsia="仿宋_GB2312"/>
                <w:kern w:val="0"/>
                <w:sz w:val="32"/>
                <w:szCs w:val="32"/>
                <w:lang w:val="zh-CN"/>
              </w:rPr>
            </w:pPr>
            <w:r>
              <w:rPr>
                <w:rFonts w:hint="eastAsia" w:ascii="仿宋_GB2312" w:hAnsi="??" w:eastAsia="仿宋_GB2312"/>
                <w:kern w:val="0"/>
                <w:sz w:val="32"/>
                <w:szCs w:val="32"/>
                <w:lang w:val="zh-CN"/>
              </w:rPr>
              <w:t>6</w:t>
            </w:r>
          </w:p>
        </w:tc>
        <w:tc>
          <w:tcPr>
            <w:tcW w:w="3843" w:type="dxa"/>
          </w:tcPr>
          <w:p>
            <w:pPr>
              <w:spacing w:line="300" w:lineRule="exact"/>
              <w:ind w:left="420"/>
              <w:jc w:val="left"/>
              <w:rPr>
                <w:rFonts w:hint="eastAsia" w:ascii="仿宋_GB2312" w:hAnsi="??" w:eastAsia="仿宋_GB2312"/>
                <w:kern w:val="0"/>
                <w:sz w:val="32"/>
                <w:szCs w:val="32"/>
                <w:lang w:val="zh-CN"/>
              </w:rPr>
            </w:pPr>
            <w:r>
              <w:rPr>
                <w:rFonts w:hint="eastAsia" w:ascii="仿宋_GB2312" w:hAnsi="??" w:eastAsia="仿宋_GB2312"/>
                <w:kern w:val="0"/>
                <w:sz w:val="32"/>
                <w:szCs w:val="32"/>
                <w:lang w:val="zh-CN"/>
              </w:rPr>
              <w:t>公益诉讼快速检测设备购置</w:t>
            </w:r>
          </w:p>
        </w:tc>
        <w:tc>
          <w:tcPr>
            <w:tcW w:w="2861" w:type="dxa"/>
          </w:tcPr>
          <w:p>
            <w:pPr>
              <w:spacing w:line="300" w:lineRule="exact"/>
              <w:ind w:left="420"/>
              <w:rPr>
                <w:rFonts w:hint="eastAsia" w:ascii="仿宋_GB2312" w:hAnsi="??" w:eastAsia="仿宋_GB2312"/>
                <w:kern w:val="0"/>
                <w:sz w:val="32"/>
                <w:szCs w:val="32"/>
                <w:lang w:val="zh-CN"/>
              </w:rPr>
            </w:pPr>
            <w:r>
              <w:rPr>
                <w:rFonts w:hint="eastAsia" w:ascii="仿宋_GB2312" w:hAnsi="??" w:eastAsia="仿宋_GB2312"/>
                <w:kern w:val="0"/>
                <w:sz w:val="32"/>
                <w:szCs w:val="32"/>
                <w:lang w:val="zh-CN"/>
              </w:rPr>
              <w:t>优</w:t>
            </w:r>
          </w:p>
        </w:tc>
        <w:tc>
          <w:tcPr>
            <w:tcW w:w="993" w:type="dxa"/>
          </w:tcPr>
          <w:p>
            <w:pPr>
              <w:spacing w:line="300" w:lineRule="exact"/>
              <w:ind w:left="420"/>
              <w:rPr>
                <w:rFonts w:hint="eastAsia" w:ascii="仿宋_GB2312" w:hAnsi="??" w:eastAsia="仿宋_GB2312"/>
                <w:kern w:val="0"/>
                <w:sz w:val="32"/>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tcPr>
          <w:p>
            <w:pPr>
              <w:spacing w:line="300" w:lineRule="exact"/>
              <w:ind w:left="420"/>
              <w:jc w:val="center"/>
              <w:rPr>
                <w:rFonts w:hint="eastAsia" w:ascii="仿宋_GB2312" w:hAnsi="??" w:eastAsia="仿宋_GB2312"/>
                <w:kern w:val="0"/>
                <w:sz w:val="32"/>
                <w:szCs w:val="32"/>
                <w:lang w:val="zh-CN"/>
              </w:rPr>
            </w:pPr>
            <w:r>
              <w:rPr>
                <w:rFonts w:hint="eastAsia" w:ascii="仿宋_GB2312" w:hAnsi="??" w:eastAsia="仿宋_GB2312"/>
                <w:kern w:val="0"/>
                <w:sz w:val="32"/>
                <w:szCs w:val="32"/>
                <w:lang w:val="zh-CN"/>
              </w:rPr>
              <w:t>7</w:t>
            </w:r>
          </w:p>
        </w:tc>
        <w:tc>
          <w:tcPr>
            <w:tcW w:w="3843" w:type="dxa"/>
          </w:tcPr>
          <w:p>
            <w:pPr>
              <w:spacing w:line="300" w:lineRule="exact"/>
              <w:ind w:left="420"/>
              <w:rPr>
                <w:rFonts w:hint="eastAsia" w:ascii="仿宋_GB2312" w:hAnsi="??" w:eastAsia="仿宋_GB2312"/>
                <w:kern w:val="0"/>
                <w:sz w:val="32"/>
                <w:szCs w:val="32"/>
                <w:lang w:val="zh-CN"/>
              </w:rPr>
            </w:pPr>
          </w:p>
        </w:tc>
        <w:tc>
          <w:tcPr>
            <w:tcW w:w="2861" w:type="dxa"/>
          </w:tcPr>
          <w:p>
            <w:pPr>
              <w:spacing w:line="300" w:lineRule="exact"/>
              <w:ind w:left="420"/>
              <w:rPr>
                <w:rFonts w:hint="eastAsia" w:ascii="仿宋_GB2312" w:hAnsi="??" w:eastAsia="仿宋_GB2312"/>
                <w:kern w:val="0"/>
                <w:sz w:val="32"/>
                <w:szCs w:val="32"/>
                <w:lang w:val="zh-CN"/>
              </w:rPr>
            </w:pPr>
          </w:p>
        </w:tc>
        <w:tc>
          <w:tcPr>
            <w:tcW w:w="993" w:type="dxa"/>
          </w:tcPr>
          <w:p>
            <w:pPr>
              <w:spacing w:line="300" w:lineRule="exact"/>
              <w:ind w:left="420"/>
              <w:rPr>
                <w:rFonts w:hint="eastAsia" w:ascii="仿宋_GB2312" w:hAnsi="??" w:eastAsia="仿宋_GB2312"/>
                <w:kern w:val="0"/>
                <w:sz w:val="32"/>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tcPr>
          <w:p>
            <w:pPr>
              <w:spacing w:line="300" w:lineRule="exact"/>
              <w:ind w:left="420"/>
              <w:jc w:val="center"/>
              <w:rPr>
                <w:rFonts w:hint="eastAsia" w:ascii="仿宋_GB2312" w:hAnsi="??" w:eastAsia="仿宋_GB2312"/>
                <w:kern w:val="0"/>
                <w:sz w:val="32"/>
                <w:szCs w:val="32"/>
                <w:lang w:val="zh-CN"/>
              </w:rPr>
            </w:pPr>
            <w:r>
              <w:rPr>
                <w:rFonts w:hint="eastAsia" w:ascii="仿宋_GB2312" w:hAnsi="??" w:eastAsia="仿宋_GB2312"/>
                <w:kern w:val="0"/>
                <w:sz w:val="32"/>
                <w:szCs w:val="32"/>
                <w:lang w:val="zh-CN"/>
              </w:rPr>
              <w:t>8</w:t>
            </w:r>
          </w:p>
        </w:tc>
        <w:tc>
          <w:tcPr>
            <w:tcW w:w="3843" w:type="dxa"/>
          </w:tcPr>
          <w:p>
            <w:pPr>
              <w:spacing w:line="300" w:lineRule="exact"/>
              <w:ind w:left="420"/>
              <w:rPr>
                <w:rFonts w:hint="eastAsia" w:ascii="仿宋_GB2312" w:hAnsi="??" w:eastAsia="仿宋_GB2312"/>
                <w:kern w:val="0"/>
                <w:sz w:val="32"/>
                <w:szCs w:val="32"/>
                <w:lang w:val="zh-CN"/>
              </w:rPr>
            </w:pPr>
          </w:p>
        </w:tc>
        <w:tc>
          <w:tcPr>
            <w:tcW w:w="2861" w:type="dxa"/>
          </w:tcPr>
          <w:p>
            <w:pPr>
              <w:spacing w:line="300" w:lineRule="exact"/>
              <w:ind w:left="420"/>
              <w:rPr>
                <w:rFonts w:hint="eastAsia" w:ascii="仿宋_GB2312" w:hAnsi="??" w:eastAsia="仿宋_GB2312"/>
                <w:kern w:val="0"/>
                <w:sz w:val="32"/>
                <w:szCs w:val="32"/>
                <w:lang w:val="zh-CN"/>
              </w:rPr>
            </w:pPr>
          </w:p>
        </w:tc>
        <w:tc>
          <w:tcPr>
            <w:tcW w:w="993" w:type="dxa"/>
          </w:tcPr>
          <w:p>
            <w:pPr>
              <w:spacing w:line="300" w:lineRule="exact"/>
              <w:ind w:left="420"/>
              <w:rPr>
                <w:rFonts w:hint="eastAsia" w:ascii="仿宋_GB2312" w:hAnsi="??" w:eastAsia="仿宋_GB2312"/>
                <w:kern w:val="0"/>
                <w:sz w:val="32"/>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tcPr>
          <w:p>
            <w:pPr>
              <w:spacing w:line="300" w:lineRule="exact"/>
              <w:ind w:left="420"/>
              <w:jc w:val="center"/>
              <w:rPr>
                <w:rFonts w:hint="eastAsia" w:ascii="仿宋_GB2312" w:hAnsi="??" w:eastAsia="仿宋_GB2312"/>
                <w:kern w:val="0"/>
                <w:sz w:val="32"/>
                <w:szCs w:val="32"/>
                <w:lang w:val="zh-CN"/>
              </w:rPr>
            </w:pPr>
            <w:r>
              <w:rPr>
                <w:rFonts w:hint="eastAsia" w:ascii="仿宋_GB2312" w:hAnsi="??" w:eastAsia="仿宋_GB2312"/>
                <w:kern w:val="0"/>
                <w:sz w:val="32"/>
                <w:szCs w:val="32"/>
                <w:lang w:val="zh-CN"/>
              </w:rPr>
              <w:t>……</w:t>
            </w:r>
          </w:p>
        </w:tc>
        <w:tc>
          <w:tcPr>
            <w:tcW w:w="3843" w:type="dxa"/>
          </w:tcPr>
          <w:p>
            <w:pPr>
              <w:spacing w:line="300" w:lineRule="exact"/>
              <w:ind w:left="420"/>
              <w:rPr>
                <w:rFonts w:hint="eastAsia" w:ascii="仿宋_GB2312" w:hAnsi="??" w:eastAsia="仿宋_GB2312"/>
                <w:kern w:val="0"/>
                <w:sz w:val="32"/>
                <w:szCs w:val="32"/>
                <w:lang w:val="zh-CN"/>
              </w:rPr>
            </w:pPr>
          </w:p>
        </w:tc>
        <w:tc>
          <w:tcPr>
            <w:tcW w:w="2861" w:type="dxa"/>
          </w:tcPr>
          <w:p>
            <w:pPr>
              <w:spacing w:line="300" w:lineRule="exact"/>
              <w:ind w:left="420"/>
              <w:rPr>
                <w:rFonts w:hint="eastAsia" w:ascii="仿宋_GB2312" w:hAnsi="??" w:eastAsia="仿宋_GB2312"/>
                <w:kern w:val="0"/>
                <w:sz w:val="32"/>
                <w:szCs w:val="32"/>
                <w:lang w:val="zh-CN"/>
              </w:rPr>
            </w:pPr>
          </w:p>
        </w:tc>
        <w:tc>
          <w:tcPr>
            <w:tcW w:w="993" w:type="dxa"/>
          </w:tcPr>
          <w:p>
            <w:pPr>
              <w:spacing w:line="300" w:lineRule="exact"/>
              <w:ind w:left="420"/>
              <w:rPr>
                <w:rFonts w:hint="eastAsia" w:ascii="仿宋_GB2312" w:hAnsi="??" w:eastAsia="仿宋_GB2312"/>
                <w:kern w:val="0"/>
                <w:sz w:val="32"/>
                <w:szCs w:val="32"/>
                <w:lang w:val="zh-CN"/>
              </w:rPr>
            </w:pPr>
          </w:p>
        </w:tc>
      </w:tr>
    </w:tbl>
    <w:p>
      <w:pPr>
        <w:spacing w:line="400" w:lineRule="exact"/>
        <w:jc w:val="left"/>
        <w:rPr>
          <w:rFonts w:hint="eastAsia" w:ascii="仿宋_GB2312" w:hAnsi="??" w:eastAsia="仿宋_GB2312"/>
          <w:kern w:val="0"/>
          <w:sz w:val="32"/>
          <w:szCs w:val="32"/>
          <w:lang w:val="zh-CN"/>
        </w:rPr>
      </w:pPr>
      <w:r>
        <w:rPr>
          <w:rFonts w:hint="eastAsia" w:ascii="仿宋_GB2312" w:hAnsi="??" w:eastAsia="仿宋_GB2312"/>
          <w:kern w:val="0"/>
          <w:sz w:val="32"/>
          <w:szCs w:val="32"/>
          <w:lang w:val="zh-CN"/>
        </w:rPr>
        <w:t>备注：1.项目资金末端分配点位包括市本级、县（区）、市级部门下属单位及一次性单位等。</w:t>
      </w:r>
    </w:p>
    <w:p>
      <w:pPr>
        <w:spacing w:line="400" w:lineRule="exact"/>
        <w:ind w:firstLine="960" w:firstLineChars="300"/>
        <w:jc w:val="left"/>
        <w:rPr>
          <w:rFonts w:hint="eastAsia" w:ascii="仿宋_GB2312" w:hAnsi="??" w:eastAsia="仿宋_GB2312"/>
          <w:kern w:val="0"/>
          <w:sz w:val="32"/>
          <w:szCs w:val="32"/>
          <w:lang w:val="zh-CN"/>
        </w:rPr>
      </w:pPr>
      <w:r>
        <w:rPr>
          <w:rFonts w:hint="eastAsia" w:ascii="仿宋_GB2312" w:hAnsi="??" w:eastAsia="仿宋_GB2312"/>
          <w:kern w:val="0"/>
          <w:sz w:val="32"/>
          <w:szCs w:val="32"/>
          <w:lang w:val="zh-CN"/>
        </w:rPr>
        <w:t>2.自评得分（百分制）从高到低划分为优、良、中、差四个档次，各个档次数量占比分别为20%、20%、55%、5%，且不同档次间得分分值应体现差异化，同档次得分分值相同的比例不超过该档次总数量的10%。</w:t>
      </w:r>
    </w:p>
    <w:p>
      <w:pPr>
        <w:spacing w:line="578" w:lineRule="exact"/>
        <w:jc w:val="center"/>
        <w:rPr>
          <w:rFonts w:hint="eastAsia" w:ascii="仿宋_GB2312" w:hAnsi="??" w:eastAsia="仿宋_GB2312"/>
          <w:kern w:val="0"/>
          <w:sz w:val="32"/>
          <w:szCs w:val="32"/>
          <w:lang w:val="zh-CN"/>
        </w:rPr>
      </w:pPr>
      <w:r>
        <w:rPr>
          <w:rFonts w:hint="eastAsia" w:ascii="仿宋_GB2312" w:hAnsi="??" w:eastAsia="仿宋_GB2312"/>
          <w:kern w:val="0"/>
          <w:sz w:val="32"/>
          <w:szCs w:val="32"/>
          <w:lang w:val="zh-CN"/>
        </w:rPr>
        <w:br w:type="page"/>
      </w:r>
    </w:p>
    <w:p>
      <w:pPr>
        <w:pStyle w:val="14"/>
        <w:spacing w:after="0" w:line="578" w:lineRule="exact"/>
        <w:ind w:left="0" w:leftChars="0" w:firstLine="0" w:firstLineChars="0"/>
        <w:rPr>
          <w:rFonts w:asciiTheme="minorEastAsia" w:hAnsiTheme="minorEastAsia" w:eastAsiaTheme="minorEastAsia" w:cstheme="minorEastAsia"/>
          <w:szCs w:val="24"/>
        </w:rPr>
      </w:pPr>
      <w:r>
        <w:rPr>
          <w:rFonts w:hint="eastAsia" w:asciiTheme="minorEastAsia" w:hAnsiTheme="minorEastAsia" w:eastAsiaTheme="minorEastAsia" w:cstheme="minorEastAsia"/>
          <w:sz w:val="32"/>
          <w:szCs w:val="24"/>
        </w:rPr>
        <w:t>附表2</w:t>
      </w:r>
    </w:p>
    <w:tbl>
      <w:tblPr>
        <w:tblStyle w:val="15"/>
        <w:tblW w:w="10233" w:type="dxa"/>
        <w:jc w:val="center"/>
        <w:tblLayout w:type="fixed"/>
        <w:tblCellMar>
          <w:top w:w="15" w:type="dxa"/>
          <w:left w:w="15" w:type="dxa"/>
          <w:bottom w:w="15" w:type="dxa"/>
          <w:right w:w="15" w:type="dxa"/>
        </w:tblCellMar>
      </w:tblPr>
      <w:tblGrid>
        <w:gridCol w:w="652"/>
        <w:gridCol w:w="1081"/>
        <w:gridCol w:w="1250"/>
        <w:gridCol w:w="1312"/>
        <w:gridCol w:w="1127"/>
        <w:gridCol w:w="971"/>
        <w:gridCol w:w="1061"/>
        <w:gridCol w:w="938"/>
        <w:gridCol w:w="1841"/>
      </w:tblGrid>
      <w:tr>
        <w:tblPrEx>
          <w:tblCellMar>
            <w:top w:w="15" w:type="dxa"/>
            <w:left w:w="15" w:type="dxa"/>
            <w:bottom w:w="15" w:type="dxa"/>
            <w:right w:w="15" w:type="dxa"/>
          </w:tblCellMar>
        </w:tblPrEx>
        <w:trPr>
          <w:trHeight w:val="576" w:hRule="atLeast"/>
          <w:jc w:val="center"/>
        </w:trPr>
        <w:tc>
          <w:tcPr>
            <w:tcW w:w="10233" w:type="dxa"/>
            <w:gridSpan w:val="9"/>
            <w:shd w:val="clear" w:color="auto" w:fill="auto"/>
            <w:vAlign w:val="center"/>
          </w:tcPr>
          <w:p>
            <w:pPr>
              <w:widowControl/>
              <w:spacing w:line="600" w:lineRule="exact"/>
              <w:jc w:val="center"/>
              <w:textAlignment w:val="center"/>
              <w:rPr>
                <w:rFonts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kern w:val="0"/>
                <w:sz w:val="40"/>
                <w:szCs w:val="40"/>
              </w:rPr>
              <w:t>专项预算项目绩效目标完成情况自评表</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项目名称</w:t>
            </w:r>
          </w:p>
        </w:tc>
        <w:tc>
          <w:tcPr>
            <w:tcW w:w="59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2023年特定转移支付</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预算单位</w:t>
            </w:r>
          </w:p>
        </w:tc>
        <w:tc>
          <w:tcPr>
            <w:tcW w:w="59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四川省广元市人民检察院</w:t>
            </w:r>
          </w:p>
        </w:tc>
      </w:tr>
      <w:tr>
        <w:tblPrEx>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项目类型</w:t>
            </w:r>
          </w:p>
        </w:tc>
        <w:tc>
          <w:tcPr>
            <w:tcW w:w="59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转移性项目</w:t>
            </w:r>
          </w:p>
        </w:tc>
      </w:tr>
      <w:tr>
        <w:tblPrEx>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项目 概况</w:t>
            </w:r>
          </w:p>
        </w:tc>
        <w:tc>
          <w:tcPr>
            <w:tcW w:w="36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中长期规划（名称、文号，仅指</w:t>
            </w:r>
          </w:p>
          <w:p>
            <w:pPr>
              <w:widowControl/>
              <w:spacing w:line="300" w:lineRule="exact"/>
              <w:jc w:val="left"/>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常年项目）</w:t>
            </w:r>
          </w:p>
        </w:tc>
        <w:tc>
          <w:tcPr>
            <w:tcW w:w="59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2023年特定转移支付</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rPr>
                <w:rFonts w:asciiTheme="minorEastAsia" w:hAnsiTheme="minorEastAsia" w:eastAsiaTheme="minorEastAsia" w:cstheme="minorEastAsia"/>
                <w:color w:val="000000"/>
                <w:sz w:val="24"/>
              </w:rPr>
            </w:pPr>
          </w:p>
        </w:tc>
        <w:tc>
          <w:tcPr>
            <w:tcW w:w="36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资金管理办法（名称、文号）</w:t>
            </w:r>
          </w:p>
        </w:tc>
        <w:tc>
          <w:tcPr>
            <w:tcW w:w="59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广元市重点建设项目资金管理办法</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rPr>
                <w:rFonts w:asciiTheme="minorEastAsia" w:hAnsiTheme="minorEastAsia" w:eastAsiaTheme="minorEastAsia" w:cstheme="minorEastAsia"/>
                <w:color w:val="000000"/>
                <w:sz w:val="24"/>
              </w:rPr>
            </w:pPr>
          </w:p>
        </w:tc>
        <w:tc>
          <w:tcPr>
            <w:tcW w:w="36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绩效分配方式</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£因素法</w:t>
            </w:r>
          </w:p>
        </w:tc>
        <w:tc>
          <w:tcPr>
            <w:tcW w:w="20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£项目法</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£据实据效</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£因素法与项目法相结合</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rPr>
                <w:rFonts w:asciiTheme="minorEastAsia" w:hAnsiTheme="minorEastAsia" w:eastAsiaTheme="minorEastAsia" w:cstheme="minorEastAsia"/>
                <w:color w:val="000000"/>
                <w:sz w:val="24"/>
              </w:rPr>
            </w:pPr>
          </w:p>
        </w:tc>
        <w:tc>
          <w:tcPr>
            <w:tcW w:w="36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立项依据</w:t>
            </w:r>
          </w:p>
        </w:tc>
        <w:tc>
          <w:tcPr>
            <w:tcW w:w="59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无</w:t>
            </w:r>
          </w:p>
        </w:tc>
      </w:tr>
      <w:tr>
        <w:tblPrEx>
          <w:tblCellMar>
            <w:top w:w="15" w:type="dxa"/>
            <w:left w:w="15" w:type="dxa"/>
            <w:bottom w:w="15" w:type="dxa"/>
            <w:right w:w="15" w:type="dxa"/>
          </w:tblCellMar>
        </w:tblPrEx>
        <w:trPr>
          <w:trHeight w:val="329"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rPr>
                <w:rFonts w:asciiTheme="minorEastAsia" w:hAnsiTheme="minorEastAsia" w:eastAsiaTheme="minorEastAsia" w:cstheme="minorEastAsia"/>
                <w:color w:val="000000"/>
                <w:sz w:val="24"/>
              </w:rPr>
            </w:pPr>
          </w:p>
        </w:tc>
        <w:tc>
          <w:tcPr>
            <w:tcW w:w="36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使用范围</w:t>
            </w:r>
          </w:p>
        </w:tc>
        <w:tc>
          <w:tcPr>
            <w:tcW w:w="59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该刑罚执行监督系统适用于监狱、看守所、社区矫正机构、公安机关、人民法院等刑罚执行和监管场所，旨在通过信息化手段，对刑罚执行活动进行全面监督，确保刑罚执行的规范性和公正性，维护监管场所秩序稳定，保障刑罚执行和监管工作的顺利进行。</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rPr>
                <w:rFonts w:asciiTheme="minorEastAsia" w:hAnsiTheme="minorEastAsia" w:eastAsiaTheme="minorEastAsia" w:cstheme="minorEastAsia"/>
                <w:color w:val="000000"/>
                <w:sz w:val="24"/>
              </w:rPr>
            </w:pPr>
          </w:p>
        </w:tc>
        <w:tc>
          <w:tcPr>
            <w:tcW w:w="36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申报（补助）条件</w:t>
            </w:r>
          </w:p>
        </w:tc>
        <w:tc>
          <w:tcPr>
            <w:tcW w:w="59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中央转移支付</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rPr>
                <w:rFonts w:asciiTheme="minorEastAsia" w:hAnsiTheme="minorEastAsia" w:eastAsiaTheme="minorEastAsia" w:cstheme="minorEastAsia"/>
                <w:color w:val="000000"/>
                <w:sz w:val="24"/>
              </w:rPr>
            </w:pPr>
          </w:p>
        </w:tc>
        <w:tc>
          <w:tcPr>
            <w:tcW w:w="36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项目起止年限</w:t>
            </w:r>
          </w:p>
        </w:tc>
        <w:tc>
          <w:tcPr>
            <w:tcW w:w="59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常年项目</w:t>
            </w:r>
          </w:p>
        </w:tc>
      </w:tr>
      <w:tr>
        <w:tblPrEx>
          <w:tblCellMar>
            <w:top w:w="15" w:type="dxa"/>
            <w:left w:w="15" w:type="dxa"/>
            <w:bottom w:w="15" w:type="dxa"/>
            <w:right w:w="15" w:type="dxa"/>
          </w:tblCellMar>
        </w:tblPrEx>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项目资金</w:t>
            </w:r>
          </w:p>
          <w:p>
            <w:pPr>
              <w:widowControl/>
              <w:spacing w:line="300" w:lineRule="exact"/>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（万元）</w:t>
            </w:r>
          </w:p>
        </w:tc>
        <w:tc>
          <w:tcPr>
            <w:tcW w:w="2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 xml:space="preserve">  年度资金总额：</w:t>
            </w:r>
          </w:p>
        </w:tc>
        <w:tc>
          <w:tcPr>
            <w:tcW w:w="59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632</w:t>
            </w:r>
          </w:p>
        </w:tc>
      </w:tr>
      <w:tr>
        <w:tblPrEx>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rPr>
                <w:rFonts w:asciiTheme="minorEastAsia" w:hAnsiTheme="minorEastAsia" w:eastAsiaTheme="minorEastAsia" w:cstheme="minorEastAsia"/>
                <w:color w:val="000000"/>
                <w:sz w:val="24"/>
              </w:rPr>
            </w:pPr>
          </w:p>
        </w:tc>
        <w:tc>
          <w:tcPr>
            <w:tcW w:w="2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 xml:space="preserve">      其中：财政拨款</w:t>
            </w:r>
          </w:p>
        </w:tc>
        <w:tc>
          <w:tcPr>
            <w:tcW w:w="59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632</w:t>
            </w:r>
          </w:p>
        </w:tc>
      </w:tr>
      <w:tr>
        <w:tblPrEx>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rPr>
                <w:rFonts w:asciiTheme="minorEastAsia" w:hAnsiTheme="minorEastAsia" w:eastAsiaTheme="minorEastAsia" w:cstheme="minorEastAsia"/>
                <w:color w:val="000000"/>
                <w:sz w:val="24"/>
              </w:rPr>
            </w:pPr>
          </w:p>
        </w:tc>
        <w:tc>
          <w:tcPr>
            <w:tcW w:w="2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left"/>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 xml:space="preserve">            其他资金</w:t>
            </w:r>
          </w:p>
        </w:tc>
        <w:tc>
          <w:tcPr>
            <w:tcW w:w="59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jc w:val="right"/>
              <w:rPr>
                <w:rFonts w:asciiTheme="minorEastAsia" w:hAnsiTheme="minorEastAsia" w:eastAsiaTheme="minorEastAsia" w:cstheme="minorEastAsia"/>
                <w:color w:val="000000"/>
                <w:sz w:val="24"/>
              </w:rPr>
            </w:pPr>
          </w:p>
        </w:tc>
      </w:tr>
      <w:tr>
        <w:tblPrEx>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总体 目标</w:t>
            </w:r>
          </w:p>
        </w:tc>
        <w:tc>
          <w:tcPr>
            <w:tcW w:w="95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年度目标</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rPr>
                <w:rFonts w:asciiTheme="minorEastAsia" w:hAnsiTheme="minorEastAsia" w:eastAsiaTheme="minorEastAsia" w:cstheme="minorEastAsia"/>
                <w:color w:val="000000"/>
                <w:sz w:val="24"/>
              </w:rPr>
            </w:pPr>
          </w:p>
        </w:tc>
        <w:tc>
          <w:tcPr>
            <w:tcW w:w="95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00" w:lineRule="exac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全面落实刑罚执行监督任务，确保监管场所秩序稳定。</w:t>
            </w:r>
          </w:p>
        </w:tc>
      </w:tr>
      <w:tr>
        <w:tblPrEx>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绩效 指标</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一级指标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二级指标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三级指标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指标性质</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指标值</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度量单位</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权重</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实际完成指标值</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shd w:val="clear" w:color="auto" w:fill="auto"/>
            <w:vAlign w:val="center"/>
          </w:tcPr>
          <w:p>
            <w:pPr>
              <w:spacing w:line="300" w:lineRule="exact"/>
              <w:jc w:val="center"/>
              <w:rPr>
                <w:rFonts w:asciiTheme="minorEastAsia" w:hAnsiTheme="minorEastAsia" w:eastAsiaTheme="minorEastAsia" w:cstheme="minorEastAsia"/>
                <w:color w:val="000000"/>
                <w:sz w:val="24"/>
              </w:rPr>
            </w:pPr>
          </w:p>
        </w:tc>
        <w:tc>
          <w:tcPr>
            <w:tcW w:w="1081" w:type="dxa"/>
            <w:vMerge w:val="restart"/>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产出指标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数量指标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采购数量</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套</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10</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采购数量100套</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shd w:val="clear" w:color="auto" w:fill="auto"/>
            <w:vAlign w:val="center"/>
          </w:tcPr>
          <w:p>
            <w:pPr>
              <w:spacing w:line="300" w:lineRule="exact"/>
              <w:jc w:val="center"/>
              <w:rPr>
                <w:rFonts w:asciiTheme="minorEastAsia" w:hAnsiTheme="minorEastAsia" w:eastAsiaTheme="minorEastAsia" w:cstheme="minorEastAsia"/>
                <w:color w:val="000000"/>
                <w:sz w:val="24"/>
              </w:rPr>
            </w:pPr>
          </w:p>
        </w:tc>
        <w:tc>
          <w:tcPr>
            <w:tcW w:w="1081" w:type="dxa"/>
            <w:vMerge w:val="continue"/>
            <w:tcBorders>
              <w:left w:val="single" w:color="000000" w:sz="4" w:space="0"/>
              <w:right w:val="single" w:color="000000" w:sz="4" w:space="0"/>
            </w:tcBorders>
            <w:shd w:val="clear" w:color="auto" w:fill="auto"/>
            <w:vAlign w:val="center"/>
          </w:tcPr>
          <w:p>
            <w:pPr>
              <w:spacing w:line="300" w:lineRule="exact"/>
              <w:jc w:val="center"/>
              <w:rPr>
                <w:rFonts w:asciiTheme="minorEastAsia" w:hAnsiTheme="minorEastAsia" w:eastAsiaTheme="minorEastAsia" w:cstheme="minorEastAsia"/>
                <w:color w:val="000000"/>
                <w:sz w:val="24"/>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质量指标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验收合格率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95</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20</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验收合格率达96%</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shd w:val="clear" w:color="auto" w:fill="auto"/>
            <w:vAlign w:val="center"/>
          </w:tcPr>
          <w:p>
            <w:pPr>
              <w:spacing w:line="300" w:lineRule="exact"/>
              <w:jc w:val="center"/>
              <w:rPr>
                <w:rFonts w:asciiTheme="minorEastAsia" w:hAnsiTheme="minorEastAsia" w:eastAsiaTheme="minorEastAsia" w:cstheme="minorEastAsia"/>
                <w:color w:val="000000"/>
                <w:sz w:val="24"/>
              </w:rPr>
            </w:pPr>
          </w:p>
        </w:tc>
        <w:tc>
          <w:tcPr>
            <w:tcW w:w="1081" w:type="dxa"/>
            <w:vMerge w:val="continue"/>
            <w:tcBorders>
              <w:left w:val="single" w:color="000000" w:sz="4" w:space="0"/>
              <w:right w:val="single" w:color="000000" w:sz="4" w:space="0"/>
            </w:tcBorders>
            <w:shd w:val="clear" w:color="auto" w:fill="auto"/>
            <w:vAlign w:val="center"/>
          </w:tcPr>
          <w:p>
            <w:pPr>
              <w:spacing w:line="300" w:lineRule="exact"/>
              <w:jc w:val="center"/>
              <w:rPr>
                <w:rFonts w:asciiTheme="minorEastAsia" w:hAnsiTheme="minorEastAsia" w:eastAsiaTheme="minorEastAsia" w:cstheme="minorEastAsia"/>
                <w:color w:val="000000"/>
                <w:sz w:val="24"/>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时效指标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完成时间</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年</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30</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2023年12月完成</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shd w:val="clear" w:color="auto" w:fill="auto"/>
            <w:vAlign w:val="center"/>
          </w:tcPr>
          <w:p>
            <w:pPr>
              <w:spacing w:line="300" w:lineRule="exact"/>
              <w:jc w:val="center"/>
              <w:rPr>
                <w:rFonts w:asciiTheme="minorEastAsia" w:hAnsiTheme="minorEastAsia" w:eastAsiaTheme="minorEastAsia" w:cstheme="minorEastAsia"/>
                <w:color w:val="000000"/>
                <w:sz w:val="24"/>
              </w:rPr>
            </w:pPr>
          </w:p>
        </w:tc>
        <w:tc>
          <w:tcPr>
            <w:tcW w:w="1081" w:type="dxa"/>
            <w:vMerge w:val="continue"/>
            <w:tcBorders>
              <w:left w:val="single" w:color="000000" w:sz="4" w:space="0"/>
              <w:right w:val="single" w:color="000000" w:sz="4" w:space="0"/>
            </w:tcBorders>
            <w:shd w:val="clear" w:color="auto" w:fill="auto"/>
            <w:vAlign w:val="center"/>
          </w:tcPr>
          <w:p>
            <w:pPr>
              <w:spacing w:line="300" w:lineRule="exact"/>
              <w:jc w:val="center"/>
              <w:rPr>
                <w:rFonts w:asciiTheme="minorEastAsia" w:hAnsiTheme="minorEastAsia" w:eastAsiaTheme="minorEastAsia" w:cstheme="minorEastAsia"/>
                <w:color w:val="000000"/>
                <w:sz w:val="24"/>
              </w:rPr>
            </w:pPr>
          </w:p>
        </w:tc>
        <w:tc>
          <w:tcPr>
            <w:tcW w:w="1250" w:type="dxa"/>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社会效益</w:t>
            </w:r>
          </w:p>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对提升数据共享服务方面的影响程度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定性</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000000"/>
                <w:kern w:val="0"/>
                <w:sz w:val="24"/>
              </w:rPr>
            </w:pPr>
            <w:r>
              <w:rPr>
                <w:rFonts w:ascii="宋体" w:hAnsi="宋体" w:cs="宋体"/>
                <w:color w:val="000000"/>
                <w:kern w:val="0"/>
                <w:sz w:val="18"/>
                <w:szCs w:val="18"/>
              </w:rPr>
              <w:t>优</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000000"/>
                <w:kern w:val="0"/>
                <w:sz w:val="24"/>
              </w:rPr>
            </w:pP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20</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对提升数据共享服务方面的影响程度为优</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shd w:val="clear" w:color="auto" w:fill="auto"/>
            <w:vAlign w:val="center"/>
          </w:tcPr>
          <w:p>
            <w:pPr>
              <w:spacing w:line="300" w:lineRule="exact"/>
              <w:jc w:val="center"/>
              <w:rPr>
                <w:rFonts w:asciiTheme="minorEastAsia" w:hAnsiTheme="minorEastAsia" w:eastAsiaTheme="minorEastAsia" w:cstheme="minorEastAsia"/>
                <w:color w:val="000000"/>
                <w:sz w:val="24"/>
              </w:rPr>
            </w:pPr>
          </w:p>
        </w:tc>
        <w:tc>
          <w:tcPr>
            <w:tcW w:w="1081" w:type="dxa"/>
            <w:vMerge w:val="continue"/>
            <w:tcBorders>
              <w:left w:val="single" w:color="000000" w:sz="4" w:space="0"/>
              <w:bottom w:val="single" w:color="000000" w:sz="4" w:space="0"/>
              <w:right w:val="single" w:color="000000" w:sz="4" w:space="0"/>
            </w:tcBorders>
            <w:shd w:val="clear" w:color="auto" w:fill="auto"/>
            <w:vAlign w:val="center"/>
          </w:tcPr>
          <w:p>
            <w:pPr>
              <w:spacing w:line="300" w:lineRule="exact"/>
              <w:jc w:val="center"/>
              <w:rPr>
                <w:rFonts w:asciiTheme="minorEastAsia" w:hAnsiTheme="minorEastAsia" w:eastAsiaTheme="minorEastAsia" w:cstheme="minorEastAsia"/>
                <w:color w:val="000000"/>
                <w:sz w:val="24"/>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可持续发展指标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信息化系统上线运行后的网络带宽利用率、设备利用率以及应用系统实现率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定性</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000000"/>
                <w:kern w:val="0"/>
                <w:sz w:val="24"/>
              </w:rPr>
            </w:pPr>
            <w:r>
              <w:rPr>
                <w:rFonts w:ascii="宋体" w:hAnsi="宋体" w:cs="宋体"/>
                <w:color w:val="000000"/>
                <w:kern w:val="0"/>
                <w:sz w:val="18"/>
                <w:szCs w:val="18"/>
              </w:rPr>
              <w:t>优</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000000"/>
                <w:kern w:val="0"/>
                <w:sz w:val="24"/>
              </w:rPr>
            </w:pP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10</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信息化系统上线运行后的网络带宽利用率、设备利用率以及应用系统实现率为优</w:t>
            </w:r>
          </w:p>
        </w:tc>
      </w:tr>
      <w:tr>
        <w:tblPrEx>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shd w:val="clear" w:color="auto" w:fill="auto"/>
            <w:vAlign w:val="center"/>
          </w:tcPr>
          <w:p>
            <w:pPr>
              <w:spacing w:line="300" w:lineRule="exact"/>
              <w:jc w:val="center"/>
              <w:rPr>
                <w:rFonts w:asciiTheme="minorEastAsia" w:hAnsiTheme="minorEastAsia" w:eastAsiaTheme="minorEastAsia" w:cstheme="minorEastAsia"/>
                <w:color w:val="000000"/>
                <w:sz w:val="24"/>
              </w:rPr>
            </w:pPr>
          </w:p>
        </w:tc>
        <w:tc>
          <w:tcPr>
            <w:tcW w:w="1081"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满意度</w:t>
            </w:r>
          </w:p>
          <w:p>
            <w:pPr>
              <w:widowControl/>
              <w:spacing w:line="300" w:lineRule="exact"/>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指标</w:t>
            </w:r>
          </w:p>
        </w:tc>
        <w:tc>
          <w:tcPr>
            <w:tcW w:w="125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服务对象</w:t>
            </w:r>
          </w:p>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人民群众满意率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90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10</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人民群众满意率为95%</w:t>
            </w:r>
          </w:p>
        </w:tc>
      </w:tr>
    </w:tbl>
    <w:p>
      <w:pPr>
        <w:pStyle w:val="2"/>
        <w:spacing w:before="72"/>
        <w:rPr>
          <w:rFonts w:hAnsi="Calibri" w:cs="仿宋"/>
          <w:sz w:val="32"/>
          <w:szCs w:val="32"/>
        </w:rPr>
        <w:sectPr>
          <w:pgSz w:w="11906" w:h="16838"/>
          <w:pgMar w:top="1440" w:right="1797" w:bottom="1440" w:left="1797" w:header="851" w:footer="992" w:gutter="0"/>
          <w:cols w:space="425" w:num="1"/>
          <w:titlePg/>
          <w:docGrid w:linePitch="312" w:charSpace="0"/>
        </w:sectPr>
      </w:pPr>
    </w:p>
    <w:p>
      <w:pPr>
        <w:spacing w:line="600" w:lineRule="exact"/>
        <w:ind w:firstLine="2200" w:firstLineChars="500"/>
        <w:outlineLvl w:val="0"/>
        <w:rPr>
          <w:rFonts w:ascii="仿宋" w:hAnsi="仿宋" w:eastAsia="仿宋"/>
        </w:rPr>
      </w:pPr>
      <w:bookmarkStart w:id="71" w:name="_Toc27318"/>
      <w:r>
        <w:rPr>
          <w:rFonts w:hint="eastAsia" w:ascii="黑体" w:hAnsi="黑体" w:eastAsia="黑体"/>
          <w:sz w:val="44"/>
          <w:szCs w:val="44"/>
        </w:rPr>
        <w:t>第</w:t>
      </w:r>
      <w:r>
        <w:rPr>
          <w:rStyle w:val="21"/>
          <w:rFonts w:hint="eastAsia" w:ascii="黑体" w:hAnsi="黑体" w:eastAsia="黑体"/>
          <w:b w:val="0"/>
        </w:rPr>
        <w:t>五部分 附表</w:t>
      </w:r>
      <w:bookmarkEnd w:id="68"/>
      <w:bookmarkEnd w:id="69"/>
      <w:bookmarkEnd w:id="71"/>
      <w:bookmarkStart w:id="72" w:name="_Toc15396619"/>
    </w:p>
    <w:p>
      <w:pPr>
        <w:pStyle w:val="4"/>
        <w:rPr>
          <w:rFonts w:ascii="仿宋" w:hAnsi="仿宋" w:eastAsia="仿宋"/>
        </w:rPr>
      </w:pPr>
      <w:bookmarkStart w:id="73" w:name="_Toc24269"/>
      <w:r>
        <w:rPr>
          <w:rFonts w:hint="eastAsia" w:ascii="仿宋" w:hAnsi="仿宋" w:eastAsia="仿宋"/>
          <w:b w:val="0"/>
        </w:rPr>
        <w:t>一、收</w:t>
      </w:r>
      <w:r>
        <w:rPr>
          <w:rStyle w:val="22"/>
          <w:rFonts w:hint="eastAsia" w:ascii="仿宋" w:hAnsi="仿宋" w:eastAsia="仿宋"/>
          <w:b w:val="0"/>
          <w:bCs w:val="0"/>
        </w:rPr>
        <w:t>入支出决算总表</w:t>
      </w:r>
      <w:bookmarkEnd w:id="72"/>
      <w:bookmarkEnd w:id="73"/>
    </w:p>
    <w:p>
      <w:pPr>
        <w:pStyle w:val="4"/>
        <w:rPr>
          <w:rFonts w:ascii="仿宋" w:hAnsi="仿宋" w:eastAsia="仿宋"/>
        </w:rPr>
      </w:pPr>
      <w:bookmarkStart w:id="74" w:name="_Toc31325"/>
      <w:bookmarkStart w:id="75" w:name="_Toc15396620"/>
      <w:r>
        <w:rPr>
          <w:rFonts w:hint="eastAsia" w:ascii="仿宋" w:hAnsi="仿宋" w:eastAsia="仿宋"/>
          <w:b w:val="0"/>
        </w:rPr>
        <w:t>二、收</w:t>
      </w:r>
      <w:r>
        <w:rPr>
          <w:rStyle w:val="22"/>
          <w:rFonts w:hint="eastAsia" w:ascii="仿宋" w:hAnsi="仿宋" w:eastAsia="仿宋"/>
          <w:b w:val="0"/>
          <w:bCs w:val="0"/>
        </w:rPr>
        <w:t>入决算表</w:t>
      </w:r>
      <w:bookmarkEnd w:id="74"/>
      <w:bookmarkEnd w:id="75"/>
    </w:p>
    <w:p>
      <w:pPr>
        <w:pStyle w:val="4"/>
        <w:rPr>
          <w:rFonts w:ascii="仿宋" w:hAnsi="仿宋" w:eastAsia="仿宋"/>
        </w:rPr>
      </w:pPr>
      <w:bookmarkStart w:id="76" w:name="_Toc15396621"/>
      <w:bookmarkStart w:id="77" w:name="_Toc6174"/>
      <w:r>
        <w:rPr>
          <w:rStyle w:val="22"/>
          <w:rFonts w:hint="eastAsia" w:ascii="仿宋" w:hAnsi="仿宋" w:eastAsia="仿宋"/>
          <w:b w:val="0"/>
          <w:bCs w:val="0"/>
        </w:rPr>
        <w:t>三、</w:t>
      </w:r>
      <w:r>
        <w:rPr>
          <w:rFonts w:hint="eastAsia" w:ascii="仿宋" w:hAnsi="仿宋" w:eastAsia="仿宋"/>
          <w:b w:val="0"/>
        </w:rPr>
        <w:t>支</w:t>
      </w:r>
      <w:r>
        <w:rPr>
          <w:rStyle w:val="22"/>
          <w:rFonts w:hint="eastAsia" w:ascii="仿宋" w:hAnsi="仿宋" w:eastAsia="仿宋"/>
          <w:b w:val="0"/>
          <w:bCs w:val="0"/>
        </w:rPr>
        <w:t>出决算表</w:t>
      </w:r>
      <w:bookmarkEnd w:id="76"/>
      <w:bookmarkEnd w:id="77"/>
    </w:p>
    <w:p>
      <w:pPr>
        <w:pStyle w:val="4"/>
        <w:rPr>
          <w:rFonts w:ascii="仿宋" w:hAnsi="仿宋" w:eastAsia="仿宋"/>
          <w:b w:val="0"/>
        </w:rPr>
      </w:pPr>
      <w:bookmarkStart w:id="78" w:name="_Toc15396622"/>
      <w:bookmarkStart w:id="79" w:name="_Toc9659"/>
      <w:r>
        <w:rPr>
          <w:rStyle w:val="22"/>
          <w:rFonts w:hint="eastAsia" w:ascii="仿宋" w:hAnsi="仿宋" w:eastAsia="仿宋"/>
          <w:b w:val="0"/>
          <w:bCs w:val="0"/>
        </w:rPr>
        <w:t>四、</w:t>
      </w:r>
      <w:r>
        <w:rPr>
          <w:rFonts w:hint="eastAsia" w:ascii="仿宋" w:hAnsi="仿宋" w:eastAsia="仿宋"/>
          <w:b w:val="0"/>
        </w:rPr>
        <w:t>财</w:t>
      </w:r>
      <w:r>
        <w:rPr>
          <w:rStyle w:val="22"/>
          <w:rFonts w:hint="eastAsia" w:ascii="仿宋" w:hAnsi="仿宋" w:eastAsia="仿宋"/>
          <w:b w:val="0"/>
          <w:bCs w:val="0"/>
        </w:rPr>
        <w:t>政拨款收入支出决算总表</w:t>
      </w:r>
      <w:bookmarkEnd w:id="78"/>
      <w:bookmarkEnd w:id="79"/>
    </w:p>
    <w:p>
      <w:pPr>
        <w:pStyle w:val="4"/>
        <w:rPr>
          <w:rStyle w:val="22"/>
          <w:rFonts w:ascii="仿宋" w:hAnsi="仿宋" w:eastAsia="仿宋"/>
          <w:b w:val="0"/>
          <w:bCs w:val="0"/>
        </w:rPr>
      </w:pPr>
      <w:bookmarkStart w:id="80" w:name="_Toc24502"/>
      <w:bookmarkStart w:id="81" w:name="_Toc15396623"/>
      <w:r>
        <w:rPr>
          <w:rStyle w:val="22"/>
          <w:rFonts w:hint="eastAsia" w:ascii="仿宋" w:hAnsi="仿宋" w:eastAsia="仿宋"/>
          <w:b w:val="0"/>
          <w:bCs w:val="0"/>
        </w:rPr>
        <w:t>五、</w:t>
      </w:r>
      <w:r>
        <w:rPr>
          <w:rFonts w:hint="eastAsia" w:ascii="仿宋" w:hAnsi="仿宋" w:eastAsia="仿宋"/>
          <w:b w:val="0"/>
        </w:rPr>
        <w:t>财</w:t>
      </w:r>
      <w:r>
        <w:rPr>
          <w:rStyle w:val="22"/>
          <w:rFonts w:hint="eastAsia" w:ascii="仿宋" w:hAnsi="仿宋" w:eastAsia="仿宋"/>
          <w:b w:val="0"/>
          <w:bCs w:val="0"/>
        </w:rPr>
        <w:t>政拨款支出决算明细表</w:t>
      </w:r>
      <w:bookmarkEnd w:id="80"/>
      <w:bookmarkEnd w:id="81"/>
      <w:bookmarkStart w:id="82" w:name="_Toc15396624"/>
    </w:p>
    <w:p>
      <w:pPr>
        <w:pStyle w:val="4"/>
        <w:rPr>
          <w:rFonts w:ascii="仿宋" w:hAnsi="仿宋" w:eastAsia="仿宋"/>
        </w:rPr>
      </w:pPr>
      <w:bookmarkStart w:id="83" w:name="_Toc766"/>
      <w:r>
        <w:rPr>
          <w:rStyle w:val="22"/>
          <w:rFonts w:hint="eastAsia" w:ascii="仿宋" w:hAnsi="仿宋" w:eastAsia="仿宋"/>
          <w:b w:val="0"/>
          <w:bCs w:val="0"/>
        </w:rPr>
        <w:t>六、</w:t>
      </w:r>
      <w:r>
        <w:rPr>
          <w:rFonts w:hint="eastAsia" w:ascii="仿宋" w:hAnsi="仿宋" w:eastAsia="仿宋"/>
          <w:b w:val="0"/>
        </w:rPr>
        <w:t>一</w:t>
      </w:r>
      <w:r>
        <w:rPr>
          <w:rStyle w:val="22"/>
          <w:rFonts w:hint="eastAsia" w:ascii="仿宋" w:hAnsi="仿宋" w:eastAsia="仿宋"/>
          <w:b w:val="0"/>
          <w:bCs w:val="0"/>
        </w:rPr>
        <w:t>般公共预算财政拨款支出决算表</w:t>
      </w:r>
      <w:bookmarkEnd w:id="82"/>
      <w:bookmarkEnd w:id="83"/>
    </w:p>
    <w:p>
      <w:pPr>
        <w:pStyle w:val="4"/>
        <w:rPr>
          <w:rFonts w:ascii="仿宋" w:hAnsi="仿宋" w:eastAsia="仿宋"/>
        </w:rPr>
      </w:pPr>
      <w:bookmarkStart w:id="84" w:name="_Toc15396625"/>
      <w:bookmarkStart w:id="85" w:name="_Toc30829"/>
      <w:r>
        <w:rPr>
          <w:rStyle w:val="22"/>
          <w:rFonts w:hint="eastAsia" w:ascii="仿宋" w:hAnsi="仿宋" w:eastAsia="仿宋"/>
          <w:b w:val="0"/>
          <w:bCs w:val="0"/>
        </w:rPr>
        <w:t>七、</w:t>
      </w:r>
      <w:r>
        <w:rPr>
          <w:rFonts w:hint="eastAsia" w:ascii="仿宋" w:hAnsi="仿宋" w:eastAsia="仿宋"/>
          <w:b w:val="0"/>
        </w:rPr>
        <w:t>一</w:t>
      </w:r>
      <w:r>
        <w:rPr>
          <w:rStyle w:val="22"/>
          <w:rFonts w:hint="eastAsia" w:ascii="仿宋" w:hAnsi="仿宋" w:eastAsia="仿宋"/>
          <w:b w:val="0"/>
          <w:bCs w:val="0"/>
        </w:rPr>
        <w:t>般公共预算财政拨款支出决算明细表</w:t>
      </w:r>
      <w:bookmarkEnd w:id="84"/>
      <w:bookmarkEnd w:id="85"/>
    </w:p>
    <w:p>
      <w:pPr>
        <w:pStyle w:val="4"/>
        <w:rPr>
          <w:rFonts w:ascii="仿宋" w:hAnsi="仿宋" w:eastAsia="仿宋"/>
        </w:rPr>
      </w:pPr>
      <w:bookmarkStart w:id="86" w:name="_Toc15396626"/>
      <w:bookmarkStart w:id="87" w:name="_Toc16759"/>
      <w:r>
        <w:rPr>
          <w:rStyle w:val="22"/>
          <w:rFonts w:hint="eastAsia" w:ascii="仿宋" w:hAnsi="仿宋" w:eastAsia="仿宋"/>
          <w:b w:val="0"/>
          <w:bCs w:val="0"/>
        </w:rPr>
        <w:t>八、</w:t>
      </w:r>
      <w:r>
        <w:rPr>
          <w:rFonts w:hint="eastAsia" w:ascii="仿宋" w:hAnsi="仿宋" w:eastAsia="仿宋"/>
          <w:b w:val="0"/>
        </w:rPr>
        <w:t>一</w:t>
      </w:r>
      <w:r>
        <w:rPr>
          <w:rStyle w:val="22"/>
          <w:rFonts w:hint="eastAsia" w:ascii="仿宋" w:hAnsi="仿宋" w:eastAsia="仿宋"/>
          <w:b w:val="0"/>
          <w:bCs w:val="0"/>
        </w:rPr>
        <w:t>般公共预算财政拨款基本支出决算表</w:t>
      </w:r>
      <w:bookmarkEnd w:id="86"/>
      <w:bookmarkEnd w:id="87"/>
    </w:p>
    <w:p>
      <w:pPr>
        <w:pStyle w:val="4"/>
        <w:rPr>
          <w:rFonts w:ascii="仿宋" w:hAnsi="仿宋" w:eastAsia="仿宋"/>
        </w:rPr>
      </w:pPr>
      <w:bookmarkStart w:id="88" w:name="_Toc15396627"/>
      <w:bookmarkStart w:id="89" w:name="_Toc21698"/>
      <w:r>
        <w:rPr>
          <w:rStyle w:val="22"/>
          <w:rFonts w:hint="eastAsia" w:ascii="仿宋" w:hAnsi="仿宋" w:eastAsia="仿宋"/>
          <w:b w:val="0"/>
          <w:bCs w:val="0"/>
        </w:rPr>
        <w:t>九、</w:t>
      </w:r>
      <w:r>
        <w:rPr>
          <w:rFonts w:hint="eastAsia" w:ascii="仿宋" w:hAnsi="仿宋" w:eastAsia="仿宋"/>
          <w:b w:val="0"/>
        </w:rPr>
        <w:t>一</w:t>
      </w:r>
      <w:r>
        <w:rPr>
          <w:rStyle w:val="22"/>
          <w:rFonts w:hint="eastAsia" w:ascii="仿宋" w:hAnsi="仿宋" w:eastAsia="仿宋"/>
          <w:b w:val="0"/>
          <w:bCs w:val="0"/>
        </w:rPr>
        <w:t>般公共预算财政拨款项目支出决算表</w:t>
      </w:r>
      <w:bookmarkEnd w:id="88"/>
      <w:bookmarkEnd w:id="89"/>
    </w:p>
    <w:p>
      <w:pPr>
        <w:pStyle w:val="4"/>
        <w:rPr>
          <w:rFonts w:ascii="仿宋" w:hAnsi="仿宋" w:eastAsia="仿宋"/>
        </w:rPr>
      </w:pPr>
      <w:bookmarkStart w:id="90" w:name="_Toc15396628"/>
      <w:bookmarkStart w:id="91" w:name="_Toc20568"/>
      <w:r>
        <w:rPr>
          <w:rStyle w:val="22"/>
          <w:rFonts w:hint="eastAsia" w:ascii="仿宋" w:hAnsi="仿宋" w:eastAsia="仿宋"/>
          <w:b w:val="0"/>
          <w:bCs w:val="0"/>
        </w:rPr>
        <w:t>十、</w:t>
      </w:r>
      <w:bookmarkEnd w:id="90"/>
      <w:r>
        <w:rPr>
          <w:rFonts w:hint="eastAsia" w:ascii="仿宋" w:hAnsi="仿宋" w:eastAsia="仿宋"/>
          <w:b w:val="0"/>
        </w:rPr>
        <w:t>政</w:t>
      </w:r>
      <w:r>
        <w:rPr>
          <w:rStyle w:val="22"/>
          <w:rFonts w:hint="eastAsia" w:ascii="仿宋" w:hAnsi="仿宋" w:eastAsia="仿宋"/>
          <w:b w:val="0"/>
          <w:bCs w:val="0"/>
        </w:rPr>
        <w:t>府性基金预算财政拨款收入支出决算表</w:t>
      </w:r>
      <w:bookmarkEnd w:id="91"/>
    </w:p>
    <w:p>
      <w:pPr>
        <w:pStyle w:val="4"/>
        <w:rPr>
          <w:rFonts w:ascii="仿宋" w:hAnsi="仿宋" w:eastAsia="仿宋"/>
        </w:rPr>
      </w:pPr>
      <w:bookmarkStart w:id="92" w:name="_Toc15396629"/>
      <w:bookmarkStart w:id="93" w:name="_Toc31523"/>
      <w:r>
        <w:rPr>
          <w:rStyle w:val="22"/>
          <w:rFonts w:hint="eastAsia" w:ascii="仿宋" w:hAnsi="仿宋" w:eastAsia="仿宋"/>
          <w:b w:val="0"/>
          <w:bCs w:val="0"/>
        </w:rPr>
        <w:t>十一、</w:t>
      </w:r>
      <w:bookmarkEnd w:id="92"/>
      <w:r>
        <w:rPr>
          <w:rFonts w:hint="eastAsia" w:ascii="仿宋" w:hAnsi="仿宋" w:eastAsia="仿宋"/>
          <w:b w:val="0"/>
        </w:rPr>
        <w:t>国</w:t>
      </w:r>
      <w:r>
        <w:rPr>
          <w:rStyle w:val="22"/>
          <w:rFonts w:hint="eastAsia" w:ascii="仿宋" w:hAnsi="仿宋" w:eastAsia="仿宋"/>
          <w:b w:val="0"/>
          <w:bCs w:val="0"/>
        </w:rPr>
        <w:t>有资本经营预算财政拨款收入支出决算表</w:t>
      </w:r>
      <w:bookmarkEnd w:id="93"/>
    </w:p>
    <w:p>
      <w:pPr>
        <w:pStyle w:val="4"/>
        <w:rPr>
          <w:rFonts w:ascii="仿宋" w:hAnsi="仿宋" w:eastAsia="仿宋"/>
        </w:rPr>
      </w:pPr>
      <w:bookmarkStart w:id="94" w:name="_Toc15396630"/>
      <w:bookmarkStart w:id="95" w:name="_Toc10318"/>
      <w:r>
        <w:rPr>
          <w:rStyle w:val="22"/>
          <w:rFonts w:hint="eastAsia" w:ascii="仿宋" w:hAnsi="仿宋" w:eastAsia="仿宋"/>
          <w:b w:val="0"/>
          <w:bCs w:val="0"/>
        </w:rPr>
        <w:t>十二、</w:t>
      </w:r>
      <w:bookmarkEnd w:id="94"/>
      <w:r>
        <w:rPr>
          <w:rStyle w:val="22"/>
          <w:rFonts w:hint="eastAsia" w:ascii="仿宋" w:hAnsi="仿宋" w:eastAsia="仿宋"/>
          <w:b w:val="0"/>
          <w:bCs w:val="0"/>
        </w:rPr>
        <w:t>国有资本经营预算财政拨款支出决算表</w:t>
      </w:r>
      <w:bookmarkEnd w:id="95"/>
    </w:p>
    <w:p>
      <w:pPr>
        <w:pStyle w:val="4"/>
        <w:rPr>
          <w:rFonts w:eastAsia="仿宋"/>
        </w:rPr>
      </w:pPr>
      <w:bookmarkStart w:id="96" w:name="_Toc15396631"/>
      <w:bookmarkStart w:id="97" w:name="_Toc17816"/>
      <w:r>
        <w:rPr>
          <w:rStyle w:val="22"/>
          <w:rFonts w:hint="eastAsia" w:ascii="仿宋" w:hAnsi="仿宋" w:eastAsia="仿宋"/>
          <w:b w:val="0"/>
          <w:bCs w:val="0"/>
        </w:rPr>
        <w:t>十三、</w:t>
      </w:r>
      <w:bookmarkEnd w:id="96"/>
      <w:r>
        <w:rPr>
          <w:rStyle w:val="22"/>
          <w:rFonts w:hint="eastAsia" w:ascii="仿宋" w:hAnsi="仿宋" w:eastAsia="仿宋"/>
          <w:b w:val="0"/>
          <w:bCs w:val="0"/>
        </w:rPr>
        <w:t>财政拨款“三公”经费支出决算表</w:t>
      </w:r>
      <w:bookmarkEnd w:id="97"/>
    </w:p>
    <w:sectPr>
      <w:pgSz w:w="11906" w:h="16838"/>
      <w:pgMar w:top="1440" w:right="1797" w:bottom="1440" w:left="1797" w:header="851" w:footer="992" w:gutter="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微软雅黑">
    <w:altName w:val="黑体"/>
    <w:panose1 w:val="020B0503020204020204"/>
    <w:charset w:val="86"/>
    <w:family w:val="swiss"/>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_x0000_s1027"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path/>
          <v:fill on="f" focussize="0,0"/>
          <v:stroke on="f" weight="0.5pt" joinstyle="miter"/>
          <v:imagedata o:title=""/>
          <o:lock v:ext="edit"/>
          <v:textbox inset="0mm,0mm,0mm,0mm" style="mso-fit-shape-to-text:t;">
            <w:txbxContent>
              <w:sdt>
                <w:sdtPr>
                  <w:id w:val="147452242"/>
                </w:sdtPr>
                <w:sdtContent>
                  <w:p>
                    <w:pPr>
                      <w:pStyle w:val="9"/>
                      <w:jc w:val="center"/>
                    </w:pPr>
                    <w:r>
                      <w:fldChar w:fldCharType="begin"/>
                    </w:r>
                    <w:r>
                      <w:instrText xml:space="preserve">PAGE   \* MERGEFORMAT</w:instrText>
                    </w:r>
                    <w:r>
                      <w:fldChar w:fldCharType="separate"/>
                    </w:r>
                    <w:r>
                      <w:rPr>
                        <w:lang w:val="zh-CN"/>
                      </w:rPr>
                      <w:t>16</w:t>
                    </w:r>
                    <w:r>
                      <w:rPr>
                        <w:lang w:val="zh-CN"/>
                      </w:rPr>
                      <w:fldChar w:fldCharType="end"/>
                    </w:r>
                  </w:p>
                </w:sdtContent>
              </w:sdt>
              <w:p>
                <w:pPr>
                  <w:pStyle w:val="20"/>
                </w:pPr>
              </w:p>
            </w:txbxContent>
          </v:textbox>
        </v:shape>
      </w:pict>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0FD6848C"/>
    <w:multiLevelType w:val="singleLevel"/>
    <w:tmpl w:val="0FD6848C"/>
    <w:lvl w:ilvl="0" w:tentative="0">
      <w:start w:val="2"/>
      <w:numFmt w:val="chineseCounting"/>
      <w:suff w:val="nothing"/>
      <w:lvlText w:val="（%1）"/>
      <w:lvlJc w:val="left"/>
      <w:rPr>
        <w:rFonts w:hint="eastAsia"/>
        <w:sz w:val="32"/>
        <w:szCs w:val="32"/>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1F09E786"/>
    <w:multiLevelType w:val="singleLevel"/>
    <w:tmpl w:val="1F09E786"/>
    <w:lvl w:ilvl="0" w:tentative="0">
      <w:start w:val="4"/>
      <w:numFmt w:val="chineseCounting"/>
      <w:suff w:val="nothing"/>
      <w:lvlText w:val="（%1）"/>
      <w:lvlJc w:val="left"/>
      <w:rPr>
        <w:rFonts w:hint="eastAsia"/>
      </w:rPr>
    </w:lvl>
  </w:abstractNum>
  <w:abstractNum w:abstractNumId="5">
    <w:nsid w:val="3818A09A"/>
    <w:multiLevelType w:val="singleLevel"/>
    <w:tmpl w:val="3818A09A"/>
    <w:lvl w:ilvl="0" w:tentative="0">
      <w:start w:val="1"/>
      <w:numFmt w:val="chineseCounting"/>
      <w:suff w:val="nothing"/>
      <w:lvlText w:val="%1、"/>
      <w:lvlJc w:val="left"/>
      <w:rPr>
        <w:rFonts w:hint="eastAsia"/>
      </w:rPr>
    </w:lvl>
  </w:abstractNum>
  <w:abstractNum w:abstractNumId="6">
    <w:nsid w:val="79F201AD"/>
    <w:multiLevelType w:val="singleLevel"/>
    <w:tmpl w:val="79F201AD"/>
    <w:lvl w:ilvl="0" w:tentative="0">
      <w:start w:val="3"/>
      <w:numFmt w:val="chineseCounting"/>
      <w:suff w:val="nothing"/>
      <w:lvlText w:val="（%1）"/>
      <w:lvlJc w:val="left"/>
      <w:rPr>
        <w:rFonts w:hint="eastAsia"/>
        <w:sz w:val="32"/>
        <w:szCs w:val="32"/>
      </w:rPr>
    </w:lvl>
  </w:abstractNum>
  <w:num w:numId="1">
    <w:abstractNumId w:val="5"/>
  </w:num>
  <w:num w:numId="2">
    <w:abstractNumId w:val="3"/>
  </w:num>
  <w:num w:numId="3">
    <w:abstractNumId w:val="0"/>
  </w:num>
  <w:num w:numId="4">
    <w:abstractNumId w:val="1"/>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F1361C"/>
    <w:rsid w:val="000222C6"/>
    <w:rsid w:val="0002549F"/>
    <w:rsid w:val="000468DB"/>
    <w:rsid w:val="000535E0"/>
    <w:rsid w:val="0006487A"/>
    <w:rsid w:val="00065F8F"/>
    <w:rsid w:val="00070A43"/>
    <w:rsid w:val="000768F2"/>
    <w:rsid w:val="0009184B"/>
    <w:rsid w:val="00094236"/>
    <w:rsid w:val="0009593C"/>
    <w:rsid w:val="00097322"/>
    <w:rsid w:val="000A6A92"/>
    <w:rsid w:val="000B047F"/>
    <w:rsid w:val="000B5923"/>
    <w:rsid w:val="000B5A48"/>
    <w:rsid w:val="000B6FF3"/>
    <w:rsid w:val="000C1AFB"/>
    <w:rsid w:val="000C3467"/>
    <w:rsid w:val="000C3CA6"/>
    <w:rsid w:val="000D1267"/>
    <w:rsid w:val="000D1D50"/>
    <w:rsid w:val="000D5782"/>
    <w:rsid w:val="000E6613"/>
    <w:rsid w:val="000E7119"/>
    <w:rsid w:val="00114E9B"/>
    <w:rsid w:val="00142216"/>
    <w:rsid w:val="00144D6A"/>
    <w:rsid w:val="0014729F"/>
    <w:rsid w:val="00157BAB"/>
    <w:rsid w:val="001654D1"/>
    <w:rsid w:val="001657B3"/>
    <w:rsid w:val="001722AB"/>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2433F"/>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0020"/>
    <w:rsid w:val="003216A9"/>
    <w:rsid w:val="00335A74"/>
    <w:rsid w:val="0036561B"/>
    <w:rsid w:val="0037013F"/>
    <w:rsid w:val="00370607"/>
    <w:rsid w:val="00380C92"/>
    <w:rsid w:val="003A484F"/>
    <w:rsid w:val="003A4883"/>
    <w:rsid w:val="003B0BE0"/>
    <w:rsid w:val="003B0C1B"/>
    <w:rsid w:val="003B688C"/>
    <w:rsid w:val="003C0291"/>
    <w:rsid w:val="003C39AE"/>
    <w:rsid w:val="003C3ED7"/>
    <w:rsid w:val="003C5603"/>
    <w:rsid w:val="003C7B60"/>
    <w:rsid w:val="003D0C0F"/>
    <w:rsid w:val="003D1FB2"/>
    <w:rsid w:val="003D66DA"/>
    <w:rsid w:val="003E1310"/>
    <w:rsid w:val="003E6F55"/>
    <w:rsid w:val="003F0297"/>
    <w:rsid w:val="00406254"/>
    <w:rsid w:val="004223DE"/>
    <w:rsid w:val="00425C50"/>
    <w:rsid w:val="0043177C"/>
    <w:rsid w:val="00434489"/>
    <w:rsid w:val="00437085"/>
    <w:rsid w:val="00443880"/>
    <w:rsid w:val="004464F4"/>
    <w:rsid w:val="0045127C"/>
    <w:rsid w:val="0046049C"/>
    <w:rsid w:val="00471401"/>
    <w:rsid w:val="00473F31"/>
    <w:rsid w:val="0048263A"/>
    <w:rsid w:val="00487E5D"/>
    <w:rsid w:val="004A711F"/>
    <w:rsid w:val="004B199D"/>
    <w:rsid w:val="004B4690"/>
    <w:rsid w:val="004E0A2D"/>
    <w:rsid w:val="004E206B"/>
    <w:rsid w:val="004E6DF7"/>
    <w:rsid w:val="004F0FBD"/>
    <w:rsid w:val="004F708B"/>
    <w:rsid w:val="00504083"/>
    <w:rsid w:val="00504C06"/>
    <w:rsid w:val="00505A47"/>
    <w:rsid w:val="00512FDA"/>
    <w:rsid w:val="00520DA0"/>
    <w:rsid w:val="00534616"/>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276CD"/>
    <w:rsid w:val="00630AEF"/>
    <w:rsid w:val="006325F8"/>
    <w:rsid w:val="00633463"/>
    <w:rsid w:val="00634C9A"/>
    <w:rsid w:val="006440E4"/>
    <w:rsid w:val="00655FC5"/>
    <w:rsid w:val="0066343B"/>
    <w:rsid w:val="00664777"/>
    <w:rsid w:val="006748A4"/>
    <w:rsid w:val="00681A31"/>
    <w:rsid w:val="00683E73"/>
    <w:rsid w:val="006A3141"/>
    <w:rsid w:val="006A46A9"/>
    <w:rsid w:val="006A5E34"/>
    <w:rsid w:val="006B2422"/>
    <w:rsid w:val="006B2B9A"/>
    <w:rsid w:val="006B6B54"/>
    <w:rsid w:val="006C1937"/>
    <w:rsid w:val="006F020C"/>
    <w:rsid w:val="00707F33"/>
    <w:rsid w:val="0071021A"/>
    <w:rsid w:val="007127B7"/>
    <w:rsid w:val="0071798E"/>
    <w:rsid w:val="007416B6"/>
    <w:rsid w:val="00746F48"/>
    <w:rsid w:val="0075404D"/>
    <w:rsid w:val="0076182A"/>
    <w:rsid w:val="00767B7E"/>
    <w:rsid w:val="0077528B"/>
    <w:rsid w:val="007767CB"/>
    <w:rsid w:val="007770C3"/>
    <w:rsid w:val="00784D24"/>
    <w:rsid w:val="00785FBA"/>
    <w:rsid w:val="00786E4A"/>
    <w:rsid w:val="007875EB"/>
    <w:rsid w:val="0079426B"/>
    <w:rsid w:val="007B59B1"/>
    <w:rsid w:val="007C49F3"/>
    <w:rsid w:val="007D1682"/>
    <w:rsid w:val="007D312A"/>
    <w:rsid w:val="007D3F19"/>
    <w:rsid w:val="007E23B0"/>
    <w:rsid w:val="007E23E5"/>
    <w:rsid w:val="007F1991"/>
    <w:rsid w:val="007F2C2F"/>
    <w:rsid w:val="007F55FC"/>
    <w:rsid w:val="007F5665"/>
    <w:rsid w:val="00800112"/>
    <w:rsid w:val="00813102"/>
    <w:rsid w:val="00813348"/>
    <w:rsid w:val="008253BB"/>
    <w:rsid w:val="008264C1"/>
    <w:rsid w:val="0083706E"/>
    <w:rsid w:val="008408F6"/>
    <w:rsid w:val="008423A5"/>
    <w:rsid w:val="00850625"/>
    <w:rsid w:val="00853718"/>
    <w:rsid w:val="00855221"/>
    <w:rsid w:val="00860645"/>
    <w:rsid w:val="00871F71"/>
    <w:rsid w:val="00872FD8"/>
    <w:rsid w:val="008821D6"/>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261CF"/>
    <w:rsid w:val="009315F9"/>
    <w:rsid w:val="00933499"/>
    <w:rsid w:val="00935C98"/>
    <w:rsid w:val="00946945"/>
    <w:rsid w:val="00951248"/>
    <w:rsid w:val="0095152F"/>
    <w:rsid w:val="00954C49"/>
    <w:rsid w:val="00955E37"/>
    <w:rsid w:val="00965604"/>
    <w:rsid w:val="0097099F"/>
    <w:rsid w:val="00971997"/>
    <w:rsid w:val="00971FFC"/>
    <w:rsid w:val="0098660A"/>
    <w:rsid w:val="00986D39"/>
    <w:rsid w:val="009931C3"/>
    <w:rsid w:val="009A30A9"/>
    <w:rsid w:val="009A30C8"/>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36F"/>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79ED"/>
    <w:rsid w:val="00B77EA6"/>
    <w:rsid w:val="00B81598"/>
    <w:rsid w:val="00B841F1"/>
    <w:rsid w:val="00B944D6"/>
    <w:rsid w:val="00BB4DF0"/>
    <w:rsid w:val="00BC289F"/>
    <w:rsid w:val="00BC2D50"/>
    <w:rsid w:val="00BC5255"/>
    <w:rsid w:val="00BC5361"/>
    <w:rsid w:val="00BC5460"/>
    <w:rsid w:val="00BC6B50"/>
    <w:rsid w:val="00BC770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972BA"/>
    <w:rsid w:val="00CB4E70"/>
    <w:rsid w:val="00CC09B6"/>
    <w:rsid w:val="00CC666F"/>
    <w:rsid w:val="00CD1E3F"/>
    <w:rsid w:val="00CE44F6"/>
    <w:rsid w:val="00CE49DA"/>
    <w:rsid w:val="00CE7B61"/>
    <w:rsid w:val="00D00095"/>
    <w:rsid w:val="00D114F0"/>
    <w:rsid w:val="00D12541"/>
    <w:rsid w:val="00D20620"/>
    <w:rsid w:val="00D23473"/>
    <w:rsid w:val="00D254F7"/>
    <w:rsid w:val="00D26091"/>
    <w:rsid w:val="00D2685C"/>
    <w:rsid w:val="00D31E6F"/>
    <w:rsid w:val="00D34E7C"/>
    <w:rsid w:val="00D35489"/>
    <w:rsid w:val="00D36AFE"/>
    <w:rsid w:val="00D51276"/>
    <w:rsid w:val="00D54863"/>
    <w:rsid w:val="00D7035F"/>
    <w:rsid w:val="00DA634F"/>
    <w:rsid w:val="00DA65AC"/>
    <w:rsid w:val="00DB1913"/>
    <w:rsid w:val="00DC1D52"/>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90046"/>
    <w:rsid w:val="00EA010F"/>
    <w:rsid w:val="00EC4166"/>
    <w:rsid w:val="00ED1B63"/>
    <w:rsid w:val="00ED35AC"/>
    <w:rsid w:val="00ED3C1F"/>
    <w:rsid w:val="00ED4085"/>
    <w:rsid w:val="00ED420E"/>
    <w:rsid w:val="00ED6FBE"/>
    <w:rsid w:val="00EE2F57"/>
    <w:rsid w:val="00EF4C34"/>
    <w:rsid w:val="00EF77C6"/>
    <w:rsid w:val="00F03217"/>
    <w:rsid w:val="00F05438"/>
    <w:rsid w:val="00F1361C"/>
    <w:rsid w:val="00F156F0"/>
    <w:rsid w:val="00F160C7"/>
    <w:rsid w:val="00F21378"/>
    <w:rsid w:val="00F2408F"/>
    <w:rsid w:val="00F240E9"/>
    <w:rsid w:val="00F2443B"/>
    <w:rsid w:val="00F36D8F"/>
    <w:rsid w:val="00F417B1"/>
    <w:rsid w:val="00F45853"/>
    <w:rsid w:val="00F602DF"/>
    <w:rsid w:val="00F67012"/>
    <w:rsid w:val="00F754A1"/>
    <w:rsid w:val="00F81FD9"/>
    <w:rsid w:val="00F841AA"/>
    <w:rsid w:val="00F84A94"/>
    <w:rsid w:val="00F87E96"/>
    <w:rsid w:val="00FA23E8"/>
    <w:rsid w:val="00FD3CC1"/>
    <w:rsid w:val="00FF1E02"/>
    <w:rsid w:val="00FF30B4"/>
    <w:rsid w:val="03DC2831"/>
    <w:rsid w:val="081B5E94"/>
    <w:rsid w:val="0A2032A3"/>
    <w:rsid w:val="0B8A37D8"/>
    <w:rsid w:val="0F5FFB2F"/>
    <w:rsid w:val="0FFFCF60"/>
    <w:rsid w:val="10C055FF"/>
    <w:rsid w:val="118107EC"/>
    <w:rsid w:val="11DD6519"/>
    <w:rsid w:val="13992D60"/>
    <w:rsid w:val="16BB723D"/>
    <w:rsid w:val="18015F3F"/>
    <w:rsid w:val="1BE8440E"/>
    <w:rsid w:val="1C3E588B"/>
    <w:rsid w:val="1D155CEE"/>
    <w:rsid w:val="1FDBBF84"/>
    <w:rsid w:val="20F57F95"/>
    <w:rsid w:val="240371BF"/>
    <w:rsid w:val="25711CC6"/>
    <w:rsid w:val="25C741E6"/>
    <w:rsid w:val="276F80C0"/>
    <w:rsid w:val="27842671"/>
    <w:rsid w:val="29FD04D3"/>
    <w:rsid w:val="2ABE7A3E"/>
    <w:rsid w:val="2AFF09B6"/>
    <w:rsid w:val="2CA234A8"/>
    <w:rsid w:val="2EFA178C"/>
    <w:rsid w:val="2EFDF86C"/>
    <w:rsid w:val="2F9D17E1"/>
    <w:rsid w:val="2FBF8113"/>
    <w:rsid w:val="30B46D73"/>
    <w:rsid w:val="319F7F4E"/>
    <w:rsid w:val="34395E31"/>
    <w:rsid w:val="356A28F1"/>
    <w:rsid w:val="357C035A"/>
    <w:rsid w:val="368E000D"/>
    <w:rsid w:val="37FA222A"/>
    <w:rsid w:val="383D272C"/>
    <w:rsid w:val="39AE70AB"/>
    <w:rsid w:val="3A4DCE41"/>
    <w:rsid w:val="3BCB56FA"/>
    <w:rsid w:val="3C0C0783"/>
    <w:rsid w:val="3DAB5DA6"/>
    <w:rsid w:val="3EE7C2F4"/>
    <w:rsid w:val="3F371B56"/>
    <w:rsid w:val="3F792ED8"/>
    <w:rsid w:val="3F9F3A96"/>
    <w:rsid w:val="3FECA4B2"/>
    <w:rsid w:val="3FF58C48"/>
    <w:rsid w:val="3FFC920E"/>
    <w:rsid w:val="42FF6694"/>
    <w:rsid w:val="48BF60AB"/>
    <w:rsid w:val="493C27E9"/>
    <w:rsid w:val="496F39ED"/>
    <w:rsid w:val="49FF41D3"/>
    <w:rsid w:val="4B7DEF17"/>
    <w:rsid w:val="4BE068DB"/>
    <w:rsid w:val="4BF6002B"/>
    <w:rsid w:val="4BFFC6BE"/>
    <w:rsid w:val="4ECE2238"/>
    <w:rsid w:val="51DB4B86"/>
    <w:rsid w:val="51F64DB0"/>
    <w:rsid w:val="55333C3E"/>
    <w:rsid w:val="5D8F6A03"/>
    <w:rsid w:val="5F67802D"/>
    <w:rsid w:val="5F7DC4F2"/>
    <w:rsid w:val="5FB36814"/>
    <w:rsid w:val="5FBB8E56"/>
    <w:rsid w:val="5FFB5535"/>
    <w:rsid w:val="64CA39A1"/>
    <w:rsid w:val="69630ADE"/>
    <w:rsid w:val="69BD5F13"/>
    <w:rsid w:val="69FB0B4B"/>
    <w:rsid w:val="6BFFE1FB"/>
    <w:rsid w:val="6C4A05C8"/>
    <w:rsid w:val="6D3B1A89"/>
    <w:rsid w:val="6DB7D8A3"/>
    <w:rsid w:val="6EC78701"/>
    <w:rsid w:val="6F7A5481"/>
    <w:rsid w:val="6FFE07A9"/>
    <w:rsid w:val="71BF4EC2"/>
    <w:rsid w:val="72734D90"/>
    <w:rsid w:val="7399049F"/>
    <w:rsid w:val="73E75B71"/>
    <w:rsid w:val="73EBBE92"/>
    <w:rsid w:val="7412278C"/>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1167"/>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375FFC"/>
    <w:rsid w:val="FD77F6B8"/>
    <w:rsid w:val="FDD69328"/>
    <w:rsid w:val="FDDFEC0E"/>
    <w:rsid w:val="FDE58BDD"/>
    <w:rsid w:val="FDEC7001"/>
    <w:rsid w:val="FEDFE87F"/>
    <w:rsid w:val="FEF1D25B"/>
    <w:rsid w:val="FF3EF90F"/>
    <w:rsid w:val="FFAF6081"/>
    <w:rsid w:val="FFECCD8C"/>
    <w:rsid w:val="FFED60BD"/>
    <w:rsid w:val="FFEE08F0"/>
    <w:rsid w:val="FFEE7F9F"/>
    <w:rsid w:val="FFEF1233"/>
    <w:rsid w:val="FFFF319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4"/>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5"/>
    <w:semiHidden/>
    <w:unhideWhenUsed/>
    <w:qFormat/>
    <w:uiPriority w:val="99"/>
    <w:rPr>
      <w:sz w:val="18"/>
      <w:szCs w:val="18"/>
    </w:rPr>
  </w:style>
  <w:style w:type="paragraph" w:styleId="9">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Normal (Web)"/>
    <w:basedOn w:val="1"/>
    <w:unhideWhenUsed/>
    <w:qFormat/>
    <w:uiPriority w:val="99"/>
    <w:pPr>
      <w:widowControl/>
      <w:jc w:val="left"/>
    </w:pPr>
    <w:rPr>
      <w:rFonts w:ascii="宋体" w:hAnsi="宋体" w:cs="宋体"/>
      <w:kern w:val="0"/>
      <w:sz w:val="24"/>
    </w:rPr>
  </w:style>
  <w:style w:type="paragraph" w:styleId="14">
    <w:name w:val="Body Text First Indent 2"/>
    <w:basedOn w:val="6"/>
    <w:unhideWhenUsed/>
    <w:qFormat/>
    <w:uiPriority w:val="99"/>
    <w:pPr>
      <w:ind w:firstLine="420" w:firstLineChars="200"/>
    </w:pPr>
  </w:style>
  <w:style w:type="table" w:styleId="16">
    <w:name w:val="Table Grid"/>
    <w:basedOn w:val="15"/>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标题 1 Char"/>
    <w:basedOn w:val="17"/>
    <w:link w:val="3"/>
    <w:qFormat/>
    <w:uiPriority w:val="9"/>
    <w:rPr>
      <w:rFonts w:ascii="Times New Roman" w:hAnsi="Times New Roman"/>
      <w:b/>
      <w:bCs/>
      <w:kern w:val="44"/>
      <w:sz w:val="44"/>
      <w:szCs w:val="44"/>
    </w:rPr>
  </w:style>
  <w:style w:type="character" w:customStyle="1" w:styleId="22">
    <w:name w:val="标题 2 Char"/>
    <w:basedOn w:val="17"/>
    <w:link w:val="4"/>
    <w:qFormat/>
    <w:uiPriority w:val="9"/>
    <w:rPr>
      <w:rFonts w:asciiTheme="majorHAnsi" w:hAnsiTheme="majorHAnsi" w:eastAsiaTheme="majorEastAsia" w:cstheme="majorBidi"/>
      <w:b/>
      <w:bCs/>
      <w:kern w:val="2"/>
      <w:sz w:val="32"/>
      <w:szCs w:val="32"/>
    </w:rPr>
  </w:style>
  <w:style w:type="character" w:customStyle="1" w:styleId="23">
    <w:name w:val="标题 3 Char"/>
    <w:basedOn w:val="17"/>
    <w:link w:val="5"/>
    <w:qFormat/>
    <w:uiPriority w:val="9"/>
    <w:rPr>
      <w:rFonts w:ascii="Times New Roman" w:hAnsi="Times New Roman"/>
      <w:b/>
      <w:bCs/>
      <w:kern w:val="2"/>
      <w:sz w:val="32"/>
      <w:szCs w:val="32"/>
    </w:rPr>
  </w:style>
  <w:style w:type="character" w:customStyle="1" w:styleId="24">
    <w:name w:val="正文文本 Char"/>
    <w:link w:val="2"/>
    <w:qFormat/>
    <w:locked/>
    <w:uiPriority w:val="99"/>
    <w:rPr>
      <w:rFonts w:ascii="仿宋_GB2312" w:hAnsi="Times New Roman" w:eastAsia="仿宋_GB2312"/>
      <w:sz w:val="24"/>
    </w:rPr>
  </w:style>
  <w:style w:type="character" w:customStyle="1" w:styleId="25">
    <w:name w:val="批注框文本 Char"/>
    <w:basedOn w:val="17"/>
    <w:link w:val="8"/>
    <w:semiHidden/>
    <w:qFormat/>
    <w:uiPriority w:val="99"/>
    <w:rPr>
      <w:rFonts w:ascii="Times New Roman" w:hAnsi="Times New Roman"/>
      <w:kern w:val="2"/>
      <w:sz w:val="18"/>
      <w:szCs w:val="18"/>
    </w:rPr>
  </w:style>
  <w:style w:type="character" w:customStyle="1" w:styleId="26">
    <w:name w:val="页脚 Char"/>
    <w:link w:val="9"/>
    <w:qFormat/>
    <w:locked/>
    <w:uiPriority w:val="99"/>
    <w:rPr>
      <w:sz w:val="18"/>
    </w:rPr>
  </w:style>
  <w:style w:type="character" w:customStyle="1" w:styleId="27">
    <w:name w:val="页眉 Char"/>
    <w:link w:val="10"/>
    <w:semiHidden/>
    <w:qFormat/>
    <w:locked/>
    <w:uiPriority w:val="99"/>
    <w:rPr>
      <w:sz w:val="18"/>
    </w:rPr>
  </w:style>
  <w:style w:type="character" w:customStyle="1" w:styleId="28">
    <w:name w:val="Header Char"/>
    <w:basedOn w:val="17"/>
    <w:semiHidden/>
    <w:qFormat/>
    <w:uiPriority w:val="99"/>
    <w:rPr>
      <w:rFonts w:ascii="Times New Roman" w:hAnsi="Times New Roman"/>
      <w:sz w:val="18"/>
      <w:szCs w:val="18"/>
    </w:rPr>
  </w:style>
  <w:style w:type="character" w:customStyle="1" w:styleId="29">
    <w:name w:val="Footer Char"/>
    <w:basedOn w:val="17"/>
    <w:semiHidden/>
    <w:qFormat/>
    <w:uiPriority w:val="99"/>
    <w:rPr>
      <w:rFonts w:ascii="Times New Roman" w:hAnsi="Times New Roman"/>
      <w:sz w:val="18"/>
      <w:szCs w:val="18"/>
    </w:rPr>
  </w:style>
  <w:style w:type="character" w:customStyle="1" w:styleId="30">
    <w:name w:val="Body Text Char"/>
    <w:basedOn w:val="17"/>
    <w:semiHidden/>
    <w:qFormat/>
    <w:uiPriority w:val="99"/>
    <w:rPr>
      <w:rFonts w:ascii="Times New Roman" w:hAnsi="Times New Roman"/>
      <w:szCs w:val="24"/>
    </w:rPr>
  </w:style>
  <w:style w:type="paragraph" w:customStyle="1" w:styleId="31">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2">
    <w:name w:val="List Paragraph"/>
    <w:basedOn w:val="1"/>
    <w:qFormat/>
    <w:uiPriority w:val="34"/>
    <w:pPr>
      <w:ind w:firstLine="420" w:firstLineChars="200"/>
    </w:pPr>
  </w:style>
  <w:style w:type="paragraph" w:customStyle="1" w:styleId="3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5">
    <w:name w:val="样式 行距: 固定值 28.9 磅"/>
    <w:basedOn w:val="1"/>
    <w:qFormat/>
    <w:uiPriority w:val="0"/>
    <w:pPr>
      <w:spacing w:line="578" w:lineRule="exact"/>
    </w:pPr>
    <w:rPr>
      <w:rFonts w:eastAsia="仿宋_GB2312" w:cs="宋体"/>
      <w:sz w:val="32"/>
      <w:szCs w:val="20"/>
    </w:rPr>
  </w:style>
  <w:style w:type="paragraph" w:customStyle="1" w:styleId="36">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20110;&#20426;&#26480;2\2023&#24180;&#20915;&#31639;&#20844;&#24320;\&#26816;&#23519;&#38498;\&#26032;&#24314;%20XLSX%20&#24037;&#20316;&#349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0110;&#20426;&#26480;2\2023&#24180;&#20915;&#31639;&#20844;&#24320;\&#26816;&#23519;&#38498;\&#26032;&#24314;%20XLSX%20&#24037;&#20316;&#349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20110;&#20426;&#26480;2\2023&#24180;&#20915;&#31639;&#20844;&#24320;\&#26816;&#23519;&#38498;\&#26032;&#24314;%20XLSX%20&#24037;&#20316;&#349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20110;&#20426;&#26480;2\2023&#24180;&#20915;&#31639;&#20844;&#24320;\&#26816;&#23519;&#38498;\&#26032;&#24314;%20XLSX%20&#24037;&#20316;&#3492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20110;&#20426;&#26480;2\2023&#24180;&#20915;&#31639;&#20844;&#24320;\&#26816;&#23519;&#38498;\&#26032;&#24314;%20XLSX%20&#24037;&#20316;&#349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20110;&#20426;&#26480;2\2023&#24180;&#20915;&#31639;&#20844;&#24320;\&#26816;&#23519;&#38498;\&#26032;&#24314;%20XLSX%20&#24037;&#20316;&#3492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20110;&#20426;&#26480;2\2023&#24180;&#20915;&#31639;&#20844;&#24320;\&#26816;&#23519;&#38498;\&#26032;&#24314;%20XLSX%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sz="1000"/>
              <a:t>单位：万元</a:t>
            </a:r>
            <a:endParaRPr lang="zh-CN" altLang="en-US" sz="1000"/>
          </a:p>
        </c:rich>
      </c:tx>
      <c:layout>
        <c:manualLayout>
          <c:xMode val="edge"/>
          <c:yMode val="edge"/>
          <c:x val="0.742302631578947"/>
          <c:y val="0.0451388888888889"/>
        </c:manualLayout>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Sheet1!$A$3:$A$4</c:f>
              <c:strCache>
                <c:ptCount val="2"/>
                <c:pt idx="0">
                  <c:v>2022年</c:v>
                </c:pt>
                <c:pt idx="1">
                  <c:v>2023年</c:v>
                </c:pt>
              </c:strCache>
            </c:strRef>
          </c:cat>
          <c:val>
            <c:numRef>
              <c:f>Sheet1!$B$3:$B$4</c:f>
              <c:numCache>
                <c:formatCode>General</c:formatCode>
                <c:ptCount val="2"/>
                <c:pt idx="0">
                  <c:v>4085.67</c:v>
                </c:pt>
                <c:pt idx="1">
                  <c:v>3742.15</c:v>
                </c:pt>
              </c:numCache>
            </c:numRef>
          </c:val>
        </c:ser>
        <c:dLbls>
          <c:showLegendKey val="false"/>
          <c:showVal val="true"/>
          <c:showCatName val="false"/>
          <c:showSerName val="false"/>
          <c:showPercent val="false"/>
          <c:showBubbleSize val="false"/>
        </c:dLbls>
        <c:gapWidth val="246"/>
        <c:overlap val="-28"/>
        <c:axId val="97714944"/>
        <c:axId val="97734016"/>
      </c:barChart>
      <c:catAx>
        <c:axId val="97714944"/>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7734016"/>
        <c:crosses val="autoZero"/>
        <c:auto val="true"/>
        <c:lblAlgn val="ctr"/>
        <c:lblOffset val="100"/>
        <c:noMultiLvlLbl val="false"/>
      </c:catAx>
      <c:valAx>
        <c:axId val="97734016"/>
        <c:scaling>
          <c:orientation val="minMax"/>
        </c:scaling>
        <c:delete val="false"/>
        <c:axPos val="l"/>
        <c:majorGridlines>
          <c:spPr>
            <a:ln w="9525" cap="flat" cmpd="sng" algn="ctr">
              <a:solidFill>
                <a:schemeClr val="lt1">
                  <a:lumMod val="902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771494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Sheet1!$A$23:$A$24</c:f>
              <c:strCache>
                <c:ptCount val="2"/>
                <c:pt idx="0">
                  <c:v>一般公共预算财政拨款收入</c:v>
                </c:pt>
                <c:pt idx="1">
                  <c:v>其他收入</c:v>
                </c:pt>
              </c:strCache>
            </c:strRef>
          </c:cat>
          <c:val>
            <c:numRef>
              <c:f>Sheet1!$B$23:$B$24</c:f>
              <c:numCache>
                <c:formatCode>0.0%</c:formatCode>
                <c:ptCount val="2"/>
                <c:pt idx="0">
                  <c:v>1</c:v>
                </c:pt>
                <c:pt idx="1">
                  <c:v>0</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Sheet1!$A$40:$A$41</c:f>
              <c:strCache>
                <c:ptCount val="2"/>
                <c:pt idx="0">
                  <c:v>基本支出</c:v>
                </c:pt>
                <c:pt idx="1">
                  <c:v>项目支出</c:v>
                </c:pt>
              </c:strCache>
            </c:strRef>
          </c:cat>
          <c:val>
            <c:numRef>
              <c:f>Sheet1!$B$40:$B$41</c:f>
              <c:numCache>
                <c:formatCode>0.0%</c:formatCode>
                <c:ptCount val="2"/>
                <c:pt idx="0">
                  <c:v>0.836</c:v>
                </c:pt>
                <c:pt idx="1">
                  <c:v>0.164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sz="1000"/>
              <a:t>单位：万元</a:t>
            </a:r>
            <a:endParaRPr lang="zh-CN" altLang="en-US" sz="1000"/>
          </a:p>
        </c:rich>
      </c:tx>
      <c:layout>
        <c:manualLayout>
          <c:xMode val="edge"/>
          <c:yMode val="edge"/>
          <c:x val="0.742302631578947"/>
          <c:y val="0.0451388888888889"/>
        </c:manualLayout>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Sheet1!$A$3:$A$4</c:f>
              <c:strCache>
                <c:ptCount val="2"/>
                <c:pt idx="0">
                  <c:v>2022年</c:v>
                </c:pt>
                <c:pt idx="1">
                  <c:v>2023年</c:v>
                </c:pt>
              </c:strCache>
            </c:strRef>
          </c:cat>
          <c:val>
            <c:numRef>
              <c:f>Sheet1!$B$3:$B$4</c:f>
              <c:numCache>
                <c:formatCode>General</c:formatCode>
                <c:ptCount val="2"/>
                <c:pt idx="0">
                  <c:v>4085.67</c:v>
                </c:pt>
                <c:pt idx="1">
                  <c:v>3742.15</c:v>
                </c:pt>
              </c:numCache>
            </c:numRef>
          </c:val>
        </c:ser>
        <c:dLbls>
          <c:showLegendKey val="false"/>
          <c:showVal val="true"/>
          <c:showCatName val="false"/>
          <c:showSerName val="false"/>
          <c:showPercent val="false"/>
          <c:showBubbleSize val="false"/>
        </c:dLbls>
        <c:gapWidth val="246"/>
        <c:overlap val="-28"/>
        <c:axId val="98198656"/>
        <c:axId val="98200192"/>
      </c:barChart>
      <c:catAx>
        <c:axId val="98198656"/>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8200192"/>
        <c:crosses val="autoZero"/>
        <c:auto val="true"/>
        <c:lblAlgn val="ctr"/>
        <c:lblOffset val="100"/>
        <c:noMultiLvlLbl val="false"/>
      </c:catAx>
      <c:valAx>
        <c:axId val="98200192"/>
        <c:scaling>
          <c:orientation val="minMax"/>
        </c:scaling>
        <c:delete val="false"/>
        <c:axPos val="l"/>
        <c:majorGridlines>
          <c:spPr>
            <a:ln w="9525" cap="flat" cmpd="sng" algn="ctr">
              <a:solidFill>
                <a:schemeClr val="lt1">
                  <a:lumMod val="902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8198656"/>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sz="1000"/>
              <a:t>单位：万元</a:t>
            </a:r>
            <a:endParaRPr lang="zh-CN" altLang="en-US" sz="1000"/>
          </a:p>
        </c:rich>
      </c:tx>
      <c:layout>
        <c:manualLayout>
          <c:xMode val="edge"/>
          <c:yMode val="edge"/>
          <c:x val="0.742302631578947"/>
          <c:y val="0.0451388888888889"/>
        </c:manualLayout>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Sheet1!$A$3:$A$4</c:f>
              <c:strCache>
                <c:ptCount val="2"/>
                <c:pt idx="0">
                  <c:v>2022年</c:v>
                </c:pt>
                <c:pt idx="1">
                  <c:v>2023年</c:v>
                </c:pt>
              </c:strCache>
            </c:strRef>
          </c:cat>
          <c:val>
            <c:numRef>
              <c:f>Sheet1!$B$3:$B$4</c:f>
              <c:numCache>
                <c:formatCode>General</c:formatCode>
                <c:ptCount val="2"/>
                <c:pt idx="0">
                  <c:v>4085.67</c:v>
                </c:pt>
                <c:pt idx="1">
                  <c:v>3742.15</c:v>
                </c:pt>
              </c:numCache>
            </c:numRef>
          </c:val>
        </c:ser>
        <c:dLbls>
          <c:showLegendKey val="false"/>
          <c:showVal val="true"/>
          <c:showCatName val="false"/>
          <c:showSerName val="false"/>
          <c:showPercent val="false"/>
          <c:showBubbleSize val="false"/>
        </c:dLbls>
        <c:gapWidth val="246"/>
        <c:overlap val="-28"/>
        <c:axId val="148890752"/>
        <c:axId val="168523648"/>
      </c:barChart>
      <c:catAx>
        <c:axId val="148890752"/>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8523648"/>
        <c:crosses val="autoZero"/>
        <c:auto val="true"/>
        <c:lblAlgn val="ctr"/>
        <c:lblOffset val="100"/>
        <c:noMultiLvlLbl val="false"/>
      </c:catAx>
      <c:valAx>
        <c:axId val="168523648"/>
        <c:scaling>
          <c:orientation val="minMax"/>
        </c:scaling>
        <c:delete val="false"/>
        <c:axPos val="l"/>
        <c:majorGridlines>
          <c:spPr>
            <a:ln w="9525" cap="flat" cmpd="sng" algn="ctr">
              <a:solidFill>
                <a:schemeClr val="lt1">
                  <a:lumMod val="902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48890752"/>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Sheet1!$A$72:$A$75</c:f>
              <c:strCache>
                <c:ptCount val="4"/>
                <c:pt idx="0">
                  <c:v>公共安全支出</c:v>
                </c:pt>
                <c:pt idx="1">
                  <c:v>社会保障和就业支出</c:v>
                </c:pt>
                <c:pt idx="2">
                  <c:v>卫生健康支出</c:v>
                </c:pt>
                <c:pt idx="3">
                  <c:v>住房保障支出</c:v>
                </c:pt>
              </c:strCache>
            </c:strRef>
          </c:cat>
          <c:val>
            <c:numRef>
              <c:f>Sheet1!$B$72:$B$75</c:f>
              <c:numCache>
                <c:formatCode>0.0%</c:formatCode>
                <c:ptCount val="4"/>
                <c:pt idx="0">
                  <c:v>0.848</c:v>
                </c:pt>
                <c:pt idx="1">
                  <c:v>0.075</c:v>
                </c:pt>
                <c:pt idx="2">
                  <c:v>0.021</c:v>
                </c:pt>
                <c:pt idx="3">
                  <c:v>0.056</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Sheet1!$A$88:$A$89</c:f>
              <c:strCache>
                <c:ptCount val="2"/>
                <c:pt idx="0">
                  <c:v>公务用车购置及运行维护费支出</c:v>
                </c:pt>
                <c:pt idx="1">
                  <c:v>公务接待费支出</c:v>
                </c:pt>
              </c:strCache>
            </c:strRef>
          </c:cat>
          <c:val>
            <c:numRef>
              <c:f>Sheet1!$B$88:$B$89</c:f>
              <c:numCache>
                <c:formatCode>0.00%</c:formatCode>
                <c:ptCount val="2"/>
                <c:pt idx="0">
                  <c:v>0.965</c:v>
                </c:pt>
                <c:pt idx="1">
                  <c:v>0.035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79</Pages>
  <Words>32536</Words>
  <Characters>36163</Characters>
  <Lines>304</Lines>
  <Paragraphs>85</Paragraphs>
  <TotalTime>21</TotalTime>
  <ScaleCrop>false</ScaleCrop>
  <LinksUpToDate>false</LinksUpToDate>
  <CharactersWithSpaces>36759</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2020-08-08T09:49:00Z</dcterms:created>
  <dc:creator>曹颖</dc:creator>
  <cp:lastModifiedBy> </cp:lastModifiedBy>
  <cp:lastPrinted>2023-08-03T10:35:00Z</cp:lastPrinted>
  <dcterms:modified xsi:type="dcterms:W3CDTF">2024-09-27T11:46:55Z</dcterms:modified>
  <dc:title>四川省***</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2ED8E868DF474195A450FB09D90B386E_12</vt:lpwstr>
  </property>
</Properties>
</file>